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133" w:rsidRPr="0001060A" w:rsidRDefault="00EA4133">
      <w:pPr>
        <w:pStyle w:val="Title"/>
        <w:spacing w:before="0"/>
        <w:rPr>
          <w:sz w:val="28"/>
          <w:lang w:val="en-CA"/>
        </w:rPr>
      </w:pPr>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PROPOSED ISSUANCE 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w:t>
      </w:r>
      <w:proofErr w:type="gramStart"/>
      <w:r>
        <w:rPr>
          <w:sz w:val="28"/>
          <w:u w:val="single"/>
          <w:lang w:val="en-CA"/>
        </w:rPr>
        <w:t>or</w:t>
      </w:r>
      <w:proofErr w:type="gramEnd"/>
      <w:r>
        <w:rPr>
          <w:sz w:val="28"/>
          <w:u w:val="single"/>
          <w:lang w:val="en-CA"/>
        </w:rPr>
        <w:t xml:space="preserve">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EA4133">
      <w:pPr>
        <w:pStyle w:val="BodyText"/>
        <w:rPr>
          <w:rFonts w:ascii="Arial" w:hAnsi="Arial"/>
          <w:lang w:val="en-CA"/>
        </w:rPr>
      </w:pPr>
      <w:r>
        <w:rPr>
          <w:rFonts w:ascii="Arial" w:hAnsi="Arial"/>
          <w:lang w:val="en-CA"/>
        </w:rPr>
        <w:t>Please complete the following:</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Pr>
          <w:rFonts w:ascii="Arial" w:hAnsi="Arial"/>
          <w:u w:val="single"/>
          <w:lang w:val="en-CA"/>
        </w:rPr>
        <w:tab/>
      </w:r>
      <w:r w:rsidR="0056101E">
        <w:rPr>
          <w:rFonts w:ascii="Arial" w:hAnsi="Arial"/>
          <w:u w:val="single"/>
          <w:lang w:val="en-CA"/>
        </w:rPr>
        <w:t>Alliance Growers Corp.</w:t>
      </w:r>
      <w:r>
        <w:rPr>
          <w:rFonts w:ascii="Arial" w:hAnsi="Arial"/>
          <w:u w:val="single"/>
          <w:lang w:val="en-CA"/>
        </w:rPr>
        <w:tab/>
      </w:r>
      <w:r>
        <w:rPr>
          <w:rFonts w:ascii="Arial" w:hAnsi="Arial"/>
          <w:u w:val="single"/>
          <w:lang w:val="en-CA"/>
        </w:rPr>
        <w:tab/>
      </w:r>
      <w:r>
        <w:rPr>
          <w:rFonts w:ascii="Arial" w:hAnsi="Arial"/>
          <w:lang w:val="en-CA"/>
        </w:rPr>
        <w:t>(</w:t>
      </w:r>
      <w:proofErr w:type="gramStart"/>
      <w:r>
        <w:rPr>
          <w:rFonts w:ascii="Arial" w:hAnsi="Arial"/>
          <w:lang w:val="en-CA"/>
        </w:rPr>
        <w:t>the</w:t>
      </w:r>
      <w:proofErr w:type="gramEnd"/>
      <w:r>
        <w:rPr>
          <w:rFonts w:ascii="Arial" w:hAnsi="Arial"/>
          <w:lang w:val="en-CA"/>
        </w:rPr>
        <w:t xml:space="preserve"> “Issuer”).  </w:t>
      </w:r>
    </w:p>
    <w:p w:rsidR="00EA4133" w:rsidRDefault="00EA4133">
      <w:pPr>
        <w:pStyle w:val="BodyText"/>
        <w:rPr>
          <w:rFonts w:ascii="Arial" w:hAnsi="Arial"/>
          <w:lang w:val="en-CA"/>
        </w:rPr>
      </w:pPr>
      <w:r>
        <w:rPr>
          <w:rFonts w:ascii="Arial" w:hAnsi="Arial"/>
          <w:lang w:val="en-CA"/>
        </w:rPr>
        <w:t xml:space="preserve">Trading Symbol:  </w:t>
      </w:r>
      <w:r>
        <w:rPr>
          <w:rFonts w:ascii="Arial" w:hAnsi="Arial"/>
          <w:u w:val="single"/>
          <w:lang w:val="en-CA"/>
        </w:rPr>
        <w:tab/>
      </w:r>
      <w:r w:rsidR="0056101E">
        <w:rPr>
          <w:rFonts w:ascii="Arial" w:hAnsi="Arial"/>
          <w:u w:val="single"/>
          <w:lang w:val="en-CA"/>
        </w:rPr>
        <w:t>ACG</w:t>
      </w:r>
      <w:r>
        <w:rPr>
          <w:rFonts w:ascii="Arial" w:hAnsi="Arial"/>
          <w:u w:val="single"/>
          <w:lang w:val="en-CA"/>
        </w:rPr>
        <w:tab/>
      </w:r>
      <w:r>
        <w:rPr>
          <w:rFonts w:ascii="Arial" w:hAnsi="Arial"/>
          <w:u w:val="single"/>
          <w:lang w:val="en-CA"/>
        </w:rPr>
        <w:tab/>
      </w:r>
    </w:p>
    <w:p w:rsidR="00EA4133" w:rsidRDefault="00EA4133">
      <w:pPr>
        <w:pStyle w:val="BodyText"/>
        <w:spacing w:after="240"/>
        <w:rPr>
          <w:rFonts w:ascii="Arial" w:hAnsi="Arial"/>
          <w:lang w:val="en-CA"/>
        </w:rPr>
      </w:pPr>
      <w:r>
        <w:rPr>
          <w:rFonts w:ascii="Arial" w:hAnsi="Arial"/>
          <w:lang w:val="en-CA"/>
        </w:rPr>
        <w:t xml:space="preserve">Date:  </w:t>
      </w:r>
      <w:r>
        <w:rPr>
          <w:rFonts w:ascii="Arial" w:hAnsi="Arial"/>
          <w:u w:val="single"/>
          <w:lang w:val="en-CA"/>
        </w:rPr>
        <w:tab/>
      </w:r>
      <w:r>
        <w:rPr>
          <w:rFonts w:ascii="Arial" w:hAnsi="Arial"/>
          <w:u w:val="single"/>
          <w:lang w:val="en-CA"/>
        </w:rPr>
        <w:tab/>
      </w:r>
      <w:r w:rsidR="00E20596">
        <w:rPr>
          <w:rFonts w:ascii="Arial" w:hAnsi="Arial"/>
          <w:u w:val="single"/>
          <w:lang w:val="en-CA"/>
        </w:rPr>
        <w:t xml:space="preserve">November </w:t>
      </w:r>
      <w:r w:rsidR="00914EB9">
        <w:rPr>
          <w:rFonts w:ascii="Arial" w:hAnsi="Arial"/>
          <w:u w:val="single"/>
          <w:lang w:val="en-CA"/>
        </w:rPr>
        <w:t>1</w:t>
      </w:r>
      <w:r w:rsidR="009C2387">
        <w:rPr>
          <w:rFonts w:ascii="Arial" w:hAnsi="Arial"/>
          <w:u w:val="single"/>
          <w:lang w:val="en-CA"/>
        </w:rPr>
        <w:t>5</w:t>
      </w:r>
      <w:r w:rsidR="0056101E">
        <w:rPr>
          <w:rFonts w:ascii="Arial" w:hAnsi="Arial"/>
          <w:u w:val="single"/>
          <w:lang w:val="en-CA"/>
        </w:rPr>
        <w:t>, 2016</w:t>
      </w:r>
      <w:r>
        <w:rPr>
          <w:rFonts w:ascii="Arial" w:hAnsi="Arial"/>
          <w:u w:val="single"/>
          <w:lang w:val="en-CA"/>
        </w:rPr>
        <w:tab/>
      </w:r>
    </w:p>
    <w:p w:rsidR="00EA4133" w:rsidRDefault="00EA4133">
      <w:pPr>
        <w:pStyle w:val="BodyText"/>
        <w:tabs>
          <w:tab w:val="left" w:pos="2160"/>
        </w:tabs>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m:oMath>
        <m:r>
          <w:rPr>
            <w:rFonts w:ascii="Cambria Math" w:hAnsi="Cambria Math"/>
            <w:lang w:val="en-CA"/>
          </w:rPr>
          <m:t>√</m:t>
        </m:r>
      </m:oMath>
      <w:proofErr w:type="gramStart"/>
      <w:r>
        <w:rPr>
          <w:rFonts w:ascii="Arial" w:hAnsi="Arial"/>
          <w:lang w:val="en-CA"/>
        </w:rPr>
        <w:t>No</w:t>
      </w:r>
      <w:proofErr w:type="gramEnd"/>
      <w:r>
        <w:rPr>
          <w:rFonts w:ascii="Arial" w:hAnsi="Arial"/>
          <w:sz w:val="32"/>
          <w:lang w:val="en-CA"/>
        </w:rPr>
        <w:tab/>
      </w:r>
    </w:p>
    <w:p w:rsidR="00EA4133" w:rsidRDefault="00EA4133">
      <w:pPr>
        <w:pStyle w:val="BodyText"/>
        <w:tabs>
          <w:tab w:val="left" w:pos="9180"/>
        </w:tabs>
        <w:spacing w:before="0" w:after="240"/>
        <w:rPr>
          <w:rFonts w:ascii="Arial" w:hAnsi="Arial"/>
          <w:lang w:val="en-CA"/>
        </w:rPr>
      </w:pPr>
      <w:r>
        <w:rPr>
          <w:rFonts w:ascii="Arial" w:hAnsi="Arial"/>
          <w:lang w:val="en-CA"/>
        </w:rPr>
        <w:t>If yes provide date(s) of prior Notices:  ________________________.</w:t>
      </w:r>
    </w:p>
    <w:p w:rsidR="00EA4133" w:rsidRDefault="00EA4133">
      <w:pPr>
        <w:pStyle w:val="BodyText"/>
        <w:tabs>
          <w:tab w:val="left" w:pos="9180"/>
        </w:tabs>
        <w:spacing w:before="0" w:after="240"/>
        <w:rPr>
          <w:rFonts w:ascii="Arial" w:hAnsi="Arial"/>
          <w:lang w:val="en-CA"/>
        </w:rPr>
      </w:pPr>
      <w:r>
        <w:rPr>
          <w:rFonts w:ascii="Arial" w:hAnsi="Arial"/>
          <w:lang w:val="en-CA"/>
        </w:rPr>
        <w:t xml:space="preserve">Issued and Outstanding Securities of Issuer Prior to Issuance:  </w:t>
      </w:r>
      <w:r w:rsidR="00E20596">
        <w:rPr>
          <w:rFonts w:ascii="Arial" w:hAnsi="Arial"/>
          <w:u w:val="single"/>
          <w:lang w:val="en-CA"/>
        </w:rPr>
        <w:t>33,025</w:t>
      </w:r>
      <w:r w:rsidR="0056101E" w:rsidRPr="00275AA2">
        <w:rPr>
          <w:rFonts w:ascii="Arial" w:hAnsi="Arial"/>
          <w:u w:val="single"/>
          <w:lang w:val="en-CA"/>
        </w:rPr>
        <w:t>,527</w:t>
      </w:r>
      <w:r>
        <w:rPr>
          <w:rFonts w:ascii="Arial" w:hAnsi="Arial"/>
          <w:u w:val="single"/>
          <w:lang w:val="en-CA"/>
        </w:rPr>
        <w:tab/>
      </w:r>
      <w:r>
        <w:rPr>
          <w:rFonts w:ascii="Arial" w:hAnsi="Arial"/>
          <w:lang w:val="en-CA"/>
        </w:rPr>
        <w:t xml:space="preserve"> .</w:t>
      </w:r>
    </w:p>
    <w:p w:rsidR="00EA4133" w:rsidRDefault="00EA4133">
      <w:pPr>
        <w:pStyle w:val="BodyText"/>
        <w:tabs>
          <w:tab w:val="left" w:pos="9180"/>
        </w:tabs>
        <w:spacing w:before="0" w:after="240"/>
        <w:rPr>
          <w:rFonts w:ascii="Arial" w:hAnsi="Arial"/>
          <w:lang w:val="en-CA"/>
        </w:rPr>
      </w:pPr>
      <w:r>
        <w:rPr>
          <w:rFonts w:ascii="Arial" w:hAnsi="Arial"/>
          <w:lang w:val="en-CA"/>
        </w:rPr>
        <w:t xml:space="preserve">Date of News Release Announcing Private Placement:  </w:t>
      </w:r>
      <w:r w:rsidR="00E20596">
        <w:rPr>
          <w:rFonts w:ascii="Arial" w:hAnsi="Arial"/>
          <w:u w:val="single"/>
          <w:lang w:val="en-CA"/>
        </w:rPr>
        <w:t xml:space="preserve">November </w:t>
      </w:r>
      <w:r w:rsidR="00437D39">
        <w:rPr>
          <w:rFonts w:ascii="Arial" w:hAnsi="Arial"/>
          <w:u w:val="single"/>
          <w:lang w:val="en-CA"/>
        </w:rPr>
        <w:t>8</w:t>
      </w:r>
      <w:r w:rsidR="0056101E" w:rsidRPr="00275AA2">
        <w:rPr>
          <w:rFonts w:ascii="Arial" w:hAnsi="Arial"/>
          <w:u w:val="single"/>
          <w:lang w:val="en-CA"/>
        </w:rPr>
        <w:t>, 2016</w:t>
      </w:r>
      <w:r>
        <w:rPr>
          <w:rFonts w:ascii="Arial" w:hAnsi="Arial"/>
          <w:u w:val="single"/>
          <w:lang w:val="en-CA"/>
        </w:rPr>
        <w:tab/>
      </w:r>
      <w:r>
        <w:rPr>
          <w:rFonts w:ascii="Arial" w:hAnsi="Arial"/>
          <w:lang w:val="en-CA"/>
        </w:rPr>
        <w:t xml:space="preserve"> .</w:t>
      </w:r>
    </w:p>
    <w:p w:rsidR="00EA4133" w:rsidRDefault="00EA4133">
      <w:pPr>
        <w:pStyle w:val="BodyText"/>
        <w:tabs>
          <w:tab w:val="left" w:pos="9180"/>
        </w:tabs>
        <w:spacing w:before="0" w:after="240"/>
        <w:rPr>
          <w:rFonts w:ascii="Arial" w:hAnsi="Arial"/>
          <w:lang w:val="en-CA"/>
        </w:rPr>
      </w:pPr>
      <w:r>
        <w:rPr>
          <w:rFonts w:ascii="Arial" w:hAnsi="Arial"/>
          <w:lang w:val="en-CA"/>
        </w:rPr>
        <w:t xml:space="preserve">Closing Market Price on Day Preceding the Issuance of the News Release: </w:t>
      </w:r>
      <w:r w:rsidR="0056101E" w:rsidRPr="00275AA2">
        <w:rPr>
          <w:rFonts w:ascii="Arial" w:hAnsi="Arial"/>
          <w:u w:val="single"/>
          <w:lang w:val="en-CA"/>
        </w:rPr>
        <w:t>$0</w:t>
      </w:r>
      <w:r w:rsidR="00E20596">
        <w:rPr>
          <w:rFonts w:ascii="Arial" w:hAnsi="Arial"/>
          <w:u w:val="single"/>
          <w:lang w:val="en-CA"/>
        </w:rPr>
        <w:t>.245</w:t>
      </w:r>
      <w:r>
        <w:rPr>
          <w:rFonts w:ascii="Arial" w:hAnsi="Arial"/>
          <w:lang w:val="en-CA"/>
        </w:rPr>
        <w:t>___</w:t>
      </w:r>
    </w:p>
    <w:p w:rsidR="00A90670" w:rsidRDefault="00EA4133">
      <w:pPr>
        <w:pStyle w:val="BodyText"/>
        <w:spacing w:before="0" w:after="240"/>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proceed to Part 2 of this form)</w:t>
      </w: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rsidTr="0056101E">
        <w:trPr>
          <w:trHeight w:val="1965"/>
        </w:trPr>
        <w:tc>
          <w:tcPr>
            <w:tcW w:w="1394"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Full Name &amp; Residential Address of </w:t>
            </w:r>
            <w:proofErr w:type="spellStart"/>
            <w:r>
              <w:rPr>
                <w:rFonts w:ascii="Arial" w:hAnsi="Arial"/>
                <w:b/>
                <w:sz w:val="20"/>
                <w:lang w:val="en-CA"/>
              </w:rPr>
              <w:t>Placee</w:t>
            </w:r>
            <w:proofErr w:type="spellEnd"/>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rsidR="00EA4133" w:rsidRDefault="00EA4133">
            <w:pPr>
              <w:pStyle w:val="BodyText"/>
              <w:spacing w:before="0" w:line="280" w:lineRule="exact"/>
              <w:jc w:val="center"/>
              <w:rPr>
                <w:rFonts w:ascii="Arial" w:hAnsi="Arial"/>
                <w:b/>
                <w:sz w:val="20"/>
                <w:lang w:val="en-CA"/>
              </w:rPr>
            </w:pPr>
            <w:r>
              <w:rPr>
                <w:rFonts w:ascii="Arial" w:hAnsi="Arial"/>
                <w:b/>
                <w:sz w:val="20"/>
              </w:rPr>
              <w:t>No. of Securities, directly or indirectly, Owned, Controlled or Directed</w:t>
            </w:r>
          </w:p>
        </w:tc>
        <w:tc>
          <w:tcPr>
            <w:tcW w:w="110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100" w:type="dxa"/>
          </w:tcPr>
          <w:p w:rsidR="00EA4133" w:rsidRDefault="00EA4133">
            <w:pPr>
              <w:pStyle w:val="BodyText"/>
              <w:spacing w:before="0" w:line="280" w:lineRule="exact"/>
              <w:jc w:val="center"/>
              <w:rPr>
                <w:rFonts w:ascii="Arial" w:hAnsi="Arial"/>
                <w:b/>
                <w:color w:val="000000"/>
                <w:sz w:val="20"/>
                <w:lang w:val="en-CA"/>
              </w:rPr>
            </w:pPr>
          </w:p>
          <w:p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887614" w:rsidRPr="00275AA2" w:rsidTr="00A533A9">
        <w:trPr>
          <w:trHeight w:val="864"/>
        </w:trPr>
        <w:tc>
          <w:tcPr>
            <w:tcW w:w="1394" w:type="dxa"/>
            <w:vAlign w:val="center"/>
          </w:tcPr>
          <w:p w:rsidR="00887614" w:rsidRPr="003236D4" w:rsidRDefault="00246CB7" w:rsidP="00246CB7">
            <w:pPr>
              <w:tabs>
                <w:tab w:val="left" w:pos="-5760"/>
                <w:tab w:val="right" w:pos="8784"/>
              </w:tabs>
              <w:rPr>
                <w:rFonts w:ascii="Tahoma" w:hAnsi="Tahoma" w:cs="Tahoma"/>
                <w:b/>
              </w:rPr>
            </w:pPr>
            <w:r>
              <w:rPr>
                <w:rFonts w:ascii="Arial" w:hAnsi="Arial"/>
                <w:b/>
                <w:lang w:val="en-CA"/>
              </w:rPr>
              <w:t>To be provided</w:t>
            </w:r>
          </w:p>
        </w:tc>
        <w:tc>
          <w:tcPr>
            <w:tcW w:w="1376" w:type="dxa"/>
            <w:vAlign w:val="center"/>
          </w:tcPr>
          <w:p w:rsidR="00887614" w:rsidRPr="003236D4" w:rsidRDefault="00E20596" w:rsidP="00C44E34">
            <w:pPr>
              <w:jc w:val="center"/>
              <w:rPr>
                <w:rFonts w:ascii="Tahoma" w:hAnsi="Tahoma" w:cs="Tahoma"/>
                <w:b/>
              </w:rPr>
            </w:pPr>
            <w:r>
              <w:rPr>
                <w:rFonts w:ascii="Tahoma" w:hAnsi="Tahoma" w:cs="Tahoma"/>
                <w:b/>
              </w:rPr>
              <w:t>10</w:t>
            </w:r>
            <w:r w:rsidR="009169CF">
              <w:rPr>
                <w:rFonts w:ascii="Tahoma" w:hAnsi="Tahoma" w:cs="Tahoma"/>
                <w:b/>
              </w:rPr>
              <w:t xml:space="preserve">,000,000 </w:t>
            </w:r>
          </w:p>
        </w:tc>
        <w:tc>
          <w:tcPr>
            <w:tcW w:w="1192" w:type="dxa"/>
            <w:vAlign w:val="center"/>
          </w:tcPr>
          <w:p w:rsidR="00887614" w:rsidRPr="00887614" w:rsidRDefault="00887614" w:rsidP="00E20596">
            <w:pPr>
              <w:pStyle w:val="BodyText"/>
              <w:spacing w:before="0" w:line="280" w:lineRule="exact"/>
              <w:jc w:val="center"/>
              <w:rPr>
                <w:rFonts w:ascii="Arial" w:hAnsi="Arial"/>
                <w:b/>
                <w:sz w:val="20"/>
                <w:lang w:val="en-CA"/>
              </w:rPr>
            </w:pPr>
            <w:r w:rsidRPr="00887614">
              <w:rPr>
                <w:rFonts w:ascii="Arial" w:hAnsi="Arial"/>
                <w:b/>
                <w:sz w:val="20"/>
                <w:lang w:val="en-CA"/>
              </w:rPr>
              <w:t>$0.</w:t>
            </w:r>
            <w:r w:rsidR="00E20596">
              <w:rPr>
                <w:rFonts w:ascii="Arial" w:hAnsi="Arial"/>
                <w:b/>
                <w:sz w:val="20"/>
                <w:lang w:val="en-CA"/>
              </w:rPr>
              <w:t>20</w:t>
            </w:r>
          </w:p>
        </w:tc>
        <w:tc>
          <w:tcPr>
            <w:tcW w:w="1376" w:type="dxa"/>
            <w:vAlign w:val="center"/>
          </w:tcPr>
          <w:p w:rsidR="00887614" w:rsidRPr="00887614" w:rsidRDefault="009169CF" w:rsidP="00887614">
            <w:pPr>
              <w:pStyle w:val="BodyText"/>
              <w:spacing w:before="0" w:line="280" w:lineRule="exact"/>
              <w:jc w:val="center"/>
              <w:rPr>
                <w:rFonts w:ascii="Arial" w:hAnsi="Arial"/>
                <w:b/>
                <w:sz w:val="20"/>
                <w:lang w:val="en-CA"/>
              </w:rPr>
            </w:pPr>
            <w:r>
              <w:rPr>
                <w:rFonts w:ascii="Arial" w:hAnsi="Arial"/>
                <w:b/>
                <w:sz w:val="20"/>
                <w:lang w:val="en-CA"/>
              </w:rPr>
              <w:t xml:space="preserve"> </w:t>
            </w:r>
          </w:p>
        </w:tc>
        <w:tc>
          <w:tcPr>
            <w:tcW w:w="1376" w:type="dxa"/>
            <w:vAlign w:val="center"/>
          </w:tcPr>
          <w:p w:rsidR="00887614" w:rsidRPr="00275AA2" w:rsidRDefault="009169CF" w:rsidP="00275AA2">
            <w:pPr>
              <w:jc w:val="center"/>
              <w:rPr>
                <w:i/>
              </w:rPr>
            </w:pPr>
            <w:r>
              <w:rPr>
                <w:rFonts w:ascii="Arial" w:hAnsi="Arial" w:cs="Arial"/>
                <w:i/>
                <w:iCs/>
              </w:rPr>
              <w:t xml:space="preserve"> </w:t>
            </w:r>
          </w:p>
        </w:tc>
        <w:tc>
          <w:tcPr>
            <w:tcW w:w="1742" w:type="dxa"/>
            <w:vAlign w:val="center"/>
          </w:tcPr>
          <w:p w:rsidR="00887614" w:rsidRPr="003236D4" w:rsidRDefault="009169CF" w:rsidP="008D3F52">
            <w:pPr>
              <w:jc w:val="center"/>
              <w:rPr>
                <w:rFonts w:ascii="Tahoma" w:hAnsi="Tahoma" w:cs="Tahoma"/>
                <w:b/>
              </w:rPr>
            </w:pPr>
            <w:r>
              <w:rPr>
                <w:rFonts w:ascii="Tahoma" w:hAnsi="Tahoma" w:cs="Tahoma"/>
                <w:b/>
              </w:rPr>
              <w:t xml:space="preserve"> </w:t>
            </w:r>
          </w:p>
        </w:tc>
        <w:tc>
          <w:tcPr>
            <w:tcW w:w="1100" w:type="dxa"/>
            <w:vAlign w:val="center"/>
          </w:tcPr>
          <w:p w:rsidR="00887614" w:rsidRPr="00887614" w:rsidRDefault="009169CF" w:rsidP="00C44E34">
            <w:pPr>
              <w:pStyle w:val="BodyText"/>
              <w:spacing w:before="0" w:line="280" w:lineRule="exact"/>
              <w:jc w:val="center"/>
              <w:rPr>
                <w:rFonts w:ascii="Arial" w:hAnsi="Arial"/>
                <w:b/>
                <w:sz w:val="20"/>
                <w:lang w:val="en-CA"/>
              </w:rPr>
            </w:pPr>
            <w:r>
              <w:rPr>
                <w:rFonts w:ascii="Arial" w:hAnsi="Arial"/>
                <w:b/>
                <w:sz w:val="20"/>
                <w:lang w:val="en-CA"/>
              </w:rPr>
              <w:t xml:space="preserve"> </w:t>
            </w:r>
          </w:p>
        </w:tc>
        <w:tc>
          <w:tcPr>
            <w:tcW w:w="1100" w:type="dxa"/>
            <w:vAlign w:val="center"/>
          </w:tcPr>
          <w:p w:rsidR="00887614" w:rsidRPr="00275AA2" w:rsidRDefault="009169CF" w:rsidP="00275AA2">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 </w:t>
            </w:r>
          </w:p>
        </w:tc>
      </w:tr>
    </w:tbl>
    <w:p w:rsidR="005441E9" w:rsidRDefault="005441E9">
      <w:pPr>
        <w:pStyle w:val="FootnoteText"/>
        <w:rPr>
          <w:rFonts w:ascii="Arial" w:hAnsi="Arial" w:cs="Arial"/>
          <w:vertAlign w:val="superscript"/>
        </w:rPr>
      </w:pPr>
    </w:p>
    <w:p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5441E9">
        <w:rPr>
          <w:rFonts w:ascii="Arial" w:hAnsi="Arial"/>
        </w:rPr>
        <w:t xml:space="preserve">  </w:t>
      </w:r>
      <w:r w:rsidR="009169CF">
        <w:rPr>
          <w:rFonts w:ascii="Arial" w:hAnsi="Arial"/>
          <w:u w:val="single"/>
        </w:rPr>
        <w:t>$2</w:t>
      </w:r>
      <w:r w:rsidR="00E20596">
        <w:rPr>
          <w:rFonts w:ascii="Arial" w:hAnsi="Arial"/>
          <w:u w:val="single"/>
        </w:rPr>
        <w:t>,0</w:t>
      </w:r>
      <w:r w:rsidR="009169CF">
        <w:rPr>
          <w:rFonts w:ascii="Arial" w:hAnsi="Arial"/>
          <w:u w:val="single"/>
        </w:rPr>
        <w:t>00,000</w:t>
      </w:r>
      <w:r>
        <w:rPr>
          <w:rFonts w:ascii="Arial" w:hAnsi="Arial"/>
          <w:u w:val="single"/>
        </w:rPr>
        <w:tab/>
      </w:r>
      <w:r>
        <w:rPr>
          <w:rFonts w:ascii="Arial" w:hAnsi="Arial"/>
        </w:rPr>
        <w:t xml:space="preserve"> .</w:t>
      </w:r>
    </w:p>
    <w:p w:rsidR="00246CB7" w:rsidRDefault="00EA4133" w:rsidP="00B76B31">
      <w:pPr>
        <w:pStyle w:val="BodyText"/>
        <w:tabs>
          <w:tab w:val="left" w:pos="1080"/>
          <w:tab w:val="left" w:pos="9180"/>
        </w:tabs>
        <w:ind w:left="1080" w:hanging="1080"/>
        <w:jc w:val="both"/>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p>
    <w:p w:rsidR="00246CB7" w:rsidRDefault="00246CB7" w:rsidP="00B76B31">
      <w:pPr>
        <w:pStyle w:val="BodyText"/>
        <w:tabs>
          <w:tab w:val="left" w:pos="1080"/>
          <w:tab w:val="left" w:pos="9180"/>
        </w:tabs>
        <w:ind w:left="1080" w:hanging="1080"/>
        <w:jc w:val="both"/>
        <w:rPr>
          <w:rFonts w:ascii="Arial" w:hAnsi="Arial"/>
        </w:rPr>
      </w:pPr>
      <w:r>
        <w:rPr>
          <w:rFonts w:ascii="Arial" w:hAnsi="Arial"/>
        </w:rPr>
        <w:tab/>
      </w:r>
    </w:p>
    <w:p w:rsidR="00246CB7" w:rsidRDefault="00246CB7" w:rsidP="00246CB7">
      <w:pPr>
        <w:pStyle w:val="BodyText"/>
        <w:tabs>
          <w:tab w:val="left" w:pos="1080"/>
          <w:tab w:val="left" w:pos="6096"/>
          <w:tab w:val="left" w:pos="7938"/>
        </w:tabs>
        <w:spacing w:before="0"/>
        <w:ind w:left="1077" w:hanging="1077"/>
        <w:jc w:val="both"/>
        <w:rPr>
          <w:rFonts w:ascii="Arial" w:hAnsi="Arial"/>
        </w:rPr>
      </w:pPr>
      <w:r>
        <w:rPr>
          <w:rFonts w:ascii="Arial" w:hAnsi="Arial"/>
        </w:rPr>
        <w:lastRenderedPageBreak/>
        <w:tab/>
      </w:r>
      <w:r w:rsidRPr="00246CB7">
        <w:rPr>
          <w:rFonts w:ascii="Arial" w:hAnsi="Arial"/>
          <w:u w:val="single"/>
        </w:rPr>
        <w:t>Item</w:t>
      </w:r>
      <w:r>
        <w:rPr>
          <w:rFonts w:ascii="Arial" w:hAnsi="Arial"/>
        </w:rPr>
        <w:tab/>
      </w:r>
      <w:r>
        <w:rPr>
          <w:rFonts w:ascii="Arial" w:hAnsi="Arial"/>
        </w:rPr>
        <w:tab/>
        <w:t>$</w:t>
      </w:r>
    </w:p>
    <w:p w:rsidR="00246CB7" w:rsidRDefault="00246CB7" w:rsidP="00DB38B6">
      <w:pPr>
        <w:pStyle w:val="BodyText"/>
        <w:numPr>
          <w:ilvl w:val="0"/>
          <w:numId w:val="23"/>
        </w:numPr>
        <w:tabs>
          <w:tab w:val="left" w:pos="1080"/>
          <w:tab w:val="left" w:pos="6096"/>
          <w:tab w:val="right" w:pos="7938"/>
          <w:tab w:val="left" w:pos="9180"/>
        </w:tabs>
        <w:spacing w:before="0"/>
        <w:ind w:left="1620" w:hanging="540"/>
        <w:jc w:val="both"/>
        <w:rPr>
          <w:rFonts w:ascii="Arial" w:hAnsi="Arial"/>
        </w:rPr>
      </w:pPr>
      <w:r>
        <w:rPr>
          <w:rFonts w:ascii="Arial" w:hAnsi="Arial"/>
        </w:rPr>
        <w:t>Botany Centre</w:t>
      </w:r>
    </w:p>
    <w:p w:rsidR="00246CB7" w:rsidRDefault="00246CB7" w:rsidP="00DB38B6">
      <w:pPr>
        <w:pStyle w:val="BodyText"/>
        <w:tabs>
          <w:tab w:val="left" w:pos="1080"/>
          <w:tab w:val="left" w:pos="1800"/>
          <w:tab w:val="left" w:pos="6096"/>
          <w:tab w:val="right" w:pos="7938"/>
          <w:tab w:val="left" w:pos="9180"/>
        </w:tabs>
        <w:spacing w:before="0"/>
        <w:ind w:left="1620" w:hanging="540"/>
        <w:jc w:val="both"/>
        <w:rPr>
          <w:rFonts w:ascii="Arial" w:hAnsi="Arial"/>
        </w:rPr>
      </w:pPr>
      <w:r>
        <w:rPr>
          <w:rFonts w:ascii="Arial" w:hAnsi="Arial"/>
        </w:rPr>
        <w:tab/>
        <w:t>Property acquisition, preliminary planning</w:t>
      </w:r>
    </w:p>
    <w:p w:rsidR="00246CB7" w:rsidRDefault="00246CB7" w:rsidP="00DB38B6">
      <w:pPr>
        <w:pStyle w:val="BodyText"/>
        <w:tabs>
          <w:tab w:val="left" w:pos="1080"/>
          <w:tab w:val="left" w:pos="1800"/>
          <w:tab w:val="right" w:pos="9072"/>
        </w:tabs>
        <w:spacing w:before="0"/>
        <w:ind w:left="1620" w:hanging="540"/>
        <w:jc w:val="both"/>
        <w:rPr>
          <w:rFonts w:ascii="Arial" w:hAnsi="Arial"/>
        </w:rPr>
      </w:pPr>
      <w:r>
        <w:rPr>
          <w:rFonts w:ascii="Arial" w:hAnsi="Arial"/>
        </w:rPr>
        <w:tab/>
      </w:r>
      <w:proofErr w:type="gramStart"/>
      <w:r>
        <w:rPr>
          <w:rFonts w:ascii="Arial" w:hAnsi="Arial"/>
        </w:rPr>
        <w:t>and</w:t>
      </w:r>
      <w:proofErr w:type="gramEnd"/>
      <w:r>
        <w:rPr>
          <w:rFonts w:ascii="Arial" w:hAnsi="Arial"/>
        </w:rPr>
        <w:t xml:space="preserve"> development:</w:t>
      </w:r>
      <w:r w:rsidR="003E7028">
        <w:rPr>
          <w:rFonts w:ascii="Arial" w:hAnsi="Arial"/>
        </w:rPr>
        <w:t>(</w:t>
      </w:r>
      <w:r w:rsidR="00F15BDC">
        <w:rPr>
          <w:rFonts w:ascii="Arial" w:hAnsi="Arial"/>
        </w:rPr>
        <w:t xml:space="preserve">See news release </w:t>
      </w:r>
      <w:r w:rsidR="009C2387">
        <w:rPr>
          <w:rFonts w:ascii="Arial" w:hAnsi="Arial"/>
        </w:rPr>
        <w:t>dated</w:t>
      </w:r>
      <w:r w:rsidR="00F15BDC">
        <w:rPr>
          <w:rFonts w:ascii="Arial" w:hAnsi="Arial"/>
        </w:rPr>
        <w:t xml:space="preserve"> Nov</w:t>
      </w:r>
      <w:r w:rsidR="009C2387">
        <w:rPr>
          <w:rFonts w:ascii="Arial" w:hAnsi="Arial"/>
        </w:rPr>
        <w:t>.</w:t>
      </w:r>
      <w:r w:rsidR="00DB38B6">
        <w:rPr>
          <w:rFonts w:ascii="Arial" w:hAnsi="Arial"/>
        </w:rPr>
        <w:t>7, 2016</w:t>
      </w:r>
      <w:r w:rsidR="003E7028">
        <w:rPr>
          <w:rFonts w:ascii="Arial" w:hAnsi="Arial"/>
        </w:rPr>
        <w:t>)</w:t>
      </w:r>
      <w:r w:rsidR="00DB38B6">
        <w:rPr>
          <w:rFonts w:ascii="Arial" w:hAnsi="Arial"/>
        </w:rPr>
        <w:t xml:space="preserve"> </w:t>
      </w:r>
      <w:r w:rsidR="00DB38B6">
        <w:rPr>
          <w:rFonts w:ascii="Arial" w:hAnsi="Arial"/>
        </w:rPr>
        <w:tab/>
      </w:r>
      <w:r>
        <w:rPr>
          <w:rFonts w:ascii="Arial" w:hAnsi="Arial"/>
        </w:rPr>
        <w:t>1,400,000</w:t>
      </w:r>
    </w:p>
    <w:p w:rsidR="00246CB7" w:rsidRDefault="00246CB7" w:rsidP="00DB38B6">
      <w:pPr>
        <w:pStyle w:val="BodyText"/>
        <w:tabs>
          <w:tab w:val="left" w:pos="1080"/>
          <w:tab w:val="right" w:pos="7230"/>
          <w:tab w:val="right" w:pos="9072"/>
        </w:tabs>
        <w:spacing w:before="0"/>
        <w:ind w:left="1620" w:hanging="540"/>
        <w:jc w:val="both"/>
        <w:rPr>
          <w:rFonts w:ascii="Arial" w:hAnsi="Arial"/>
        </w:rPr>
      </w:pPr>
    </w:p>
    <w:p w:rsidR="00246CB7" w:rsidRDefault="00246CB7" w:rsidP="00DB38B6">
      <w:pPr>
        <w:pStyle w:val="BodyText"/>
        <w:numPr>
          <w:ilvl w:val="0"/>
          <w:numId w:val="23"/>
        </w:numPr>
        <w:tabs>
          <w:tab w:val="left" w:pos="1080"/>
          <w:tab w:val="right" w:pos="7230"/>
          <w:tab w:val="right" w:pos="9072"/>
        </w:tabs>
        <w:spacing w:before="0"/>
        <w:ind w:left="1620" w:hanging="540"/>
        <w:jc w:val="both"/>
        <w:rPr>
          <w:rFonts w:ascii="Arial" w:hAnsi="Arial"/>
        </w:rPr>
      </w:pPr>
      <w:r>
        <w:rPr>
          <w:rFonts w:ascii="Arial" w:hAnsi="Arial"/>
        </w:rPr>
        <w:t xml:space="preserve">Potential agreements for medical and </w:t>
      </w:r>
    </w:p>
    <w:p w:rsidR="00246CB7" w:rsidRDefault="00DB38B6" w:rsidP="00DB38B6">
      <w:pPr>
        <w:pStyle w:val="BodyText"/>
        <w:tabs>
          <w:tab w:val="right" w:pos="7230"/>
          <w:tab w:val="right" w:pos="9072"/>
        </w:tabs>
        <w:spacing w:before="0"/>
        <w:ind w:left="1620" w:hanging="540"/>
        <w:jc w:val="both"/>
        <w:rPr>
          <w:rFonts w:ascii="Arial" w:hAnsi="Arial"/>
        </w:rPr>
      </w:pPr>
      <w:r>
        <w:rPr>
          <w:rFonts w:ascii="Arial" w:hAnsi="Arial"/>
        </w:rPr>
        <w:tab/>
      </w:r>
      <w:r w:rsidR="00246CB7">
        <w:rPr>
          <w:rFonts w:ascii="Arial" w:hAnsi="Arial"/>
        </w:rPr>
        <w:t>Recreational cannabis use</w:t>
      </w:r>
      <w:r w:rsidR="00246CB7">
        <w:rPr>
          <w:rFonts w:ascii="Arial" w:hAnsi="Arial"/>
        </w:rPr>
        <w:tab/>
      </w:r>
      <w:r w:rsidR="00246CB7">
        <w:rPr>
          <w:rFonts w:ascii="Arial" w:hAnsi="Arial"/>
        </w:rPr>
        <w:tab/>
      </w:r>
      <w:r w:rsidR="009C2387">
        <w:rPr>
          <w:rFonts w:ascii="Arial" w:hAnsi="Arial"/>
        </w:rPr>
        <w:t>150</w:t>
      </w:r>
      <w:r w:rsidR="00246CB7">
        <w:rPr>
          <w:rFonts w:ascii="Arial" w:hAnsi="Arial"/>
        </w:rPr>
        <w:t>,000</w:t>
      </w:r>
    </w:p>
    <w:p w:rsidR="00F15BDC" w:rsidRDefault="00F15BDC" w:rsidP="00DB38B6">
      <w:pPr>
        <w:pStyle w:val="BodyText"/>
        <w:tabs>
          <w:tab w:val="left" w:pos="1080"/>
          <w:tab w:val="right" w:pos="7230"/>
          <w:tab w:val="right" w:pos="9072"/>
        </w:tabs>
        <w:spacing w:before="0"/>
        <w:ind w:left="1620" w:hanging="540"/>
        <w:jc w:val="both"/>
        <w:rPr>
          <w:rFonts w:ascii="Arial" w:hAnsi="Arial"/>
        </w:rPr>
      </w:pPr>
    </w:p>
    <w:p w:rsidR="00F15BDC" w:rsidRDefault="00F15BDC" w:rsidP="00DB38B6">
      <w:pPr>
        <w:pStyle w:val="BodyText"/>
        <w:numPr>
          <w:ilvl w:val="0"/>
          <w:numId w:val="23"/>
        </w:numPr>
        <w:tabs>
          <w:tab w:val="left" w:pos="1080"/>
          <w:tab w:val="right" w:pos="7230"/>
          <w:tab w:val="right" w:pos="9072"/>
        </w:tabs>
        <w:spacing w:before="0"/>
        <w:ind w:left="1620" w:hanging="540"/>
        <w:jc w:val="both"/>
        <w:rPr>
          <w:rFonts w:ascii="Arial" w:hAnsi="Arial"/>
        </w:rPr>
      </w:pPr>
      <w:r>
        <w:rPr>
          <w:rFonts w:ascii="Arial" w:hAnsi="Arial"/>
        </w:rPr>
        <w:t>Investment in PharmaGreen and Canna</w:t>
      </w:r>
      <w:r>
        <w:rPr>
          <w:rFonts w:ascii="Arial" w:hAnsi="Arial"/>
        </w:rPr>
        <w:tab/>
      </w:r>
      <w:r>
        <w:rPr>
          <w:rFonts w:ascii="Arial" w:hAnsi="Arial"/>
        </w:rPr>
        <w:tab/>
        <w:t>300,000</w:t>
      </w:r>
    </w:p>
    <w:p w:rsidR="00F15BDC" w:rsidRDefault="00DB38B6" w:rsidP="00DB38B6">
      <w:pPr>
        <w:pStyle w:val="BodyText"/>
        <w:tabs>
          <w:tab w:val="left" w:pos="1080"/>
          <w:tab w:val="right" w:pos="7230"/>
          <w:tab w:val="right" w:pos="9072"/>
        </w:tabs>
        <w:spacing w:before="0"/>
        <w:ind w:left="1620" w:hanging="540"/>
        <w:jc w:val="both"/>
        <w:rPr>
          <w:rFonts w:ascii="Arial" w:hAnsi="Arial"/>
        </w:rPr>
      </w:pPr>
      <w:r>
        <w:rPr>
          <w:rFonts w:ascii="Arial" w:hAnsi="Arial"/>
        </w:rPr>
        <w:tab/>
      </w:r>
      <w:r w:rsidR="00F15BDC">
        <w:rPr>
          <w:rFonts w:ascii="Arial" w:hAnsi="Arial"/>
        </w:rPr>
        <w:t>(See news release dated Nov</w:t>
      </w:r>
      <w:r w:rsidR="009C2387">
        <w:rPr>
          <w:rFonts w:ascii="Arial" w:hAnsi="Arial"/>
        </w:rPr>
        <w:t>.</w:t>
      </w:r>
      <w:r w:rsidR="00F15BDC">
        <w:rPr>
          <w:rFonts w:ascii="Arial" w:hAnsi="Arial"/>
        </w:rPr>
        <w:t xml:space="preserve"> 15, </w:t>
      </w:r>
      <w:r w:rsidR="009C2387">
        <w:rPr>
          <w:rFonts w:ascii="Arial" w:hAnsi="Arial"/>
        </w:rPr>
        <w:t>2016</w:t>
      </w:r>
      <w:r w:rsidR="003E7028">
        <w:rPr>
          <w:rFonts w:ascii="Arial" w:hAnsi="Arial"/>
        </w:rPr>
        <w:t>)</w:t>
      </w:r>
    </w:p>
    <w:p w:rsidR="00246CB7" w:rsidRDefault="00246CB7" w:rsidP="00DB38B6">
      <w:pPr>
        <w:pStyle w:val="BodyText"/>
        <w:tabs>
          <w:tab w:val="left" w:pos="1080"/>
          <w:tab w:val="right" w:pos="7230"/>
          <w:tab w:val="right" w:pos="9072"/>
        </w:tabs>
        <w:spacing w:before="0"/>
        <w:ind w:left="1620" w:hanging="540"/>
        <w:jc w:val="both"/>
        <w:rPr>
          <w:rFonts w:ascii="Arial" w:hAnsi="Arial"/>
        </w:rPr>
      </w:pPr>
    </w:p>
    <w:p w:rsidR="00246CB7" w:rsidRDefault="00246CB7" w:rsidP="00DB38B6">
      <w:pPr>
        <w:pStyle w:val="BodyText"/>
        <w:numPr>
          <w:ilvl w:val="0"/>
          <w:numId w:val="23"/>
        </w:numPr>
        <w:tabs>
          <w:tab w:val="left" w:pos="1080"/>
          <w:tab w:val="right" w:pos="7230"/>
          <w:tab w:val="right" w:pos="9072"/>
        </w:tabs>
        <w:spacing w:before="0"/>
        <w:ind w:left="1620" w:hanging="540"/>
        <w:jc w:val="both"/>
        <w:rPr>
          <w:rFonts w:ascii="Arial" w:hAnsi="Arial"/>
        </w:rPr>
      </w:pPr>
      <w:r>
        <w:rPr>
          <w:rFonts w:ascii="Arial" w:hAnsi="Arial"/>
        </w:rPr>
        <w:t>General working capital</w:t>
      </w:r>
      <w:r>
        <w:rPr>
          <w:rFonts w:ascii="Arial" w:hAnsi="Arial"/>
        </w:rPr>
        <w:tab/>
      </w:r>
      <w:r>
        <w:rPr>
          <w:rFonts w:ascii="Arial" w:hAnsi="Arial"/>
        </w:rPr>
        <w:tab/>
        <w:t>150,000</w:t>
      </w:r>
    </w:p>
    <w:p w:rsidR="00EA4133" w:rsidRPr="003E7028" w:rsidRDefault="005D7226" w:rsidP="00B76B31">
      <w:pPr>
        <w:pStyle w:val="BodyText"/>
        <w:tabs>
          <w:tab w:val="left" w:pos="1080"/>
          <w:tab w:val="left" w:pos="9180"/>
        </w:tabs>
        <w:ind w:left="1080" w:hanging="1080"/>
        <w:jc w:val="both"/>
        <w:rPr>
          <w:rFonts w:ascii="Arial" w:hAnsi="Arial"/>
        </w:rPr>
      </w:pPr>
      <w:r w:rsidRPr="005D7226">
        <w:rPr>
          <w:rFonts w:ascii="Arial" w:hAnsi="Arial" w:cs="Arial"/>
          <w:color w:val="000000"/>
        </w:rPr>
        <w:tab/>
        <w:t>The Company’s news release dated November 7, 2016 attached hereto as Schedule A provides specific details. Allocation of Botany Centre proceeds will be determined once pricing is established by architectural studies.</w:t>
      </w:r>
      <w:r w:rsidRPr="005D7226">
        <w:rPr>
          <w:rFonts w:ascii="Arial" w:hAnsi="Arial"/>
        </w:rPr>
        <w:tab/>
      </w:r>
      <w:r w:rsidR="00E20596" w:rsidRPr="0079490C">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5441E9" w:rsidRPr="005441E9">
        <w:rPr>
          <w:rFonts w:ascii="Arial" w:hAnsi="Arial"/>
          <w:u w:val="single"/>
        </w:rPr>
        <w:t>N/A</w:t>
      </w:r>
      <w:r>
        <w:rPr>
          <w:rFonts w:ascii="Arial" w:hAnsi="Arial"/>
          <w:u w:val="single"/>
        </w:rPr>
        <w:tab/>
      </w:r>
      <w:r>
        <w:rPr>
          <w:rFonts w:ascii="Arial" w:hAnsi="Arial"/>
        </w:rPr>
        <w:tab/>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If securities are issued in forgiveness of indebtedness, provide details and attach the debt agreement(s) or other documentation evidencing the debt and the agreement to exchange the debt for securities.</w:t>
      </w:r>
    </w:p>
    <w:p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Class  </w:t>
      </w:r>
      <w:r w:rsidR="009B79B4">
        <w:rPr>
          <w:rFonts w:ascii="Arial" w:hAnsi="Arial"/>
          <w:u w:val="single"/>
        </w:rPr>
        <w:t>Units</w:t>
      </w:r>
      <w:proofErr w:type="gramEnd"/>
      <w:r w:rsidR="009B79B4">
        <w:rPr>
          <w:rFonts w:ascii="Arial" w:hAnsi="Arial"/>
          <w:u w:val="single"/>
        </w:rPr>
        <w:t xml:space="preserve"> – one common </w:t>
      </w:r>
      <w:r w:rsidR="0094672B">
        <w:rPr>
          <w:rFonts w:ascii="Arial" w:hAnsi="Arial"/>
          <w:u w:val="single"/>
        </w:rPr>
        <w:t xml:space="preserve">share (“Share”) </w:t>
      </w:r>
      <w:r w:rsidR="009B79B4">
        <w:rPr>
          <w:rFonts w:ascii="Arial" w:hAnsi="Arial"/>
          <w:u w:val="single"/>
        </w:rPr>
        <w:t xml:space="preserve">and </w:t>
      </w:r>
      <w:r w:rsidR="00437D39">
        <w:rPr>
          <w:rFonts w:ascii="Arial" w:hAnsi="Arial"/>
          <w:u w:val="single"/>
        </w:rPr>
        <w:t xml:space="preserve">one </w:t>
      </w:r>
      <w:r w:rsidR="009B79B4">
        <w:rPr>
          <w:rFonts w:ascii="Arial" w:hAnsi="Arial"/>
          <w:u w:val="single"/>
        </w:rPr>
        <w:t>warrant</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437D39">
        <w:rPr>
          <w:rFonts w:ascii="Arial" w:hAnsi="Arial"/>
          <w:u w:val="single"/>
        </w:rPr>
        <w:t>10</w:t>
      </w:r>
      <w:r w:rsidR="00763D0B">
        <w:rPr>
          <w:rFonts w:ascii="Arial" w:hAnsi="Arial"/>
          <w:u w:val="single"/>
        </w:rPr>
        <w:t>,</w:t>
      </w:r>
      <w:r w:rsidR="009B79B4">
        <w:rPr>
          <w:rFonts w:ascii="Arial" w:hAnsi="Arial"/>
          <w:u w:val="single"/>
        </w:rPr>
        <w:t>00</w:t>
      </w:r>
      <w:r w:rsidR="00CB0698">
        <w:rPr>
          <w:rFonts w:ascii="Arial" w:hAnsi="Arial"/>
          <w:u w:val="single"/>
        </w:rPr>
        <w:t>0</w:t>
      </w:r>
      <w:r w:rsidR="005441E9" w:rsidRPr="005441E9">
        <w:rPr>
          <w:rFonts w:ascii="Arial" w:hAnsi="Arial"/>
          <w:u w:val="single"/>
        </w:rPr>
        <w:t>,000</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5441E9" w:rsidRPr="005441E9">
        <w:rPr>
          <w:rFonts w:ascii="Arial" w:hAnsi="Arial"/>
          <w:u w:val="single"/>
        </w:rPr>
        <w:t>$0.</w:t>
      </w:r>
      <w:r w:rsidR="00437D39">
        <w:rPr>
          <w:rFonts w:ascii="Arial" w:hAnsi="Arial"/>
          <w:u w:val="single"/>
        </w:rPr>
        <w:t>20</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proofErr w:type="gramStart"/>
      <w:r w:rsidR="005441E9" w:rsidRPr="005441E9">
        <w:rPr>
          <w:rFonts w:ascii="Arial" w:hAnsi="Arial"/>
          <w:u w:val="single"/>
        </w:rPr>
        <w:t>One</w:t>
      </w:r>
      <w:proofErr w:type="gramEnd"/>
      <w:r w:rsidR="005441E9" w:rsidRPr="005441E9">
        <w:rPr>
          <w:rFonts w:ascii="Arial" w:hAnsi="Arial"/>
          <w:u w:val="single"/>
        </w:rPr>
        <w:t xml:space="preserve"> vote </w:t>
      </w:r>
      <w:r w:rsidR="0094672B">
        <w:rPr>
          <w:rFonts w:ascii="Arial" w:hAnsi="Arial"/>
          <w:u w:val="single"/>
        </w:rPr>
        <w:t>S</w:t>
      </w:r>
      <w:r w:rsidR="005441E9" w:rsidRPr="005441E9">
        <w:rPr>
          <w:rFonts w:ascii="Arial" w:hAnsi="Arial"/>
          <w:u w:val="single"/>
        </w:rPr>
        <w:t>hare</w:t>
      </w:r>
      <w:r>
        <w:rPr>
          <w:rFonts w:ascii="Arial" w:hAnsi="Arial"/>
          <w:u w:val="single"/>
        </w:rPr>
        <w:tab/>
      </w:r>
      <w:r>
        <w:rPr>
          <w:rFonts w:ascii="Arial" w:hAnsi="Arial"/>
        </w:rPr>
        <w:t xml:space="preserve"> </w:t>
      </w:r>
    </w:p>
    <w:p w:rsidR="00EA4133" w:rsidRDefault="00EA4133">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437D39">
        <w:rPr>
          <w:rFonts w:ascii="Arial" w:hAnsi="Arial"/>
          <w:u w:val="single"/>
        </w:rPr>
        <w:t>10</w:t>
      </w:r>
      <w:r w:rsidR="009B79B4">
        <w:rPr>
          <w:rFonts w:ascii="Arial" w:hAnsi="Arial"/>
          <w:u w:val="single"/>
        </w:rPr>
        <w:t>,000,000 warrants</w:t>
      </w:r>
      <w:r>
        <w:rPr>
          <w:rFonts w:ascii="Arial" w:hAnsi="Arial"/>
          <w:u w:val="single"/>
        </w:rPr>
        <w:tab/>
      </w:r>
      <w:r>
        <w:rPr>
          <w:rFonts w:ascii="Arial" w:hAnsi="Arial"/>
        </w:rPr>
        <w:t xml:space="preserve"> .</w:t>
      </w:r>
    </w:p>
    <w:p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Warrants (or options)  </w:t>
      </w:r>
      <w:r w:rsidR="00437D39">
        <w:rPr>
          <w:rFonts w:ascii="Arial" w:hAnsi="Arial"/>
        </w:rPr>
        <w:t>10</w:t>
      </w:r>
      <w:r w:rsidR="00763D0B">
        <w:rPr>
          <w:rFonts w:ascii="Arial" w:hAnsi="Arial"/>
        </w:rPr>
        <w:t>,</w:t>
      </w:r>
      <w:r w:rsidR="009B79B4">
        <w:rPr>
          <w:rFonts w:ascii="Arial" w:hAnsi="Arial"/>
        </w:rPr>
        <w:t>000,000</w:t>
      </w:r>
      <w:r w:rsidR="00437D39">
        <w:rPr>
          <w:rFonts w:ascii="Arial" w:hAnsi="Arial"/>
        </w:rPr>
        <w:t xml:space="preserve"> </w:t>
      </w:r>
      <w:r w:rsidR="0094672B">
        <w:rPr>
          <w:rFonts w:ascii="Arial" w:hAnsi="Arial"/>
        </w:rPr>
        <w:t>S</w:t>
      </w:r>
      <w:r w:rsidR="00437D39">
        <w:rPr>
          <w:rFonts w:ascii="Arial" w:hAnsi="Arial"/>
        </w:rPr>
        <w:t>hares</w:t>
      </w:r>
    </w:p>
    <w:p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437D39">
        <w:rPr>
          <w:rFonts w:ascii="Arial" w:hAnsi="Arial"/>
        </w:rPr>
        <w:t xml:space="preserve"> </w:t>
      </w:r>
      <w:r w:rsidR="009B79B4">
        <w:rPr>
          <w:rFonts w:ascii="Arial" w:hAnsi="Arial"/>
        </w:rPr>
        <w:t>$0.</w:t>
      </w:r>
      <w:r w:rsidR="00437D39">
        <w:rPr>
          <w:rFonts w:ascii="Arial" w:hAnsi="Arial"/>
        </w:rPr>
        <w:t>3</w:t>
      </w:r>
      <w:r w:rsidR="009B79B4">
        <w:rPr>
          <w:rFonts w:ascii="Arial" w:hAnsi="Arial"/>
        </w:rPr>
        <w:t>0</w:t>
      </w:r>
      <w:r>
        <w:rPr>
          <w:rFonts w:ascii="Arial" w:hAnsi="Arial"/>
          <w:u w:val="single"/>
        </w:rPr>
        <w:tab/>
      </w:r>
      <w:r>
        <w:rPr>
          <w:rFonts w:ascii="Arial" w:hAnsi="Arial"/>
        </w:rPr>
        <w:t xml:space="preserve"> .</w:t>
      </w:r>
    </w:p>
    <w:p w:rsidR="00272F0E" w:rsidRPr="00DB38B6" w:rsidRDefault="00EA4133" w:rsidP="00DB38B6">
      <w:pPr>
        <w:pStyle w:val="Heading2"/>
        <w:numPr>
          <w:ilvl w:val="0"/>
          <w:numId w:val="10"/>
        </w:numPr>
        <w:tabs>
          <w:tab w:val="left" w:pos="1440"/>
          <w:tab w:val="left" w:pos="2160"/>
        </w:tabs>
        <w:rPr>
          <w:b w:val="0"/>
          <w:sz w:val="24"/>
          <w:szCs w:val="24"/>
        </w:rPr>
      </w:pPr>
      <w:r>
        <w:tab/>
      </w:r>
      <w:r w:rsidRPr="00162788">
        <w:rPr>
          <w:b w:val="0"/>
        </w:rPr>
        <w:t>(d</w:t>
      </w:r>
      <w:r w:rsidRPr="00162788">
        <w:rPr>
          <w:b w:val="0"/>
          <w:sz w:val="24"/>
          <w:szCs w:val="24"/>
        </w:rPr>
        <w:t xml:space="preserve">) </w:t>
      </w:r>
      <w:r w:rsidRPr="00162788">
        <w:rPr>
          <w:b w:val="0"/>
          <w:sz w:val="24"/>
          <w:szCs w:val="24"/>
        </w:rPr>
        <w:tab/>
        <w:t>Expiry date</w:t>
      </w:r>
      <w:r w:rsidR="00763D0B" w:rsidRPr="00162788">
        <w:rPr>
          <w:b w:val="0"/>
          <w:sz w:val="24"/>
          <w:szCs w:val="24"/>
        </w:rPr>
        <w:t>:</w:t>
      </w:r>
      <w:r w:rsidRPr="00162788">
        <w:rPr>
          <w:b w:val="0"/>
          <w:sz w:val="24"/>
          <w:szCs w:val="24"/>
        </w:rPr>
        <w:t xml:space="preserve"> </w:t>
      </w:r>
      <w:r w:rsidRPr="00162788">
        <w:rPr>
          <w:b w:val="0"/>
          <w:sz w:val="24"/>
          <w:szCs w:val="24"/>
        </w:rPr>
        <w:tab/>
      </w:r>
      <w:r w:rsidR="009B79B4" w:rsidRPr="00162788">
        <w:rPr>
          <w:b w:val="0"/>
          <w:sz w:val="24"/>
          <w:szCs w:val="24"/>
        </w:rPr>
        <w:t>2 years from issuance</w:t>
      </w:r>
      <w:r w:rsidR="005349EE" w:rsidRPr="00162788">
        <w:rPr>
          <w:b w:val="0"/>
          <w:sz w:val="24"/>
          <w:szCs w:val="24"/>
        </w:rPr>
        <w:t xml:space="preserve">.  </w:t>
      </w:r>
      <w:r w:rsidR="00763D0B" w:rsidRPr="00162788">
        <w:rPr>
          <w:b w:val="0"/>
          <w:sz w:val="24"/>
          <w:szCs w:val="24"/>
        </w:rPr>
        <w:t>Exercise of the Warrants m</w:t>
      </w:r>
      <w:r w:rsidR="005349EE" w:rsidRPr="00162788">
        <w:rPr>
          <w:b w:val="0"/>
          <w:sz w:val="24"/>
          <w:szCs w:val="24"/>
        </w:rPr>
        <w:t xml:space="preserve">ay be accelerated by the </w:t>
      </w:r>
      <w:r w:rsidR="005349EE" w:rsidRPr="00162788">
        <w:rPr>
          <w:rFonts w:cs="Arial"/>
          <w:b w:val="0"/>
          <w:sz w:val="24"/>
          <w:szCs w:val="24"/>
        </w:rPr>
        <w:t>Company, if</w:t>
      </w:r>
      <w:r w:rsidR="00CA518E" w:rsidRPr="00162788">
        <w:rPr>
          <w:rFonts w:cs="Arial"/>
          <w:b w:val="0"/>
          <w:sz w:val="24"/>
          <w:szCs w:val="24"/>
        </w:rPr>
        <w:t xml:space="preserve">, after the </w:t>
      </w:r>
      <w:r w:rsidR="00DB38B6" w:rsidRPr="00162788">
        <w:rPr>
          <w:rFonts w:cs="Arial"/>
          <w:b w:val="0"/>
          <w:sz w:val="24"/>
          <w:szCs w:val="24"/>
        </w:rPr>
        <w:t xml:space="preserve">expiry of the </w:t>
      </w:r>
      <w:r w:rsidR="00CA518E" w:rsidRPr="00162788">
        <w:rPr>
          <w:rFonts w:cs="Arial"/>
          <w:b w:val="0"/>
          <w:sz w:val="24"/>
          <w:szCs w:val="24"/>
        </w:rPr>
        <w:t>hold period,</w:t>
      </w:r>
      <w:r w:rsidR="005349EE" w:rsidRPr="00162788">
        <w:rPr>
          <w:rFonts w:cs="Arial"/>
          <w:b w:val="0"/>
          <w:sz w:val="24"/>
          <w:szCs w:val="24"/>
        </w:rPr>
        <w:t xml:space="preserve"> the </w:t>
      </w:r>
      <w:r w:rsidR="0094672B" w:rsidRPr="00162788">
        <w:rPr>
          <w:rFonts w:cs="Arial"/>
          <w:b w:val="0"/>
          <w:sz w:val="24"/>
          <w:szCs w:val="24"/>
        </w:rPr>
        <w:lastRenderedPageBreak/>
        <w:t>S</w:t>
      </w:r>
      <w:r w:rsidR="005349EE" w:rsidRPr="00162788">
        <w:rPr>
          <w:rFonts w:cs="Arial"/>
          <w:b w:val="0"/>
          <w:sz w:val="24"/>
          <w:szCs w:val="24"/>
        </w:rPr>
        <w:t>hares trade</w:t>
      </w:r>
      <w:r w:rsidR="005349EE" w:rsidRPr="00162788">
        <w:rPr>
          <w:rFonts w:cs="Arial"/>
          <w:b w:val="0"/>
          <w:color w:val="000000"/>
          <w:sz w:val="24"/>
          <w:szCs w:val="24"/>
          <w:lang w:val="en-US"/>
        </w:rPr>
        <w:t xml:space="preserve"> at or above a weighted average trading price of $0.45 per </w:t>
      </w:r>
      <w:r w:rsidR="0094672B" w:rsidRPr="00162788">
        <w:rPr>
          <w:rFonts w:cs="Arial"/>
          <w:b w:val="0"/>
          <w:color w:val="000000"/>
          <w:sz w:val="24"/>
          <w:szCs w:val="24"/>
          <w:lang w:val="en-US"/>
        </w:rPr>
        <w:t>S</w:t>
      </w:r>
      <w:r w:rsidR="005349EE" w:rsidRPr="00162788">
        <w:rPr>
          <w:rFonts w:cs="Arial"/>
          <w:b w:val="0"/>
          <w:color w:val="000000"/>
          <w:sz w:val="24"/>
          <w:szCs w:val="24"/>
          <w:lang w:val="en-US"/>
        </w:rPr>
        <w:t>hare for 10 consecutive trading days, by giving written notice to warrant holders that the warrants will expire 30 days from the date of providing such notice</w:t>
      </w:r>
      <w:r w:rsidR="0094672B" w:rsidRPr="00162788">
        <w:rPr>
          <w:rFonts w:cs="Arial"/>
          <w:b w:val="0"/>
          <w:color w:val="000000"/>
          <w:sz w:val="24"/>
          <w:szCs w:val="24"/>
          <w:lang w:val="en-US"/>
        </w:rPr>
        <w:t>.</w:t>
      </w:r>
      <w:bookmarkStart w:id="0" w:name="_Toc370788682"/>
      <w:bookmarkStart w:id="1" w:name="_Toc398005538"/>
      <w:bookmarkStart w:id="2" w:name="_Toc412279955"/>
      <w:bookmarkStart w:id="3" w:name="_Toc419096451"/>
      <w:r w:rsidRPr="00DB38B6">
        <w:rPr>
          <w:b w:val="0"/>
          <w:sz w:val="24"/>
          <w:szCs w:val="24"/>
        </w:rPr>
        <w:t>Provide the following information if debt securities are to be issued:</w:t>
      </w:r>
      <w:bookmarkEnd w:id="0"/>
      <w:bookmarkEnd w:id="1"/>
      <w:bookmarkEnd w:id="2"/>
      <w:bookmarkEnd w:id="3"/>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Aggregate principal amount</w:t>
      </w:r>
      <w:r w:rsidR="005441E9" w:rsidRPr="005441E9">
        <w:rPr>
          <w:rFonts w:ascii="Arial" w:hAnsi="Arial"/>
          <w:u w:val="single"/>
        </w:rPr>
        <w:t xml:space="preserve"> N/A</w:t>
      </w:r>
      <w:r>
        <w:rPr>
          <w:rFonts w:ascii="Arial" w:hAnsi="Arial"/>
        </w:rPr>
        <w:t xml:space="preserve"> </w:t>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rsidR="00763D0B" w:rsidRPr="00E23D88" w:rsidRDefault="00763D0B" w:rsidP="00763D0B">
      <w:pPr>
        <w:pStyle w:val="List"/>
        <w:ind w:firstLine="0"/>
        <w:jc w:val="both"/>
        <w:rPr>
          <w:rFonts w:ascii="Arial" w:hAnsi="Arial"/>
          <w:u w:val="single"/>
        </w:rPr>
      </w:pPr>
      <w:r w:rsidRPr="00E23D88">
        <w:rPr>
          <w:rFonts w:ascii="Arial" w:hAnsi="Arial"/>
        </w:rPr>
        <w:t xml:space="preserve">A finder’s fee of </w:t>
      </w:r>
      <w:r w:rsidR="007B13CE">
        <w:rPr>
          <w:rFonts w:ascii="Arial" w:hAnsi="Arial"/>
        </w:rPr>
        <w:t>7</w:t>
      </w:r>
      <w:r w:rsidRPr="00E23D88">
        <w:rPr>
          <w:rFonts w:ascii="Arial" w:hAnsi="Arial"/>
        </w:rPr>
        <w:t>% cash and warrants may be paid to brokers and a 10% cash commission for finder’s fees to non-registered persons.</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placement (name, address. If a corporation, identify persons owning or exercising voting control over 20% or more of the voting shares if known to the Issuer): </w:t>
      </w:r>
      <w:r w:rsidR="00C40BEA">
        <w:rPr>
          <w:rFonts w:ascii="Arial" w:hAnsi="Arial"/>
          <w:color w:val="000000"/>
        </w:rPr>
        <w:t>Do not have an estimate at this time of what sales may be made by brokers</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Cash</w:t>
      </w:r>
      <w:r w:rsidR="005441E9" w:rsidRPr="005441E9">
        <w:rPr>
          <w:rFonts w:ascii="Arial" w:hAnsi="Arial"/>
          <w:u w:val="single"/>
        </w:rPr>
        <w:t xml:space="preserve"> N/A</w:t>
      </w:r>
      <w:r>
        <w:rPr>
          <w:rFonts w:ascii="Arial" w:hAnsi="Arial"/>
        </w:rPr>
        <w:t xml:space="preserve">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w:t>
      </w:r>
      <w:proofErr w:type="gramStart"/>
      <w:r>
        <w:rPr>
          <w:rFonts w:ascii="Arial" w:hAnsi="Arial"/>
        </w:rPr>
        <w:t>options,</w:t>
      </w:r>
      <w:proofErr w:type="gramEnd"/>
      <w:r>
        <w:rPr>
          <w:rFonts w:ascii="Arial" w:hAnsi="Arial"/>
        </w:rPr>
        <w:t xml:space="preserve"> warrants etc. </w:t>
      </w:r>
      <w:r>
        <w:rPr>
          <w:rFonts w:ascii="Arial" w:hAnsi="Arial"/>
          <w:u w:val="single"/>
        </w:rPr>
        <w:tab/>
      </w:r>
      <w:r>
        <w:rPr>
          <w:rFonts w:ascii="Arial" w:hAnsi="Arial"/>
        </w:rPr>
        <w:t xml:space="preserve"> .</w:t>
      </w:r>
    </w:p>
    <w:p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Pr>
          <w:rFonts w:ascii="Arial" w:hAnsi="Arial"/>
          <w:u w:val="single"/>
        </w:rPr>
        <w:tab/>
      </w:r>
      <w:r>
        <w:rPr>
          <w:rFonts w:ascii="Arial" w:hAnsi="Arial"/>
        </w:rPr>
        <w:t xml:space="preserve"> .</w:t>
      </w:r>
    </w:p>
    <w:p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rsidR="00EA4133" w:rsidRDefault="00763D0B" w:rsidP="00763D0B">
      <w:pPr>
        <w:pStyle w:val="List"/>
        <w:tabs>
          <w:tab w:val="left" w:pos="1080"/>
          <w:tab w:val="left" w:pos="9180"/>
        </w:tabs>
        <w:ind w:firstLine="0"/>
        <w:jc w:val="both"/>
        <w:rPr>
          <w:rFonts w:ascii="Arial" w:hAnsi="Arial"/>
        </w:rPr>
      </w:pPr>
      <w:r>
        <w:rPr>
          <w:rFonts w:ascii="Arial" w:hAnsi="Arial"/>
        </w:rPr>
        <w:t>N/A</w:t>
      </w:r>
      <w:r w:rsidR="00EA4133">
        <w:rPr>
          <w:rFonts w:ascii="Arial" w:hAnsi="Arial"/>
          <w:u w:val="single"/>
        </w:rPr>
        <w:tab/>
      </w:r>
      <w:r w:rsidR="00EA4133">
        <w:rPr>
          <w:rFonts w:ascii="Arial" w:hAnsi="Arial"/>
        </w:rPr>
        <w:t xml:space="preserve"> .</w:t>
      </w:r>
    </w:p>
    <w:p w:rsidR="00EA4133" w:rsidRDefault="00EA4133">
      <w:pPr>
        <w:pStyle w:val="List"/>
        <w:tabs>
          <w:tab w:val="left" w:pos="1080"/>
          <w:tab w:val="left" w:pos="9180"/>
        </w:tabs>
        <w:ind w:left="0" w:firstLine="0"/>
        <w:jc w:val="both"/>
        <w:rPr>
          <w:rFonts w:ascii="Arial" w:hAnsi="Arial"/>
        </w:rPr>
      </w:pPr>
    </w:p>
    <w:p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rsidR="00EA4133" w:rsidRDefault="00EA4133">
      <w:pPr>
        <w:pStyle w:val="List"/>
        <w:tabs>
          <w:tab w:val="left" w:pos="1080"/>
          <w:tab w:val="left" w:pos="9180"/>
        </w:tabs>
        <w:ind w:left="0" w:firstLine="0"/>
        <w:jc w:val="both"/>
        <w:rPr>
          <w:rFonts w:ascii="Arial" w:hAnsi="Arial"/>
        </w:rPr>
      </w:pPr>
      <w:r>
        <w:rPr>
          <w:rFonts w:ascii="Arial" w:hAnsi="Arial"/>
        </w:rPr>
        <w:lastRenderedPageBreak/>
        <w:tab/>
      </w:r>
      <w:r w:rsidR="005441E9" w:rsidRPr="005441E9">
        <w:rPr>
          <w:rFonts w:ascii="Arial" w:hAnsi="Arial"/>
          <w:u w:val="single"/>
        </w:rPr>
        <w:t>N/A</w:t>
      </w:r>
      <w:r>
        <w:rPr>
          <w:rFonts w:ascii="Arial" w:hAnsi="Arial"/>
          <w:u w:val="single"/>
        </w:rPr>
        <w:tab/>
      </w:r>
      <w:r>
        <w:rPr>
          <w:rFonts w:ascii="Arial" w:hAnsi="Arial"/>
        </w:rPr>
        <w:t xml:space="preserve"> .</w:t>
      </w:r>
    </w:p>
    <w:p w:rsidR="00EA4133" w:rsidRDefault="00EA4133">
      <w:pPr>
        <w:pStyle w:val="List"/>
        <w:numPr>
          <w:ilvl w:val="0"/>
          <w:numId w:val="10"/>
        </w:numPr>
        <w:rPr>
          <w:rFonts w:ascii="Arial" w:hAnsi="Arial"/>
        </w:rPr>
      </w:pPr>
      <w:r>
        <w:rPr>
          <w:rFonts w:ascii="Arial" w:hAnsi="Arial"/>
        </w:rPr>
        <w:t>State whether the private placement will result in a change of control.</w:t>
      </w:r>
    </w:p>
    <w:p w:rsidR="00EA4133" w:rsidRDefault="00EA4133">
      <w:pPr>
        <w:pStyle w:val="List"/>
        <w:tabs>
          <w:tab w:val="left" w:pos="1080"/>
          <w:tab w:val="left" w:pos="9180"/>
        </w:tabs>
        <w:ind w:left="0" w:firstLine="0"/>
        <w:jc w:val="both"/>
        <w:rPr>
          <w:rFonts w:ascii="Arial" w:hAnsi="Arial"/>
        </w:rPr>
      </w:pPr>
      <w:r>
        <w:rPr>
          <w:rFonts w:ascii="Arial" w:hAnsi="Arial"/>
        </w:rPr>
        <w:tab/>
      </w:r>
      <w:r w:rsidR="005441E9">
        <w:rPr>
          <w:rFonts w:ascii="Arial" w:hAnsi="Arial"/>
          <w:u w:val="single"/>
        </w:rPr>
        <w:t>No</w:t>
      </w:r>
      <w:r>
        <w:rPr>
          <w:rFonts w:ascii="Arial" w:hAnsi="Arial"/>
          <w:u w:val="single"/>
        </w:rPr>
        <w:tab/>
      </w:r>
      <w:r>
        <w:rPr>
          <w:rFonts w:ascii="Arial" w:hAnsi="Arial"/>
        </w:rPr>
        <w:t xml:space="preserve"> .</w:t>
      </w:r>
    </w:p>
    <w:p w:rsidR="00EA4133" w:rsidRDefault="00EA4133">
      <w:pPr>
        <w:pStyle w:val="List"/>
        <w:tabs>
          <w:tab w:val="left" w:pos="9180"/>
        </w:tabs>
        <w:spacing w:before="0"/>
        <w:jc w:val="both"/>
        <w:rPr>
          <w:rFonts w:ascii="Arial" w:hAnsi="Arial"/>
        </w:rPr>
      </w:pPr>
    </w:p>
    <w:p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Pr>
          <w:rFonts w:ascii="Arial" w:hAnsi="Arial"/>
        </w:rPr>
        <w:t>Instrument 45-102.</w:t>
      </w:r>
    </w:p>
    <w:p w:rsidR="00EA4133" w:rsidRDefault="00EA4133">
      <w:pPr>
        <w:pStyle w:val="BodyText"/>
        <w:tabs>
          <w:tab w:val="left" w:pos="1080"/>
          <w:tab w:val="left" w:pos="4230"/>
        </w:tabs>
        <w:rPr>
          <w:rFonts w:ascii="Arial" w:hAnsi="Arial"/>
          <w:color w:val="000000"/>
        </w:rPr>
      </w:pPr>
      <w:r>
        <w:rPr>
          <w:rFonts w:ascii="Arial" w:hAnsi="Arial"/>
          <w:b/>
          <w:color w:val="000000"/>
        </w:rPr>
        <w:t>2.</w:t>
      </w:r>
      <w:r>
        <w:rPr>
          <w:rFonts w:ascii="Arial" w:hAnsi="Arial"/>
          <w:b/>
          <w:color w:val="000000"/>
        </w:rPr>
        <w:tab/>
        <w:t>Acquisition</w:t>
      </w:r>
    </w:p>
    <w:p w:rsidR="00EA4133" w:rsidRDefault="00EA4133">
      <w:pPr>
        <w:pStyle w:val="List"/>
        <w:tabs>
          <w:tab w:val="left" w:pos="9180"/>
        </w:tabs>
        <w:spacing w:before="0"/>
        <w:ind w:left="0" w:firstLine="0"/>
        <w:jc w:val="both"/>
        <w:rPr>
          <w:rFonts w:ascii="Arial" w:hAnsi="Arial"/>
          <w:color w:val="000000"/>
        </w:rPr>
      </w:pPr>
    </w:p>
    <w:p w:rsidR="003E7028" w:rsidRPr="003E7028"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p>
    <w:p w:rsidR="00272F0E" w:rsidRDefault="00272F0E">
      <w:pPr>
        <w:pStyle w:val="List"/>
        <w:tabs>
          <w:tab w:val="left" w:pos="9180"/>
        </w:tabs>
        <w:spacing w:before="0"/>
        <w:ind w:firstLine="0"/>
        <w:jc w:val="both"/>
        <w:rPr>
          <w:rFonts w:ascii="Arial" w:hAnsi="Arial"/>
          <w:color w:val="000000"/>
        </w:rPr>
      </w:pPr>
    </w:p>
    <w:p w:rsidR="00EA4133" w:rsidRDefault="009C2387" w:rsidP="00162788">
      <w:pPr>
        <w:pStyle w:val="List"/>
        <w:tabs>
          <w:tab w:val="left" w:pos="9180"/>
        </w:tabs>
        <w:spacing w:before="0"/>
        <w:ind w:firstLine="0"/>
        <w:jc w:val="both"/>
        <w:rPr>
          <w:rFonts w:ascii="Arial" w:hAnsi="Arial"/>
          <w:color w:val="000000"/>
        </w:rPr>
      </w:pPr>
      <w:r>
        <w:rPr>
          <w:rFonts w:ascii="Arial" w:hAnsi="Arial" w:cs="Arial"/>
          <w:color w:val="000000"/>
        </w:rPr>
        <w:t>A</w:t>
      </w:r>
      <w:r w:rsidRPr="005349EE">
        <w:rPr>
          <w:rFonts w:ascii="Arial" w:hAnsi="Arial" w:cs="Arial"/>
          <w:color w:val="000000"/>
        </w:rPr>
        <w:t xml:space="preserve"> </w:t>
      </w:r>
      <w:r w:rsidR="00AB41AA" w:rsidRPr="005349EE">
        <w:rPr>
          <w:rFonts w:ascii="Arial" w:hAnsi="Arial" w:cs="Arial"/>
          <w:color w:val="000000"/>
        </w:rPr>
        <w:t xml:space="preserve">license from Botanical Research and Motion International Inc. (“Brim”) regarding </w:t>
      </w:r>
      <w:r w:rsidR="00AB41AA" w:rsidRPr="00181981">
        <w:rPr>
          <w:rFonts w:ascii="Arial" w:hAnsi="Arial" w:cs="Arial"/>
          <w:color w:val="000000"/>
        </w:rPr>
        <w:t xml:space="preserve">Brim’s proprietary technology  for its </w:t>
      </w:r>
      <w:r w:rsidR="00AB41AA" w:rsidRPr="00B76B31">
        <w:rPr>
          <w:rFonts w:ascii="Arial" w:hAnsi="Arial" w:cs="Arial"/>
        </w:rPr>
        <w:t>“</w:t>
      </w:r>
      <w:proofErr w:type="spellStart"/>
      <w:r w:rsidR="00AB41AA" w:rsidRPr="00B76B31">
        <w:rPr>
          <w:rFonts w:ascii="Arial" w:hAnsi="Arial" w:cs="Arial"/>
        </w:rPr>
        <w:t>Chibafreen</w:t>
      </w:r>
      <w:proofErr w:type="spellEnd"/>
      <w:r w:rsidR="00AB41AA" w:rsidRPr="00B76B31">
        <w:rPr>
          <w:rFonts w:ascii="Arial" w:hAnsi="Arial" w:cs="Arial"/>
        </w:rPr>
        <w:t xml:space="preserve"> </w:t>
      </w:r>
      <w:proofErr w:type="spellStart"/>
      <w:r w:rsidR="00AB41AA" w:rsidRPr="00B76B31">
        <w:rPr>
          <w:rFonts w:ascii="Arial" w:hAnsi="Arial" w:cs="Arial"/>
        </w:rPr>
        <w:t>Invitro</w:t>
      </w:r>
      <w:proofErr w:type="spellEnd"/>
      <w:r w:rsidR="00AB41AA" w:rsidRPr="00B76B31">
        <w:rPr>
          <w:rFonts w:ascii="Arial" w:hAnsi="Arial" w:cs="Arial"/>
        </w:rPr>
        <w:t xml:space="preserve"> Plant Production System” and related matters. Refer to the attached news release dated November </w:t>
      </w:r>
      <w:r w:rsidR="005349EE">
        <w:rPr>
          <w:rFonts w:ascii="Arial" w:hAnsi="Arial" w:cs="Arial"/>
        </w:rPr>
        <w:t>7</w:t>
      </w:r>
      <w:r w:rsidR="00AB41AA" w:rsidRPr="00B76B31">
        <w:rPr>
          <w:rFonts w:ascii="Arial" w:hAnsi="Arial" w:cs="Arial"/>
        </w:rPr>
        <w:t>, 2016.</w:t>
      </w:r>
      <w:r w:rsidR="00AB41AA">
        <w:t xml:space="preserve"> </w:t>
      </w:r>
    </w:p>
    <w:p w:rsidR="00AB41AA" w:rsidRPr="007A7A50" w:rsidRDefault="00EA4133" w:rsidP="00DB38B6">
      <w:pPr>
        <w:pStyle w:val="List"/>
        <w:numPr>
          <w:ilvl w:val="0"/>
          <w:numId w:val="14"/>
        </w:numPr>
        <w:tabs>
          <w:tab w:val="clear" w:pos="360"/>
          <w:tab w:val="left" w:pos="9180"/>
        </w:tabs>
        <w:ind w:left="720" w:hanging="720"/>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Pr="00A57D7A">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p>
    <w:p w:rsidR="00AB41AA" w:rsidRPr="00CA518E" w:rsidRDefault="00AB41AA" w:rsidP="00B76B31">
      <w:pPr>
        <w:pStyle w:val="ListParagraph"/>
        <w:numPr>
          <w:ilvl w:val="0"/>
          <w:numId w:val="18"/>
        </w:numPr>
        <w:spacing w:after="120"/>
        <w:ind w:left="1134" w:hanging="425"/>
        <w:jc w:val="both"/>
        <w:rPr>
          <w:rFonts w:ascii="Arial" w:hAnsi="Arial" w:cs="Arial"/>
          <w:sz w:val="24"/>
          <w:szCs w:val="24"/>
        </w:rPr>
      </w:pPr>
      <w:r w:rsidRPr="00B76B31">
        <w:rPr>
          <w:rFonts w:ascii="Arial" w:hAnsi="Arial" w:cs="Arial"/>
          <w:color w:val="000000"/>
          <w:sz w:val="24"/>
          <w:szCs w:val="24"/>
        </w:rPr>
        <w:t xml:space="preserve">BRIM will grant </w:t>
      </w:r>
      <w:r w:rsidRPr="00B76B31">
        <w:rPr>
          <w:rFonts w:ascii="Arial" w:hAnsi="Arial" w:cs="Arial"/>
          <w:sz w:val="24"/>
          <w:szCs w:val="24"/>
        </w:rPr>
        <w:t>Alliance an exclusive Canadian license (the “License”) regarding certain of BRIM’s proprietary technologies</w:t>
      </w:r>
      <w:r w:rsidR="00763D0B">
        <w:rPr>
          <w:rFonts w:ascii="Arial" w:hAnsi="Arial" w:cs="Arial"/>
          <w:sz w:val="24"/>
          <w:szCs w:val="24"/>
        </w:rPr>
        <w:t>.</w:t>
      </w:r>
      <w:r w:rsidRPr="00B76B31">
        <w:rPr>
          <w:rFonts w:ascii="Arial" w:hAnsi="Arial" w:cs="Arial"/>
          <w:sz w:val="24"/>
          <w:szCs w:val="24"/>
        </w:rPr>
        <w:t xml:space="preserve"> </w:t>
      </w:r>
      <w:r w:rsidR="00763D0B">
        <w:rPr>
          <w:rFonts w:ascii="Arial" w:hAnsi="Arial" w:cs="Arial"/>
          <w:sz w:val="24"/>
          <w:szCs w:val="24"/>
        </w:rPr>
        <w:t>T</w:t>
      </w:r>
      <w:r w:rsidRPr="00B76B31">
        <w:rPr>
          <w:rFonts w:ascii="Arial" w:hAnsi="Arial" w:cs="Arial"/>
          <w:sz w:val="24"/>
          <w:szCs w:val="24"/>
        </w:rPr>
        <w:t xml:space="preserve">he Company has determined that the price of the 6 million </w:t>
      </w:r>
      <w:r w:rsidR="0094672B">
        <w:rPr>
          <w:rFonts w:ascii="Arial" w:hAnsi="Arial" w:cs="Arial"/>
          <w:sz w:val="24"/>
          <w:szCs w:val="24"/>
        </w:rPr>
        <w:t>S</w:t>
      </w:r>
      <w:r w:rsidRPr="00B76B31">
        <w:rPr>
          <w:rFonts w:ascii="Arial" w:hAnsi="Arial" w:cs="Arial"/>
          <w:sz w:val="24"/>
          <w:szCs w:val="24"/>
        </w:rPr>
        <w:t>hares to be issued for the License are set at $0.135 per share for a deemed value of $810,000</w:t>
      </w:r>
      <w:r w:rsidR="009C2387">
        <w:rPr>
          <w:rFonts w:ascii="Arial" w:hAnsi="Arial" w:cs="Arial"/>
          <w:sz w:val="24"/>
          <w:szCs w:val="24"/>
        </w:rPr>
        <w:t xml:space="preserve">.  In addition, 3 </w:t>
      </w:r>
      <w:r w:rsidR="009C2387" w:rsidRPr="00CA518E">
        <w:rPr>
          <w:rFonts w:ascii="Arial" w:hAnsi="Arial" w:cs="Arial"/>
          <w:sz w:val="24"/>
          <w:szCs w:val="24"/>
        </w:rPr>
        <w:t xml:space="preserve">million </w:t>
      </w:r>
      <w:r w:rsidR="00CA518E" w:rsidRPr="0079490C">
        <w:rPr>
          <w:rFonts w:ascii="Arial" w:hAnsi="Arial" w:cs="Arial"/>
          <w:sz w:val="24"/>
          <w:szCs w:val="24"/>
        </w:rPr>
        <w:t>W</w:t>
      </w:r>
      <w:r w:rsidR="009C2387" w:rsidRPr="0079490C">
        <w:rPr>
          <w:rFonts w:ascii="Arial" w:hAnsi="Arial" w:cs="Arial"/>
          <w:sz w:val="24"/>
          <w:szCs w:val="24"/>
        </w:rPr>
        <w:t>arrants wi</w:t>
      </w:r>
      <w:r w:rsidR="009C2387" w:rsidRPr="003E7028">
        <w:rPr>
          <w:rFonts w:ascii="Arial" w:hAnsi="Arial" w:cs="Arial"/>
          <w:sz w:val="24"/>
          <w:szCs w:val="24"/>
        </w:rPr>
        <w:t xml:space="preserve">ll be issued at an exercise price of $0.27 per </w:t>
      </w:r>
      <w:r w:rsidR="005E73B3">
        <w:rPr>
          <w:rFonts w:ascii="Arial" w:hAnsi="Arial" w:cs="Arial"/>
          <w:sz w:val="24"/>
          <w:szCs w:val="24"/>
        </w:rPr>
        <w:t>S</w:t>
      </w:r>
      <w:r w:rsidR="009C2387" w:rsidRPr="003E7028">
        <w:rPr>
          <w:rFonts w:ascii="Arial" w:hAnsi="Arial" w:cs="Arial"/>
          <w:sz w:val="24"/>
          <w:szCs w:val="24"/>
        </w:rPr>
        <w:t>hare for a period of two years</w:t>
      </w:r>
      <w:r w:rsidRPr="003E7028">
        <w:rPr>
          <w:rFonts w:ascii="Arial" w:hAnsi="Arial" w:cs="Arial"/>
          <w:sz w:val="24"/>
          <w:szCs w:val="24"/>
        </w:rPr>
        <w:t>.</w:t>
      </w:r>
      <w:r w:rsidR="005D7226" w:rsidRPr="00162788">
        <w:rPr>
          <w:rFonts w:ascii="Arial" w:hAnsi="Arial"/>
          <w:sz w:val="24"/>
          <w:szCs w:val="24"/>
        </w:rPr>
        <w:t xml:space="preserve"> Exercise of the Warrants may be accelerated by the </w:t>
      </w:r>
      <w:r w:rsidR="005D7226" w:rsidRPr="00162788">
        <w:rPr>
          <w:rFonts w:ascii="Arial" w:hAnsi="Arial" w:cs="Arial"/>
          <w:sz w:val="24"/>
          <w:szCs w:val="24"/>
        </w:rPr>
        <w:t xml:space="preserve">Company, if, after the </w:t>
      </w:r>
      <w:r w:rsidR="005E73B3">
        <w:rPr>
          <w:rFonts w:ascii="Arial" w:hAnsi="Arial" w:cs="Arial"/>
          <w:sz w:val="24"/>
          <w:szCs w:val="24"/>
        </w:rPr>
        <w:t xml:space="preserve">expiry of the </w:t>
      </w:r>
      <w:r w:rsidR="005D7226" w:rsidRPr="005D7226">
        <w:rPr>
          <w:rFonts w:ascii="Arial" w:hAnsi="Arial" w:cs="Arial"/>
          <w:sz w:val="24"/>
          <w:szCs w:val="24"/>
        </w:rPr>
        <w:t>hold period and release from escrow</w:t>
      </w:r>
      <w:r w:rsidR="005E73B3">
        <w:rPr>
          <w:rFonts w:ascii="Arial" w:hAnsi="Arial" w:cs="Arial"/>
          <w:sz w:val="24"/>
          <w:szCs w:val="24"/>
        </w:rPr>
        <w:t xml:space="preserve"> as described below</w:t>
      </w:r>
      <w:r w:rsidR="005D7226" w:rsidRPr="005D7226">
        <w:rPr>
          <w:rFonts w:ascii="Arial" w:hAnsi="Arial" w:cs="Arial"/>
          <w:sz w:val="24"/>
          <w:szCs w:val="24"/>
        </w:rPr>
        <w:t>, the Shares trade</w:t>
      </w:r>
      <w:r w:rsidR="005D7226" w:rsidRPr="005D7226">
        <w:rPr>
          <w:rFonts w:ascii="Arial" w:hAnsi="Arial" w:cs="Arial"/>
          <w:color w:val="000000"/>
          <w:sz w:val="24"/>
          <w:szCs w:val="24"/>
        </w:rPr>
        <w:t xml:space="preserve"> at or above a weighted average trading price of $0.41 per Share for 10 consecutive trading days, by giving written notice to warrant holders that the warrants will expire 30 days from the date of providing such notice</w:t>
      </w:r>
      <w:r w:rsidR="00A8310E">
        <w:rPr>
          <w:rFonts w:ascii="Arial" w:hAnsi="Arial" w:cs="Arial"/>
          <w:color w:val="000000"/>
          <w:sz w:val="24"/>
          <w:szCs w:val="24"/>
        </w:rPr>
        <w:t>.</w:t>
      </w:r>
    </w:p>
    <w:p w:rsidR="00AB41AA" w:rsidRPr="00842B28" w:rsidRDefault="00AB41AA" w:rsidP="00B76B31">
      <w:pPr>
        <w:pStyle w:val="ListParagraph"/>
        <w:spacing w:after="120"/>
        <w:ind w:left="1134"/>
        <w:jc w:val="both"/>
        <w:rPr>
          <w:rFonts w:ascii="Arial" w:hAnsi="Arial" w:cs="Arial"/>
          <w:sz w:val="24"/>
          <w:szCs w:val="24"/>
        </w:rPr>
      </w:pPr>
    </w:p>
    <w:p w:rsidR="00AB41AA" w:rsidRPr="00B76B31" w:rsidRDefault="00AB41AA" w:rsidP="00AB41AA">
      <w:pPr>
        <w:pStyle w:val="ListParagraph"/>
        <w:numPr>
          <w:ilvl w:val="0"/>
          <w:numId w:val="19"/>
        </w:numPr>
        <w:spacing w:after="120"/>
        <w:ind w:left="1134" w:hanging="414"/>
        <w:jc w:val="both"/>
        <w:rPr>
          <w:rFonts w:ascii="Arial" w:hAnsi="Arial" w:cs="Arial"/>
          <w:sz w:val="24"/>
          <w:szCs w:val="24"/>
        </w:rPr>
      </w:pPr>
      <w:r w:rsidRPr="00B76B31">
        <w:rPr>
          <w:rFonts w:ascii="Arial" w:hAnsi="Arial" w:cs="Arial"/>
          <w:sz w:val="24"/>
          <w:szCs w:val="24"/>
        </w:rPr>
        <w:lastRenderedPageBreak/>
        <w:t>Alliance and BRIM have identified and agreed on the engagement of a senior architecture firm from British Columbia that is not only qualified in designing clean room labs but also has clearances for high security construction projects such as Health Canada’s MMPR commercial facility as well as federal level airports, etc.  They not only bring the design to the project but also act as a general contractor making them a desirable one stop solution for the project’s construction needs.</w:t>
      </w:r>
    </w:p>
    <w:p w:rsidR="00AB41AA" w:rsidRPr="00B76B31" w:rsidRDefault="00AB41AA" w:rsidP="00B76B31">
      <w:pPr>
        <w:pStyle w:val="ListParagraph"/>
        <w:spacing w:after="120"/>
        <w:ind w:left="1134"/>
        <w:jc w:val="both"/>
        <w:rPr>
          <w:rFonts w:ascii="Arial" w:hAnsi="Arial" w:cs="Arial"/>
          <w:sz w:val="24"/>
          <w:szCs w:val="24"/>
        </w:rPr>
      </w:pPr>
    </w:p>
    <w:p w:rsidR="00AB41AA" w:rsidRPr="00B76B31" w:rsidRDefault="00AB41AA" w:rsidP="00AB41AA">
      <w:pPr>
        <w:pStyle w:val="ListParagraph"/>
        <w:numPr>
          <w:ilvl w:val="0"/>
          <w:numId w:val="19"/>
        </w:numPr>
        <w:spacing w:after="120"/>
        <w:ind w:left="1134" w:hanging="414"/>
        <w:jc w:val="both"/>
        <w:rPr>
          <w:rFonts w:ascii="Arial" w:hAnsi="Arial" w:cs="Arial"/>
          <w:sz w:val="24"/>
          <w:szCs w:val="24"/>
        </w:rPr>
      </w:pPr>
      <w:r w:rsidRPr="00B76B31">
        <w:rPr>
          <w:rFonts w:ascii="Arial" w:hAnsi="Arial" w:cs="Arial"/>
          <w:sz w:val="24"/>
          <w:szCs w:val="24"/>
        </w:rPr>
        <w:t>Alliance has engaged a construction consultant to assist in monitoring the entire construction process. Kruger Pacific Ltd., a private BC company, has members with many years of extensive experience in the construction industry, including former commercial building inspectors.  The principal of Kruger Pacific has owned and operated precast concrete factories in Calgary and Vancouver, as well as a successful commercial construction company for over twenty years.  In addition, he has been involved in junior public companies for more than 25 years with positions in senior level management and thus is a perfect fit for Alliance’s requirements for this project.</w:t>
      </w:r>
    </w:p>
    <w:p w:rsidR="004B3AAE" w:rsidRPr="00B76B31" w:rsidRDefault="004B3AAE" w:rsidP="005349EE">
      <w:pPr>
        <w:spacing w:after="120"/>
        <w:ind w:left="1170"/>
        <w:jc w:val="both"/>
        <w:rPr>
          <w:rFonts w:ascii="Arial" w:hAnsi="Arial" w:cs="Arial"/>
          <w:sz w:val="24"/>
          <w:szCs w:val="24"/>
        </w:rPr>
      </w:pPr>
      <w:r w:rsidRPr="00B76B31">
        <w:rPr>
          <w:rFonts w:ascii="Arial" w:hAnsi="Arial" w:cs="Arial"/>
          <w:sz w:val="24"/>
          <w:szCs w:val="24"/>
        </w:rPr>
        <w:t xml:space="preserve">The License granted to Alliance will allow it to jointly develop and operate multiple Botany </w:t>
      </w:r>
      <w:proofErr w:type="spellStart"/>
      <w:r w:rsidRPr="00B76B31">
        <w:rPr>
          <w:rFonts w:ascii="Arial" w:hAnsi="Arial" w:cs="Arial"/>
          <w:sz w:val="24"/>
          <w:szCs w:val="24"/>
        </w:rPr>
        <w:t>Centres</w:t>
      </w:r>
      <w:proofErr w:type="spellEnd"/>
      <w:r w:rsidRPr="00B76B31">
        <w:rPr>
          <w:rFonts w:ascii="Arial" w:hAnsi="Arial" w:cs="Arial"/>
          <w:sz w:val="24"/>
          <w:szCs w:val="24"/>
        </w:rPr>
        <w:t xml:space="preserve"> in Canada and will include the following: </w:t>
      </w:r>
    </w:p>
    <w:p w:rsidR="004B3AAE" w:rsidRPr="00B76B31" w:rsidRDefault="004B3AAE" w:rsidP="005349EE">
      <w:pPr>
        <w:spacing w:after="120"/>
        <w:ind w:left="1170"/>
        <w:jc w:val="both"/>
        <w:rPr>
          <w:rFonts w:ascii="Arial" w:hAnsi="Arial" w:cs="Arial"/>
          <w:sz w:val="24"/>
          <w:szCs w:val="24"/>
        </w:rPr>
      </w:pPr>
      <w:r w:rsidRPr="00B76B31">
        <w:rPr>
          <w:rFonts w:ascii="Arial" w:hAnsi="Arial" w:cs="Arial"/>
          <w:sz w:val="24"/>
          <w:szCs w:val="24"/>
        </w:rPr>
        <w:t>1 - B.R.I.M.’s proprietary “</w:t>
      </w:r>
      <w:proofErr w:type="spellStart"/>
      <w:r w:rsidRPr="00B76B31">
        <w:rPr>
          <w:rFonts w:ascii="Arial" w:hAnsi="Arial" w:cs="Arial"/>
          <w:sz w:val="24"/>
          <w:szCs w:val="24"/>
        </w:rPr>
        <w:t>Chibafreen</w:t>
      </w:r>
      <w:proofErr w:type="spellEnd"/>
      <w:r w:rsidRPr="00B76B31">
        <w:rPr>
          <w:rFonts w:ascii="Arial" w:hAnsi="Arial" w:cs="Arial"/>
          <w:sz w:val="24"/>
          <w:szCs w:val="24"/>
        </w:rPr>
        <w:t xml:space="preserve"> </w:t>
      </w:r>
      <w:proofErr w:type="spellStart"/>
      <w:r w:rsidRPr="00B76B31">
        <w:rPr>
          <w:rFonts w:ascii="Arial" w:hAnsi="Arial" w:cs="Arial"/>
          <w:sz w:val="24"/>
          <w:szCs w:val="24"/>
        </w:rPr>
        <w:t>Invitro</w:t>
      </w:r>
      <w:proofErr w:type="spellEnd"/>
      <w:r w:rsidRPr="00B76B31">
        <w:rPr>
          <w:rFonts w:ascii="Arial" w:hAnsi="Arial" w:cs="Arial"/>
          <w:sz w:val="24"/>
          <w:szCs w:val="24"/>
        </w:rPr>
        <w:t xml:space="preserve"> Plant Production System”</w:t>
      </w:r>
    </w:p>
    <w:p w:rsidR="004B3AAE" w:rsidRPr="00B76B31" w:rsidRDefault="004B3AAE" w:rsidP="005349EE">
      <w:pPr>
        <w:spacing w:after="120"/>
        <w:ind w:left="1170"/>
        <w:jc w:val="both"/>
        <w:rPr>
          <w:rFonts w:ascii="Arial" w:hAnsi="Arial" w:cs="Arial"/>
          <w:sz w:val="24"/>
          <w:szCs w:val="24"/>
        </w:rPr>
      </w:pPr>
      <w:r w:rsidRPr="00B76B31">
        <w:rPr>
          <w:rFonts w:ascii="Arial" w:hAnsi="Arial" w:cs="Arial"/>
          <w:sz w:val="24"/>
          <w:szCs w:val="24"/>
        </w:rPr>
        <w:t xml:space="preserve">Utilizing its proprietary state of art clean tissue culture lab room designed to produce over one million Tissue Culture Plantlets per year.  The design is scalable and designed for all </w:t>
      </w:r>
      <w:proofErr w:type="gramStart"/>
      <w:r w:rsidRPr="00B76B31">
        <w:rPr>
          <w:rFonts w:ascii="Arial" w:hAnsi="Arial" w:cs="Arial"/>
          <w:sz w:val="24"/>
          <w:szCs w:val="24"/>
        </w:rPr>
        <w:t>flora</w:t>
      </w:r>
      <w:proofErr w:type="gramEnd"/>
      <w:r w:rsidRPr="00B76B31">
        <w:rPr>
          <w:rFonts w:ascii="Arial" w:hAnsi="Arial" w:cs="Arial"/>
          <w:sz w:val="24"/>
          <w:szCs w:val="24"/>
        </w:rPr>
        <w:t xml:space="preserve"> to serve the entire agriculture industry.  </w:t>
      </w:r>
    </w:p>
    <w:p w:rsidR="004B3AAE" w:rsidRPr="00B76B31" w:rsidRDefault="004B3AAE" w:rsidP="005349EE">
      <w:pPr>
        <w:spacing w:after="120"/>
        <w:ind w:left="1170"/>
        <w:jc w:val="both"/>
        <w:rPr>
          <w:rFonts w:ascii="Arial" w:hAnsi="Arial" w:cs="Arial"/>
          <w:sz w:val="24"/>
          <w:szCs w:val="24"/>
        </w:rPr>
      </w:pPr>
      <w:r w:rsidRPr="00B76B31">
        <w:rPr>
          <w:rFonts w:ascii="Arial" w:hAnsi="Arial" w:cs="Arial"/>
          <w:sz w:val="24"/>
          <w:szCs w:val="24"/>
        </w:rPr>
        <w:t xml:space="preserve">2 - B.R.I.M.’s proprietary </w:t>
      </w:r>
      <w:proofErr w:type="spellStart"/>
      <w:r w:rsidRPr="00B76B31">
        <w:rPr>
          <w:rFonts w:ascii="Arial" w:hAnsi="Arial" w:cs="Arial"/>
          <w:sz w:val="24"/>
          <w:szCs w:val="24"/>
        </w:rPr>
        <w:t>Cryotissue</w:t>
      </w:r>
      <w:proofErr w:type="spellEnd"/>
      <w:r w:rsidRPr="00B76B31">
        <w:rPr>
          <w:rFonts w:ascii="Arial" w:hAnsi="Arial" w:cs="Arial"/>
          <w:sz w:val="24"/>
          <w:szCs w:val="24"/>
        </w:rPr>
        <w:t xml:space="preserve"> Cold Storage</w:t>
      </w:r>
    </w:p>
    <w:p w:rsidR="004B3AAE" w:rsidRPr="00B76B31" w:rsidRDefault="004B3AAE" w:rsidP="005349EE">
      <w:pPr>
        <w:spacing w:after="120"/>
        <w:ind w:left="1170"/>
        <w:jc w:val="both"/>
        <w:rPr>
          <w:rFonts w:ascii="Arial" w:hAnsi="Arial" w:cs="Arial"/>
          <w:sz w:val="24"/>
          <w:szCs w:val="24"/>
        </w:rPr>
      </w:pPr>
      <w:r w:rsidRPr="00B76B31">
        <w:rPr>
          <w:rFonts w:ascii="Arial" w:hAnsi="Arial" w:cs="Arial"/>
          <w:sz w:val="24"/>
          <w:szCs w:val="24"/>
        </w:rPr>
        <w:t xml:space="preserve">Utilizing the one-of-a-kind </w:t>
      </w:r>
      <w:proofErr w:type="spellStart"/>
      <w:r w:rsidRPr="00B76B31">
        <w:rPr>
          <w:rFonts w:ascii="Arial" w:hAnsi="Arial" w:cs="Arial"/>
          <w:sz w:val="24"/>
          <w:szCs w:val="24"/>
        </w:rPr>
        <w:t>Cryotissue</w:t>
      </w:r>
      <w:proofErr w:type="spellEnd"/>
      <w:r w:rsidRPr="00B76B31">
        <w:rPr>
          <w:rFonts w:ascii="Arial" w:hAnsi="Arial" w:cs="Arial"/>
          <w:sz w:val="24"/>
          <w:szCs w:val="24"/>
        </w:rPr>
        <w:t xml:space="preserve"> Cold Storage technology for tissue culture preservation and regeneration as needed on long term basis. </w:t>
      </w:r>
    </w:p>
    <w:p w:rsidR="004B3AAE" w:rsidRPr="00B76B31" w:rsidRDefault="004B3AAE" w:rsidP="005349EE">
      <w:pPr>
        <w:spacing w:after="120"/>
        <w:ind w:left="1170"/>
        <w:jc w:val="both"/>
        <w:rPr>
          <w:rFonts w:ascii="Arial" w:hAnsi="Arial" w:cs="Arial"/>
          <w:sz w:val="24"/>
          <w:szCs w:val="24"/>
        </w:rPr>
      </w:pPr>
      <w:r w:rsidRPr="00B76B31">
        <w:rPr>
          <w:rFonts w:ascii="Arial" w:hAnsi="Arial" w:cs="Arial"/>
          <w:sz w:val="24"/>
          <w:szCs w:val="24"/>
        </w:rPr>
        <w:t>3 – Extraction Lab</w:t>
      </w:r>
    </w:p>
    <w:p w:rsidR="004B3AAE" w:rsidRPr="00B76B31" w:rsidRDefault="004B3AAE" w:rsidP="005349EE">
      <w:pPr>
        <w:spacing w:after="120"/>
        <w:ind w:left="1170"/>
        <w:jc w:val="both"/>
        <w:rPr>
          <w:rFonts w:ascii="Arial" w:hAnsi="Arial" w:cs="Arial"/>
          <w:sz w:val="24"/>
          <w:szCs w:val="24"/>
        </w:rPr>
      </w:pPr>
      <w:r w:rsidRPr="00B76B31">
        <w:rPr>
          <w:rFonts w:ascii="Arial" w:hAnsi="Arial" w:cs="Arial"/>
          <w:sz w:val="24"/>
          <w:szCs w:val="24"/>
        </w:rPr>
        <w:t>Provide custom profiles for extraction for botanicals oils for retail market.</w:t>
      </w:r>
    </w:p>
    <w:p w:rsidR="004B3AAE" w:rsidRPr="00B76B31" w:rsidRDefault="004B3AAE" w:rsidP="005349EE">
      <w:pPr>
        <w:spacing w:after="120"/>
        <w:ind w:left="1170"/>
        <w:jc w:val="both"/>
        <w:rPr>
          <w:rFonts w:ascii="Arial" w:hAnsi="Arial" w:cs="Arial"/>
          <w:sz w:val="24"/>
          <w:szCs w:val="24"/>
        </w:rPr>
      </w:pPr>
      <w:r w:rsidRPr="00B76B31">
        <w:rPr>
          <w:rFonts w:ascii="Arial" w:hAnsi="Arial" w:cs="Arial"/>
          <w:sz w:val="24"/>
          <w:szCs w:val="24"/>
        </w:rPr>
        <w:t>Provide extraction services as retail services to cultivators.</w:t>
      </w:r>
    </w:p>
    <w:p w:rsidR="004B3AAE" w:rsidRPr="00B76B31" w:rsidRDefault="004B3AAE" w:rsidP="005349EE">
      <w:pPr>
        <w:spacing w:after="120"/>
        <w:ind w:left="1170"/>
        <w:jc w:val="both"/>
        <w:rPr>
          <w:rFonts w:ascii="Arial" w:hAnsi="Arial" w:cs="Arial"/>
          <w:sz w:val="24"/>
          <w:szCs w:val="24"/>
        </w:rPr>
      </w:pPr>
      <w:r w:rsidRPr="00B76B31">
        <w:rPr>
          <w:rFonts w:ascii="Arial" w:hAnsi="Arial" w:cs="Arial"/>
          <w:sz w:val="24"/>
          <w:szCs w:val="24"/>
        </w:rPr>
        <w:t>4 - Botanical DNA Services Laboratory</w:t>
      </w:r>
    </w:p>
    <w:p w:rsidR="004B3AAE" w:rsidRPr="00B76B31" w:rsidRDefault="004B3AAE" w:rsidP="005349EE">
      <w:pPr>
        <w:spacing w:after="120"/>
        <w:ind w:left="1170"/>
        <w:jc w:val="both"/>
        <w:rPr>
          <w:rFonts w:ascii="Arial" w:hAnsi="Arial" w:cs="Arial"/>
          <w:sz w:val="24"/>
          <w:szCs w:val="24"/>
        </w:rPr>
      </w:pPr>
      <w:proofErr w:type="gramStart"/>
      <w:r w:rsidRPr="00B76B31">
        <w:rPr>
          <w:rFonts w:ascii="Arial" w:hAnsi="Arial" w:cs="Arial"/>
          <w:sz w:val="24"/>
          <w:szCs w:val="24"/>
        </w:rPr>
        <w:t>Certifying plant tissue as the genetic level.</w:t>
      </w:r>
      <w:proofErr w:type="gramEnd"/>
    </w:p>
    <w:p w:rsidR="004B3AAE" w:rsidRPr="00B76B31" w:rsidRDefault="004B3AAE" w:rsidP="005349EE">
      <w:pPr>
        <w:spacing w:after="120"/>
        <w:ind w:left="1170"/>
        <w:jc w:val="both"/>
        <w:rPr>
          <w:rFonts w:ascii="Arial" w:hAnsi="Arial" w:cs="Arial"/>
          <w:sz w:val="24"/>
          <w:szCs w:val="24"/>
        </w:rPr>
      </w:pPr>
      <w:proofErr w:type="gramStart"/>
      <w:r w:rsidRPr="00B76B31">
        <w:rPr>
          <w:rFonts w:ascii="Arial" w:hAnsi="Arial" w:cs="Arial"/>
          <w:sz w:val="24"/>
          <w:szCs w:val="24"/>
        </w:rPr>
        <w:t>Additional DNA mapping services.</w:t>
      </w:r>
      <w:proofErr w:type="gramEnd"/>
    </w:p>
    <w:p w:rsidR="004B3AAE" w:rsidRPr="00B76B31" w:rsidRDefault="004B3AAE" w:rsidP="005349EE">
      <w:pPr>
        <w:spacing w:after="120"/>
        <w:ind w:left="1170"/>
        <w:jc w:val="both"/>
        <w:rPr>
          <w:rFonts w:ascii="Arial" w:hAnsi="Arial" w:cs="Arial"/>
          <w:sz w:val="24"/>
          <w:szCs w:val="24"/>
        </w:rPr>
      </w:pPr>
      <w:r w:rsidRPr="00B76B31">
        <w:rPr>
          <w:rFonts w:ascii="Arial" w:hAnsi="Arial" w:cs="Arial"/>
          <w:sz w:val="24"/>
          <w:szCs w:val="24"/>
        </w:rPr>
        <w:t>5 - B.R.I.M’s proprietary research for cannabis for large commercial scale micro propagation production when permitted.</w:t>
      </w:r>
    </w:p>
    <w:p w:rsidR="004B3AAE" w:rsidRPr="00B76B31" w:rsidRDefault="004B3AAE" w:rsidP="005349EE">
      <w:pPr>
        <w:spacing w:after="120"/>
        <w:ind w:left="1170"/>
        <w:jc w:val="both"/>
        <w:rPr>
          <w:rFonts w:ascii="Arial" w:hAnsi="Arial" w:cs="Arial"/>
          <w:sz w:val="24"/>
          <w:szCs w:val="24"/>
        </w:rPr>
      </w:pPr>
      <w:r w:rsidRPr="00B76B31">
        <w:rPr>
          <w:rFonts w:ascii="Arial" w:hAnsi="Arial" w:cs="Arial"/>
          <w:sz w:val="24"/>
          <w:szCs w:val="24"/>
        </w:rPr>
        <w:t>The MOU will be superseded by a definitive agreement (the “Definitive Agreement”) to be completed on or before November 30, 2016.</w:t>
      </w:r>
    </w:p>
    <w:p w:rsidR="004B3AAE" w:rsidRPr="00B76B31" w:rsidRDefault="004B3AAE" w:rsidP="005349EE">
      <w:pPr>
        <w:spacing w:after="120"/>
        <w:ind w:left="1170"/>
        <w:jc w:val="both"/>
        <w:rPr>
          <w:rFonts w:ascii="Arial" w:hAnsi="Arial" w:cs="Arial"/>
          <w:sz w:val="24"/>
          <w:szCs w:val="24"/>
        </w:rPr>
      </w:pPr>
      <w:r w:rsidRPr="00B76B31">
        <w:rPr>
          <w:rFonts w:ascii="Arial" w:hAnsi="Arial" w:cs="Arial"/>
          <w:sz w:val="24"/>
          <w:szCs w:val="24"/>
        </w:rPr>
        <w:t>The significant terms of the deal include the following:</w:t>
      </w:r>
    </w:p>
    <w:p w:rsidR="0094672B" w:rsidRDefault="004B3AAE" w:rsidP="0094672B">
      <w:pPr>
        <w:pStyle w:val="ListParagraph"/>
        <w:tabs>
          <w:tab w:val="left" w:pos="1170"/>
          <w:tab w:val="left" w:pos="1260"/>
        </w:tabs>
        <w:ind w:left="1170"/>
        <w:rPr>
          <w:rFonts w:ascii="Arial" w:hAnsi="Arial" w:cs="Arial"/>
          <w:sz w:val="24"/>
          <w:szCs w:val="24"/>
        </w:rPr>
      </w:pPr>
      <w:r w:rsidRPr="007B13CE">
        <w:rPr>
          <w:rFonts w:ascii="Arial" w:hAnsi="Arial" w:cs="Arial"/>
          <w:sz w:val="24"/>
          <w:szCs w:val="24"/>
        </w:rPr>
        <w:t xml:space="preserve">Alliance will issue to BRIM a total of 6,000,000 </w:t>
      </w:r>
      <w:r w:rsidR="0094672B">
        <w:rPr>
          <w:rFonts w:ascii="Arial" w:hAnsi="Arial" w:cs="Arial"/>
          <w:sz w:val="24"/>
          <w:szCs w:val="24"/>
        </w:rPr>
        <w:t>S</w:t>
      </w:r>
      <w:r w:rsidRPr="007B13CE">
        <w:rPr>
          <w:rFonts w:ascii="Arial" w:hAnsi="Arial" w:cs="Arial"/>
          <w:sz w:val="24"/>
          <w:szCs w:val="24"/>
        </w:rPr>
        <w:t xml:space="preserve">hares and </w:t>
      </w:r>
      <w:r w:rsidR="005E73B3">
        <w:rPr>
          <w:rFonts w:ascii="Arial" w:hAnsi="Arial" w:cs="Arial"/>
          <w:sz w:val="24"/>
          <w:szCs w:val="24"/>
        </w:rPr>
        <w:t xml:space="preserve">these Shares and any Shares issued upon exercise of </w:t>
      </w:r>
      <w:r w:rsidRPr="007B13CE">
        <w:rPr>
          <w:rFonts w:ascii="Arial" w:hAnsi="Arial" w:cs="Arial"/>
          <w:sz w:val="24"/>
          <w:szCs w:val="24"/>
        </w:rPr>
        <w:t>3 million warrants</w:t>
      </w:r>
      <w:r w:rsidR="005E73B3">
        <w:rPr>
          <w:rFonts w:ascii="Arial" w:hAnsi="Arial" w:cs="Arial"/>
          <w:sz w:val="24"/>
          <w:szCs w:val="24"/>
        </w:rPr>
        <w:t xml:space="preserve"> during the escrow</w:t>
      </w:r>
      <w:r w:rsidR="00DD7935">
        <w:rPr>
          <w:rFonts w:ascii="Arial" w:hAnsi="Arial" w:cs="Arial"/>
          <w:sz w:val="24"/>
          <w:szCs w:val="24"/>
        </w:rPr>
        <w:t xml:space="preserve"> </w:t>
      </w:r>
      <w:r w:rsidR="005E73B3">
        <w:rPr>
          <w:rFonts w:ascii="Arial" w:hAnsi="Arial" w:cs="Arial"/>
          <w:sz w:val="24"/>
          <w:szCs w:val="24"/>
        </w:rPr>
        <w:lastRenderedPageBreak/>
        <w:t>period,</w:t>
      </w:r>
      <w:r w:rsidRPr="007B13CE">
        <w:rPr>
          <w:rFonts w:ascii="Arial" w:hAnsi="Arial" w:cs="Arial"/>
          <w:sz w:val="24"/>
          <w:szCs w:val="24"/>
        </w:rPr>
        <w:t xml:space="preserve"> </w:t>
      </w:r>
      <w:r w:rsidR="005E73B3">
        <w:rPr>
          <w:rFonts w:ascii="Arial" w:hAnsi="Arial" w:cs="Arial"/>
          <w:sz w:val="24"/>
          <w:szCs w:val="24"/>
        </w:rPr>
        <w:t xml:space="preserve">will </w:t>
      </w:r>
      <w:r w:rsidRPr="007B13CE">
        <w:rPr>
          <w:rFonts w:ascii="Arial" w:hAnsi="Arial" w:cs="Arial"/>
          <w:sz w:val="24"/>
          <w:szCs w:val="24"/>
        </w:rPr>
        <w:t xml:space="preserve">be </w:t>
      </w:r>
      <w:r w:rsidR="009C2387">
        <w:rPr>
          <w:rFonts w:ascii="Arial" w:hAnsi="Arial" w:cs="Arial"/>
          <w:sz w:val="24"/>
          <w:szCs w:val="24"/>
        </w:rPr>
        <w:t xml:space="preserve">held in escrow and </w:t>
      </w:r>
      <w:r w:rsidRPr="007B13CE">
        <w:rPr>
          <w:rFonts w:ascii="Arial" w:hAnsi="Arial" w:cs="Arial"/>
          <w:sz w:val="24"/>
          <w:szCs w:val="24"/>
        </w:rPr>
        <w:t>released in stages</w:t>
      </w:r>
      <w:r w:rsidR="007B13CE" w:rsidRPr="007B13CE">
        <w:rPr>
          <w:rFonts w:ascii="Arial" w:hAnsi="Arial" w:cs="Arial"/>
          <w:sz w:val="24"/>
          <w:szCs w:val="24"/>
        </w:rPr>
        <w:t xml:space="preserve"> </w:t>
      </w:r>
      <w:r w:rsidR="007B13CE" w:rsidRPr="00E23D88">
        <w:rPr>
          <w:rFonts w:ascii="Arial" w:hAnsi="Arial" w:cs="Arial"/>
          <w:sz w:val="24"/>
          <w:szCs w:val="24"/>
        </w:rPr>
        <w:t>upon completion of each milestone</w:t>
      </w:r>
      <w:r w:rsidR="0094672B">
        <w:rPr>
          <w:rFonts w:ascii="Arial" w:hAnsi="Arial" w:cs="Arial"/>
          <w:sz w:val="24"/>
          <w:szCs w:val="24"/>
        </w:rPr>
        <w:t xml:space="preserve"> </w:t>
      </w:r>
      <w:r w:rsidR="0094672B" w:rsidRPr="007B13CE">
        <w:rPr>
          <w:rFonts w:ascii="Arial" w:hAnsi="Arial" w:cs="Arial"/>
          <w:sz w:val="24"/>
          <w:szCs w:val="24"/>
        </w:rPr>
        <w:t>as follows</w:t>
      </w:r>
      <w:r w:rsidR="00842B28">
        <w:rPr>
          <w:rFonts w:ascii="Arial" w:hAnsi="Arial" w:cs="Arial"/>
          <w:sz w:val="24"/>
          <w:szCs w:val="24"/>
        </w:rPr>
        <w:t>:</w:t>
      </w:r>
    </w:p>
    <w:p w:rsidR="005E73B3" w:rsidRPr="007B13CE" w:rsidRDefault="005E73B3" w:rsidP="0094672B">
      <w:pPr>
        <w:pStyle w:val="ListParagraph"/>
        <w:tabs>
          <w:tab w:val="left" w:pos="1170"/>
          <w:tab w:val="left" w:pos="1260"/>
        </w:tabs>
        <w:ind w:left="1170"/>
        <w:rPr>
          <w:rFonts w:ascii="Arial" w:hAnsi="Arial" w:cs="Arial"/>
          <w:sz w:val="24"/>
          <w:szCs w:val="24"/>
        </w:rPr>
      </w:pPr>
    </w:p>
    <w:p w:rsidR="00272F0E" w:rsidRDefault="007B13CE">
      <w:pPr>
        <w:pStyle w:val="ListParagraph"/>
        <w:numPr>
          <w:ilvl w:val="0"/>
          <w:numId w:val="20"/>
        </w:numPr>
        <w:ind w:left="1800" w:hanging="630"/>
        <w:jc w:val="both"/>
        <w:rPr>
          <w:rFonts w:ascii="Arial" w:hAnsi="Arial" w:cs="Arial"/>
          <w:sz w:val="24"/>
          <w:szCs w:val="24"/>
        </w:rPr>
      </w:pPr>
      <w:r w:rsidRPr="00E23D88">
        <w:rPr>
          <w:rFonts w:ascii="Arial" w:hAnsi="Arial" w:cs="Arial"/>
          <w:sz w:val="24"/>
          <w:szCs w:val="24"/>
        </w:rPr>
        <w:t xml:space="preserve">2 Million </w:t>
      </w:r>
      <w:r w:rsidR="0094672B">
        <w:rPr>
          <w:rFonts w:ascii="Arial" w:hAnsi="Arial" w:cs="Arial"/>
          <w:sz w:val="24"/>
          <w:szCs w:val="24"/>
        </w:rPr>
        <w:t>S</w:t>
      </w:r>
      <w:r>
        <w:rPr>
          <w:rFonts w:ascii="Arial" w:hAnsi="Arial" w:cs="Arial"/>
          <w:sz w:val="24"/>
          <w:szCs w:val="24"/>
        </w:rPr>
        <w:t xml:space="preserve">hares and 1 million warrants </w:t>
      </w:r>
      <w:r w:rsidRPr="00E23D88">
        <w:rPr>
          <w:rFonts w:ascii="Arial" w:hAnsi="Arial" w:cs="Arial"/>
          <w:sz w:val="24"/>
          <w:szCs w:val="24"/>
        </w:rPr>
        <w:t>upon breaking ground for the construction of the botany cent</w:t>
      </w:r>
      <w:r>
        <w:rPr>
          <w:rFonts w:ascii="Arial" w:hAnsi="Arial" w:cs="Arial"/>
          <w:sz w:val="24"/>
          <w:szCs w:val="24"/>
        </w:rPr>
        <w:t>re</w:t>
      </w:r>
      <w:r w:rsidR="005E73B3">
        <w:rPr>
          <w:rFonts w:ascii="Arial" w:hAnsi="Arial" w:cs="Arial"/>
          <w:sz w:val="24"/>
          <w:szCs w:val="24"/>
        </w:rPr>
        <w:t>.</w:t>
      </w:r>
    </w:p>
    <w:p w:rsidR="005E73B3" w:rsidRDefault="005E73B3" w:rsidP="005E73B3">
      <w:pPr>
        <w:pStyle w:val="ListParagraph"/>
        <w:ind w:left="1800"/>
        <w:jc w:val="both"/>
        <w:rPr>
          <w:rFonts w:ascii="Arial" w:hAnsi="Arial" w:cs="Arial"/>
          <w:sz w:val="24"/>
          <w:szCs w:val="24"/>
        </w:rPr>
      </w:pPr>
    </w:p>
    <w:p w:rsidR="00272F0E" w:rsidRDefault="007B13CE">
      <w:pPr>
        <w:pStyle w:val="ListParagraph"/>
        <w:numPr>
          <w:ilvl w:val="0"/>
          <w:numId w:val="20"/>
        </w:numPr>
        <w:ind w:left="1800" w:hanging="630"/>
        <w:jc w:val="both"/>
        <w:rPr>
          <w:rFonts w:ascii="Arial" w:hAnsi="Arial" w:cs="Arial"/>
          <w:sz w:val="24"/>
          <w:szCs w:val="24"/>
        </w:rPr>
      </w:pPr>
      <w:r w:rsidRPr="00E23D88">
        <w:rPr>
          <w:rFonts w:ascii="Arial" w:hAnsi="Arial" w:cs="Arial"/>
          <w:sz w:val="24"/>
          <w:szCs w:val="24"/>
        </w:rPr>
        <w:t xml:space="preserve">2 Million </w:t>
      </w:r>
      <w:r w:rsidR="0094672B">
        <w:rPr>
          <w:rFonts w:ascii="Arial" w:hAnsi="Arial" w:cs="Arial"/>
          <w:sz w:val="24"/>
          <w:szCs w:val="24"/>
        </w:rPr>
        <w:t>S</w:t>
      </w:r>
      <w:r>
        <w:rPr>
          <w:rFonts w:ascii="Arial" w:hAnsi="Arial" w:cs="Arial"/>
          <w:sz w:val="24"/>
          <w:szCs w:val="24"/>
        </w:rPr>
        <w:t xml:space="preserve">hares and 1 million warrants </w:t>
      </w:r>
      <w:r w:rsidRPr="00E23D88">
        <w:rPr>
          <w:rFonts w:ascii="Arial" w:hAnsi="Arial" w:cs="Arial"/>
          <w:sz w:val="24"/>
          <w:szCs w:val="24"/>
        </w:rPr>
        <w:t xml:space="preserve">upon completion of construction of </w:t>
      </w:r>
      <w:r w:rsidR="0094672B">
        <w:rPr>
          <w:rFonts w:ascii="Arial" w:hAnsi="Arial" w:cs="Arial"/>
          <w:sz w:val="24"/>
          <w:szCs w:val="24"/>
        </w:rPr>
        <w:t xml:space="preserve">the </w:t>
      </w:r>
      <w:r w:rsidRPr="00E23D88">
        <w:rPr>
          <w:rFonts w:ascii="Arial" w:hAnsi="Arial" w:cs="Arial"/>
          <w:sz w:val="24"/>
          <w:szCs w:val="24"/>
        </w:rPr>
        <w:t>tissue culture lab</w:t>
      </w:r>
      <w:r w:rsidR="005E73B3">
        <w:rPr>
          <w:rFonts w:ascii="Arial" w:hAnsi="Arial" w:cs="Arial"/>
          <w:sz w:val="24"/>
          <w:szCs w:val="24"/>
        </w:rPr>
        <w:t>.</w:t>
      </w:r>
    </w:p>
    <w:p w:rsidR="005E73B3" w:rsidRDefault="005E73B3" w:rsidP="005E73B3">
      <w:pPr>
        <w:pStyle w:val="ListParagraph"/>
        <w:ind w:left="1800"/>
        <w:jc w:val="both"/>
        <w:rPr>
          <w:rFonts w:ascii="Arial" w:hAnsi="Arial" w:cs="Arial"/>
          <w:sz w:val="24"/>
          <w:szCs w:val="24"/>
        </w:rPr>
      </w:pPr>
    </w:p>
    <w:p w:rsidR="00272F0E" w:rsidRDefault="007B13CE">
      <w:pPr>
        <w:pStyle w:val="ListParagraph"/>
        <w:numPr>
          <w:ilvl w:val="0"/>
          <w:numId w:val="20"/>
        </w:numPr>
        <w:ind w:left="1800" w:hanging="630"/>
        <w:jc w:val="both"/>
        <w:rPr>
          <w:rFonts w:ascii="Arial" w:hAnsi="Arial" w:cs="Arial"/>
          <w:sz w:val="24"/>
          <w:szCs w:val="24"/>
        </w:rPr>
      </w:pPr>
      <w:r w:rsidRPr="00E23D88">
        <w:rPr>
          <w:rFonts w:ascii="Arial" w:hAnsi="Arial" w:cs="Arial"/>
          <w:sz w:val="24"/>
          <w:szCs w:val="24"/>
        </w:rPr>
        <w:t xml:space="preserve">2 Million </w:t>
      </w:r>
      <w:proofErr w:type="gramStart"/>
      <w:r>
        <w:rPr>
          <w:rFonts w:ascii="Arial" w:hAnsi="Arial" w:cs="Arial"/>
          <w:sz w:val="24"/>
          <w:szCs w:val="24"/>
        </w:rPr>
        <w:t>shares</w:t>
      </w:r>
      <w:proofErr w:type="gramEnd"/>
      <w:r>
        <w:rPr>
          <w:rFonts w:ascii="Arial" w:hAnsi="Arial" w:cs="Arial"/>
          <w:sz w:val="24"/>
          <w:szCs w:val="24"/>
        </w:rPr>
        <w:t xml:space="preserve"> and 1 million warrants </w:t>
      </w:r>
      <w:r w:rsidRPr="00E23D88">
        <w:rPr>
          <w:rFonts w:ascii="Arial" w:hAnsi="Arial" w:cs="Arial"/>
          <w:sz w:val="24"/>
          <w:szCs w:val="24"/>
        </w:rPr>
        <w:t>upon receiving first $100,00</w:t>
      </w:r>
      <w:r>
        <w:rPr>
          <w:rFonts w:ascii="Arial" w:hAnsi="Arial" w:cs="Arial"/>
          <w:sz w:val="24"/>
          <w:szCs w:val="24"/>
        </w:rPr>
        <w:t>0</w:t>
      </w:r>
      <w:r w:rsidRPr="00E23D88">
        <w:rPr>
          <w:rFonts w:ascii="Arial" w:hAnsi="Arial" w:cs="Arial"/>
          <w:sz w:val="24"/>
          <w:szCs w:val="24"/>
        </w:rPr>
        <w:t xml:space="preserve"> dollar</w:t>
      </w:r>
      <w:r>
        <w:rPr>
          <w:rFonts w:ascii="Arial" w:hAnsi="Arial" w:cs="Arial"/>
          <w:sz w:val="24"/>
          <w:szCs w:val="24"/>
        </w:rPr>
        <w:t>s</w:t>
      </w:r>
      <w:r w:rsidRPr="00E23D88">
        <w:rPr>
          <w:rFonts w:ascii="Arial" w:hAnsi="Arial" w:cs="Arial"/>
          <w:sz w:val="24"/>
          <w:szCs w:val="24"/>
        </w:rPr>
        <w:t xml:space="preserve"> in revenues</w:t>
      </w:r>
      <w:r w:rsidR="005E73B3">
        <w:rPr>
          <w:rFonts w:ascii="Arial" w:hAnsi="Arial" w:cs="Arial"/>
          <w:sz w:val="24"/>
          <w:szCs w:val="24"/>
        </w:rPr>
        <w:t>.</w:t>
      </w:r>
    </w:p>
    <w:p w:rsidR="00272F0E" w:rsidRDefault="00272F0E">
      <w:pPr>
        <w:pStyle w:val="ListParagraph"/>
        <w:spacing w:after="120" w:line="276" w:lineRule="auto"/>
        <w:ind w:left="1170"/>
        <w:jc w:val="both"/>
        <w:rPr>
          <w:rFonts w:ascii="Arial" w:hAnsi="Arial" w:cs="Arial"/>
          <w:sz w:val="24"/>
          <w:szCs w:val="24"/>
        </w:rPr>
      </w:pPr>
    </w:p>
    <w:p w:rsidR="00272F0E" w:rsidRDefault="005E73B3" w:rsidP="005E73B3">
      <w:pPr>
        <w:pStyle w:val="ListParagraph"/>
        <w:spacing w:after="200" w:line="276" w:lineRule="auto"/>
        <w:ind w:left="1800" w:hanging="630"/>
        <w:jc w:val="both"/>
        <w:rPr>
          <w:rFonts w:ascii="Arial" w:hAnsi="Arial" w:cs="Arial"/>
          <w:sz w:val="24"/>
          <w:szCs w:val="24"/>
        </w:rPr>
      </w:pPr>
      <w:r>
        <w:rPr>
          <w:rFonts w:ascii="Arial" w:hAnsi="Arial" w:cs="Arial"/>
          <w:sz w:val="24"/>
          <w:szCs w:val="24"/>
        </w:rPr>
        <w:t>4.</w:t>
      </w:r>
      <w:r>
        <w:rPr>
          <w:rFonts w:ascii="Arial" w:hAnsi="Arial" w:cs="Arial"/>
          <w:sz w:val="24"/>
          <w:szCs w:val="24"/>
        </w:rPr>
        <w:tab/>
      </w:r>
      <w:r w:rsidR="004B3AAE" w:rsidRPr="00B76B31">
        <w:rPr>
          <w:rFonts w:ascii="Arial" w:hAnsi="Arial" w:cs="Arial"/>
          <w:sz w:val="24"/>
          <w:szCs w:val="24"/>
        </w:rPr>
        <w:t>Cash payments of $75,000 on execution of the MOU and $75,000 on execution of the Definitive Agreement;</w:t>
      </w:r>
    </w:p>
    <w:p w:rsidR="00272F0E" w:rsidRPr="005E73B3" w:rsidRDefault="005E73B3" w:rsidP="005E73B3">
      <w:pPr>
        <w:spacing w:after="200" w:line="276" w:lineRule="auto"/>
        <w:ind w:left="1800" w:hanging="630"/>
        <w:jc w:val="both"/>
        <w:rPr>
          <w:rFonts w:ascii="Arial" w:hAnsi="Arial" w:cs="Arial"/>
          <w:sz w:val="24"/>
          <w:szCs w:val="24"/>
        </w:rPr>
      </w:pPr>
      <w:r>
        <w:rPr>
          <w:rFonts w:ascii="Arial" w:hAnsi="Arial" w:cs="Arial"/>
          <w:sz w:val="24"/>
          <w:szCs w:val="24"/>
        </w:rPr>
        <w:t>5.</w:t>
      </w:r>
      <w:r>
        <w:rPr>
          <w:rFonts w:ascii="Arial" w:hAnsi="Arial" w:cs="Arial"/>
          <w:sz w:val="24"/>
          <w:szCs w:val="24"/>
        </w:rPr>
        <w:tab/>
      </w:r>
      <w:r w:rsidR="004B3AAE" w:rsidRPr="005E73B3">
        <w:rPr>
          <w:rFonts w:ascii="Arial" w:hAnsi="Arial" w:cs="Arial"/>
          <w:sz w:val="24"/>
          <w:szCs w:val="24"/>
        </w:rPr>
        <w:t xml:space="preserve">Pay a Royalty to BRIM on each Botany Centre in Canada </w:t>
      </w:r>
      <w:r w:rsidR="002E4296" w:rsidRPr="005E73B3">
        <w:rPr>
          <w:rFonts w:ascii="Arial" w:hAnsi="Arial" w:cs="Arial"/>
          <w:sz w:val="24"/>
          <w:szCs w:val="24"/>
        </w:rPr>
        <w:t>of 5% of gross sales</w:t>
      </w:r>
      <w:r w:rsidR="003E7028" w:rsidRPr="005E73B3">
        <w:rPr>
          <w:rFonts w:ascii="Arial" w:hAnsi="Arial" w:cs="Arial"/>
          <w:sz w:val="24"/>
          <w:szCs w:val="24"/>
        </w:rPr>
        <w:t xml:space="preserve"> or</w:t>
      </w:r>
      <w:r w:rsidR="002E4296" w:rsidRPr="005E73B3">
        <w:rPr>
          <w:rFonts w:ascii="Arial" w:hAnsi="Arial" w:cs="Arial"/>
          <w:sz w:val="24"/>
          <w:szCs w:val="24"/>
        </w:rPr>
        <w:t xml:space="preserve"> </w:t>
      </w:r>
      <w:r w:rsidR="005D7226" w:rsidRPr="005E73B3">
        <w:rPr>
          <w:rFonts w:ascii="Arial" w:hAnsi="Arial" w:cs="Arial"/>
          <w:sz w:val="24"/>
          <w:szCs w:val="24"/>
        </w:rPr>
        <w:t>a larger royalty based on another formula of net income that is consistent with similar commercial operations</w:t>
      </w:r>
      <w:r w:rsidR="004B3AAE" w:rsidRPr="005E73B3">
        <w:rPr>
          <w:rFonts w:ascii="Arial" w:hAnsi="Arial" w:cs="Arial"/>
          <w:sz w:val="24"/>
          <w:szCs w:val="24"/>
        </w:rPr>
        <w:t>.</w:t>
      </w:r>
    </w:p>
    <w:p w:rsidR="004B3AAE" w:rsidRDefault="004B3AAE" w:rsidP="005349EE">
      <w:pPr>
        <w:ind w:left="1170"/>
        <w:jc w:val="both"/>
        <w:rPr>
          <w:rFonts w:ascii="Arial" w:hAnsi="Arial" w:cs="Arial"/>
          <w:sz w:val="24"/>
          <w:szCs w:val="24"/>
        </w:rPr>
      </w:pPr>
      <w:r w:rsidRPr="00B76B31">
        <w:rPr>
          <w:rFonts w:ascii="Arial" w:hAnsi="Arial" w:cs="Arial"/>
          <w:sz w:val="24"/>
          <w:szCs w:val="24"/>
        </w:rPr>
        <w:t>The initial Botany Centre and land shall be held by a wholly owned subsidiary of Alliance.  Alliance shall be solely responsible for the cost of construction of the Botany Centre, and be responsible for all management fees, salaries, consulting fees and other operating costs related to the Botany Centre.</w:t>
      </w:r>
      <w:r w:rsidR="00DD7935">
        <w:rPr>
          <w:rFonts w:ascii="Arial" w:hAnsi="Arial" w:cs="Arial"/>
          <w:sz w:val="24"/>
          <w:szCs w:val="24"/>
        </w:rPr>
        <w:t xml:space="preserve"> </w:t>
      </w:r>
      <w:bookmarkStart w:id="4" w:name="_GoBack"/>
      <w:bookmarkEnd w:id="4"/>
      <w:r w:rsidRPr="00B76B31">
        <w:rPr>
          <w:rFonts w:ascii="Arial" w:hAnsi="Arial" w:cs="Arial"/>
          <w:sz w:val="24"/>
          <w:szCs w:val="24"/>
        </w:rPr>
        <w:t>BRIM also agrees to grant Alliance first right of refusal on exclusive licenses in various states in the US, and other countries or regions as they are identified, whereby Alliance will jointly operate the clean room certified laboratories making up a similar Botany Centre in those locations.</w:t>
      </w:r>
    </w:p>
    <w:p w:rsidR="0094672B" w:rsidRPr="00B76B31" w:rsidRDefault="0094672B" w:rsidP="005349EE">
      <w:pPr>
        <w:ind w:left="1170"/>
        <w:jc w:val="both"/>
        <w:rPr>
          <w:rFonts w:ascii="Arial" w:hAnsi="Arial" w:cs="Arial"/>
          <w:sz w:val="24"/>
          <w:szCs w:val="24"/>
        </w:rPr>
      </w:pPr>
    </w:p>
    <w:p w:rsidR="004B3AAE" w:rsidRDefault="004B3AAE" w:rsidP="005349EE">
      <w:pPr>
        <w:spacing w:before="120" w:after="120"/>
        <w:ind w:left="1170"/>
        <w:jc w:val="both"/>
        <w:rPr>
          <w:rFonts w:ascii="Arial" w:hAnsi="Arial" w:cs="Arial"/>
          <w:sz w:val="24"/>
          <w:szCs w:val="24"/>
        </w:rPr>
      </w:pPr>
      <w:r w:rsidRPr="00B76B31">
        <w:rPr>
          <w:rFonts w:ascii="Arial" w:hAnsi="Arial" w:cs="Arial"/>
          <w:sz w:val="24"/>
          <w:szCs w:val="24"/>
        </w:rPr>
        <w:t xml:space="preserve">To finance the development of the Botany Centre, the Company has engaged DGWA, the German Institute for Asset and Equity Allocation and Valuation, known and respected as one of the leading German Corporate Boutiques for global small and mid-cap consulting and investments.  As reported on August 18, 2016, Alliance has applied for a listing on the Frankfurt Stock Exchange, as the beginning of a European partnership with DGWA. </w:t>
      </w:r>
    </w:p>
    <w:p w:rsidR="00EA4133" w:rsidRDefault="005349EE" w:rsidP="00E23D88">
      <w:pPr>
        <w:pStyle w:val="List"/>
        <w:tabs>
          <w:tab w:val="left" w:pos="1080"/>
          <w:tab w:val="left" w:pos="9180"/>
        </w:tabs>
        <w:spacing w:before="0"/>
        <w:ind w:left="1170" w:firstLine="0"/>
        <w:jc w:val="both"/>
        <w:rPr>
          <w:rFonts w:ascii="Arial" w:hAnsi="Arial"/>
          <w:color w:val="000000"/>
        </w:rPr>
      </w:pPr>
      <w:r>
        <w:rPr>
          <w:rFonts w:ascii="Arial" w:hAnsi="Arial" w:cs="Arial"/>
          <w:szCs w:val="24"/>
        </w:rPr>
        <w:t>All of the above is subject to the execution of a definitive Agreement by November 30, 2016.</w:t>
      </w:r>
      <w:r w:rsidR="00EA4133">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sidR="00763D0B">
        <w:rPr>
          <w:rFonts w:ascii="Arial" w:hAnsi="Arial"/>
          <w:color w:val="000000"/>
        </w:rPr>
        <w:t xml:space="preserve">Shares equal in value to </w:t>
      </w:r>
      <w:r w:rsidR="00C40BEA">
        <w:rPr>
          <w:rFonts w:ascii="Arial" w:hAnsi="Arial"/>
          <w:color w:val="000000"/>
        </w:rPr>
        <w:t>$810,000</w:t>
      </w:r>
      <w:r w:rsidR="00C40BEA">
        <w:rPr>
          <w:rFonts w:ascii="Arial" w:hAnsi="Arial"/>
          <w:color w:val="000000"/>
          <w:u w:val="single"/>
        </w:rPr>
        <w:t>.</w:t>
      </w:r>
      <w:r>
        <w:rPr>
          <w:rFonts w:ascii="Arial" w:hAnsi="Arial"/>
          <w:color w:val="000000"/>
        </w:rPr>
        <w:t xml:space="preserve"> . </w:t>
      </w:r>
    </w:p>
    <w:p w:rsidR="00EA4133" w:rsidRDefault="00EA4133" w:rsidP="00B76B31">
      <w:pPr>
        <w:pStyle w:val="List"/>
        <w:numPr>
          <w:ilvl w:val="0"/>
          <w:numId w:val="13"/>
        </w:numPr>
        <w:tabs>
          <w:tab w:val="left" w:pos="2160"/>
          <w:tab w:val="left" w:pos="9180"/>
        </w:tabs>
        <w:jc w:val="both"/>
        <w:rPr>
          <w:rFonts w:ascii="Arial" w:hAnsi="Arial"/>
          <w:color w:val="000000"/>
        </w:rPr>
      </w:pPr>
      <w:r>
        <w:rPr>
          <w:rFonts w:ascii="Arial" w:hAnsi="Arial"/>
          <w:color w:val="000000"/>
        </w:rPr>
        <w:lastRenderedPageBreak/>
        <w:t xml:space="preserve">Cash: </w:t>
      </w:r>
      <w:r w:rsidR="00C40BEA">
        <w:rPr>
          <w:rFonts w:ascii="Arial" w:hAnsi="Arial"/>
          <w:color w:val="000000"/>
        </w:rPr>
        <w:t>$150,000</w:t>
      </w:r>
      <w:r w:rsidR="0094672B">
        <w:rPr>
          <w:rFonts w:ascii="Arial" w:hAnsi="Arial"/>
          <w:color w:val="000000"/>
        </w:rPr>
        <w:t>:</w:t>
      </w:r>
      <w:r w:rsidR="00C40BEA">
        <w:rPr>
          <w:rFonts w:ascii="Arial" w:hAnsi="Arial"/>
          <w:color w:val="000000"/>
        </w:rPr>
        <w:t xml:space="preserve"> $75,000 on signing the MOU, and $75,000 on signing the definitive agreement</w:t>
      </w:r>
      <w:r w:rsidR="00763D0B">
        <w:rPr>
          <w:rFonts w:ascii="Arial" w:hAnsi="Arial"/>
          <w:color w:val="000000"/>
        </w:rPr>
        <w:t>.</w:t>
      </w:r>
      <w:r>
        <w:rPr>
          <w:rFonts w:ascii="Arial" w:hAnsi="Arial"/>
          <w:color w:val="000000"/>
        </w:rPr>
        <w:t xml:space="preserve"> .</w:t>
      </w:r>
    </w:p>
    <w:p w:rsidR="00EA4133" w:rsidRDefault="00EA4133" w:rsidP="00B76B31">
      <w:pPr>
        <w:pStyle w:val="List"/>
        <w:numPr>
          <w:ilvl w:val="0"/>
          <w:numId w:val="13"/>
        </w:numPr>
        <w:tabs>
          <w:tab w:val="left" w:pos="2160"/>
          <w:tab w:val="left" w:pos="9180"/>
        </w:tabs>
        <w:jc w:val="both"/>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rsidR="00EA4133" w:rsidRDefault="004B3AAE" w:rsidP="00B76B31">
      <w:pPr>
        <w:pStyle w:val="List"/>
        <w:tabs>
          <w:tab w:val="left" w:pos="1080"/>
          <w:tab w:val="left" w:pos="2160"/>
          <w:tab w:val="left" w:pos="9180"/>
        </w:tabs>
        <w:spacing w:before="0"/>
        <w:ind w:left="2160" w:firstLine="0"/>
        <w:jc w:val="both"/>
        <w:rPr>
          <w:rFonts w:ascii="Arial" w:hAnsi="Arial"/>
          <w:color w:val="000000"/>
        </w:rPr>
      </w:pPr>
      <w:r>
        <w:rPr>
          <w:rFonts w:ascii="Arial" w:hAnsi="Arial"/>
          <w:color w:val="000000"/>
          <w:u w:val="single"/>
        </w:rPr>
        <w:t xml:space="preserve">6,000,000 </w:t>
      </w:r>
      <w:r w:rsidR="0094672B">
        <w:rPr>
          <w:rFonts w:ascii="Arial" w:hAnsi="Arial"/>
          <w:color w:val="000000"/>
          <w:u w:val="single"/>
        </w:rPr>
        <w:t>S</w:t>
      </w:r>
      <w:r>
        <w:rPr>
          <w:rFonts w:ascii="Arial" w:hAnsi="Arial"/>
          <w:color w:val="000000"/>
          <w:u w:val="single"/>
        </w:rPr>
        <w:t>hares at a deemed price of $</w:t>
      </w:r>
      <w:r w:rsidR="002E4296">
        <w:rPr>
          <w:rFonts w:ascii="Arial" w:hAnsi="Arial"/>
          <w:color w:val="000000"/>
          <w:u w:val="single"/>
        </w:rPr>
        <w:t>0</w:t>
      </w:r>
      <w:r>
        <w:rPr>
          <w:rFonts w:ascii="Arial" w:hAnsi="Arial"/>
          <w:color w:val="000000"/>
          <w:u w:val="single"/>
        </w:rPr>
        <w:t>.135 for a total of $810,000</w:t>
      </w:r>
      <w:r w:rsidR="005349EE">
        <w:rPr>
          <w:rFonts w:ascii="Arial" w:hAnsi="Arial"/>
          <w:color w:val="000000"/>
          <w:u w:val="single"/>
        </w:rPr>
        <w:t xml:space="preserve">, based on the discounted closing price of the Company’s </w:t>
      </w:r>
      <w:r w:rsidR="0094672B">
        <w:rPr>
          <w:rFonts w:ascii="Arial" w:hAnsi="Arial"/>
          <w:color w:val="000000"/>
          <w:u w:val="single"/>
        </w:rPr>
        <w:t>S</w:t>
      </w:r>
      <w:r w:rsidR="005349EE">
        <w:rPr>
          <w:rFonts w:ascii="Arial" w:hAnsi="Arial"/>
          <w:color w:val="000000"/>
          <w:u w:val="single"/>
        </w:rPr>
        <w:t xml:space="preserve">hares on the </w:t>
      </w:r>
      <w:r w:rsidR="005E73B3">
        <w:rPr>
          <w:rFonts w:ascii="Arial" w:hAnsi="Arial"/>
          <w:color w:val="000000"/>
          <w:u w:val="single"/>
        </w:rPr>
        <w:t xml:space="preserve">trading </w:t>
      </w:r>
      <w:r w:rsidR="005349EE">
        <w:rPr>
          <w:rFonts w:ascii="Arial" w:hAnsi="Arial"/>
          <w:color w:val="000000"/>
          <w:u w:val="single"/>
        </w:rPr>
        <w:t>day prior to November 7, 2016</w:t>
      </w:r>
      <w:r>
        <w:rPr>
          <w:rFonts w:ascii="Arial" w:hAnsi="Arial"/>
          <w:color w:val="000000"/>
          <w:u w:val="single"/>
        </w:rPr>
        <w:t>.</w:t>
      </w:r>
      <w:r w:rsidR="00C40BEA">
        <w:rPr>
          <w:rFonts w:ascii="Arial" w:hAnsi="Arial"/>
          <w:color w:val="000000"/>
          <w:u w:val="single"/>
        </w:rPr>
        <w:t xml:space="preserve">  Additionally, 3,000,000 warrants </w:t>
      </w:r>
      <w:r w:rsidR="005E73B3">
        <w:rPr>
          <w:rFonts w:ascii="Arial" w:hAnsi="Arial"/>
          <w:color w:val="000000"/>
          <w:u w:val="single"/>
        </w:rPr>
        <w:t>will</w:t>
      </w:r>
      <w:r w:rsidR="00C40BEA">
        <w:rPr>
          <w:rFonts w:ascii="Arial" w:hAnsi="Arial"/>
          <w:color w:val="000000"/>
          <w:u w:val="single"/>
        </w:rPr>
        <w:t xml:space="preserve"> be issued at </w:t>
      </w:r>
      <w:r w:rsidR="007B13CE">
        <w:rPr>
          <w:rFonts w:ascii="Arial" w:hAnsi="Arial"/>
          <w:color w:val="000000"/>
          <w:u w:val="single"/>
        </w:rPr>
        <w:t>an exercise price of $0.27</w:t>
      </w:r>
      <w:r w:rsidR="002E4296">
        <w:rPr>
          <w:rFonts w:ascii="Arial" w:hAnsi="Arial"/>
          <w:color w:val="000000"/>
          <w:u w:val="single"/>
        </w:rPr>
        <w:t xml:space="preserve"> </w:t>
      </w:r>
      <w:r w:rsidR="000E1E3E">
        <w:rPr>
          <w:rFonts w:ascii="Arial" w:hAnsi="Arial"/>
          <w:color w:val="000000"/>
          <w:u w:val="single"/>
        </w:rPr>
        <w:t>per Share</w:t>
      </w:r>
      <w:r w:rsidR="005E73B3">
        <w:rPr>
          <w:rFonts w:ascii="Arial" w:hAnsi="Arial"/>
          <w:color w:val="000000"/>
          <w:u w:val="single"/>
        </w:rPr>
        <w:t xml:space="preserve"> </w:t>
      </w:r>
      <w:r w:rsidR="002E4296">
        <w:rPr>
          <w:rFonts w:ascii="Arial" w:hAnsi="Arial"/>
          <w:color w:val="000000"/>
          <w:u w:val="single"/>
        </w:rPr>
        <w:t>exercisable for a period of two years from date of issuance</w:t>
      </w:r>
      <w:r w:rsidR="00C40BEA">
        <w:rPr>
          <w:rFonts w:ascii="Arial" w:hAnsi="Arial"/>
          <w:color w:val="000000"/>
          <w:u w:val="single"/>
        </w:rPr>
        <w:t>.</w:t>
      </w:r>
      <w:r w:rsidR="00EA4133">
        <w:rPr>
          <w:rFonts w:ascii="Arial" w:hAnsi="Arial"/>
          <w:color w:val="000000"/>
          <w:u w:val="single"/>
        </w:rPr>
        <w:tab/>
      </w:r>
      <w:r w:rsidR="00EA4133">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5441E9" w:rsidRPr="005441E9">
        <w:rPr>
          <w:rFonts w:ascii="Arial" w:hAnsi="Arial"/>
          <w:u w:val="single"/>
        </w:rPr>
        <w:t>N/A</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5E73B3">
        <w:rPr>
          <w:rFonts w:ascii="Arial" w:hAnsi="Arial"/>
          <w:color w:val="000000"/>
        </w:rPr>
        <w:t>Two years. See (c) above.</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5E73B3">
        <w:rPr>
          <w:rFonts w:ascii="Arial" w:hAnsi="Arial"/>
          <w:color w:val="000000"/>
        </w:rPr>
        <w:t>$.27. See (c) above.</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Work commitments</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how the purchase or sale price was determined (e.g. arm’s-length negotiation, independent committee of the Board, third party valuation </w:t>
      </w:r>
      <w:proofErr w:type="spellStart"/>
      <w:r>
        <w:rPr>
          <w:rFonts w:ascii="Arial" w:hAnsi="Arial"/>
          <w:color w:val="000000"/>
        </w:rPr>
        <w:t>etc</w:t>
      </w:r>
      <w:proofErr w:type="spellEnd"/>
      <w:r>
        <w:rPr>
          <w:rFonts w:ascii="Arial" w:hAnsi="Arial"/>
          <w:color w:val="000000"/>
        </w:rPr>
        <w:t>).</w:t>
      </w:r>
    </w:p>
    <w:p w:rsidR="004B3AAE" w:rsidRDefault="0049493F" w:rsidP="00B76B31">
      <w:pPr>
        <w:pStyle w:val="List"/>
        <w:tabs>
          <w:tab w:val="left" w:pos="9180"/>
        </w:tabs>
        <w:ind w:firstLine="0"/>
        <w:jc w:val="both"/>
        <w:rPr>
          <w:rFonts w:ascii="Arial" w:hAnsi="Arial"/>
          <w:color w:val="000000"/>
        </w:rPr>
      </w:pPr>
      <w:r>
        <w:rPr>
          <w:rFonts w:ascii="Arial" w:hAnsi="Arial"/>
          <w:color w:val="000000"/>
        </w:rPr>
        <w:t>Arm’s length</w:t>
      </w:r>
      <w:r w:rsidR="004B3AAE">
        <w:rPr>
          <w:rFonts w:ascii="Arial" w:hAnsi="Arial"/>
          <w:color w:val="000000"/>
        </w:rPr>
        <w:t xml:space="preserve"> negotiations.</w:t>
      </w:r>
    </w:p>
    <w:p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Pr="00A57D7A">
        <w:rPr>
          <w:rFonts w:ascii="Arial" w:hAnsi="Arial"/>
          <w:color w:val="000000"/>
          <w:u w:val="single"/>
        </w:rPr>
        <w:t xml:space="preserve"> </w:t>
      </w:r>
      <w:r w:rsidR="004B3AAE">
        <w:rPr>
          <w:rFonts w:ascii="Arial" w:hAnsi="Arial"/>
          <w:color w:val="000000"/>
          <w:u w:val="single"/>
        </w:rPr>
        <w:t>none</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360" w:type="dxa"/>
        <w:tblInd w:w="3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440"/>
        <w:gridCol w:w="1170"/>
        <w:gridCol w:w="1350"/>
        <w:gridCol w:w="1440"/>
        <w:gridCol w:w="1260"/>
        <w:gridCol w:w="1350"/>
        <w:gridCol w:w="1350"/>
      </w:tblGrid>
      <w:tr w:rsidR="00EA4133" w:rsidTr="00A8310E">
        <w:tc>
          <w:tcPr>
            <w:tcW w:w="1440" w:type="dxa"/>
            <w:tcBorders>
              <w:bottom w:val="double" w:sz="4" w:space="0" w:color="auto"/>
            </w:tcBorders>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170" w:type="dxa"/>
            <w:tcBorders>
              <w:bottom w:val="double" w:sz="4" w:space="0" w:color="auto"/>
            </w:tcBorders>
          </w:tcPr>
          <w:p w:rsidR="00EA4133" w:rsidRDefault="00EA4133" w:rsidP="0094672B">
            <w:pPr>
              <w:pStyle w:val="BodyText"/>
              <w:keepNext/>
              <w:keepLines/>
              <w:spacing w:before="0" w:line="280" w:lineRule="exact"/>
              <w:ind w:left="-108"/>
              <w:rPr>
                <w:rFonts w:ascii="Arial" w:hAnsi="Arial"/>
                <w:b/>
                <w:sz w:val="20"/>
                <w:lang w:val="en-CA"/>
              </w:rPr>
            </w:pPr>
          </w:p>
          <w:p w:rsidR="00EA4133" w:rsidRDefault="00EA4133" w:rsidP="0094672B">
            <w:pPr>
              <w:pStyle w:val="BodyText"/>
              <w:keepNext/>
              <w:keepLines/>
              <w:spacing w:before="0" w:line="280" w:lineRule="exact"/>
              <w:ind w:left="-108"/>
              <w:rPr>
                <w:rFonts w:ascii="Arial" w:hAnsi="Arial"/>
                <w:b/>
                <w:sz w:val="20"/>
                <w:lang w:val="en-CA"/>
              </w:rPr>
            </w:pPr>
            <w:r>
              <w:rPr>
                <w:rFonts w:ascii="Arial" w:hAnsi="Arial"/>
                <w:b/>
                <w:sz w:val="20"/>
                <w:lang w:val="en-CA"/>
              </w:rPr>
              <w:t>Number and Type of Securities to be Issued</w:t>
            </w:r>
          </w:p>
        </w:tc>
        <w:tc>
          <w:tcPr>
            <w:tcW w:w="1350" w:type="dxa"/>
            <w:tcBorders>
              <w:bottom w:val="double" w:sz="4" w:space="0" w:color="auto"/>
            </w:tcBorders>
          </w:tcPr>
          <w:p w:rsidR="00EA4133" w:rsidRDefault="00EA4133" w:rsidP="0094672B">
            <w:pPr>
              <w:pStyle w:val="BodyText"/>
              <w:keepNext/>
              <w:keepLines/>
              <w:spacing w:before="0" w:line="280" w:lineRule="exact"/>
              <w:ind w:left="-108"/>
              <w:rPr>
                <w:rFonts w:ascii="Arial" w:hAnsi="Arial"/>
                <w:b/>
                <w:sz w:val="20"/>
                <w:lang w:val="en-CA"/>
              </w:rPr>
            </w:pPr>
          </w:p>
          <w:p w:rsidR="00EA4133" w:rsidRDefault="00EA4133" w:rsidP="0094672B">
            <w:pPr>
              <w:pStyle w:val="BodyText"/>
              <w:keepNext/>
              <w:keepLines/>
              <w:spacing w:before="0" w:line="280" w:lineRule="exact"/>
              <w:ind w:left="-108"/>
              <w:rPr>
                <w:rFonts w:ascii="Arial" w:hAnsi="Arial"/>
                <w:b/>
                <w:sz w:val="20"/>
                <w:lang w:val="en-CA"/>
              </w:rPr>
            </w:pPr>
            <w:r>
              <w:rPr>
                <w:rFonts w:ascii="Arial" w:hAnsi="Arial"/>
                <w:b/>
                <w:sz w:val="20"/>
                <w:lang w:val="en-CA"/>
              </w:rPr>
              <w:t>Dollar value per Security (CDN$)</w:t>
            </w:r>
          </w:p>
        </w:tc>
        <w:tc>
          <w:tcPr>
            <w:tcW w:w="1440" w:type="dxa"/>
            <w:tcBorders>
              <w:bottom w:val="double" w:sz="4" w:space="0" w:color="auto"/>
            </w:tcBorders>
          </w:tcPr>
          <w:p w:rsidR="00EA4133" w:rsidRDefault="00EA4133" w:rsidP="0094672B">
            <w:pPr>
              <w:pStyle w:val="BodyText"/>
              <w:keepNext/>
              <w:keepLines/>
              <w:spacing w:before="0" w:line="280" w:lineRule="exact"/>
              <w:ind w:left="-108"/>
              <w:rPr>
                <w:rFonts w:ascii="Arial" w:hAnsi="Arial"/>
                <w:b/>
                <w:sz w:val="20"/>
                <w:lang w:val="en-CA"/>
              </w:rPr>
            </w:pPr>
          </w:p>
          <w:p w:rsidR="00EA4133" w:rsidRDefault="00EA4133" w:rsidP="0094672B">
            <w:pPr>
              <w:pStyle w:val="BodyText"/>
              <w:keepNext/>
              <w:keepLines/>
              <w:spacing w:before="0" w:line="280" w:lineRule="exact"/>
              <w:ind w:left="-108"/>
              <w:rPr>
                <w:rFonts w:ascii="Arial" w:hAnsi="Arial"/>
                <w:b/>
                <w:sz w:val="20"/>
                <w:lang w:val="en-CA"/>
              </w:rPr>
            </w:pPr>
            <w:r>
              <w:rPr>
                <w:rFonts w:ascii="Arial" w:hAnsi="Arial"/>
                <w:b/>
                <w:sz w:val="20"/>
                <w:lang w:val="en-CA"/>
              </w:rPr>
              <w:t>Conversion price (if applicable)</w:t>
            </w:r>
          </w:p>
        </w:tc>
        <w:tc>
          <w:tcPr>
            <w:tcW w:w="1260" w:type="dxa"/>
            <w:tcBorders>
              <w:bottom w:val="double" w:sz="4" w:space="0" w:color="auto"/>
            </w:tcBorders>
          </w:tcPr>
          <w:p w:rsidR="00EA4133" w:rsidRDefault="00EA4133" w:rsidP="0094672B">
            <w:pPr>
              <w:pStyle w:val="BodyText"/>
              <w:keepNext/>
              <w:keepLines/>
              <w:spacing w:before="0" w:line="280" w:lineRule="exact"/>
              <w:ind w:left="-108"/>
              <w:rPr>
                <w:rFonts w:ascii="Arial" w:hAnsi="Arial"/>
                <w:b/>
                <w:sz w:val="20"/>
                <w:lang w:val="en-CA"/>
              </w:rPr>
            </w:pPr>
          </w:p>
          <w:p w:rsidR="00EA4133" w:rsidRDefault="00EA4133" w:rsidP="0094672B">
            <w:pPr>
              <w:pStyle w:val="BodyText"/>
              <w:keepNext/>
              <w:keepLines/>
              <w:spacing w:before="0" w:line="280" w:lineRule="exact"/>
              <w:ind w:left="-108"/>
              <w:rPr>
                <w:rFonts w:ascii="Arial" w:hAnsi="Arial"/>
                <w:b/>
                <w:sz w:val="20"/>
                <w:lang w:val="en-CA"/>
              </w:rPr>
            </w:pPr>
            <w:r>
              <w:rPr>
                <w:rFonts w:ascii="Arial" w:hAnsi="Arial"/>
                <w:b/>
                <w:sz w:val="20"/>
                <w:lang w:val="en-CA"/>
              </w:rPr>
              <w:t>Prospectus Exemption</w:t>
            </w:r>
          </w:p>
        </w:tc>
        <w:tc>
          <w:tcPr>
            <w:tcW w:w="1350" w:type="dxa"/>
            <w:tcBorders>
              <w:bottom w:val="double" w:sz="4" w:space="0" w:color="auto"/>
            </w:tcBorders>
          </w:tcPr>
          <w:p w:rsidR="00EA4133" w:rsidRDefault="00EA4133" w:rsidP="0094672B">
            <w:pPr>
              <w:pStyle w:val="BodyText"/>
              <w:keepNext/>
              <w:keepLines/>
              <w:spacing w:before="0" w:line="280" w:lineRule="exact"/>
              <w:ind w:left="-108"/>
              <w:rPr>
                <w:rFonts w:ascii="Arial" w:hAnsi="Arial"/>
                <w:b/>
                <w:sz w:val="20"/>
              </w:rPr>
            </w:pPr>
          </w:p>
          <w:p w:rsidR="00EA4133" w:rsidRDefault="00EA4133" w:rsidP="0094672B">
            <w:pPr>
              <w:pStyle w:val="BodyText"/>
              <w:keepNext/>
              <w:keepLines/>
              <w:spacing w:before="0" w:line="280" w:lineRule="exact"/>
              <w:ind w:left="-108"/>
              <w:rPr>
                <w:rFonts w:ascii="Arial" w:hAnsi="Arial"/>
                <w:b/>
                <w:sz w:val="20"/>
                <w:lang w:val="en-CA"/>
              </w:rPr>
            </w:pPr>
            <w:r>
              <w:rPr>
                <w:rFonts w:ascii="Arial" w:hAnsi="Arial"/>
                <w:b/>
                <w:sz w:val="20"/>
              </w:rPr>
              <w:t>No. of Securities, directly or indirectly, Owned, Controlled or Directed by Party</w:t>
            </w:r>
          </w:p>
        </w:tc>
        <w:tc>
          <w:tcPr>
            <w:tcW w:w="1350" w:type="dxa"/>
            <w:tcBorders>
              <w:bottom w:val="double" w:sz="4" w:space="0" w:color="auto"/>
            </w:tcBorders>
          </w:tcPr>
          <w:p w:rsidR="00EA4133" w:rsidRDefault="00EA4133" w:rsidP="0094672B">
            <w:pPr>
              <w:pStyle w:val="BodyText"/>
              <w:keepNext/>
              <w:keepLines/>
              <w:spacing w:before="0" w:line="280" w:lineRule="exact"/>
              <w:ind w:left="-108"/>
              <w:rPr>
                <w:rFonts w:ascii="Arial" w:hAnsi="Arial"/>
                <w:b/>
                <w:color w:val="000000"/>
                <w:sz w:val="20"/>
                <w:lang w:val="en-CA"/>
              </w:rPr>
            </w:pPr>
          </w:p>
          <w:p w:rsidR="00EA4133" w:rsidRDefault="00EA4133" w:rsidP="0094672B">
            <w:pPr>
              <w:pStyle w:val="BodyText"/>
              <w:keepNext/>
              <w:keepLines/>
              <w:spacing w:before="0" w:line="280" w:lineRule="exact"/>
              <w:ind w:left="-108"/>
              <w:rPr>
                <w:rFonts w:ascii="Arial" w:hAnsi="Arial"/>
                <w:b/>
                <w:color w:val="000000"/>
                <w:sz w:val="20"/>
                <w:lang w:val="en-CA"/>
              </w:rPr>
            </w:pPr>
            <w:r>
              <w:rPr>
                <w:rFonts w:ascii="Arial" w:hAnsi="Arial"/>
                <w:b/>
                <w:color w:val="000000"/>
                <w:sz w:val="20"/>
                <w:lang w:val="en-CA"/>
              </w:rPr>
              <w:t xml:space="preserve">Describe relationship </w:t>
            </w:r>
          </w:p>
          <w:p w:rsidR="00EA4133" w:rsidRDefault="00EA4133" w:rsidP="0094672B">
            <w:pPr>
              <w:pStyle w:val="BodyText"/>
              <w:keepNext/>
              <w:keepLines/>
              <w:spacing w:before="0" w:line="280" w:lineRule="exact"/>
              <w:ind w:left="-108"/>
              <w:rPr>
                <w:rFonts w:ascii="Arial" w:hAnsi="Arial"/>
                <w:b/>
                <w:color w:val="000000"/>
                <w:sz w:val="20"/>
                <w:lang w:val="en-CA"/>
              </w:rPr>
            </w:pPr>
            <w:r>
              <w:rPr>
                <w:rFonts w:ascii="Arial" w:hAnsi="Arial"/>
                <w:b/>
                <w:color w:val="000000"/>
                <w:sz w:val="20"/>
                <w:lang w:val="en-CA"/>
              </w:rPr>
              <w:t>to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EA4133" w:rsidTr="00A8310E">
        <w:trPr>
          <w:trHeight w:hRule="exact" w:val="2060"/>
        </w:trPr>
        <w:tc>
          <w:tcPr>
            <w:tcW w:w="1440" w:type="dxa"/>
            <w:tcBorders>
              <w:top w:val="double" w:sz="4" w:space="0" w:color="auto"/>
            </w:tcBorders>
          </w:tcPr>
          <w:p w:rsidR="00EA4133" w:rsidRPr="0094672B" w:rsidRDefault="0049493F" w:rsidP="0049493F">
            <w:pPr>
              <w:pStyle w:val="BodyText"/>
              <w:keepNext/>
              <w:keepLines/>
              <w:rPr>
                <w:rFonts w:ascii="Arial" w:hAnsi="Arial"/>
                <w:sz w:val="20"/>
                <w:lang w:val="en-CA"/>
              </w:rPr>
            </w:pPr>
            <w:r w:rsidRPr="0094672B">
              <w:rPr>
                <w:rFonts w:ascii="Arial" w:hAnsi="Arial"/>
                <w:sz w:val="20"/>
                <w:lang w:val="en-CA"/>
              </w:rPr>
              <w:t xml:space="preserve">BRIM and its Insiders, </w:t>
            </w:r>
            <w:proofErr w:type="spellStart"/>
            <w:r w:rsidRPr="0094672B">
              <w:rPr>
                <w:rFonts w:ascii="Arial" w:hAnsi="Arial"/>
                <w:sz w:val="20"/>
                <w:lang w:val="en-CA"/>
              </w:rPr>
              <w:t>consultants,employees,t</w:t>
            </w:r>
            <w:r w:rsidR="004B3AAE" w:rsidRPr="0094672B">
              <w:rPr>
                <w:rFonts w:ascii="Arial" w:hAnsi="Arial"/>
                <w:sz w:val="20"/>
                <w:lang w:val="en-CA"/>
              </w:rPr>
              <w:t>o</w:t>
            </w:r>
            <w:proofErr w:type="spellEnd"/>
            <w:r w:rsidR="004B3AAE" w:rsidRPr="0094672B">
              <w:rPr>
                <w:rFonts w:ascii="Arial" w:hAnsi="Arial"/>
                <w:sz w:val="20"/>
                <w:lang w:val="en-CA"/>
              </w:rPr>
              <w:t xml:space="preserve"> be determined</w:t>
            </w:r>
          </w:p>
        </w:tc>
        <w:tc>
          <w:tcPr>
            <w:tcW w:w="1170" w:type="dxa"/>
            <w:tcBorders>
              <w:top w:val="double" w:sz="4" w:space="0" w:color="auto"/>
            </w:tcBorders>
          </w:tcPr>
          <w:p w:rsidR="00EA4133" w:rsidRDefault="0094672B" w:rsidP="0094672B">
            <w:pPr>
              <w:pStyle w:val="BodyText"/>
              <w:keepNext/>
              <w:keepLines/>
              <w:rPr>
                <w:rFonts w:ascii="Arial" w:hAnsi="Arial"/>
                <w:sz w:val="20"/>
                <w:lang w:val="en-CA"/>
              </w:rPr>
            </w:pPr>
            <w:r w:rsidRPr="0094672B">
              <w:rPr>
                <w:rFonts w:ascii="Arial" w:hAnsi="Arial"/>
                <w:sz w:val="20"/>
                <w:lang w:val="en-CA"/>
              </w:rPr>
              <w:t xml:space="preserve">6,000,000 </w:t>
            </w:r>
            <w:r>
              <w:rPr>
                <w:rFonts w:ascii="Arial" w:hAnsi="Arial"/>
                <w:sz w:val="20"/>
                <w:lang w:val="en-CA"/>
              </w:rPr>
              <w:t>S</w:t>
            </w:r>
            <w:r w:rsidRPr="0094672B">
              <w:rPr>
                <w:rFonts w:ascii="Arial" w:hAnsi="Arial"/>
                <w:sz w:val="20"/>
                <w:lang w:val="en-CA"/>
              </w:rPr>
              <w:t>hares</w:t>
            </w:r>
          </w:p>
          <w:p w:rsidR="0094672B" w:rsidRDefault="0094672B" w:rsidP="0094672B">
            <w:pPr>
              <w:pStyle w:val="BodyText"/>
              <w:keepNext/>
              <w:keepLines/>
              <w:spacing w:before="0"/>
              <w:rPr>
                <w:rFonts w:ascii="Arial" w:hAnsi="Arial"/>
                <w:sz w:val="20"/>
                <w:lang w:val="en-CA"/>
              </w:rPr>
            </w:pPr>
          </w:p>
          <w:p w:rsidR="0094672B" w:rsidRDefault="0094672B" w:rsidP="0094672B">
            <w:pPr>
              <w:pStyle w:val="BodyText"/>
              <w:keepNext/>
              <w:keepLines/>
              <w:spacing w:before="0"/>
              <w:rPr>
                <w:rFonts w:ascii="Arial" w:hAnsi="Arial"/>
                <w:sz w:val="20"/>
                <w:lang w:val="en-CA"/>
              </w:rPr>
            </w:pPr>
            <w:r>
              <w:rPr>
                <w:rFonts w:ascii="Arial" w:hAnsi="Arial"/>
                <w:sz w:val="20"/>
                <w:lang w:val="en-CA"/>
              </w:rPr>
              <w:t>3,000.000</w:t>
            </w:r>
          </w:p>
          <w:p w:rsidR="0094672B" w:rsidRPr="0094672B" w:rsidRDefault="0094672B" w:rsidP="0094672B">
            <w:pPr>
              <w:pStyle w:val="BodyText"/>
              <w:keepNext/>
              <w:keepLines/>
              <w:spacing w:before="0"/>
              <w:rPr>
                <w:rFonts w:ascii="Arial" w:hAnsi="Arial"/>
                <w:sz w:val="20"/>
                <w:lang w:val="en-CA"/>
              </w:rPr>
            </w:pPr>
            <w:r>
              <w:rPr>
                <w:rFonts w:ascii="Arial" w:hAnsi="Arial"/>
                <w:sz w:val="20"/>
                <w:lang w:val="en-CA"/>
              </w:rPr>
              <w:t>warrants</w:t>
            </w:r>
          </w:p>
        </w:tc>
        <w:tc>
          <w:tcPr>
            <w:tcW w:w="1350" w:type="dxa"/>
            <w:tcBorders>
              <w:top w:val="double" w:sz="4" w:space="0" w:color="auto"/>
            </w:tcBorders>
          </w:tcPr>
          <w:p w:rsidR="00EA4133" w:rsidRPr="0094672B" w:rsidRDefault="0094672B">
            <w:pPr>
              <w:pStyle w:val="BodyText"/>
              <w:keepNext/>
              <w:keepLines/>
              <w:rPr>
                <w:rFonts w:ascii="Arial" w:hAnsi="Arial"/>
                <w:sz w:val="20"/>
                <w:lang w:val="en-CA"/>
              </w:rPr>
            </w:pPr>
            <w:r>
              <w:rPr>
                <w:rFonts w:ascii="Arial" w:hAnsi="Arial"/>
                <w:sz w:val="20"/>
                <w:lang w:val="en-CA"/>
              </w:rPr>
              <w:t>$</w:t>
            </w:r>
            <w:r w:rsidR="002E4296">
              <w:rPr>
                <w:rFonts w:ascii="Arial" w:hAnsi="Arial"/>
                <w:sz w:val="20"/>
                <w:lang w:val="en-CA"/>
              </w:rPr>
              <w:t>0</w:t>
            </w:r>
            <w:r>
              <w:rPr>
                <w:rFonts w:ascii="Arial" w:hAnsi="Arial"/>
                <w:sz w:val="20"/>
                <w:lang w:val="en-CA"/>
              </w:rPr>
              <w:t>.</w:t>
            </w:r>
            <w:r w:rsidR="002E4296">
              <w:rPr>
                <w:rFonts w:ascii="Arial" w:hAnsi="Arial"/>
                <w:sz w:val="20"/>
                <w:lang w:val="en-CA"/>
              </w:rPr>
              <w:t>1</w:t>
            </w:r>
            <w:r>
              <w:rPr>
                <w:rFonts w:ascii="Arial" w:hAnsi="Arial"/>
                <w:sz w:val="20"/>
                <w:lang w:val="en-CA"/>
              </w:rPr>
              <w:t>35</w:t>
            </w:r>
          </w:p>
        </w:tc>
        <w:tc>
          <w:tcPr>
            <w:tcW w:w="1440" w:type="dxa"/>
            <w:tcBorders>
              <w:top w:val="double" w:sz="4" w:space="0" w:color="auto"/>
            </w:tcBorders>
          </w:tcPr>
          <w:p w:rsidR="00EA4133" w:rsidRDefault="00EA4133">
            <w:pPr>
              <w:pStyle w:val="BodyText"/>
              <w:keepNext/>
              <w:keepLines/>
              <w:rPr>
                <w:rFonts w:ascii="Arial" w:hAnsi="Arial"/>
                <w:sz w:val="20"/>
                <w:lang w:val="en-CA"/>
              </w:rPr>
            </w:pPr>
          </w:p>
          <w:p w:rsidR="0094672B" w:rsidRDefault="0094672B">
            <w:pPr>
              <w:pStyle w:val="BodyText"/>
              <w:keepNext/>
              <w:keepLines/>
              <w:rPr>
                <w:rFonts w:ascii="Arial" w:hAnsi="Arial"/>
                <w:sz w:val="20"/>
                <w:lang w:val="en-CA"/>
              </w:rPr>
            </w:pPr>
          </w:p>
          <w:p w:rsidR="0094672B" w:rsidRPr="0094672B" w:rsidRDefault="0094672B" w:rsidP="002E4296">
            <w:pPr>
              <w:pStyle w:val="BodyText"/>
              <w:keepNext/>
              <w:keepLines/>
              <w:rPr>
                <w:rFonts w:ascii="Arial" w:hAnsi="Arial"/>
                <w:sz w:val="20"/>
                <w:lang w:val="en-CA"/>
              </w:rPr>
            </w:pPr>
            <w:r>
              <w:rPr>
                <w:rFonts w:ascii="Arial" w:hAnsi="Arial"/>
                <w:sz w:val="20"/>
                <w:lang w:val="en-CA"/>
              </w:rPr>
              <w:t>$</w:t>
            </w:r>
            <w:r w:rsidR="002E4296">
              <w:rPr>
                <w:rFonts w:ascii="Arial" w:hAnsi="Arial"/>
                <w:sz w:val="20"/>
                <w:lang w:val="en-CA"/>
              </w:rPr>
              <w:t>0</w:t>
            </w:r>
            <w:r>
              <w:rPr>
                <w:rFonts w:ascii="Arial" w:hAnsi="Arial"/>
                <w:sz w:val="20"/>
                <w:lang w:val="en-CA"/>
              </w:rPr>
              <w:t>.</w:t>
            </w:r>
            <w:r w:rsidR="002E4296">
              <w:rPr>
                <w:rFonts w:ascii="Arial" w:hAnsi="Arial"/>
                <w:sz w:val="20"/>
                <w:lang w:val="en-CA"/>
              </w:rPr>
              <w:t>27</w:t>
            </w:r>
          </w:p>
        </w:tc>
        <w:tc>
          <w:tcPr>
            <w:tcW w:w="1260" w:type="dxa"/>
            <w:tcBorders>
              <w:top w:val="double" w:sz="4" w:space="0" w:color="auto"/>
            </w:tcBorders>
          </w:tcPr>
          <w:p w:rsidR="00EA4133" w:rsidRDefault="0094672B">
            <w:pPr>
              <w:pStyle w:val="BodyText"/>
              <w:keepNext/>
              <w:keepLines/>
              <w:rPr>
                <w:rFonts w:ascii="Arial" w:hAnsi="Arial"/>
                <w:sz w:val="20"/>
                <w:lang w:val="en-CA"/>
              </w:rPr>
            </w:pPr>
            <w:r>
              <w:rPr>
                <w:rFonts w:ascii="Arial" w:hAnsi="Arial"/>
                <w:sz w:val="20"/>
                <w:lang w:val="en-CA"/>
              </w:rPr>
              <w:t>NI45-106</w:t>
            </w:r>
          </w:p>
          <w:p w:rsidR="0094672B" w:rsidRPr="0094672B" w:rsidRDefault="0094672B">
            <w:pPr>
              <w:pStyle w:val="BodyText"/>
              <w:keepNext/>
              <w:keepLines/>
              <w:rPr>
                <w:rFonts w:ascii="Arial" w:hAnsi="Arial"/>
                <w:sz w:val="20"/>
                <w:lang w:val="en-CA"/>
              </w:rPr>
            </w:pPr>
            <w:r>
              <w:rPr>
                <w:rFonts w:ascii="Arial" w:hAnsi="Arial"/>
                <w:sz w:val="20"/>
                <w:lang w:val="en-CA"/>
              </w:rPr>
              <w:t>Part 2.12</w:t>
            </w:r>
          </w:p>
        </w:tc>
        <w:tc>
          <w:tcPr>
            <w:tcW w:w="1350" w:type="dxa"/>
            <w:tcBorders>
              <w:top w:val="double" w:sz="4" w:space="0" w:color="auto"/>
            </w:tcBorders>
          </w:tcPr>
          <w:p w:rsidR="00EA4133" w:rsidRPr="0094672B" w:rsidRDefault="0094672B">
            <w:pPr>
              <w:pStyle w:val="BodyText"/>
              <w:keepNext/>
              <w:keepLines/>
              <w:rPr>
                <w:rFonts w:ascii="Arial" w:hAnsi="Arial"/>
                <w:sz w:val="20"/>
                <w:lang w:val="en-CA"/>
              </w:rPr>
            </w:pPr>
            <w:r>
              <w:rPr>
                <w:rFonts w:ascii="Arial" w:hAnsi="Arial"/>
                <w:sz w:val="20"/>
                <w:lang w:val="en-CA"/>
              </w:rPr>
              <w:t>0</w:t>
            </w:r>
          </w:p>
        </w:tc>
        <w:tc>
          <w:tcPr>
            <w:tcW w:w="1350" w:type="dxa"/>
            <w:tcBorders>
              <w:top w:val="double" w:sz="4" w:space="0" w:color="auto"/>
            </w:tcBorders>
          </w:tcPr>
          <w:p w:rsidR="00EA4133" w:rsidRPr="0094672B" w:rsidRDefault="0094672B">
            <w:pPr>
              <w:pStyle w:val="BodyText"/>
              <w:keepNext/>
              <w:keepLines/>
              <w:rPr>
                <w:rFonts w:ascii="Arial" w:hAnsi="Arial"/>
                <w:sz w:val="20"/>
                <w:lang w:val="en-CA"/>
              </w:rPr>
            </w:pPr>
            <w:proofErr w:type="spellStart"/>
            <w:r>
              <w:rPr>
                <w:rFonts w:ascii="Arial" w:hAnsi="Arial"/>
                <w:sz w:val="20"/>
                <w:lang w:val="en-CA"/>
              </w:rPr>
              <w:t>Arms length</w:t>
            </w:r>
            <w:proofErr w:type="spellEnd"/>
          </w:p>
        </w:tc>
      </w:tr>
    </w:tbl>
    <w:p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sidR="004B3AAE">
        <w:rPr>
          <w:rFonts w:ascii="Arial" w:hAnsi="Arial"/>
          <w:color w:val="000000"/>
        </w:rPr>
        <w:t>patent search</w:t>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EA4133" w:rsidRDefault="00EA4133" w:rsidP="004B3AAE">
      <w:pPr>
        <w:pStyle w:val="List"/>
        <w:tabs>
          <w:tab w:val="left" w:pos="2160"/>
          <w:tab w:val="left" w:pos="9180"/>
        </w:tabs>
        <w:ind w:left="2160"/>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address. If a corporation, identify persons owning or exercising voting control over 20% or more of the voting shares if known to the Issuer): </w:t>
      </w:r>
      <w:r w:rsidR="004B3AAE">
        <w:rPr>
          <w:rFonts w:ascii="Arial" w:hAnsi="Arial"/>
        </w:rPr>
        <w:t xml:space="preserve">David J. Kwiatkowski, Vancouver, </w:t>
      </w:r>
      <w:proofErr w:type="gramStart"/>
      <w:r w:rsidR="004B3AAE">
        <w:rPr>
          <w:rFonts w:ascii="Arial" w:hAnsi="Arial"/>
        </w:rPr>
        <w:t>B.C.</w:t>
      </w:r>
      <w:r>
        <w:rPr>
          <w:rFonts w:ascii="Arial" w:hAnsi="Arial"/>
        </w:rPr>
        <w:t>.</w:t>
      </w:r>
      <w:proofErr w:type="gramEnd"/>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A8310E">
        <w:rPr>
          <w:rFonts w:ascii="Arial" w:hAnsi="Arial"/>
        </w:rPr>
        <w:t xml:space="preserve">and/or </w:t>
      </w:r>
      <w:r w:rsidR="000E1E3E">
        <w:rPr>
          <w:rFonts w:ascii="Arial" w:hAnsi="Arial"/>
        </w:rPr>
        <w:t>S</w:t>
      </w:r>
      <w:r w:rsidR="00A8310E">
        <w:rPr>
          <w:rFonts w:ascii="Arial" w:hAnsi="Arial"/>
        </w:rPr>
        <w:t xml:space="preserve">hares </w:t>
      </w:r>
      <w:r w:rsidR="0049493F">
        <w:rPr>
          <w:rFonts w:ascii="Arial" w:hAnsi="Arial"/>
        </w:rPr>
        <w:t>of $</w:t>
      </w:r>
      <w:r w:rsidR="00DD7935">
        <w:rPr>
          <w:rFonts w:ascii="Arial" w:hAnsi="Arial"/>
        </w:rPr>
        <w:t>79,500</w:t>
      </w:r>
      <w:r w:rsidR="00A8310E">
        <w:rPr>
          <w:rFonts w:ascii="Arial" w:hAnsi="Arial"/>
        </w:rPr>
        <w:t>,</w:t>
      </w:r>
      <w:r w:rsidR="0049493F">
        <w:rPr>
          <w:rFonts w:ascii="Arial" w:hAnsi="Arial"/>
        </w:rPr>
        <w:t xml:space="preserve"> </w:t>
      </w:r>
      <w:r w:rsidR="004B3AAE">
        <w:rPr>
          <w:rFonts w:ascii="Arial" w:hAnsi="Arial"/>
        </w:rPr>
        <w:t xml:space="preserve">equal to 10% of </w:t>
      </w:r>
      <w:r w:rsidR="00C40BEA">
        <w:rPr>
          <w:rFonts w:ascii="Arial" w:hAnsi="Arial"/>
        </w:rPr>
        <w:t xml:space="preserve">the first $300,000 and 7.5% on the remainder of the deemed value of the </w:t>
      </w:r>
      <w:r w:rsidR="004B3AAE">
        <w:rPr>
          <w:rFonts w:ascii="Arial" w:hAnsi="Arial"/>
        </w:rPr>
        <w:t>acquisition o</w:t>
      </w:r>
      <w:r w:rsidR="0049493F">
        <w:rPr>
          <w:rFonts w:ascii="Arial" w:hAnsi="Arial"/>
        </w:rPr>
        <w:t>f $</w:t>
      </w:r>
      <w:r w:rsidR="00DD7935">
        <w:rPr>
          <w:rFonts w:ascii="Arial" w:hAnsi="Arial"/>
        </w:rPr>
        <w:t>96</w:t>
      </w:r>
      <w:r w:rsidR="00DD7935">
        <w:rPr>
          <w:rFonts w:ascii="Arial" w:hAnsi="Arial"/>
        </w:rPr>
        <w:t>0</w:t>
      </w:r>
      <w:r w:rsidR="0049493F">
        <w:rPr>
          <w:rFonts w:ascii="Arial" w:hAnsi="Arial"/>
        </w:rPr>
        <w:t>,000</w:t>
      </w:r>
      <w:r w:rsidR="00C40BEA">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49493F">
        <w:rPr>
          <w:rFonts w:ascii="Arial" w:hAnsi="Arial"/>
        </w:rPr>
        <w:t>none</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numPr>
          <w:ilvl w:val="0"/>
          <w:numId w:val="15"/>
        </w:numPr>
        <w:tabs>
          <w:tab w:val="left" w:pos="9180"/>
        </w:tabs>
        <w:rPr>
          <w:rFonts w:ascii="Arial" w:hAnsi="Arial"/>
        </w:rPr>
      </w:pPr>
      <w:r>
        <w:rPr>
          <w:rFonts w:ascii="Arial" w:hAnsi="Arial"/>
        </w:rPr>
        <w:t xml:space="preserve">Expiry date of any </w:t>
      </w:r>
      <w:proofErr w:type="gramStart"/>
      <w:r>
        <w:rPr>
          <w:rFonts w:ascii="Arial" w:hAnsi="Arial"/>
        </w:rPr>
        <w:t>options,</w:t>
      </w:r>
      <w:proofErr w:type="gramEnd"/>
      <w:r>
        <w:rPr>
          <w:rFonts w:ascii="Arial" w:hAnsi="Arial"/>
        </w:rPr>
        <w:t xml:space="preserve"> warrants etc. </w:t>
      </w:r>
      <w:r>
        <w:rPr>
          <w:rFonts w:ascii="Arial" w:hAnsi="Arial"/>
          <w:u w:val="single"/>
        </w:rPr>
        <w:tab/>
      </w:r>
    </w:p>
    <w:p w:rsidR="00CF2A90" w:rsidRPr="00230C4A" w:rsidRDefault="00EA4133" w:rsidP="00230C4A">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4B3AAE">
        <w:rPr>
          <w:rFonts w:ascii="Arial" w:hAnsi="Arial"/>
          <w:color w:val="000000"/>
        </w:rPr>
        <w:t>Arms-</w:t>
      </w:r>
      <w:r w:rsidR="004B3AAE">
        <w:rPr>
          <w:rFonts w:ascii="Arial" w:hAnsi="Arial"/>
          <w:color w:val="000000"/>
        </w:rPr>
        <w:lastRenderedPageBreak/>
        <w:t>length</w:t>
      </w:r>
      <w:r w:rsidR="0049493F">
        <w:rPr>
          <w:rFonts w:ascii="Arial" w:hAnsi="Arial"/>
          <w:color w:val="000000"/>
        </w:rPr>
        <w:t>: no</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EA4133" w:rsidRDefault="00EA4133">
      <w:pPr>
        <w:pStyle w:val="List"/>
        <w:numPr>
          <w:ilvl w:val="0"/>
          <w:numId w:val="16"/>
        </w:numPr>
        <w:tabs>
          <w:tab w:val="left" w:pos="9180"/>
        </w:tabs>
        <w:jc w:val="both"/>
        <w:rPr>
          <w:rFonts w:ascii="Arial" w:hAnsi="Arial"/>
          <w:color w:val="000000"/>
        </w:rPr>
      </w:pPr>
      <w:r>
        <w:rPr>
          <w:rFonts w:ascii="Arial" w:hAnsi="Arial"/>
          <w:color w:val="000000"/>
        </w:rPr>
        <w:t>If applicable, indicate whether the acquisition is the acquisition of an interest in property contiguous to or otherwise related to any other asset acquired in the last 12 months.</w:t>
      </w:r>
      <w:r w:rsidR="0049493F">
        <w:rPr>
          <w:rFonts w:ascii="Arial" w:hAnsi="Arial"/>
          <w:color w:val="000000"/>
        </w:rPr>
        <w:t xml:space="preserve">  </w:t>
      </w:r>
      <w:r w:rsidR="004B3AAE">
        <w:rPr>
          <w:rFonts w:ascii="Arial" w:hAnsi="Arial"/>
          <w:color w:val="000000"/>
        </w:rPr>
        <w:t>n/a</w:t>
      </w:r>
      <w:r>
        <w:rPr>
          <w:rFonts w:ascii="Arial" w:hAnsi="Arial"/>
          <w:color w:val="000000"/>
        </w:rPr>
        <w:t xml:space="preserve"> </w:t>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tabs>
          <w:tab w:val="left" w:pos="1080"/>
        </w:tabs>
        <w:ind w:left="0" w:firstLine="0"/>
        <w:rPr>
          <w:rFonts w:ascii="Arial" w:hAnsi="Arial"/>
        </w:rPr>
      </w:pPr>
      <w:r>
        <w:rPr>
          <w:rFonts w:ascii="Arial" w:hAnsi="Arial"/>
          <w:b/>
        </w:rPr>
        <w:t>Certificate Of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A4133" w:rsidRDefault="00EA4133">
      <w:pPr>
        <w:pStyle w:val="BodyText"/>
        <w:tabs>
          <w:tab w:val="left" w:pos="4680"/>
          <w:tab w:val="left" w:pos="7200"/>
        </w:tabs>
        <w:spacing w:before="480"/>
        <w:jc w:val="both"/>
        <w:rPr>
          <w:rFonts w:ascii="Arial" w:hAnsi="Arial"/>
        </w:rPr>
      </w:pPr>
      <w:proofErr w:type="gramStart"/>
      <w:r>
        <w:rPr>
          <w:rFonts w:ascii="Arial" w:hAnsi="Arial"/>
        </w:rPr>
        <w:t xml:space="preserve">Dated </w:t>
      </w:r>
      <w:r w:rsidR="00437D39">
        <w:rPr>
          <w:rFonts w:ascii="Arial" w:hAnsi="Arial"/>
          <w:u w:val="single"/>
        </w:rPr>
        <w:t xml:space="preserve">November </w:t>
      </w:r>
      <w:r w:rsidR="004445B5">
        <w:rPr>
          <w:rFonts w:ascii="Arial" w:hAnsi="Arial"/>
          <w:u w:val="single"/>
        </w:rPr>
        <w:t>15</w:t>
      </w:r>
      <w:r w:rsidR="00230C4A" w:rsidRPr="00230C4A">
        <w:rPr>
          <w:rFonts w:ascii="Arial" w:hAnsi="Arial"/>
          <w:u w:val="single"/>
        </w:rPr>
        <w:t>, 2016</w:t>
      </w:r>
      <w:r>
        <w:rPr>
          <w:rFonts w:ascii="Arial" w:hAnsi="Arial"/>
          <w:u w:val="single"/>
        </w:rPr>
        <w:tab/>
      </w:r>
      <w:r>
        <w:rPr>
          <w:rFonts w:ascii="Arial" w:hAnsi="Arial"/>
        </w:rPr>
        <w:t>.</w:t>
      </w:r>
      <w:proofErr w:type="gramEnd"/>
    </w:p>
    <w:p w:rsidR="00EA4133" w:rsidRDefault="00EA4133">
      <w:pPr>
        <w:pStyle w:val="List"/>
        <w:tabs>
          <w:tab w:val="left" w:pos="9180"/>
        </w:tabs>
        <w:ind w:left="5760" w:hanging="5760"/>
        <w:rPr>
          <w:rFonts w:ascii="Arial" w:hAnsi="Arial"/>
        </w:rPr>
      </w:pPr>
      <w:r>
        <w:rPr>
          <w:rFonts w:ascii="Arial" w:hAnsi="Arial"/>
        </w:rPr>
        <w:tab/>
      </w:r>
      <w:r w:rsidR="00230C4A" w:rsidRPr="00230C4A">
        <w:rPr>
          <w:rFonts w:ascii="Arial" w:hAnsi="Arial"/>
          <w:u w:val="single"/>
        </w:rPr>
        <w:t>Dennis Petke</w:t>
      </w:r>
      <w:r>
        <w:rPr>
          <w:rFonts w:ascii="Arial" w:hAnsi="Arial"/>
          <w:u w:val="single"/>
        </w:rPr>
        <w:tab/>
      </w:r>
      <w:r>
        <w:rPr>
          <w:rFonts w:ascii="Arial" w:hAnsi="Arial"/>
          <w:u w:val="single"/>
        </w:rPr>
        <w:br/>
      </w:r>
      <w:r>
        <w:rPr>
          <w:rFonts w:ascii="Arial" w:hAnsi="Arial"/>
        </w:rPr>
        <w:t>Name of Director or Senior Officer</w:t>
      </w:r>
    </w:p>
    <w:p w:rsidR="00EA4133" w:rsidRDefault="00EA4133">
      <w:pPr>
        <w:pStyle w:val="List"/>
        <w:tabs>
          <w:tab w:val="left" w:pos="9180"/>
          <w:tab w:val="left" w:pos="9360"/>
        </w:tabs>
        <w:ind w:left="5760" w:hanging="5760"/>
        <w:rPr>
          <w:rFonts w:ascii="Arial" w:hAnsi="Arial"/>
        </w:rPr>
      </w:pPr>
      <w:r>
        <w:rPr>
          <w:rFonts w:ascii="Arial" w:hAnsi="Arial"/>
        </w:rPr>
        <w:tab/>
      </w:r>
      <w:r w:rsidR="00230C4A" w:rsidRPr="00230C4A">
        <w:rPr>
          <w:rFonts w:ascii="Arial" w:hAnsi="Arial"/>
          <w:u w:val="single"/>
        </w:rPr>
        <w:t>/s/ Dennis Petke</w:t>
      </w:r>
      <w:r>
        <w:rPr>
          <w:rFonts w:ascii="Arial" w:hAnsi="Arial"/>
          <w:u w:val="single"/>
        </w:rPr>
        <w:tab/>
      </w:r>
      <w:r>
        <w:rPr>
          <w:rFonts w:ascii="Arial" w:hAnsi="Arial"/>
        </w:rPr>
        <w:br/>
        <w:t>Signature</w:t>
      </w:r>
    </w:p>
    <w:p w:rsidR="00E20202" w:rsidRDefault="00EA4133">
      <w:pPr>
        <w:pStyle w:val="List"/>
        <w:tabs>
          <w:tab w:val="left" w:pos="9180"/>
          <w:tab w:val="left" w:pos="9360"/>
        </w:tabs>
        <w:ind w:left="5760" w:hanging="5760"/>
        <w:rPr>
          <w:rFonts w:ascii="Arial" w:hAnsi="Arial"/>
        </w:rPr>
        <w:sectPr w:rsidR="00E20202" w:rsidSect="008003B9">
          <w:footerReference w:type="default" r:id="rId9"/>
          <w:footerReference w:type="first" r:id="rId10"/>
          <w:pgSz w:w="12240" w:h="15840" w:code="1"/>
          <w:pgMar w:top="1152" w:right="1440" w:bottom="1152" w:left="1440" w:header="720" w:footer="936" w:gutter="0"/>
          <w:pgNumType w:start="1"/>
          <w:cols w:space="720"/>
        </w:sectPr>
      </w:pPr>
      <w:r>
        <w:rPr>
          <w:rFonts w:ascii="Arial" w:hAnsi="Arial"/>
        </w:rPr>
        <w:tab/>
      </w:r>
      <w:r w:rsidR="00230C4A" w:rsidRPr="00230C4A">
        <w:rPr>
          <w:rFonts w:ascii="Arial" w:hAnsi="Arial"/>
          <w:u w:val="single"/>
        </w:rPr>
        <w:t>President &amp; CEO</w:t>
      </w:r>
      <w:r>
        <w:rPr>
          <w:rFonts w:ascii="Arial" w:hAnsi="Arial"/>
          <w:u w:val="single"/>
        </w:rPr>
        <w:tab/>
      </w:r>
      <w:r>
        <w:rPr>
          <w:rFonts w:ascii="Arial" w:hAnsi="Arial"/>
        </w:rPr>
        <w:br/>
        <w:t>Official Capacity</w:t>
      </w:r>
    </w:p>
    <w:p w:rsidR="00E20202" w:rsidRPr="00E20202" w:rsidRDefault="00E20202" w:rsidP="00E20202">
      <w:pPr>
        <w:autoSpaceDE w:val="0"/>
        <w:autoSpaceDN w:val="0"/>
        <w:adjustRightInd w:val="0"/>
        <w:jc w:val="center"/>
        <w:rPr>
          <w:rFonts w:ascii="times roman" w:eastAsiaTheme="minorEastAsia" w:hAnsi="times roman"/>
          <w:color w:val="000000"/>
          <w:sz w:val="22"/>
          <w:szCs w:val="22"/>
        </w:rPr>
      </w:pPr>
      <w:r w:rsidRPr="00B76B31">
        <w:rPr>
          <w:rFonts w:ascii="times roman" w:eastAsiaTheme="minorEastAsia" w:hAnsi="times roman"/>
          <w:noProof/>
          <w:color w:val="000000"/>
          <w:sz w:val="22"/>
          <w:szCs w:val="22"/>
        </w:rPr>
        <w:lastRenderedPageBreak/>
        <w:drawing>
          <wp:inline distT="0" distB="0" distL="0" distR="0">
            <wp:extent cx="1828800" cy="474896"/>
            <wp:effectExtent l="0" t="0" r="0" b="1905"/>
            <wp:docPr id="2" name="Picture 2"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rsidR="00E20202" w:rsidRPr="00E20202" w:rsidRDefault="00E20202" w:rsidP="00E20202">
      <w:pPr>
        <w:autoSpaceDE w:val="0"/>
        <w:autoSpaceDN w:val="0"/>
        <w:adjustRightInd w:val="0"/>
        <w:rPr>
          <w:rFonts w:ascii="times roman" w:eastAsiaTheme="minorEastAsia" w:hAnsi="times roman" w:cs="Calibri"/>
          <w:color w:val="000000"/>
          <w:sz w:val="22"/>
          <w:szCs w:val="22"/>
        </w:rPr>
      </w:pPr>
    </w:p>
    <w:p w:rsidR="00E20202" w:rsidRPr="00E20202" w:rsidRDefault="00E20202" w:rsidP="00E20202">
      <w:pPr>
        <w:autoSpaceDE w:val="0"/>
        <w:autoSpaceDN w:val="0"/>
        <w:adjustRightInd w:val="0"/>
        <w:jc w:val="center"/>
        <w:rPr>
          <w:rFonts w:ascii="times roman" w:eastAsiaTheme="minorEastAsia" w:hAnsi="times roman" w:cs="Calibri"/>
          <w:b/>
          <w:bCs/>
          <w:color w:val="FF9900"/>
          <w:sz w:val="22"/>
          <w:szCs w:val="22"/>
        </w:rPr>
      </w:pPr>
      <w:r w:rsidRPr="00E20202">
        <w:rPr>
          <w:rFonts w:ascii="times roman" w:eastAsiaTheme="minorEastAsia" w:hAnsi="times roman" w:cs="Calibri"/>
          <w:b/>
          <w:bCs/>
          <w:color w:val="365F91" w:themeColor="accent1" w:themeShade="BF"/>
          <w:sz w:val="22"/>
          <w:szCs w:val="22"/>
        </w:rPr>
        <w:t>ALLIANCE GROWERS CORP.</w:t>
      </w:r>
    </w:p>
    <w:p w:rsidR="00E20202" w:rsidRPr="00E20202" w:rsidRDefault="00E20202" w:rsidP="00E20202">
      <w:pPr>
        <w:autoSpaceDE w:val="0"/>
        <w:autoSpaceDN w:val="0"/>
        <w:adjustRightInd w:val="0"/>
        <w:jc w:val="center"/>
        <w:rPr>
          <w:rFonts w:ascii="times roman" w:eastAsiaTheme="minorEastAsia" w:hAnsi="times roman" w:cs="Calibri"/>
          <w:b/>
          <w:bCs/>
          <w:color w:val="FF9900"/>
          <w:sz w:val="22"/>
          <w:szCs w:val="22"/>
        </w:rPr>
      </w:pPr>
    </w:p>
    <w:p w:rsidR="00E20202" w:rsidRPr="00E20202" w:rsidRDefault="00E20202" w:rsidP="00E20202">
      <w:pPr>
        <w:pBdr>
          <w:top w:val="single" w:sz="4" w:space="1" w:color="auto"/>
          <w:bottom w:val="single" w:sz="4" w:space="1" w:color="auto"/>
        </w:pBdr>
        <w:autoSpaceDE w:val="0"/>
        <w:autoSpaceDN w:val="0"/>
        <w:adjustRightInd w:val="0"/>
        <w:jc w:val="center"/>
        <w:rPr>
          <w:rFonts w:ascii="times roman" w:eastAsiaTheme="minorEastAsia" w:hAnsi="times roman" w:cs="Calibri"/>
          <w:b/>
          <w:bCs/>
          <w:color w:val="FF9900"/>
          <w:sz w:val="22"/>
          <w:szCs w:val="22"/>
        </w:rPr>
      </w:pPr>
      <w:r w:rsidRPr="00E20202">
        <w:rPr>
          <w:rFonts w:ascii="times roman" w:eastAsiaTheme="minorEastAsia" w:hAnsi="times roman" w:cs="Calibri"/>
          <w:b/>
          <w:bCs/>
          <w:sz w:val="22"/>
          <w:szCs w:val="22"/>
        </w:rPr>
        <w:t>NEWS RELEASE</w:t>
      </w:r>
    </w:p>
    <w:p w:rsidR="00E20202" w:rsidRPr="00E20202" w:rsidRDefault="00E20202" w:rsidP="00E20202">
      <w:pPr>
        <w:autoSpaceDE w:val="0"/>
        <w:autoSpaceDN w:val="0"/>
        <w:adjustRightInd w:val="0"/>
        <w:jc w:val="center"/>
        <w:rPr>
          <w:rFonts w:asciiTheme="majorHAnsi" w:eastAsiaTheme="minorEastAsia" w:hAnsiTheme="majorHAnsi"/>
          <w:color w:val="FF9900"/>
          <w:sz w:val="22"/>
          <w:szCs w:val="22"/>
        </w:rPr>
      </w:pPr>
    </w:p>
    <w:p w:rsidR="00E20202" w:rsidRPr="00E20202" w:rsidRDefault="00E20202" w:rsidP="00E20202">
      <w:pPr>
        <w:spacing w:line="360" w:lineRule="auto"/>
        <w:contextualSpacing/>
        <w:jc w:val="center"/>
        <w:outlineLvl w:val="0"/>
        <w:rPr>
          <w:rFonts w:eastAsiaTheme="majorEastAsia"/>
          <w:bCs/>
          <w:sz w:val="22"/>
          <w:szCs w:val="22"/>
        </w:rPr>
      </w:pPr>
      <w:r w:rsidRPr="00E20202">
        <w:rPr>
          <w:rFonts w:eastAsiaTheme="majorEastAsia"/>
          <w:b/>
          <w:bCs/>
          <w:sz w:val="22"/>
          <w:szCs w:val="22"/>
        </w:rPr>
        <w:t>ALLIANCE GROWERS UPDATE ON BOTANY CENTRE WITH BRIM</w:t>
      </w:r>
    </w:p>
    <w:p w:rsidR="00E20202" w:rsidRPr="00E20202" w:rsidRDefault="00E20202" w:rsidP="00E20202">
      <w:pPr>
        <w:spacing w:after="120" w:line="276" w:lineRule="auto"/>
        <w:jc w:val="both"/>
        <w:rPr>
          <w:rFonts w:eastAsiaTheme="minorEastAsia"/>
          <w:sz w:val="22"/>
          <w:szCs w:val="22"/>
        </w:rPr>
      </w:pPr>
      <w:r w:rsidRPr="00E20202">
        <w:rPr>
          <w:rFonts w:eastAsiaTheme="minorEastAsia"/>
          <w:b/>
          <w:bCs/>
          <w:sz w:val="22"/>
          <w:szCs w:val="22"/>
        </w:rPr>
        <w:t xml:space="preserve">November 7, 2016 – Vancouver, B.C. – </w:t>
      </w:r>
      <w:r w:rsidRPr="00E20202">
        <w:rPr>
          <w:rFonts w:eastAsiaTheme="minorEastAsia"/>
          <w:b/>
          <w:sz w:val="22"/>
          <w:szCs w:val="22"/>
        </w:rPr>
        <w:t>Alliance Growers Corp. (CSE: ACG</w:t>
      </w:r>
      <w:r w:rsidRPr="00E20202">
        <w:rPr>
          <w:rFonts w:eastAsiaTheme="minorEastAsia"/>
          <w:sz w:val="22"/>
          <w:szCs w:val="22"/>
        </w:rPr>
        <w:t>) (“</w:t>
      </w:r>
      <w:r w:rsidRPr="00E20202">
        <w:rPr>
          <w:rFonts w:eastAsiaTheme="minorEastAsia"/>
          <w:b/>
          <w:sz w:val="22"/>
          <w:szCs w:val="22"/>
        </w:rPr>
        <w:t>Alliance Growers</w:t>
      </w:r>
      <w:r w:rsidRPr="00E20202">
        <w:rPr>
          <w:rFonts w:eastAsiaTheme="minorEastAsia"/>
          <w:sz w:val="22"/>
          <w:szCs w:val="22"/>
        </w:rPr>
        <w:t>” or the “</w:t>
      </w:r>
      <w:r w:rsidRPr="00E20202">
        <w:rPr>
          <w:rFonts w:eastAsiaTheme="minorEastAsia"/>
          <w:b/>
          <w:sz w:val="22"/>
          <w:szCs w:val="22"/>
        </w:rPr>
        <w:t>Company</w:t>
      </w:r>
      <w:r w:rsidRPr="00E20202">
        <w:rPr>
          <w:rFonts w:eastAsiaTheme="minorEastAsia"/>
          <w:sz w:val="22"/>
          <w:szCs w:val="22"/>
        </w:rPr>
        <w:t xml:space="preserve">”) </w:t>
      </w:r>
      <w:r w:rsidRPr="00E20202">
        <w:rPr>
          <w:rFonts w:eastAsiaTheme="minorEastAsia"/>
          <w:color w:val="000000"/>
          <w:sz w:val="22"/>
          <w:szCs w:val="22"/>
        </w:rPr>
        <w:t xml:space="preserve">is pleased to announce progress on the building the </w:t>
      </w:r>
      <w:r w:rsidRPr="00E20202">
        <w:rPr>
          <w:rFonts w:eastAsiaTheme="minorEastAsia"/>
          <w:sz w:val="22"/>
          <w:szCs w:val="22"/>
        </w:rPr>
        <w:t xml:space="preserve">40,000 square foot “Botany Centre” to service the Cannabis market specifically and the agriculture market in general.  </w:t>
      </w:r>
    </w:p>
    <w:p w:rsidR="00E20202" w:rsidRPr="00E20202" w:rsidRDefault="00E20202" w:rsidP="00E20202">
      <w:pPr>
        <w:spacing w:after="120" w:line="276" w:lineRule="auto"/>
        <w:jc w:val="both"/>
        <w:rPr>
          <w:rFonts w:eastAsiaTheme="minorEastAsia" w:cstheme="minorBidi"/>
          <w:sz w:val="22"/>
          <w:szCs w:val="22"/>
        </w:rPr>
      </w:pPr>
      <w:r w:rsidRPr="00E20202">
        <w:rPr>
          <w:rFonts w:eastAsiaTheme="minorEastAsia" w:cstheme="minorBidi"/>
          <w:sz w:val="22"/>
          <w:szCs w:val="22"/>
        </w:rPr>
        <w:t xml:space="preserve">Further to the </w:t>
      </w:r>
      <w:r w:rsidRPr="00E20202">
        <w:rPr>
          <w:rFonts w:eastAsiaTheme="minorEastAsia" w:cstheme="minorBidi"/>
          <w:color w:val="000000"/>
          <w:sz w:val="22"/>
          <w:szCs w:val="22"/>
        </w:rPr>
        <w:t xml:space="preserve">Memorandum of Understanding (“MOU”) with Botanical Research In Motion International Inc. (“BRIM”) announced on October 26, 2016, whereby BRIM will grant </w:t>
      </w:r>
      <w:r w:rsidRPr="00E20202">
        <w:rPr>
          <w:rFonts w:eastAsiaTheme="minorEastAsia" w:cstheme="minorBidi"/>
          <w:sz w:val="22"/>
          <w:szCs w:val="22"/>
        </w:rPr>
        <w:t>Alliance an exclusive Canadian license (the “License”) regarding certain of BRIM’s proprietary technologies, the Company has determined that the price of the 6 million shares to be issued for the License are set at $0.135 per share for a deemed value of $810,000.</w:t>
      </w:r>
    </w:p>
    <w:p w:rsidR="00E20202" w:rsidRPr="00E20202" w:rsidRDefault="00E20202" w:rsidP="00E20202">
      <w:pPr>
        <w:spacing w:after="120" w:line="276" w:lineRule="auto"/>
        <w:jc w:val="both"/>
        <w:rPr>
          <w:rFonts w:eastAsiaTheme="minorEastAsia" w:cstheme="minorBidi"/>
          <w:sz w:val="22"/>
          <w:szCs w:val="22"/>
        </w:rPr>
      </w:pPr>
      <w:r w:rsidRPr="00E20202">
        <w:rPr>
          <w:rFonts w:eastAsiaTheme="minorEastAsia" w:cstheme="minorBidi"/>
          <w:sz w:val="22"/>
          <w:szCs w:val="22"/>
        </w:rPr>
        <w:t>Alliance and BRIM have identified and agreed on the engagement of a senior architecture firm from British Columbia that is not only qualified in designing clean room labs but also has clearances for high security construction projects such as Health Canada’s MMPR commercial facility as well as federal level airports, etc.  They not only bring the design to the project but also act as a general contractor making them a desirable one stop solution for the project’s construction needs.</w:t>
      </w:r>
    </w:p>
    <w:p w:rsidR="00E20202" w:rsidRPr="00E20202" w:rsidRDefault="00E20202" w:rsidP="00E20202">
      <w:pPr>
        <w:spacing w:after="120" w:line="276" w:lineRule="auto"/>
        <w:jc w:val="both"/>
        <w:rPr>
          <w:rFonts w:eastAsiaTheme="minorEastAsia" w:cstheme="minorBidi"/>
          <w:sz w:val="22"/>
          <w:szCs w:val="22"/>
        </w:rPr>
      </w:pPr>
      <w:r w:rsidRPr="00E20202">
        <w:rPr>
          <w:rFonts w:eastAsiaTheme="minorEastAsia" w:cstheme="minorBidi"/>
          <w:sz w:val="22"/>
          <w:szCs w:val="22"/>
        </w:rPr>
        <w:t>Alliance has engaged a construction consultant to assist in monitoring the entire construction process. Kruger Pacific Ltd., a private BC company, has members with many years of extensive experience in the construction industry, including former commercial building inspectors.  The principal of Kruger Pacific has owned and operated precast concrete factories in Calgary and Vancouver, as well as a successful commercial construction company for over twenty years.  In addition, he has been involved in junior public companies for more than 25 years with positions in senior level management and thus is a perfect fit for Alliance’s requirements for this project.</w:t>
      </w:r>
    </w:p>
    <w:p w:rsidR="00E20202" w:rsidRPr="00E20202" w:rsidRDefault="00E20202" w:rsidP="00E20202">
      <w:pPr>
        <w:spacing w:after="120" w:line="276" w:lineRule="auto"/>
        <w:jc w:val="both"/>
        <w:rPr>
          <w:rFonts w:eastAsiaTheme="minorEastAsia" w:cstheme="minorBidi"/>
          <w:sz w:val="22"/>
          <w:szCs w:val="22"/>
        </w:rPr>
      </w:pPr>
      <w:r w:rsidRPr="00E20202">
        <w:rPr>
          <w:rFonts w:eastAsiaTheme="minorEastAsia" w:cstheme="minorBidi"/>
          <w:sz w:val="22"/>
          <w:szCs w:val="22"/>
        </w:rPr>
        <w:t>Commenting on the Progress, Dennis Petke, Alliance’s President and CEO stated, “We are very pleased to be getting the project underway so quickly after announcing our MOU.  Since the announcement of the MOU, BRIM and Alliance have identified significant additional revenue streams in the medical and recreational Cannabis industry that we are very excited to begin implementing after we complete our next round of funding, including a plan to acquire interests in multiple ACMPR facilities”.</w:t>
      </w:r>
    </w:p>
    <w:p w:rsidR="00E20202" w:rsidRPr="00E20202" w:rsidRDefault="00E20202" w:rsidP="00E20202">
      <w:pPr>
        <w:spacing w:after="120" w:line="276" w:lineRule="auto"/>
        <w:jc w:val="both"/>
        <w:rPr>
          <w:rFonts w:eastAsiaTheme="minorEastAsia" w:cstheme="minorBidi"/>
          <w:sz w:val="22"/>
          <w:szCs w:val="22"/>
        </w:rPr>
      </w:pPr>
      <w:r w:rsidRPr="00E20202">
        <w:rPr>
          <w:rFonts w:eastAsiaTheme="minorEastAsia" w:cstheme="minorBidi"/>
          <w:sz w:val="22"/>
          <w:szCs w:val="22"/>
        </w:rPr>
        <w:t xml:space="preserve">Mr. Petke continued, “Alliance continues to develop its business model to take advantage of the imminent legalization of Recreational Cannabis in both Canada and the US, which includes becoming a leading supplier of high quality CBD oil to multiple channels in the Cannabis industry for both medical and recreational use in Canada and the US.  When the November elections bring new opportunities in the US, we will be ready in a very timely manner.  In addition, we believe the development of these Botany </w:t>
      </w:r>
      <w:proofErr w:type="spellStart"/>
      <w:r w:rsidRPr="00E20202">
        <w:rPr>
          <w:rFonts w:eastAsiaTheme="minorEastAsia" w:cstheme="minorBidi"/>
          <w:sz w:val="22"/>
          <w:szCs w:val="22"/>
        </w:rPr>
        <w:t>Centres</w:t>
      </w:r>
      <w:proofErr w:type="spellEnd"/>
      <w:r w:rsidRPr="00E20202">
        <w:rPr>
          <w:rFonts w:eastAsiaTheme="minorEastAsia" w:cstheme="minorBidi"/>
          <w:sz w:val="22"/>
          <w:szCs w:val="22"/>
        </w:rPr>
        <w:t xml:space="preserve"> in Canada and in other countries will form a significant component of our vision of becoming a successful global cannabis company.  We appreciate and thank our new investors and all shareholders for their continued support.”</w:t>
      </w:r>
    </w:p>
    <w:p w:rsidR="00E20202" w:rsidRPr="00E20202" w:rsidRDefault="00E20202" w:rsidP="00E20202">
      <w:pPr>
        <w:spacing w:after="120" w:line="276" w:lineRule="auto"/>
        <w:jc w:val="both"/>
        <w:rPr>
          <w:rFonts w:eastAsiaTheme="minorEastAsia"/>
          <w:b/>
          <w:sz w:val="22"/>
          <w:szCs w:val="22"/>
        </w:rPr>
      </w:pPr>
      <w:r w:rsidRPr="00E20202">
        <w:rPr>
          <w:rFonts w:eastAsiaTheme="minorEastAsia"/>
          <w:b/>
          <w:sz w:val="22"/>
          <w:szCs w:val="22"/>
        </w:rPr>
        <w:lastRenderedPageBreak/>
        <w:t xml:space="preserve">As previously announced, the License granted to Alliance will allow it to jointly develop and operate multiple Botany Centre’s in Canada and will include the following: </w:t>
      </w:r>
    </w:p>
    <w:p w:rsidR="00E20202" w:rsidRPr="00E20202" w:rsidRDefault="00E20202" w:rsidP="00E20202">
      <w:pPr>
        <w:spacing w:after="120" w:line="276" w:lineRule="auto"/>
        <w:jc w:val="both"/>
        <w:rPr>
          <w:rFonts w:eastAsiaTheme="minorEastAsia"/>
          <w:sz w:val="22"/>
          <w:szCs w:val="22"/>
        </w:rPr>
      </w:pPr>
      <w:r w:rsidRPr="00E20202">
        <w:rPr>
          <w:rFonts w:eastAsiaTheme="minorEastAsia"/>
          <w:sz w:val="22"/>
          <w:szCs w:val="22"/>
        </w:rPr>
        <w:t xml:space="preserve">The License granted to Alliance will allow it to jointly develop and operate multiple Botany </w:t>
      </w:r>
      <w:proofErr w:type="spellStart"/>
      <w:r w:rsidRPr="00E20202">
        <w:rPr>
          <w:rFonts w:eastAsiaTheme="minorEastAsia"/>
          <w:sz w:val="22"/>
          <w:szCs w:val="22"/>
        </w:rPr>
        <w:t>Centres</w:t>
      </w:r>
      <w:proofErr w:type="spellEnd"/>
      <w:r w:rsidRPr="00E20202">
        <w:rPr>
          <w:rFonts w:eastAsiaTheme="minorEastAsia"/>
          <w:sz w:val="22"/>
          <w:szCs w:val="22"/>
        </w:rPr>
        <w:t xml:space="preserve"> in Canada and will include the following:</w:t>
      </w:r>
    </w:p>
    <w:p w:rsidR="00E20202" w:rsidRPr="00E20202" w:rsidRDefault="00E20202" w:rsidP="00E20202">
      <w:pPr>
        <w:spacing w:after="120"/>
        <w:jc w:val="both"/>
        <w:rPr>
          <w:rFonts w:eastAsiaTheme="minorEastAsia"/>
          <w:sz w:val="22"/>
          <w:szCs w:val="22"/>
        </w:rPr>
      </w:pPr>
      <w:r w:rsidRPr="00E20202">
        <w:rPr>
          <w:rFonts w:eastAsiaTheme="minorEastAsia"/>
          <w:sz w:val="22"/>
          <w:szCs w:val="22"/>
        </w:rPr>
        <w:t>1 - B.R.I.M.’s proprietary “</w:t>
      </w:r>
      <w:proofErr w:type="spellStart"/>
      <w:r w:rsidRPr="00E20202">
        <w:rPr>
          <w:rFonts w:eastAsiaTheme="minorEastAsia"/>
          <w:sz w:val="22"/>
          <w:szCs w:val="22"/>
        </w:rPr>
        <w:t>Chibafreen</w:t>
      </w:r>
      <w:proofErr w:type="spellEnd"/>
      <w:r w:rsidRPr="00E20202">
        <w:rPr>
          <w:rFonts w:eastAsiaTheme="minorEastAsia"/>
          <w:sz w:val="22"/>
          <w:szCs w:val="22"/>
        </w:rPr>
        <w:t xml:space="preserve"> </w:t>
      </w:r>
      <w:proofErr w:type="spellStart"/>
      <w:r w:rsidRPr="00E20202">
        <w:rPr>
          <w:rFonts w:eastAsiaTheme="minorEastAsia"/>
          <w:sz w:val="22"/>
          <w:szCs w:val="22"/>
        </w:rPr>
        <w:t>Invitro</w:t>
      </w:r>
      <w:proofErr w:type="spellEnd"/>
      <w:r w:rsidRPr="00E20202">
        <w:rPr>
          <w:rFonts w:eastAsiaTheme="minorEastAsia"/>
          <w:sz w:val="22"/>
          <w:szCs w:val="22"/>
        </w:rPr>
        <w:t xml:space="preserve"> Plant Production System”</w:t>
      </w:r>
    </w:p>
    <w:p w:rsidR="00E20202" w:rsidRPr="00E20202" w:rsidRDefault="00E20202" w:rsidP="00E20202">
      <w:pPr>
        <w:spacing w:after="120"/>
        <w:ind w:left="360"/>
        <w:jc w:val="both"/>
        <w:rPr>
          <w:rFonts w:eastAsiaTheme="minorEastAsia"/>
          <w:sz w:val="22"/>
          <w:szCs w:val="22"/>
        </w:rPr>
      </w:pPr>
      <w:r w:rsidRPr="00E20202">
        <w:rPr>
          <w:rFonts w:eastAsiaTheme="minorEastAsia"/>
          <w:sz w:val="22"/>
          <w:szCs w:val="22"/>
        </w:rPr>
        <w:t xml:space="preserve">Utilizing its proprietary state of art clean tissue culture lab room designed to produce over one million Tissue Culture Plantlets per year.  The design is scalable and designed for all </w:t>
      </w:r>
      <w:proofErr w:type="gramStart"/>
      <w:r w:rsidRPr="00E20202">
        <w:rPr>
          <w:rFonts w:eastAsiaTheme="minorEastAsia"/>
          <w:sz w:val="22"/>
          <w:szCs w:val="22"/>
        </w:rPr>
        <w:t>flora</w:t>
      </w:r>
      <w:proofErr w:type="gramEnd"/>
      <w:r w:rsidRPr="00E20202">
        <w:rPr>
          <w:rFonts w:eastAsiaTheme="minorEastAsia"/>
          <w:sz w:val="22"/>
          <w:szCs w:val="22"/>
        </w:rPr>
        <w:t xml:space="preserve"> to serve the entire agriculture industry.  </w:t>
      </w:r>
    </w:p>
    <w:p w:rsidR="00E20202" w:rsidRPr="00E20202" w:rsidRDefault="00E20202" w:rsidP="00E20202">
      <w:pPr>
        <w:spacing w:after="120"/>
        <w:jc w:val="both"/>
        <w:rPr>
          <w:rFonts w:eastAsiaTheme="minorEastAsia"/>
          <w:sz w:val="22"/>
          <w:szCs w:val="22"/>
        </w:rPr>
      </w:pPr>
      <w:r w:rsidRPr="00E20202">
        <w:rPr>
          <w:rFonts w:eastAsiaTheme="minorEastAsia"/>
          <w:sz w:val="22"/>
          <w:szCs w:val="22"/>
        </w:rPr>
        <w:t xml:space="preserve">2 - B.R.I.M.’s proprietary </w:t>
      </w:r>
      <w:proofErr w:type="spellStart"/>
      <w:r w:rsidRPr="00E20202">
        <w:rPr>
          <w:rFonts w:eastAsiaTheme="minorEastAsia"/>
          <w:sz w:val="22"/>
          <w:szCs w:val="22"/>
        </w:rPr>
        <w:t>Cryotissue</w:t>
      </w:r>
      <w:proofErr w:type="spellEnd"/>
      <w:r w:rsidRPr="00E20202">
        <w:rPr>
          <w:rFonts w:eastAsiaTheme="minorEastAsia"/>
          <w:sz w:val="22"/>
          <w:szCs w:val="22"/>
        </w:rPr>
        <w:t xml:space="preserve"> Cold Storage</w:t>
      </w:r>
    </w:p>
    <w:p w:rsidR="00E20202" w:rsidRPr="00E20202" w:rsidRDefault="00E20202" w:rsidP="00E20202">
      <w:pPr>
        <w:spacing w:after="120"/>
        <w:ind w:left="360"/>
        <w:jc w:val="both"/>
        <w:rPr>
          <w:rFonts w:eastAsiaTheme="minorEastAsia"/>
          <w:sz w:val="22"/>
          <w:szCs w:val="22"/>
        </w:rPr>
      </w:pPr>
      <w:r w:rsidRPr="00E20202">
        <w:rPr>
          <w:rFonts w:eastAsiaTheme="minorEastAsia"/>
          <w:sz w:val="22"/>
          <w:szCs w:val="22"/>
        </w:rPr>
        <w:t xml:space="preserve">Utilizing the one-of-a-kind </w:t>
      </w:r>
      <w:proofErr w:type="spellStart"/>
      <w:r w:rsidRPr="00E20202">
        <w:rPr>
          <w:rFonts w:eastAsiaTheme="minorEastAsia"/>
          <w:sz w:val="22"/>
          <w:szCs w:val="22"/>
        </w:rPr>
        <w:t>Cryotissue</w:t>
      </w:r>
      <w:proofErr w:type="spellEnd"/>
      <w:r w:rsidRPr="00E20202">
        <w:rPr>
          <w:rFonts w:eastAsiaTheme="minorEastAsia"/>
          <w:sz w:val="22"/>
          <w:szCs w:val="22"/>
        </w:rPr>
        <w:t xml:space="preserve"> Cold Storage technology for tissue culture preservation and regeneration as needed on long term basis. </w:t>
      </w:r>
    </w:p>
    <w:p w:rsidR="00E20202" w:rsidRPr="00E20202" w:rsidRDefault="00E20202" w:rsidP="00E20202">
      <w:pPr>
        <w:spacing w:after="120"/>
        <w:jc w:val="both"/>
        <w:rPr>
          <w:rFonts w:eastAsiaTheme="minorEastAsia"/>
          <w:sz w:val="22"/>
          <w:szCs w:val="22"/>
        </w:rPr>
      </w:pPr>
      <w:r w:rsidRPr="00E20202">
        <w:rPr>
          <w:rFonts w:eastAsiaTheme="minorEastAsia"/>
          <w:sz w:val="22"/>
          <w:szCs w:val="22"/>
        </w:rPr>
        <w:t>3 – Extraction Lab</w:t>
      </w:r>
    </w:p>
    <w:p w:rsidR="00E20202" w:rsidRPr="00E20202" w:rsidRDefault="00E20202" w:rsidP="00E20202">
      <w:pPr>
        <w:spacing w:after="120"/>
        <w:ind w:left="360"/>
        <w:jc w:val="both"/>
        <w:rPr>
          <w:rFonts w:eastAsiaTheme="minorEastAsia"/>
          <w:sz w:val="22"/>
          <w:szCs w:val="22"/>
        </w:rPr>
      </w:pPr>
      <w:r w:rsidRPr="00E20202">
        <w:rPr>
          <w:rFonts w:eastAsiaTheme="minorEastAsia"/>
          <w:sz w:val="22"/>
          <w:szCs w:val="22"/>
        </w:rPr>
        <w:t>Provide custom profiles for extraction for botanicals oils for retail market.</w:t>
      </w:r>
    </w:p>
    <w:p w:rsidR="00E20202" w:rsidRPr="00E20202" w:rsidRDefault="00E20202" w:rsidP="00E20202">
      <w:pPr>
        <w:spacing w:after="120"/>
        <w:ind w:left="360"/>
        <w:jc w:val="both"/>
        <w:rPr>
          <w:rFonts w:eastAsiaTheme="minorEastAsia"/>
          <w:sz w:val="22"/>
          <w:szCs w:val="22"/>
        </w:rPr>
      </w:pPr>
      <w:r w:rsidRPr="00E20202">
        <w:rPr>
          <w:rFonts w:eastAsiaTheme="minorEastAsia"/>
          <w:sz w:val="22"/>
          <w:szCs w:val="22"/>
        </w:rPr>
        <w:t>Provide extraction services as retail services to cultivators.</w:t>
      </w:r>
    </w:p>
    <w:p w:rsidR="00E20202" w:rsidRPr="00E20202" w:rsidRDefault="00E20202" w:rsidP="00E20202">
      <w:pPr>
        <w:spacing w:after="120"/>
        <w:jc w:val="both"/>
        <w:rPr>
          <w:rFonts w:eastAsiaTheme="minorEastAsia"/>
          <w:sz w:val="22"/>
          <w:szCs w:val="22"/>
        </w:rPr>
      </w:pPr>
      <w:r w:rsidRPr="00E20202">
        <w:rPr>
          <w:rFonts w:eastAsiaTheme="minorEastAsia"/>
          <w:sz w:val="22"/>
          <w:szCs w:val="22"/>
        </w:rPr>
        <w:t>4 - Botanical DNA Services Laboratory</w:t>
      </w:r>
    </w:p>
    <w:p w:rsidR="00E20202" w:rsidRPr="00E20202" w:rsidRDefault="00E20202" w:rsidP="00E20202">
      <w:pPr>
        <w:spacing w:after="120"/>
        <w:ind w:left="360"/>
        <w:jc w:val="both"/>
        <w:rPr>
          <w:rFonts w:eastAsiaTheme="minorEastAsia"/>
          <w:sz w:val="22"/>
          <w:szCs w:val="22"/>
        </w:rPr>
      </w:pPr>
      <w:proofErr w:type="gramStart"/>
      <w:r w:rsidRPr="00E20202">
        <w:rPr>
          <w:rFonts w:eastAsiaTheme="minorEastAsia"/>
          <w:sz w:val="22"/>
          <w:szCs w:val="22"/>
        </w:rPr>
        <w:t>Certifying plant tissue as the genetic level.</w:t>
      </w:r>
      <w:proofErr w:type="gramEnd"/>
    </w:p>
    <w:p w:rsidR="00E20202" w:rsidRPr="00E20202" w:rsidRDefault="00E20202" w:rsidP="00E20202">
      <w:pPr>
        <w:spacing w:after="120"/>
        <w:ind w:left="360"/>
        <w:jc w:val="both"/>
        <w:rPr>
          <w:rFonts w:eastAsiaTheme="minorEastAsia"/>
          <w:sz w:val="22"/>
          <w:szCs w:val="22"/>
        </w:rPr>
      </w:pPr>
      <w:proofErr w:type="gramStart"/>
      <w:r w:rsidRPr="00E20202">
        <w:rPr>
          <w:rFonts w:eastAsiaTheme="minorEastAsia"/>
          <w:sz w:val="22"/>
          <w:szCs w:val="22"/>
        </w:rPr>
        <w:t>Additional DNA mapping services.</w:t>
      </w:r>
      <w:proofErr w:type="gramEnd"/>
    </w:p>
    <w:p w:rsidR="00E20202" w:rsidRPr="00E20202" w:rsidRDefault="00E20202" w:rsidP="00E20202">
      <w:pPr>
        <w:spacing w:after="120" w:line="276" w:lineRule="auto"/>
        <w:jc w:val="both"/>
        <w:rPr>
          <w:rFonts w:eastAsiaTheme="minorEastAsia"/>
          <w:sz w:val="22"/>
          <w:szCs w:val="22"/>
        </w:rPr>
      </w:pPr>
      <w:r w:rsidRPr="00E20202">
        <w:rPr>
          <w:rFonts w:eastAsiaTheme="minorEastAsia"/>
          <w:sz w:val="22"/>
          <w:szCs w:val="22"/>
        </w:rPr>
        <w:t>5 - B.R.I.M’s proprietary research for cannabis for large commercial scale micro propagation production when permitted.</w:t>
      </w:r>
    </w:p>
    <w:p w:rsidR="00E20202" w:rsidRPr="00E20202" w:rsidRDefault="00E20202" w:rsidP="00E20202">
      <w:pPr>
        <w:spacing w:after="120" w:line="276" w:lineRule="auto"/>
        <w:jc w:val="both"/>
        <w:rPr>
          <w:rFonts w:eastAsiaTheme="minorEastAsia"/>
          <w:sz w:val="22"/>
          <w:szCs w:val="22"/>
        </w:rPr>
      </w:pPr>
      <w:r w:rsidRPr="00E20202">
        <w:rPr>
          <w:rFonts w:eastAsiaTheme="minorEastAsia"/>
          <w:sz w:val="22"/>
          <w:szCs w:val="22"/>
        </w:rPr>
        <w:t>The MOU will be superseded by a definitive agreement (the “Definitive Agreement”) to be completed on or before November 30, 2016.</w:t>
      </w:r>
    </w:p>
    <w:p w:rsidR="00E20202" w:rsidRPr="00E20202" w:rsidRDefault="00E20202" w:rsidP="00E20202">
      <w:pPr>
        <w:spacing w:after="120" w:line="276" w:lineRule="auto"/>
        <w:jc w:val="both"/>
        <w:rPr>
          <w:rFonts w:eastAsiaTheme="minorEastAsia" w:cstheme="minorBidi"/>
          <w:sz w:val="22"/>
          <w:szCs w:val="22"/>
        </w:rPr>
      </w:pPr>
      <w:r w:rsidRPr="00E20202">
        <w:rPr>
          <w:rFonts w:eastAsiaTheme="minorEastAsia" w:cstheme="minorBidi"/>
          <w:sz w:val="22"/>
          <w:szCs w:val="22"/>
        </w:rPr>
        <w:t>The significant terms of the deal include the following:</w:t>
      </w:r>
    </w:p>
    <w:p w:rsidR="00E20202" w:rsidRPr="00E20202" w:rsidRDefault="00E20202" w:rsidP="00E20202">
      <w:pPr>
        <w:numPr>
          <w:ilvl w:val="0"/>
          <w:numId w:val="22"/>
        </w:numPr>
        <w:spacing w:after="120" w:line="276" w:lineRule="auto"/>
        <w:contextualSpacing/>
        <w:jc w:val="both"/>
        <w:rPr>
          <w:rFonts w:eastAsiaTheme="minorEastAsia" w:cstheme="minorBidi"/>
          <w:sz w:val="22"/>
          <w:szCs w:val="22"/>
        </w:rPr>
      </w:pPr>
      <w:r w:rsidRPr="00E20202">
        <w:rPr>
          <w:rFonts w:eastAsiaTheme="minorEastAsia" w:cstheme="minorBidi"/>
          <w:sz w:val="22"/>
          <w:szCs w:val="22"/>
        </w:rPr>
        <w:t>Alliance will issue to BRIM a total of 6,000,000 common shares and 3 million warrants to be released in stages;</w:t>
      </w:r>
    </w:p>
    <w:p w:rsidR="00E20202" w:rsidRPr="00E20202" w:rsidRDefault="00E20202" w:rsidP="00E20202">
      <w:pPr>
        <w:numPr>
          <w:ilvl w:val="0"/>
          <w:numId w:val="22"/>
        </w:numPr>
        <w:spacing w:after="120" w:line="276" w:lineRule="auto"/>
        <w:contextualSpacing/>
        <w:jc w:val="both"/>
        <w:rPr>
          <w:rFonts w:eastAsiaTheme="minorEastAsia" w:cstheme="minorBidi"/>
          <w:sz w:val="22"/>
          <w:szCs w:val="22"/>
        </w:rPr>
      </w:pPr>
      <w:r w:rsidRPr="00E20202">
        <w:rPr>
          <w:rFonts w:eastAsiaTheme="minorEastAsia" w:cstheme="minorBidi"/>
          <w:sz w:val="22"/>
          <w:szCs w:val="22"/>
        </w:rPr>
        <w:t>Cash payments of $75,000 on execution of the MOU and $75,000 on execution of the Definitive Agreement;</w:t>
      </w:r>
    </w:p>
    <w:p w:rsidR="00E20202" w:rsidRPr="00E20202" w:rsidRDefault="00E20202" w:rsidP="00E20202">
      <w:pPr>
        <w:numPr>
          <w:ilvl w:val="0"/>
          <w:numId w:val="22"/>
        </w:numPr>
        <w:spacing w:after="120" w:line="276" w:lineRule="auto"/>
        <w:contextualSpacing/>
        <w:jc w:val="both"/>
        <w:rPr>
          <w:rFonts w:eastAsiaTheme="minorEastAsia" w:cstheme="minorBidi"/>
          <w:sz w:val="22"/>
          <w:szCs w:val="22"/>
        </w:rPr>
      </w:pPr>
      <w:r w:rsidRPr="00E20202">
        <w:rPr>
          <w:rFonts w:eastAsiaTheme="minorEastAsia" w:cstheme="minorBidi"/>
          <w:sz w:val="22"/>
          <w:szCs w:val="22"/>
        </w:rPr>
        <w:t>Pay a Royalty to BRIM on each Botany Centre in Canada that that is consistent with similar commercial operations.</w:t>
      </w:r>
    </w:p>
    <w:p w:rsidR="00E20202" w:rsidRPr="00E20202" w:rsidRDefault="00E20202" w:rsidP="00E20202">
      <w:pPr>
        <w:spacing w:after="200" w:line="276" w:lineRule="auto"/>
        <w:jc w:val="both"/>
        <w:rPr>
          <w:rFonts w:eastAsiaTheme="minorEastAsia"/>
          <w:sz w:val="22"/>
          <w:szCs w:val="22"/>
        </w:rPr>
      </w:pPr>
      <w:r w:rsidRPr="00E20202">
        <w:rPr>
          <w:rFonts w:eastAsiaTheme="minorEastAsia"/>
          <w:sz w:val="22"/>
          <w:szCs w:val="22"/>
        </w:rPr>
        <w:t>The initial Botany Centre and land shall be held by a wholly owned subsidiary of Alliance.  Alliance shall be solely responsible for the cost of construction of the Botany Centre, and be responsible for all management fees, salaries, consulting fees and other operating costs related to the Botany Centre.</w:t>
      </w:r>
    </w:p>
    <w:p w:rsidR="00E20202" w:rsidRPr="00E20202" w:rsidRDefault="00E20202" w:rsidP="00E20202">
      <w:pPr>
        <w:spacing w:after="200" w:line="276" w:lineRule="auto"/>
        <w:jc w:val="both"/>
        <w:rPr>
          <w:rFonts w:eastAsiaTheme="minorEastAsia"/>
          <w:sz w:val="22"/>
          <w:szCs w:val="22"/>
        </w:rPr>
      </w:pPr>
      <w:r w:rsidRPr="00E20202">
        <w:rPr>
          <w:rFonts w:eastAsiaTheme="minorEastAsia"/>
          <w:sz w:val="22"/>
          <w:szCs w:val="22"/>
        </w:rPr>
        <w:t>BRIM also agrees to grant Alliance first right of refusal on exclusive licenses in various states in the US, and other countries or regions as they are identified, whereby Alliance will jointly operate the clean room certified laboratories making up a similar Botany Centre in those locations.</w:t>
      </w:r>
    </w:p>
    <w:p w:rsidR="00E20202" w:rsidRPr="00E20202" w:rsidRDefault="00E20202" w:rsidP="00E20202">
      <w:pPr>
        <w:spacing w:before="120" w:after="120" w:line="276" w:lineRule="auto"/>
        <w:jc w:val="both"/>
        <w:rPr>
          <w:rFonts w:eastAsiaTheme="minorEastAsia"/>
          <w:sz w:val="22"/>
          <w:szCs w:val="22"/>
        </w:rPr>
      </w:pPr>
      <w:r w:rsidRPr="00E20202">
        <w:rPr>
          <w:rFonts w:eastAsiaTheme="minorEastAsia"/>
          <w:sz w:val="22"/>
          <w:szCs w:val="22"/>
        </w:rPr>
        <w:t xml:space="preserve">To finance the development of the Botany Centre, the Company has engaged DGWA, the German Institute for Asset and Equity Allocation and Valuation, known and respected as one of the leading German Corporate Boutiques for global small and mid-cap consulting and investments.  As reported on August 18, 2016, Alliance has applied for a listing on the Frankfurt Stock Exchange, as the beginning of a European partnership with DGWA. </w:t>
      </w:r>
    </w:p>
    <w:p w:rsidR="00E20202" w:rsidRPr="00E20202" w:rsidRDefault="00E20202" w:rsidP="00E20202">
      <w:pPr>
        <w:shd w:val="clear" w:color="auto" w:fill="FEFEFE"/>
        <w:spacing w:before="120" w:after="120" w:line="315" w:lineRule="atLeast"/>
        <w:jc w:val="both"/>
        <w:rPr>
          <w:color w:val="444444"/>
          <w:sz w:val="22"/>
          <w:szCs w:val="22"/>
          <w:lang w:val="en-CA" w:eastAsia="en-CA"/>
        </w:rPr>
      </w:pPr>
      <w:r w:rsidRPr="00E20202">
        <w:rPr>
          <w:b/>
          <w:color w:val="000000"/>
          <w:sz w:val="24"/>
          <w:szCs w:val="24"/>
          <w:lang w:val="en-CA" w:eastAsia="en-CA"/>
        </w:rPr>
        <w:lastRenderedPageBreak/>
        <w:t xml:space="preserve">About Alliance Growers </w:t>
      </w:r>
    </w:p>
    <w:p w:rsidR="00E20202" w:rsidRPr="00E20202" w:rsidRDefault="00E20202" w:rsidP="00E20202">
      <w:pPr>
        <w:spacing w:after="120" w:line="276" w:lineRule="auto"/>
        <w:jc w:val="both"/>
        <w:rPr>
          <w:rFonts w:eastAsiaTheme="minorEastAsia"/>
          <w:iCs/>
          <w:sz w:val="22"/>
          <w:szCs w:val="22"/>
          <w:shd w:val="clear" w:color="auto" w:fill="FFFFFF"/>
        </w:rPr>
      </w:pPr>
      <w:r w:rsidRPr="00E20202">
        <w:rPr>
          <w:rFonts w:eastAsiaTheme="minorEastAsia"/>
          <w:iCs/>
          <w:sz w:val="22"/>
          <w:szCs w:val="22"/>
          <w:shd w:val="clear" w:color="auto" w:fill="FFFFFF"/>
        </w:rPr>
        <w:t xml:space="preserve">Alliance Growers Corp (ACG: CSE) is a diversified cannabis company driven by the Company’s ‘Four Pillars’ Organization Plan - MMPR cannabis production facilities, distribution network, consumer products, and research and development. </w:t>
      </w:r>
    </w:p>
    <w:p w:rsidR="00E20202" w:rsidRPr="00E20202" w:rsidRDefault="00E20202" w:rsidP="00E20202">
      <w:pPr>
        <w:spacing w:after="200" w:line="276" w:lineRule="auto"/>
        <w:jc w:val="both"/>
        <w:rPr>
          <w:rFonts w:eastAsiaTheme="minorEastAsia"/>
          <w:iCs/>
          <w:color w:val="333333"/>
          <w:sz w:val="22"/>
          <w:szCs w:val="22"/>
          <w:shd w:val="clear" w:color="auto" w:fill="FFFFFF"/>
        </w:rPr>
      </w:pPr>
      <w:r w:rsidRPr="00E20202">
        <w:rPr>
          <w:rFonts w:eastAsiaTheme="minorEastAsia"/>
          <w:iCs/>
          <w:sz w:val="22"/>
          <w:szCs w:val="22"/>
          <w:shd w:val="clear" w:color="auto" w:fill="FFFFFF"/>
        </w:rPr>
        <w:t xml:space="preserve">Alliance is finalizing an agreement with </w:t>
      </w:r>
      <w:r w:rsidRPr="00E20202">
        <w:rPr>
          <w:rFonts w:eastAsiaTheme="minorEastAsia"/>
          <w:sz w:val="22"/>
          <w:szCs w:val="22"/>
        </w:rPr>
        <w:t xml:space="preserve">Botanical Research In Motion International Inc., for a Canada Exclusive License to jointly develop and operate a </w:t>
      </w:r>
      <w:r w:rsidRPr="00E20202">
        <w:rPr>
          <w:rFonts w:eastAsiaTheme="minorEastAsia" w:cstheme="minorBidi"/>
          <w:sz w:val="22"/>
          <w:szCs w:val="22"/>
        </w:rPr>
        <w:t>40,000 square foot facility to be the first of its kind in Western Canada to house a DNA Botany lab, extraction facility and Tissue Culture Plantlet Production facility to service the Cannabis market and agriculture market in general. The proposed facility will g</w:t>
      </w:r>
      <w:r w:rsidRPr="00E20202">
        <w:rPr>
          <w:rFonts w:eastAsiaTheme="minorEastAsia"/>
          <w:sz w:val="22"/>
          <w:szCs w:val="22"/>
        </w:rPr>
        <w:t>row Cannabis plantlets using proprietary tissue culture propagation, specifically the “</w:t>
      </w:r>
      <w:proofErr w:type="spellStart"/>
      <w:r w:rsidRPr="00E20202">
        <w:rPr>
          <w:rFonts w:eastAsiaTheme="minorEastAsia"/>
          <w:sz w:val="22"/>
          <w:szCs w:val="22"/>
        </w:rPr>
        <w:t>Chibafreen</w:t>
      </w:r>
      <w:proofErr w:type="spellEnd"/>
      <w:r w:rsidRPr="00E20202">
        <w:rPr>
          <w:rFonts w:eastAsiaTheme="minorEastAsia"/>
          <w:sz w:val="22"/>
          <w:szCs w:val="22"/>
        </w:rPr>
        <w:t xml:space="preserve"> </w:t>
      </w:r>
      <w:proofErr w:type="spellStart"/>
      <w:r w:rsidRPr="00E20202">
        <w:rPr>
          <w:rFonts w:eastAsiaTheme="minorEastAsia"/>
          <w:sz w:val="22"/>
          <w:szCs w:val="22"/>
        </w:rPr>
        <w:t>Invitro</w:t>
      </w:r>
      <w:proofErr w:type="spellEnd"/>
      <w:r w:rsidRPr="00E20202">
        <w:rPr>
          <w:rFonts w:eastAsiaTheme="minorEastAsia"/>
          <w:sz w:val="22"/>
          <w:szCs w:val="22"/>
        </w:rPr>
        <w:t xml:space="preserve"> Plant Production System”, which assures consistent composition and purity of each plantlet for the growers.  As well, Alliance has </w:t>
      </w:r>
      <w:r w:rsidRPr="00E20202">
        <w:rPr>
          <w:rFonts w:eastAsiaTheme="minorEastAsia" w:cstheme="minorBidi"/>
          <w:sz w:val="22"/>
          <w:szCs w:val="22"/>
        </w:rPr>
        <w:t>been negotiating to obtain exclusive Canadian distribution agreements for certain proprietary products for support of the Cannabis growing industry in addition to possible partnerships with existing MMPR licensed and soon-to-be licensed facilities.</w:t>
      </w:r>
      <w:r w:rsidRPr="00E20202">
        <w:rPr>
          <w:rFonts w:eastAsiaTheme="minorEastAsia"/>
          <w:sz w:val="22"/>
          <w:szCs w:val="22"/>
        </w:rPr>
        <w:t xml:space="preserve"> </w:t>
      </w:r>
      <w:r w:rsidRPr="00E20202">
        <w:rPr>
          <w:rFonts w:eastAsiaTheme="minorEastAsia"/>
          <w:iCs/>
          <w:sz w:val="22"/>
          <w:szCs w:val="22"/>
          <w:shd w:val="clear" w:color="auto" w:fill="FFFFFF"/>
        </w:rPr>
        <w:t xml:space="preserve">For further information please visit the Company’s corporate website at </w:t>
      </w:r>
      <w:hyperlink r:id="rId12" w:history="1">
        <w:r w:rsidRPr="00E20202">
          <w:rPr>
            <w:rFonts w:eastAsiaTheme="minorEastAsia"/>
            <w:iCs/>
            <w:color w:val="0000FF" w:themeColor="hyperlink"/>
            <w:sz w:val="22"/>
            <w:szCs w:val="22"/>
            <w:u w:val="single"/>
            <w:shd w:val="clear" w:color="auto" w:fill="FFFFFF"/>
          </w:rPr>
          <w:t>www.alliancegrowers.com</w:t>
        </w:r>
      </w:hyperlink>
      <w:r w:rsidRPr="00E20202">
        <w:rPr>
          <w:rFonts w:eastAsiaTheme="minorEastAsia"/>
          <w:iCs/>
          <w:color w:val="333333"/>
          <w:sz w:val="22"/>
          <w:szCs w:val="22"/>
          <w:shd w:val="clear" w:color="auto" w:fill="FFFFFF"/>
        </w:rPr>
        <w:t xml:space="preserve"> </w:t>
      </w:r>
      <w:r w:rsidRPr="00E20202">
        <w:rPr>
          <w:rFonts w:eastAsiaTheme="minorEastAsia"/>
          <w:iCs/>
          <w:sz w:val="22"/>
          <w:szCs w:val="22"/>
          <w:shd w:val="clear" w:color="auto" w:fill="FFFFFF"/>
        </w:rPr>
        <w:t xml:space="preserve">or the Company’s profile at </w:t>
      </w:r>
      <w:hyperlink r:id="rId13" w:history="1">
        <w:r w:rsidRPr="00E20202">
          <w:rPr>
            <w:rFonts w:eastAsiaTheme="minorEastAsia"/>
            <w:iCs/>
            <w:color w:val="0000FF" w:themeColor="hyperlink"/>
            <w:sz w:val="22"/>
            <w:szCs w:val="22"/>
            <w:u w:val="single"/>
            <w:shd w:val="clear" w:color="auto" w:fill="FFFFFF"/>
          </w:rPr>
          <w:t>www.sedar.com</w:t>
        </w:r>
      </w:hyperlink>
      <w:r w:rsidRPr="00E20202">
        <w:rPr>
          <w:rFonts w:eastAsiaTheme="minorEastAsia"/>
          <w:iCs/>
          <w:color w:val="333333"/>
          <w:sz w:val="22"/>
          <w:szCs w:val="22"/>
          <w:shd w:val="clear" w:color="auto" w:fill="FFFFFF"/>
        </w:rPr>
        <w:t>.</w:t>
      </w:r>
    </w:p>
    <w:p w:rsidR="00E20202" w:rsidRPr="00E20202" w:rsidRDefault="00E20202" w:rsidP="00E20202">
      <w:pPr>
        <w:spacing w:before="120" w:after="200" w:line="276" w:lineRule="auto"/>
        <w:jc w:val="both"/>
        <w:rPr>
          <w:rFonts w:eastAsiaTheme="minorEastAsia"/>
          <w:iCs/>
          <w:color w:val="333333"/>
          <w:sz w:val="22"/>
          <w:szCs w:val="22"/>
          <w:shd w:val="clear" w:color="auto" w:fill="FFFFFF"/>
        </w:rPr>
      </w:pPr>
      <w:r w:rsidRPr="00E20202">
        <w:rPr>
          <w:rFonts w:eastAsiaTheme="minorEastAsia"/>
          <w:sz w:val="22"/>
          <w:szCs w:val="22"/>
          <w:shd w:val="clear" w:color="auto" w:fill="FFFFFF"/>
        </w:rPr>
        <w:t xml:space="preserve">If you would like to be added to Alliance Growers’ news distribution list, please send your email address to </w:t>
      </w:r>
      <w:hyperlink r:id="rId14" w:history="1">
        <w:r w:rsidRPr="00E20202">
          <w:rPr>
            <w:rFonts w:eastAsiaTheme="minorEastAsia"/>
            <w:color w:val="0000FF" w:themeColor="hyperlink"/>
            <w:sz w:val="22"/>
            <w:szCs w:val="22"/>
            <w:u w:val="single"/>
            <w:shd w:val="clear" w:color="auto" w:fill="FFFFFF"/>
          </w:rPr>
          <w:t>newsletter@alliancegrowers.com</w:t>
        </w:r>
      </w:hyperlink>
      <w:r w:rsidRPr="00E20202">
        <w:rPr>
          <w:rFonts w:eastAsiaTheme="minorEastAsia"/>
          <w:color w:val="323A42"/>
          <w:sz w:val="22"/>
          <w:szCs w:val="22"/>
          <w:shd w:val="clear" w:color="auto" w:fill="FFFFFF"/>
        </w:rPr>
        <w:t xml:space="preserve"> </w:t>
      </w:r>
    </w:p>
    <w:p w:rsidR="00E20202" w:rsidRPr="00E20202" w:rsidRDefault="00E20202" w:rsidP="00E20202">
      <w:pPr>
        <w:spacing w:after="120" w:line="276" w:lineRule="auto"/>
        <w:jc w:val="both"/>
        <w:rPr>
          <w:sz w:val="22"/>
          <w:szCs w:val="22"/>
          <w:bdr w:val="none" w:sz="0" w:space="0" w:color="auto" w:frame="1"/>
          <w:lang w:eastAsia="en-CA"/>
        </w:rPr>
      </w:pPr>
      <w:r w:rsidRPr="00E20202">
        <w:rPr>
          <w:rFonts w:eastAsiaTheme="minorEastAsia"/>
          <w:b/>
          <w:color w:val="000000"/>
          <w:sz w:val="22"/>
          <w:szCs w:val="22"/>
        </w:rPr>
        <w:t>About DGWA</w:t>
      </w:r>
    </w:p>
    <w:p w:rsidR="00E20202" w:rsidRPr="00E20202" w:rsidRDefault="00E20202" w:rsidP="00E20202">
      <w:pPr>
        <w:spacing w:after="120" w:line="276" w:lineRule="auto"/>
        <w:rPr>
          <w:sz w:val="22"/>
          <w:szCs w:val="22"/>
          <w:bdr w:val="none" w:sz="0" w:space="0" w:color="auto" w:frame="1"/>
          <w:lang w:eastAsia="en-CA"/>
        </w:rPr>
      </w:pPr>
      <w:r w:rsidRPr="00E20202">
        <w:rPr>
          <w:sz w:val="22"/>
          <w:szCs w:val="22"/>
          <w:bdr w:val="none" w:sz="0" w:space="0" w:color="auto" w:frame="1"/>
          <w:lang w:eastAsia="en-CA"/>
        </w:rPr>
        <w:t>DGWA, the German Institute for Asset and Equity Allocation and Valuation, is a partner for the European Financial Markets – known and respected as one of the leading German Investment Banking Boutiques for providing global small and mid-cap Financial Advisory Services.</w:t>
      </w:r>
    </w:p>
    <w:p w:rsidR="00E20202" w:rsidRPr="00E20202" w:rsidRDefault="00E20202" w:rsidP="00E20202">
      <w:pPr>
        <w:spacing w:after="120" w:line="276" w:lineRule="auto"/>
        <w:rPr>
          <w:sz w:val="22"/>
          <w:szCs w:val="22"/>
          <w:bdr w:val="none" w:sz="0" w:space="0" w:color="auto" w:frame="1"/>
          <w:lang w:eastAsia="en-CA"/>
        </w:rPr>
      </w:pPr>
      <w:r w:rsidRPr="00E20202">
        <w:rPr>
          <w:sz w:val="22"/>
          <w:szCs w:val="22"/>
          <w:bdr w:val="none" w:sz="0" w:space="0" w:color="auto" w:frame="1"/>
          <w:lang w:eastAsia="en-CA"/>
        </w:rPr>
        <w:t>They build solid, substantial and comprehensive bridges for listed and non-listed companies to investors, financial institutions and multipliers like press and media and offer finest financial engineering solutions, tailor made for their clients.</w:t>
      </w:r>
    </w:p>
    <w:p w:rsidR="00E20202" w:rsidRPr="00E20202" w:rsidRDefault="00E20202" w:rsidP="00E20202">
      <w:pPr>
        <w:spacing w:after="120" w:line="276" w:lineRule="auto"/>
        <w:rPr>
          <w:sz w:val="22"/>
          <w:szCs w:val="22"/>
          <w:bdr w:val="none" w:sz="0" w:space="0" w:color="auto" w:frame="1"/>
          <w:lang w:eastAsia="en-CA"/>
        </w:rPr>
      </w:pPr>
      <w:r w:rsidRPr="00E20202">
        <w:rPr>
          <w:sz w:val="22"/>
          <w:szCs w:val="22"/>
          <w:bdr w:val="none" w:sz="0" w:space="0" w:color="auto" w:frame="1"/>
          <w:lang w:eastAsia="en-CA"/>
        </w:rPr>
        <w:t>DGWA’s management team runs a 25-year track record in trading, investing and analyzing SME’s around the world. It has been so far involved in over 250 IPO’s, financings, bond issues, dual listings and corporate finance transactions, as well as corresponding road shows and awareness campaigns.</w:t>
      </w:r>
    </w:p>
    <w:p w:rsidR="00E20202" w:rsidRPr="00E20202" w:rsidRDefault="00E20202" w:rsidP="00E20202">
      <w:pPr>
        <w:spacing w:after="120" w:line="276" w:lineRule="auto"/>
        <w:rPr>
          <w:sz w:val="22"/>
          <w:szCs w:val="22"/>
          <w:bdr w:val="none" w:sz="0" w:space="0" w:color="auto" w:frame="1"/>
          <w:lang w:eastAsia="en-CA"/>
        </w:rPr>
      </w:pPr>
      <w:r w:rsidRPr="00E20202">
        <w:rPr>
          <w:rFonts w:eastAsiaTheme="minorEastAsia"/>
          <w:sz w:val="22"/>
          <w:szCs w:val="22"/>
          <w:bdr w:val="none" w:sz="0" w:space="0" w:color="auto" w:frame="1"/>
          <w:lang w:eastAsia="en-CA"/>
        </w:rPr>
        <w:t>DGWA is b</w:t>
      </w:r>
      <w:r w:rsidRPr="00E20202">
        <w:rPr>
          <w:sz w:val="22"/>
          <w:szCs w:val="22"/>
          <w:bdr w:val="none" w:sz="0" w:space="0" w:color="auto" w:frame="1"/>
          <w:lang w:eastAsia="en-CA"/>
        </w:rPr>
        <w:t>ased in Frankfurt, home of the European Central Bank, centre of Europe’s financial activities and neighbours with various leading and specialized financial institutions – located in the heart of Europe and easily accessible via one of the largest airports in the world.</w:t>
      </w:r>
    </w:p>
    <w:p w:rsidR="00E20202" w:rsidRPr="00E20202" w:rsidRDefault="00E20202" w:rsidP="00E20202">
      <w:pPr>
        <w:spacing w:before="120" w:after="120" w:line="276" w:lineRule="auto"/>
        <w:jc w:val="both"/>
        <w:rPr>
          <w:rFonts w:eastAsiaTheme="minorEastAsia"/>
          <w:b/>
          <w:sz w:val="22"/>
          <w:szCs w:val="22"/>
          <w:bdr w:val="none" w:sz="0" w:space="0" w:color="auto" w:frame="1"/>
          <w:lang w:eastAsia="en-CA"/>
        </w:rPr>
      </w:pPr>
      <w:r w:rsidRPr="00E20202">
        <w:rPr>
          <w:rFonts w:eastAsiaTheme="minorEastAsia"/>
          <w:b/>
          <w:sz w:val="22"/>
          <w:szCs w:val="22"/>
          <w:bdr w:val="none" w:sz="0" w:space="0" w:color="auto" w:frame="1"/>
          <w:lang w:eastAsia="en-CA"/>
        </w:rPr>
        <w:t xml:space="preserve">About the Frankfurt Stock Exchange (Frankfurter </w:t>
      </w:r>
      <w:proofErr w:type="spellStart"/>
      <w:r w:rsidRPr="00E20202">
        <w:rPr>
          <w:rFonts w:eastAsiaTheme="minorEastAsia"/>
          <w:b/>
          <w:sz w:val="22"/>
          <w:szCs w:val="22"/>
          <w:bdr w:val="none" w:sz="0" w:space="0" w:color="auto" w:frame="1"/>
          <w:lang w:eastAsia="en-CA"/>
        </w:rPr>
        <w:t>Wertpapierbörse</w:t>
      </w:r>
      <w:proofErr w:type="spellEnd"/>
      <w:r w:rsidRPr="00E20202">
        <w:rPr>
          <w:rFonts w:eastAsiaTheme="minorEastAsia"/>
          <w:b/>
          <w:sz w:val="22"/>
          <w:szCs w:val="22"/>
          <w:bdr w:val="none" w:sz="0" w:space="0" w:color="auto" w:frame="1"/>
          <w:lang w:eastAsia="en-CA"/>
        </w:rPr>
        <w:t>: FWB):</w:t>
      </w:r>
    </w:p>
    <w:p w:rsidR="00E20202" w:rsidRPr="00E20202" w:rsidRDefault="00E20202" w:rsidP="00E20202">
      <w:pPr>
        <w:shd w:val="clear" w:color="auto" w:fill="FEFEFE"/>
        <w:spacing w:before="120" w:after="120" w:line="315" w:lineRule="atLeast"/>
        <w:jc w:val="both"/>
        <w:rPr>
          <w:color w:val="444444"/>
          <w:sz w:val="22"/>
          <w:szCs w:val="22"/>
          <w:lang w:val="en-CA" w:eastAsia="en-CA"/>
        </w:rPr>
      </w:pPr>
      <w:r w:rsidRPr="00E20202">
        <w:rPr>
          <w:sz w:val="22"/>
          <w:szCs w:val="22"/>
          <w:lang w:val="en-CA" w:eastAsia="en-CA"/>
        </w:rPr>
        <w:t xml:space="preserve">According to the FWB website, an estimated 45 percent of Europe's top 300 companies have their primary listing on the London or Frankfurt </w:t>
      </w:r>
      <w:r w:rsidRPr="00E20202">
        <w:rPr>
          <w:rFonts w:eastAsiaTheme="minorEastAsia"/>
          <w:sz w:val="22"/>
          <w:szCs w:val="22"/>
          <w:bdr w:val="none" w:sz="0" w:space="0" w:color="auto" w:frame="1"/>
          <w:lang w:eastAsia="en-CA"/>
        </w:rPr>
        <w:t xml:space="preserve">exchanges.  </w:t>
      </w:r>
      <w:r w:rsidRPr="00E20202">
        <w:rPr>
          <w:sz w:val="22"/>
          <w:szCs w:val="22"/>
          <w:lang w:val="en-CA" w:eastAsia="en-CA"/>
        </w:rPr>
        <w:t xml:space="preserve">The Frankfurt Stock Exchange is an international trading centre with more than 215 market participants, 50% of which are from countries other than Germany. The FWB is one of the world’s largest stock </w:t>
      </w:r>
      <w:proofErr w:type="gramStart"/>
      <w:r w:rsidRPr="00E20202">
        <w:rPr>
          <w:sz w:val="22"/>
          <w:szCs w:val="22"/>
          <w:lang w:val="en-CA" w:eastAsia="en-CA"/>
        </w:rPr>
        <w:t>exchange</w:t>
      </w:r>
      <w:proofErr w:type="gramEnd"/>
      <w:r w:rsidRPr="00E20202">
        <w:rPr>
          <w:sz w:val="22"/>
          <w:szCs w:val="22"/>
          <w:lang w:val="en-CA" w:eastAsia="en-CA"/>
        </w:rPr>
        <w:t xml:space="preserve"> for securities trading and ranks 10</w:t>
      </w:r>
      <w:r w:rsidRPr="00E20202">
        <w:rPr>
          <w:sz w:val="22"/>
          <w:szCs w:val="22"/>
          <w:vertAlign w:val="superscript"/>
          <w:lang w:val="en-CA" w:eastAsia="en-CA"/>
        </w:rPr>
        <w:t>th</w:t>
      </w:r>
      <w:r w:rsidRPr="00E20202">
        <w:rPr>
          <w:sz w:val="22"/>
          <w:szCs w:val="22"/>
          <w:lang w:val="en-CA" w:eastAsia="en-CA"/>
        </w:rPr>
        <w:t xml:space="preserve"> in the “Trillion Dollar Club”. With 90 per cent of its turnover generated in Germany, namely at the two trading venues </w:t>
      </w:r>
      <w:proofErr w:type="spellStart"/>
      <w:r w:rsidRPr="00E20202">
        <w:rPr>
          <w:sz w:val="22"/>
          <w:szCs w:val="22"/>
          <w:lang w:val="en-CA" w:eastAsia="en-CA"/>
        </w:rPr>
        <w:t>Xetra</w:t>
      </w:r>
      <w:proofErr w:type="spellEnd"/>
      <w:r w:rsidRPr="00E20202">
        <w:rPr>
          <w:sz w:val="22"/>
          <w:szCs w:val="22"/>
          <w:lang w:val="en-CA" w:eastAsia="en-CA"/>
        </w:rPr>
        <w:t xml:space="preserve">® and </w:t>
      </w:r>
      <w:proofErr w:type="spellStart"/>
      <w:r w:rsidRPr="00E20202">
        <w:rPr>
          <w:sz w:val="22"/>
          <w:szCs w:val="22"/>
          <w:lang w:val="en-CA" w:eastAsia="en-CA"/>
        </w:rPr>
        <w:t>Börse</w:t>
      </w:r>
      <w:proofErr w:type="spellEnd"/>
      <w:r w:rsidRPr="00E20202">
        <w:rPr>
          <w:sz w:val="22"/>
          <w:szCs w:val="22"/>
          <w:lang w:val="en-CA" w:eastAsia="en-CA"/>
        </w:rPr>
        <w:t xml:space="preserve"> Frankfurt, it is the largest of the seven regional securities exchanges in Germany.  Besides the specialist trading at Frankfurt Stock Exchange, its fully electronic trading system </w:t>
      </w:r>
      <w:proofErr w:type="spellStart"/>
      <w:r w:rsidRPr="00E20202">
        <w:rPr>
          <w:sz w:val="22"/>
          <w:szCs w:val="22"/>
          <w:lang w:val="en-CA" w:eastAsia="en-CA"/>
        </w:rPr>
        <w:t>Xetra</w:t>
      </w:r>
      <w:proofErr w:type="spellEnd"/>
      <w:r w:rsidRPr="00E20202">
        <w:rPr>
          <w:sz w:val="22"/>
          <w:szCs w:val="22"/>
          <w:lang w:val="en-CA" w:eastAsia="en-CA"/>
        </w:rPr>
        <w:t xml:space="preserve">® is one of the leading electronic trading platforms in the world. With the launch of </w:t>
      </w:r>
      <w:proofErr w:type="spellStart"/>
      <w:r w:rsidRPr="00E20202">
        <w:rPr>
          <w:sz w:val="22"/>
          <w:szCs w:val="22"/>
          <w:lang w:val="en-CA" w:eastAsia="en-CA"/>
        </w:rPr>
        <w:t>Xetra</w:t>
      </w:r>
      <w:proofErr w:type="spellEnd"/>
      <w:r w:rsidRPr="00E20202">
        <w:rPr>
          <w:sz w:val="22"/>
          <w:szCs w:val="22"/>
          <w:lang w:val="en-CA" w:eastAsia="en-CA"/>
        </w:rPr>
        <w:t xml:space="preserve"> in 1997, the Frankfurt Stock Exchange strengthened its competitive position and </w:t>
      </w:r>
      <w:r w:rsidRPr="00E20202">
        <w:rPr>
          <w:sz w:val="22"/>
          <w:szCs w:val="22"/>
          <w:lang w:val="en-CA" w:eastAsia="en-CA"/>
        </w:rPr>
        <w:lastRenderedPageBreak/>
        <w:t xml:space="preserve">created attractive framework conditions for foreign investors and market participants. The FWB was founded over four hundred years ago in 1685 and is operated by Deutsche </w:t>
      </w:r>
      <w:proofErr w:type="spellStart"/>
      <w:r w:rsidRPr="00E20202">
        <w:rPr>
          <w:sz w:val="22"/>
          <w:szCs w:val="22"/>
          <w:lang w:val="en-CA" w:eastAsia="en-CA"/>
        </w:rPr>
        <w:t>Borse</w:t>
      </w:r>
      <w:proofErr w:type="spellEnd"/>
      <w:r w:rsidRPr="00E20202">
        <w:rPr>
          <w:sz w:val="22"/>
          <w:szCs w:val="22"/>
          <w:lang w:val="en-CA" w:eastAsia="en-CA"/>
        </w:rPr>
        <w:t xml:space="preserve"> AG.</w:t>
      </w:r>
      <w:r w:rsidRPr="00E20202">
        <w:rPr>
          <w:color w:val="444444"/>
          <w:sz w:val="22"/>
          <w:szCs w:val="22"/>
          <w:lang w:val="en-CA" w:eastAsia="en-CA"/>
        </w:rPr>
        <w:t xml:space="preserve"> </w:t>
      </w:r>
    </w:p>
    <w:p w:rsidR="00E20202" w:rsidRPr="00E20202" w:rsidRDefault="00E20202" w:rsidP="00E20202">
      <w:pPr>
        <w:rPr>
          <w:rFonts w:eastAsiaTheme="minorEastAsia"/>
          <w:color w:val="000000"/>
          <w:sz w:val="22"/>
          <w:szCs w:val="22"/>
        </w:rPr>
      </w:pPr>
      <w:r w:rsidRPr="00E20202">
        <w:rPr>
          <w:rFonts w:eastAsiaTheme="minorEastAsia"/>
          <w:color w:val="000000"/>
          <w:sz w:val="22"/>
          <w:szCs w:val="22"/>
        </w:rPr>
        <w:t xml:space="preserve">On behalf of the board of directors of </w:t>
      </w:r>
    </w:p>
    <w:p w:rsidR="00E20202" w:rsidRPr="00E20202" w:rsidRDefault="00E20202" w:rsidP="00E20202">
      <w:pPr>
        <w:autoSpaceDE w:val="0"/>
        <w:autoSpaceDN w:val="0"/>
        <w:adjustRightInd w:val="0"/>
        <w:rPr>
          <w:rFonts w:eastAsiaTheme="minorEastAsia"/>
          <w:color w:val="000000"/>
          <w:sz w:val="22"/>
          <w:szCs w:val="22"/>
        </w:rPr>
      </w:pPr>
      <w:r w:rsidRPr="00E20202">
        <w:rPr>
          <w:rFonts w:eastAsiaTheme="minorEastAsia"/>
          <w:b/>
          <w:bCs/>
          <w:color w:val="000000"/>
          <w:sz w:val="22"/>
          <w:szCs w:val="22"/>
        </w:rPr>
        <w:t xml:space="preserve">ALLIANCE GROWERS CORP. </w:t>
      </w:r>
    </w:p>
    <w:p w:rsidR="00E20202" w:rsidRPr="00E20202" w:rsidRDefault="00E20202" w:rsidP="00E20202">
      <w:pPr>
        <w:autoSpaceDE w:val="0"/>
        <w:autoSpaceDN w:val="0"/>
        <w:adjustRightInd w:val="0"/>
        <w:rPr>
          <w:rFonts w:eastAsiaTheme="minorEastAsia"/>
          <w:color w:val="000000"/>
          <w:sz w:val="22"/>
          <w:szCs w:val="22"/>
        </w:rPr>
      </w:pPr>
      <w:r w:rsidRPr="00E20202">
        <w:rPr>
          <w:rFonts w:eastAsiaTheme="minorEastAsia"/>
          <w:i/>
          <w:iCs/>
          <w:color w:val="000000"/>
          <w:sz w:val="22"/>
          <w:szCs w:val="22"/>
        </w:rPr>
        <w:t xml:space="preserve">“Dennis Petke” </w:t>
      </w:r>
    </w:p>
    <w:p w:rsidR="00E20202" w:rsidRPr="00E20202" w:rsidRDefault="00E20202" w:rsidP="00E20202">
      <w:pPr>
        <w:autoSpaceDE w:val="0"/>
        <w:autoSpaceDN w:val="0"/>
        <w:adjustRightInd w:val="0"/>
        <w:rPr>
          <w:rFonts w:eastAsiaTheme="minorEastAsia"/>
          <w:color w:val="000000"/>
          <w:sz w:val="22"/>
          <w:szCs w:val="22"/>
        </w:rPr>
      </w:pPr>
      <w:r w:rsidRPr="00E20202">
        <w:rPr>
          <w:rFonts w:eastAsiaTheme="minorEastAsia"/>
          <w:color w:val="000000"/>
          <w:sz w:val="22"/>
          <w:szCs w:val="22"/>
        </w:rPr>
        <w:t>Dennis Petke</w:t>
      </w:r>
    </w:p>
    <w:p w:rsidR="00E20202" w:rsidRPr="00E20202" w:rsidRDefault="00E20202" w:rsidP="00E20202">
      <w:pPr>
        <w:autoSpaceDE w:val="0"/>
        <w:autoSpaceDN w:val="0"/>
        <w:adjustRightInd w:val="0"/>
        <w:rPr>
          <w:rFonts w:eastAsiaTheme="minorEastAsia"/>
          <w:color w:val="000000"/>
          <w:sz w:val="22"/>
          <w:szCs w:val="22"/>
        </w:rPr>
      </w:pPr>
      <w:r w:rsidRPr="00E20202">
        <w:rPr>
          <w:rFonts w:eastAsiaTheme="minorEastAsia"/>
          <w:color w:val="000000"/>
          <w:sz w:val="22"/>
          <w:szCs w:val="22"/>
        </w:rPr>
        <w:t>President and CEO</w:t>
      </w:r>
    </w:p>
    <w:p w:rsidR="00E20202" w:rsidRPr="00E20202" w:rsidRDefault="00E20202" w:rsidP="00E20202">
      <w:pPr>
        <w:autoSpaceDE w:val="0"/>
        <w:autoSpaceDN w:val="0"/>
        <w:adjustRightInd w:val="0"/>
        <w:rPr>
          <w:rFonts w:eastAsiaTheme="minorEastAsia"/>
          <w:color w:val="000000"/>
          <w:sz w:val="22"/>
          <w:szCs w:val="22"/>
        </w:rPr>
      </w:pPr>
    </w:p>
    <w:p w:rsidR="00E20202" w:rsidRPr="00E20202" w:rsidRDefault="00E20202" w:rsidP="00E20202">
      <w:pPr>
        <w:autoSpaceDE w:val="0"/>
        <w:autoSpaceDN w:val="0"/>
        <w:adjustRightInd w:val="0"/>
        <w:rPr>
          <w:rFonts w:eastAsiaTheme="minorEastAsia"/>
          <w:color w:val="000000"/>
          <w:sz w:val="22"/>
          <w:szCs w:val="22"/>
        </w:rPr>
      </w:pPr>
      <w:r w:rsidRPr="00E20202">
        <w:rPr>
          <w:rFonts w:eastAsiaTheme="minorEastAsia"/>
          <w:color w:val="000000"/>
          <w:sz w:val="22"/>
          <w:szCs w:val="22"/>
        </w:rPr>
        <w:t>For more information contact:</w:t>
      </w:r>
    </w:p>
    <w:p w:rsidR="00E20202" w:rsidRPr="00E20202" w:rsidRDefault="00E20202" w:rsidP="00E20202">
      <w:pPr>
        <w:autoSpaceDE w:val="0"/>
        <w:autoSpaceDN w:val="0"/>
        <w:adjustRightInd w:val="0"/>
        <w:rPr>
          <w:rFonts w:eastAsiaTheme="minorEastAsia"/>
          <w:color w:val="000000"/>
          <w:sz w:val="22"/>
          <w:szCs w:val="22"/>
        </w:rPr>
      </w:pPr>
    </w:p>
    <w:p w:rsidR="00E20202" w:rsidRPr="00E20202" w:rsidRDefault="00E20202" w:rsidP="00E20202">
      <w:pPr>
        <w:autoSpaceDE w:val="0"/>
        <w:autoSpaceDN w:val="0"/>
        <w:adjustRightInd w:val="0"/>
        <w:rPr>
          <w:rFonts w:eastAsiaTheme="minorEastAsia"/>
          <w:color w:val="000000"/>
          <w:sz w:val="22"/>
          <w:szCs w:val="22"/>
        </w:rPr>
      </w:pPr>
      <w:r w:rsidRPr="00E20202">
        <w:rPr>
          <w:rFonts w:eastAsiaTheme="minorEastAsia"/>
          <w:color w:val="000000"/>
          <w:sz w:val="22"/>
          <w:szCs w:val="22"/>
        </w:rPr>
        <w:t xml:space="preserve">Dennis Petke </w:t>
      </w:r>
    </w:p>
    <w:p w:rsidR="00E20202" w:rsidRPr="00E20202" w:rsidRDefault="00E20202" w:rsidP="00E20202">
      <w:pPr>
        <w:rPr>
          <w:rFonts w:eastAsiaTheme="minorEastAsia"/>
          <w:b/>
          <w:sz w:val="22"/>
          <w:szCs w:val="22"/>
        </w:rPr>
      </w:pPr>
      <w:r w:rsidRPr="00E20202">
        <w:rPr>
          <w:rFonts w:eastAsiaTheme="minorEastAsia"/>
          <w:b/>
          <w:sz w:val="22"/>
          <w:szCs w:val="22"/>
        </w:rPr>
        <w:t>Tel: 778-331-4266</w:t>
      </w:r>
    </w:p>
    <w:p w:rsidR="00E20202" w:rsidRPr="00E20202" w:rsidRDefault="005E2C74" w:rsidP="00E20202">
      <w:pPr>
        <w:rPr>
          <w:rFonts w:eastAsiaTheme="minorEastAsia"/>
          <w:sz w:val="22"/>
          <w:szCs w:val="22"/>
        </w:rPr>
      </w:pPr>
      <w:hyperlink r:id="rId15" w:history="1">
        <w:r w:rsidR="00E20202" w:rsidRPr="00E20202">
          <w:rPr>
            <w:rFonts w:eastAsiaTheme="minorEastAsia"/>
            <w:b/>
            <w:bCs/>
            <w:color w:val="0000FF" w:themeColor="hyperlink"/>
            <w:sz w:val="22"/>
            <w:szCs w:val="22"/>
            <w:u w:val="single"/>
          </w:rPr>
          <w:t>DennisPetke@alliancegrowers.com</w:t>
        </w:r>
      </w:hyperlink>
      <w:r w:rsidR="00E20202" w:rsidRPr="00E20202">
        <w:rPr>
          <w:rFonts w:eastAsiaTheme="minorEastAsia"/>
          <w:sz w:val="22"/>
          <w:szCs w:val="22"/>
        </w:rPr>
        <w:t xml:space="preserve"> </w:t>
      </w:r>
    </w:p>
    <w:p w:rsidR="00E20202" w:rsidRPr="00E20202" w:rsidRDefault="00E20202" w:rsidP="00E20202">
      <w:pPr>
        <w:rPr>
          <w:rFonts w:eastAsiaTheme="minorEastAsia"/>
          <w:sz w:val="22"/>
          <w:szCs w:val="22"/>
        </w:rPr>
      </w:pPr>
    </w:p>
    <w:p w:rsidR="00E20202" w:rsidRPr="00E20202" w:rsidRDefault="00E20202" w:rsidP="00E20202">
      <w:pPr>
        <w:rPr>
          <w:rFonts w:eastAsiaTheme="minorEastAsia"/>
          <w:sz w:val="22"/>
          <w:szCs w:val="22"/>
        </w:rPr>
      </w:pPr>
      <w:r w:rsidRPr="00E20202">
        <w:rPr>
          <w:rFonts w:eastAsiaTheme="minorEastAsia"/>
          <w:sz w:val="22"/>
          <w:szCs w:val="22"/>
        </w:rPr>
        <w:t>Rob Grace</w:t>
      </w:r>
    </w:p>
    <w:p w:rsidR="00E20202" w:rsidRPr="00E20202" w:rsidRDefault="00E20202" w:rsidP="00E20202">
      <w:pPr>
        <w:rPr>
          <w:rFonts w:eastAsiaTheme="minorEastAsia"/>
          <w:sz w:val="22"/>
          <w:szCs w:val="22"/>
        </w:rPr>
      </w:pPr>
      <w:r w:rsidRPr="00E20202">
        <w:rPr>
          <w:rFonts w:eastAsiaTheme="minorEastAsia"/>
          <w:sz w:val="22"/>
          <w:szCs w:val="22"/>
        </w:rPr>
        <w:t>Corporate Communications</w:t>
      </w:r>
    </w:p>
    <w:p w:rsidR="00E20202" w:rsidRPr="00E20202" w:rsidRDefault="00E20202" w:rsidP="00E20202">
      <w:pPr>
        <w:rPr>
          <w:rFonts w:eastAsiaTheme="minorEastAsia"/>
          <w:b/>
          <w:bCs/>
          <w:sz w:val="22"/>
          <w:szCs w:val="22"/>
        </w:rPr>
      </w:pPr>
      <w:r w:rsidRPr="00E20202">
        <w:rPr>
          <w:rFonts w:eastAsiaTheme="minorEastAsia"/>
          <w:b/>
          <w:bCs/>
          <w:sz w:val="22"/>
          <w:szCs w:val="22"/>
        </w:rPr>
        <w:t>Tel: 778-998-5431</w:t>
      </w:r>
    </w:p>
    <w:p w:rsidR="00E20202" w:rsidRPr="00E20202" w:rsidRDefault="005E2C74" w:rsidP="00E20202">
      <w:pPr>
        <w:spacing w:after="100" w:afterAutospacing="1"/>
        <w:jc w:val="both"/>
        <w:rPr>
          <w:rFonts w:eastAsiaTheme="minorEastAsia"/>
          <w:b/>
          <w:bCs/>
          <w:color w:val="000000"/>
          <w:sz w:val="22"/>
          <w:szCs w:val="22"/>
        </w:rPr>
      </w:pPr>
      <w:hyperlink r:id="rId16" w:history="1">
        <w:r w:rsidR="00E20202" w:rsidRPr="00E20202">
          <w:rPr>
            <w:rFonts w:eastAsiaTheme="minorEastAsia"/>
            <w:b/>
            <w:bCs/>
            <w:color w:val="0000FF" w:themeColor="hyperlink"/>
            <w:sz w:val="22"/>
            <w:szCs w:val="22"/>
            <w:u w:val="single"/>
          </w:rPr>
          <w:t>RobGrace@alliancegrowers.com</w:t>
        </w:r>
      </w:hyperlink>
      <w:r w:rsidR="00E20202" w:rsidRPr="00E20202">
        <w:rPr>
          <w:rFonts w:eastAsiaTheme="minorEastAsia"/>
          <w:b/>
          <w:bCs/>
          <w:color w:val="000000"/>
          <w:sz w:val="22"/>
          <w:szCs w:val="22"/>
        </w:rPr>
        <w:t xml:space="preserve"> </w:t>
      </w:r>
    </w:p>
    <w:p w:rsidR="00E20202" w:rsidRPr="00E20202" w:rsidRDefault="00E20202" w:rsidP="00E20202">
      <w:pPr>
        <w:spacing w:after="120"/>
        <w:jc w:val="both"/>
        <w:rPr>
          <w:sz w:val="22"/>
          <w:szCs w:val="22"/>
        </w:rPr>
      </w:pPr>
      <w:r w:rsidRPr="00E20202">
        <w:rPr>
          <w:rFonts w:eastAsiaTheme="majorEastAsia"/>
          <w:i/>
          <w:iCs/>
          <w:sz w:val="22"/>
          <w:szCs w:val="22"/>
        </w:rPr>
        <w:t>THE CANADIAN SECURITIES EXCHANGE HAS NOT REVIEWED AND DOES NOT ACCEPT RESPONSIBILITY FOR THE ACCURACY OR ADEQUACY OF THIS RELEASE.</w:t>
      </w:r>
    </w:p>
    <w:p w:rsidR="00E20202" w:rsidRPr="00E20202" w:rsidRDefault="00E20202" w:rsidP="00E20202">
      <w:pPr>
        <w:spacing w:after="120"/>
        <w:jc w:val="both"/>
        <w:rPr>
          <w:rFonts w:eastAsiaTheme="minorEastAsia"/>
          <w:b/>
          <w:bCs/>
          <w:color w:val="000000"/>
          <w:sz w:val="22"/>
          <w:szCs w:val="22"/>
        </w:rPr>
      </w:pPr>
      <w:r w:rsidRPr="00E20202">
        <w:rPr>
          <w:rFonts w:eastAsiaTheme="minorEastAsia"/>
          <w:b/>
          <w:bCs/>
          <w:color w:val="000000"/>
          <w:sz w:val="22"/>
          <w:szCs w:val="22"/>
        </w:rPr>
        <w:t>FORWARD LOOKING INFORMATION</w:t>
      </w:r>
    </w:p>
    <w:p w:rsidR="00E20202" w:rsidRPr="00B76B31" w:rsidRDefault="00E20202" w:rsidP="00E20202">
      <w:pPr>
        <w:spacing w:after="120"/>
        <w:jc w:val="both"/>
        <w:rPr>
          <w:rFonts w:eastAsiaTheme="minorEastAsia"/>
          <w:bCs/>
          <w:color w:val="000000"/>
          <w:sz w:val="18"/>
          <w:szCs w:val="18"/>
        </w:rPr>
      </w:pPr>
      <w:r w:rsidRPr="00B76B31">
        <w:rPr>
          <w:rFonts w:eastAsiaTheme="minorEastAsia"/>
          <w:bCs/>
          <w:color w:val="000000"/>
          <w:sz w:val="18"/>
          <w:szCs w:val="18"/>
        </w:rPr>
        <w:t>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the news release contains forward-looking statements and information relating to the use of proceeds of the Financing, as well as the Company’s corporate strategy. The forward-looking statements and information are based on certain key expectations and assumptions made by management of the Company, including, without limitation, the Company’s ability to carry out its business plan following the issuance of the required licenses by Health Canada.</w:t>
      </w:r>
      <w:r w:rsidRPr="00B76B31" w:rsidDel="00E078A0">
        <w:rPr>
          <w:rFonts w:eastAsiaTheme="minorEastAsia"/>
          <w:bCs/>
          <w:color w:val="000000"/>
          <w:sz w:val="18"/>
          <w:szCs w:val="18"/>
        </w:rPr>
        <w:t xml:space="preserve"> </w:t>
      </w:r>
      <w:r w:rsidRPr="00B76B31">
        <w:rPr>
          <w:rFonts w:eastAsiaTheme="minorEastAsia"/>
          <w:bCs/>
          <w:color w:val="000000"/>
          <w:sz w:val="18"/>
          <w:szCs w:val="18"/>
        </w:rPr>
        <w:t>Although management of the Company believes that the expectations and assumptions on which such forward-looking statements and information are based are reasonable, undue reliance should not be placed on the forward-looking statements and information since no assurance can be given that they will prove to be correct.</w:t>
      </w:r>
    </w:p>
    <w:p w:rsidR="00E20202" w:rsidRPr="00B76B31" w:rsidRDefault="00E20202" w:rsidP="00E20202">
      <w:pPr>
        <w:spacing w:after="120"/>
        <w:jc w:val="both"/>
        <w:rPr>
          <w:rFonts w:eastAsiaTheme="minorEastAsia"/>
          <w:bCs/>
          <w:color w:val="000000"/>
          <w:sz w:val="18"/>
          <w:szCs w:val="18"/>
        </w:rPr>
      </w:pPr>
      <w:r w:rsidRPr="00B76B31">
        <w:rPr>
          <w:rFonts w:eastAsiaTheme="minorEastAsia"/>
          <w:bCs/>
          <w:color w:val="000000"/>
          <w:sz w:val="18"/>
          <w:szCs w:val="18"/>
        </w:rPr>
        <w:t>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risks and uncertainties. Actual results could differ materially from those currently anticipated due to a number of factors and risks. These include, but are not limited to, the Company’s ability to identify and complete additional suitable acquisitions to further the Company’s growth as well as risks associated with the medical marijuana industry in general, such as operational risks in development and production delays or changes in plans with respect to development projects or capital expenditures; the uncertainty of the capital markets; the uncertainty of receiving the required licenses, production, costs and expenses; health, safety and environmental risks; marketing and transportation; loss of markets; environmental risks; competition; incorrect assessment of the value of the potential market; ability to access sufficient capital from internal and external sources; failure to obtain required regulatory and other approvals and changes in legislation, including but not limited to tax laws and regulated regulations. Accordingly, readers should not place undue reliance on the forward-looking statements, timelines and information contained in this news release. Readers are cautioned that the foregoing list of factors is not exhaustive.</w:t>
      </w:r>
    </w:p>
    <w:p w:rsidR="00EA4133" w:rsidRDefault="00E20202" w:rsidP="00B76B31">
      <w:pPr>
        <w:pStyle w:val="List"/>
        <w:tabs>
          <w:tab w:val="left" w:pos="9180"/>
          <w:tab w:val="left" w:pos="9360"/>
        </w:tabs>
        <w:ind w:left="0" w:firstLine="0"/>
        <w:rPr>
          <w:rFonts w:ascii="Arial" w:hAnsi="Arial"/>
        </w:rPr>
      </w:pPr>
      <w:r w:rsidRPr="00B76B31">
        <w:rPr>
          <w:rFonts w:eastAsiaTheme="minorEastAsia"/>
          <w:bCs/>
          <w:color w:val="000000"/>
          <w:sz w:val="18"/>
          <w:szCs w:val="18"/>
          <w:lang w:val="en-US"/>
        </w:rPr>
        <w:t>The forward-looking statements and information contained in this news release are made as of the date hereof and no undertaking is given to update publicly or revise any forward-looking statements or information, whether as a result of new information, future events or otherwise, unless so required by applicable securities laws or the Canadian Securities Exchange. The forward-looking statements or information contained in this news release are expressly qualified by this cautionary statement</w:t>
      </w:r>
    </w:p>
    <w:sectPr w:rsidR="00EA4133" w:rsidSect="00BF485B">
      <w:pgSz w:w="12240" w:h="15840"/>
      <w:pgMar w:top="1152" w:right="144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C74" w:rsidRDefault="005E2C74">
      <w:r>
        <w:separator/>
      </w:r>
    </w:p>
  </w:endnote>
  <w:endnote w:type="continuationSeparator" w:id="0">
    <w:p w:rsidR="005E2C74" w:rsidRDefault="005E2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times roman">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133" w:rsidRDefault="00BE1951" w:rsidP="008003B9">
    <w:pPr>
      <w:tabs>
        <w:tab w:val="center" w:pos="4674"/>
        <w:tab w:val="left" w:pos="8460"/>
      </w:tabs>
      <w:jc w:val="center"/>
      <w:rPr>
        <w:rStyle w:val="PageNumber"/>
        <w:rFonts w:ascii="Arial" w:hAnsi="Arial" w:cs="Arial"/>
        <w:b/>
      </w:rPr>
    </w:pPr>
    <w:r>
      <w:rPr>
        <w:b/>
        <w:noProof/>
      </w:rPr>
      <mc:AlternateContent>
        <mc:Choice Requires="wps">
          <w:drawing>
            <wp:anchor distT="4294967294" distB="4294967294" distL="114300" distR="114300" simplePos="0" relativeHeight="251657728" behindDoc="0" locked="0" layoutInCell="1" allowOverlap="1">
              <wp:simplePos x="0" y="0"/>
              <wp:positionH relativeFrom="column">
                <wp:posOffset>51435</wp:posOffset>
              </wp:positionH>
              <wp:positionV relativeFrom="paragraph">
                <wp:posOffset>-20321</wp:posOffset>
              </wp:positionV>
              <wp:extent cx="5863590" cy="0"/>
              <wp:effectExtent l="0" t="0" r="2286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EA4133">
      <w:rPr>
        <w:rFonts w:ascii="Arial" w:hAnsi="Arial" w:cs="Arial"/>
        <w:b/>
      </w:rPr>
      <w:t>FORM 9 – NOTICE OF PROPOSED ISSUANCE OF</w:t>
    </w:r>
  </w:p>
  <w:p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5D7226"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5D7226" w:rsidRPr="002557FD">
      <w:rPr>
        <w:rStyle w:val="PageNumber"/>
        <w:rFonts w:ascii="Arial" w:hAnsi="Arial" w:cs="Arial"/>
        <w:sz w:val="16"/>
        <w:szCs w:val="16"/>
      </w:rPr>
      <w:fldChar w:fldCharType="separate"/>
    </w:r>
    <w:r w:rsidR="00162788">
      <w:rPr>
        <w:rStyle w:val="PageNumber"/>
        <w:rFonts w:ascii="Arial" w:hAnsi="Arial" w:cs="Arial"/>
        <w:noProof/>
        <w:sz w:val="16"/>
        <w:szCs w:val="16"/>
      </w:rPr>
      <w:t>9</w:t>
    </w:r>
    <w:r w:rsidR="005D7226"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133" w:rsidRDefault="00AE394B">
    <w:pPr>
      <w:pStyle w:val="Footer"/>
    </w:pPr>
    <w:fldSimple w:instr=" DOCPROPERTY FOOTERPATH \* MERGEFORMAT ">
      <w:r w:rsidR="00186DA5">
        <w:t>3214.001\0180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C74" w:rsidRDefault="005E2C74">
      <w:r>
        <w:separator/>
      </w:r>
    </w:p>
  </w:footnote>
  <w:footnote w:type="continuationSeparator" w:id="0">
    <w:p w:rsidR="005E2C74" w:rsidRDefault="005E2C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3B56F06"/>
    <w:multiLevelType w:val="hybridMultilevel"/>
    <w:tmpl w:val="52FE2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nsid w:val="06D676DC"/>
    <w:multiLevelType w:val="hybridMultilevel"/>
    <w:tmpl w:val="95A6ABB6"/>
    <w:lvl w:ilvl="0" w:tplc="3D126A54">
      <w:start w:val="2"/>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5">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6">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7">
    <w:nsid w:val="305208C1"/>
    <w:multiLevelType w:val="hybridMultilevel"/>
    <w:tmpl w:val="67FA6C70"/>
    <w:lvl w:ilvl="0" w:tplc="423AFA6A">
      <w:start w:val="9"/>
      <w:numFmt w:val="lowerLetter"/>
      <w:lvlText w:val="(%1)"/>
      <w:lvlJc w:val="left"/>
      <w:pPr>
        <w:ind w:left="1080" w:hanging="360"/>
      </w:pPr>
      <w:rPr>
        <w:rFonts w:hint="default"/>
        <w:color w:val="00000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9">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B2103C"/>
    <w:multiLevelType w:val="hybridMultilevel"/>
    <w:tmpl w:val="3788E32A"/>
    <w:lvl w:ilvl="0" w:tplc="2C9806CC">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12">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3">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4">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5">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6">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7">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8">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9">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1">
    <w:nsid w:val="7DDC21E8"/>
    <w:multiLevelType w:val="hybridMultilevel"/>
    <w:tmpl w:val="52FE2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6"/>
  </w:num>
  <w:num w:numId="3">
    <w:abstractNumId w:val="13"/>
  </w:num>
  <w:num w:numId="4">
    <w:abstractNumId w:val="17"/>
  </w:num>
  <w:num w:numId="5">
    <w:abstractNumId w:val="15"/>
  </w:num>
  <w:num w:numId="6">
    <w:abstractNumId w:val="0"/>
  </w:num>
  <w:num w:numId="7">
    <w:abstractNumId w:val="14"/>
  </w:num>
  <w:num w:numId="8">
    <w:abstractNumId w:val="8"/>
  </w:num>
  <w:num w:numId="9">
    <w:abstractNumId w:val="11"/>
  </w:num>
  <w:num w:numId="10">
    <w:abstractNumId w:val="6"/>
  </w:num>
  <w:num w:numId="11">
    <w:abstractNumId w:val="18"/>
  </w:num>
  <w:num w:numId="12">
    <w:abstractNumId w:val="20"/>
  </w:num>
  <w:num w:numId="13">
    <w:abstractNumId w:val="5"/>
  </w:num>
  <w:num w:numId="14">
    <w:abstractNumId w:val="12"/>
  </w:num>
  <w:num w:numId="15">
    <w:abstractNumId w:val="2"/>
  </w:num>
  <w:num w:numId="16">
    <w:abstractNumId w:val="19"/>
  </w:num>
  <w:num w:numId="17">
    <w:abstractNumId w:val="9"/>
  </w:num>
  <w:num w:numId="18">
    <w:abstractNumId w:val="7"/>
  </w:num>
  <w:num w:numId="19">
    <w:abstractNumId w:val="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B3"/>
    <w:rsid w:val="00003125"/>
    <w:rsid w:val="0001060A"/>
    <w:rsid w:val="00011C78"/>
    <w:rsid w:val="000B64EF"/>
    <w:rsid w:val="000E13D1"/>
    <w:rsid w:val="000E1E3E"/>
    <w:rsid w:val="00116314"/>
    <w:rsid w:val="00143A56"/>
    <w:rsid w:val="00162788"/>
    <w:rsid w:val="00173F0B"/>
    <w:rsid w:val="00181981"/>
    <w:rsid w:val="00186DA5"/>
    <w:rsid w:val="00192C0D"/>
    <w:rsid w:val="00230C4A"/>
    <w:rsid w:val="00246CB7"/>
    <w:rsid w:val="002557FD"/>
    <w:rsid w:val="002705E1"/>
    <w:rsid w:val="00272F0E"/>
    <w:rsid w:val="00275AA2"/>
    <w:rsid w:val="00296BCE"/>
    <w:rsid w:val="002E4296"/>
    <w:rsid w:val="002F0416"/>
    <w:rsid w:val="00326D55"/>
    <w:rsid w:val="0033737E"/>
    <w:rsid w:val="0034537D"/>
    <w:rsid w:val="003C0273"/>
    <w:rsid w:val="003E7028"/>
    <w:rsid w:val="00437D39"/>
    <w:rsid w:val="004445B5"/>
    <w:rsid w:val="00456624"/>
    <w:rsid w:val="004570DC"/>
    <w:rsid w:val="0049493F"/>
    <w:rsid w:val="004A1403"/>
    <w:rsid w:val="004B214D"/>
    <w:rsid w:val="004B3AAE"/>
    <w:rsid w:val="004F3047"/>
    <w:rsid w:val="005349EE"/>
    <w:rsid w:val="005441E9"/>
    <w:rsid w:val="0056101E"/>
    <w:rsid w:val="0059366F"/>
    <w:rsid w:val="005D7226"/>
    <w:rsid w:val="005E2C74"/>
    <w:rsid w:val="005E73B3"/>
    <w:rsid w:val="00617A0E"/>
    <w:rsid w:val="0062717F"/>
    <w:rsid w:val="00673DA3"/>
    <w:rsid w:val="006A6AA2"/>
    <w:rsid w:val="006C783F"/>
    <w:rsid w:val="006D2DA7"/>
    <w:rsid w:val="007568B3"/>
    <w:rsid w:val="00763D0B"/>
    <w:rsid w:val="007744B0"/>
    <w:rsid w:val="0079490C"/>
    <w:rsid w:val="007A7A50"/>
    <w:rsid w:val="007B0425"/>
    <w:rsid w:val="007B13CE"/>
    <w:rsid w:val="007E2247"/>
    <w:rsid w:val="008003B9"/>
    <w:rsid w:val="00842B28"/>
    <w:rsid w:val="00846229"/>
    <w:rsid w:val="00884D51"/>
    <w:rsid w:val="00887614"/>
    <w:rsid w:val="008D3F52"/>
    <w:rsid w:val="008F27FF"/>
    <w:rsid w:val="009136E7"/>
    <w:rsid w:val="00914EB9"/>
    <w:rsid w:val="009169CF"/>
    <w:rsid w:val="009466F0"/>
    <w:rsid w:val="0094672B"/>
    <w:rsid w:val="0097763E"/>
    <w:rsid w:val="009B79B4"/>
    <w:rsid w:val="009C2387"/>
    <w:rsid w:val="009C5B2A"/>
    <w:rsid w:val="009E37C4"/>
    <w:rsid w:val="00A00C54"/>
    <w:rsid w:val="00A10285"/>
    <w:rsid w:val="00A8310E"/>
    <w:rsid w:val="00A83483"/>
    <w:rsid w:val="00A90670"/>
    <w:rsid w:val="00A93530"/>
    <w:rsid w:val="00A9392C"/>
    <w:rsid w:val="00AB052A"/>
    <w:rsid w:val="00AB41AA"/>
    <w:rsid w:val="00AE394B"/>
    <w:rsid w:val="00B04C81"/>
    <w:rsid w:val="00B76B31"/>
    <w:rsid w:val="00B923F6"/>
    <w:rsid w:val="00BC69F4"/>
    <w:rsid w:val="00BD11F2"/>
    <w:rsid w:val="00BE1951"/>
    <w:rsid w:val="00C40BEA"/>
    <w:rsid w:val="00C56AB5"/>
    <w:rsid w:val="00C9413E"/>
    <w:rsid w:val="00CA05B4"/>
    <w:rsid w:val="00CA518E"/>
    <w:rsid w:val="00CB0698"/>
    <w:rsid w:val="00CB2593"/>
    <w:rsid w:val="00CC5FE6"/>
    <w:rsid w:val="00CE5B76"/>
    <w:rsid w:val="00CF076A"/>
    <w:rsid w:val="00CF2A90"/>
    <w:rsid w:val="00CF3966"/>
    <w:rsid w:val="00D1101A"/>
    <w:rsid w:val="00D2163B"/>
    <w:rsid w:val="00D3729D"/>
    <w:rsid w:val="00D663B7"/>
    <w:rsid w:val="00DB38B6"/>
    <w:rsid w:val="00DB640C"/>
    <w:rsid w:val="00DD7935"/>
    <w:rsid w:val="00DE0A2A"/>
    <w:rsid w:val="00DF052A"/>
    <w:rsid w:val="00E20202"/>
    <w:rsid w:val="00E20596"/>
    <w:rsid w:val="00E23D88"/>
    <w:rsid w:val="00E55E58"/>
    <w:rsid w:val="00E97C13"/>
    <w:rsid w:val="00EA4133"/>
    <w:rsid w:val="00EB353F"/>
    <w:rsid w:val="00F15BDC"/>
    <w:rsid w:val="00F359B3"/>
    <w:rsid w:val="00FC1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BodyTextChar">
    <w:name w:val="Body Text Char"/>
    <w:basedOn w:val="DefaultParagraphFont"/>
    <w:link w:val="BodyText"/>
    <w:rsid w:val="00887614"/>
    <w:rPr>
      <w:sz w:val="24"/>
      <w:lang w:val="en-GB"/>
    </w:rPr>
  </w:style>
  <w:style w:type="character" w:styleId="CommentReference">
    <w:name w:val="annotation reference"/>
    <w:basedOn w:val="DefaultParagraphFont"/>
    <w:uiPriority w:val="99"/>
    <w:semiHidden/>
    <w:unhideWhenUsed/>
    <w:rsid w:val="00AB41AA"/>
    <w:rPr>
      <w:sz w:val="16"/>
      <w:szCs w:val="16"/>
    </w:rPr>
  </w:style>
  <w:style w:type="paragraph" w:styleId="CommentText">
    <w:name w:val="annotation text"/>
    <w:basedOn w:val="Normal"/>
    <w:link w:val="CommentTextChar"/>
    <w:uiPriority w:val="99"/>
    <w:semiHidden/>
    <w:unhideWhenUsed/>
    <w:rsid w:val="00AB41AA"/>
  </w:style>
  <w:style w:type="character" w:customStyle="1" w:styleId="CommentTextChar">
    <w:name w:val="Comment Text Char"/>
    <w:basedOn w:val="DefaultParagraphFont"/>
    <w:link w:val="CommentText"/>
    <w:uiPriority w:val="99"/>
    <w:semiHidden/>
    <w:rsid w:val="00AB41AA"/>
  </w:style>
  <w:style w:type="paragraph" w:styleId="CommentSubject">
    <w:name w:val="annotation subject"/>
    <w:basedOn w:val="CommentText"/>
    <w:next w:val="CommentText"/>
    <w:link w:val="CommentSubjectChar"/>
    <w:uiPriority w:val="99"/>
    <w:semiHidden/>
    <w:unhideWhenUsed/>
    <w:rsid w:val="00AB41AA"/>
    <w:rPr>
      <w:b/>
      <w:bCs/>
    </w:rPr>
  </w:style>
  <w:style w:type="character" w:customStyle="1" w:styleId="CommentSubjectChar">
    <w:name w:val="Comment Subject Char"/>
    <w:basedOn w:val="CommentTextChar"/>
    <w:link w:val="CommentSubject"/>
    <w:uiPriority w:val="99"/>
    <w:semiHidden/>
    <w:rsid w:val="00AB41AA"/>
    <w:rPr>
      <w:b/>
      <w:bCs/>
    </w:rPr>
  </w:style>
  <w:style w:type="paragraph" w:styleId="ListParagraph">
    <w:name w:val="List Paragraph"/>
    <w:basedOn w:val="Normal"/>
    <w:uiPriority w:val="34"/>
    <w:qFormat/>
    <w:rsid w:val="00AB41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BodyTextChar">
    <w:name w:val="Body Text Char"/>
    <w:basedOn w:val="DefaultParagraphFont"/>
    <w:link w:val="BodyText"/>
    <w:rsid w:val="00887614"/>
    <w:rPr>
      <w:sz w:val="24"/>
      <w:lang w:val="en-GB"/>
    </w:rPr>
  </w:style>
  <w:style w:type="character" w:styleId="CommentReference">
    <w:name w:val="annotation reference"/>
    <w:basedOn w:val="DefaultParagraphFont"/>
    <w:uiPriority w:val="99"/>
    <w:semiHidden/>
    <w:unhideWhenUsed/>
    <w:rsid w:val="00AB41AA"/>
    <w:rPr>
      <w:sz w:val="16"/>
      <w:szCs w:val="16"/>
    </w:rPr>
  </w:style>
  <w:style w:type="paragraph" w:styleId="CommentText">
    <w:name w:val="annotation text"/>
    <w:basedOn w:val="Normal"/>
    <w:link w:val="CommentTextChar"/>
    <w:uiPriority w:val="99"/>
    <w:semiHidden/>
    <w:unhideWhenUsed/>
    <w:rsid w:val="00AB41AA"/>
  </w:style>
  <w:style w:type="character" w:customStyle="1" w:styleId="CommentTextChar">
    <w:name w:val="Comment Text Char"/>
    <w:basedOn w:val="DefaultParagraphFont"/>
    <w:link w:val="CommentText"/>
    <w:uiPriority w:val="99"/>
    <w:semiHidden/>
    <w:rsid w:val="00AB41AA"/>
  </w:style>
  <w:style w:type="paragraph" w:styleId="CommentSubject">
    <w:name w:val="annotation subject"/>
    <w:basedOn w:val="CommentText"/>
    <w:next w:val="CommentText"/>
    <w:link w:val="CommentSubjectChar"/>
    <w:uiPriority w:val="99"/>
    <w:semiHidden/>
    <w:unhideWhenUsed/>
    <w:rsid w:val="00AB41AA"/>
    <w:rPr>
      <w:b/>
      <w:bCs/>
    </w:rPr>
  </w:style>
  <w:style w:type="character" w:customStyle="1" w:styleId="CommentSubjectChar">
    <w:name w:val="Comment Subject Char"/>
    <w:basedOn w:val="CommentTextChar"/>
    <w:link w:val="CommentSubject"/>
    <w:uiPriority w:val="99"/>
    <w:semiHidden/>
    <w:rsid w:val="00AB41AA"/>
    <w:rPr>
      <w:b/>
      <w:bCs/>
    </w:rPr>
  </w:style>
  <w:style w:type="paragraph" w:styleId="ListParagraph">
    <w:name w:val="List Paragraph"/>
    <w:basedOn w:val="Normal"/>
    <w:uiPriority w:val="34"/>
    <w:qFormat/>
    <w:rsid w:val="00AB4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947313">
      <w:bodyDiv w:val="1"/>
      <w:marLeft w:val="0"/>
      <w:marRight w:val="0"/>
      <w:marTop w:val="0"/>
      <w:marBottom w:val="0"/>
      <w:divBdr>
        <w:top w:val="none" w:sz="0" w:space="0" w:color="auto"/>
        <w:left w:val="none" w:sz="0" w:space="0" w:color="auto"/>
        <w:bottom w:val="none" w:sz="0" w:space="0" w:color="auto"/>
        <w:right w:val="none" w:sz="0" w:space="0" w:color="auto"/>
      </w:divBdr>
    </w:div>
    <w:div w:id="178121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dar.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liancegrower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obGrace@alliancegrower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mailto:DennisPetke@alliancegrowers.com"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newsletter@alliancegrow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491B2C8-6B67-45B9-9FB4-FEDA4E4D2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4341</Words>
  <Characters>24745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29028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User</cp:lastModifiedBy>
  <cp:revision>4</cp:revision>
  <cp:lastPrinted>2004-05-20T20:47:00Z</cp:lastPrinted>
  <dcterms:created xsi:type="dcterms:W3CDTF">2016-11-15T15:16:00Z</dcterms:created>
  <dcterms:modified xsi:type="dcterms:W3CDTF">2016-11-15T23:18:00Z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