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4.0.0 -->
  <w:body>
    <w:p w:rsidR="00EA4133" w:rsidRPr="001B3A69" w:rsidP="001B3A69">
      <w:pPr>
        <w:pStyle w:val="ONEBodyText"/>
        <w:jc w:val="center"/>
        <w:rPr>
          <w:b/>
          <w:color w:val="auto"/>
          <w:sz w:val="28"/>
          <w:szCs w:val="28"/>
          <w:shd w:val="clear" w:color="auto" w:fill="auto"/>
        </w:rPr>
      </w:pPr>
      <w:bookmarkStart w:id="0" w:name="_GoBack"/>
      <w:bookmarkEnd w:id="0"/>
      <w:r w:rsidRPr="001B3A69">
        <w:rPr>
          <w:b/>
          <w:sz w:val="28"/>
          <w:szCs w:val="28"/>
        </w:rPr>
        <w:t>FORM 9</w:t>
      </w:r>
    </w:p>
    <w:p w:rsidR="00EA4133" w:rsidRPr="001B3A69" w:rsidP="001B3A69">
      <w:pPr>
        <w:pStyle w:val="ONEBodyText"/>
        <w:jc w:val="center"/>
        <w:rPr>
          <w:b/>
          <w:color w:val="auto"/>
          <w:sz w:val="28"/>
          <w:szCs w:val="28"/>
          <w:u w:val="single"/>
          <w:shd w:val="clear" w:color="auto" w:fill="auto"/>
        </w:rPr>
      </w:pPr>
      <w:r w:rsidRPr="001B3A69">
        <w:rPr>
          <w:b/>
          <w:sz w:val="28"/>
          <w:szCs w:val="28"/>
          <w:u w:val="single"/>
        </w:rPr>
        <w:t>NOTICE OF PROPOSED ISSUANCE OF LISTED SECURITIES</w:t>
      </w:r>
    </w:p>
    <w:p w:rsidR="00EA4133" w:rsidRPr="00AD6E5A" w:rsidP="001B3A69">
      <w:pPr>
        <w:pStyle w:val="ONEBodyText"/>
        <w:jc w:val="center"/>
        <w:rPr>
          <w:color w:val="auto"/>
          <w:u w:val="single"/>
          <w:shd w:val="clear" w:color="auto" w:fill="auto"/>
        </w:rPr>
      </w:pPr>
      <w:r w:rsidRPr="001B3A69">
        <w:rPr>
          <w:b/>
          <w:sz w:val="28"/>
          <w:szCs w:val="28"/>
          <w:u w:val="single"/>
        </w:rPr>
        <w:t>(or securities convertible or exchangeable into listed securities)</w:t>
      </w:r>
      <w:r>
        <w:rPr>
          <w:rStyle w:val="FootnoteReference"/>
          <w:b/>
          <w:sz w:val="28"/>
          <w:szCs w:val="28"/>
          <w:u w:val="single"/>
        </w:rPr>
        <w:footnoteReference w:id="2"/>
      </w:r>
    </w:p>
    <w:p w:rsidR="00EA4133" w:rsidRPr="00AD6E5A" w:rsidP="001B3A69">
      <w:pPr>
        <w:pStyle w:val="ONEBodyText"/>
        <w:rPr>
          <w:color w:val="auto"/>
          <w:shd w:val="clear" w:color="auto" w:fill="auto"/>
        </w:rPr>
      </w:pPr>
      <w:r w:rsidRPr="00AD6E5A">
        <w:rPr/>
        <w:t>Please complete the following:</w:t>
      </w:r>
    </w:p>
    <w:p w:rsidR="00AD6E5A" w:rsidRPr="00AD6E5A" w:rsidP="001B3A69">
      <w:pPr>
        <w:pStyle w:val="ONEBodyText"/>
        <w:rPr>
          <w:color w:val="auto"/>
          <w:shd w:val="clear" w:color="auto" w:fill="auto"/>
        </w:rPr>
      </w:pPr>
      <w:r w:rsidRPr="00AD6E5A">
        <w:rPr/>
        <w:t xml:space="preserve">Name of Listed Issuer:  </w:t>
      </w:r>
      <w:r w:rsidRPr="00AD6E5A">
        <w:rPr>
          <w:u w:val="single"/>
        </w:rPr>
        <w:t>iANTHUS CAPITAL HOLDINGS, INC.</w:t>
      </w:r>
      <w:r w:rsidRPr="00AD6E5A">
        <w:rPr/>
        <w:t xml:space="preserve">  (the “</w:t>
      </w:r>
      <w:r w:rsidRPr="00AD6E5A">
        <w:rPr>
          <w:b/>
        </w:rPr>
        <w:t>Issuer</w:t>
      </w:r>
      <w:r w:rsidRPr="00AD6E5A">
        <w:rPr/>
        <w:t xml:space="preserve">”).  </w:t>
      </w:r>
    </w:p>
    <w:p w:rsidR="00AD6E5A" w:rsidRPr="00AD6E5A" w:rsidP="001B3A69">
      <w:pPr>
        <w:pStyle w:val="ONEBodyText"/>
        <w:rPr>
          <w:color w:val="auto"/>
          <w:shd w:val="clear" w:color="auto" w:fill="auto"/>
        </w:rPr>
      </w:pPr>
      <w:r w:rsidRPr="00AD6E5A">
        <w:rPr/>
        <w:t xml:space="preserve">Trading Symbol:  </w:t>
      </w:r>
      <w:r w:rsidRPr="00AD6E5A">
        <w:rPr>
          <w:u w:val="single"/>
        </w:rPr>
        <w:t>IAN</w:t>
      </w:r>
      <w:r w:rsidRPr="00AD6E5A">
        <w:rPr/>
        <w:t>.</w:t>
      </w:r>
    </w:p>
    <w:p w:rsidR="00AD6E5A" w:rsidRPr="00DA3743" w:rsidP="001B3A69">
      <w:pPr>
        <w:pStyle w:val="ONEBodyText"/>
        <w:rPr>
          <w:color w:val="auto"/>
          <w:shd w:val="clear" w:color="auto" w:fill="auto"/>
        </w:rPr>
      </w:pPr>
      <w:r w:rsidRPr="00AD6E5A">
        <w:rPr/>
        <w:t xml:space="preserve">Date:  </w:t>
      </w:r>
      <w:r w:rsidRPr="00AD6E5A">
        <w:rPr>
          <w:u w:val="single"/>
        </w:rPr>
        <w:tab/>
      </w:r>
      <w:r w:rsidRPr="00DA3743">
        <w:rPr>
          <w:u w:val="single"/>
          <w:shd w:val="clear" w:color="auto" w:fill="FFFFFF" w:themeFill="background1"/>
        </w:rPr>
        <w:t>February 1, 2018</w:t>
      </w:r>
      <w:r w:rsidRPr="00DA3743">
        <w:rPr/>
        <w:t>.</w:t>
      </w:r>
    </w:p>
    <w:p w:rsidR="00EA4133" w:rsidRPr="00DA3743" w:rsidP="001B3A69">
      <w:pPr>
        <w:pStyle w:val="ONEBodyText"/>
        <w:rPr>
          <w:color w:val="auto"/>
          <w:sz w:val="32"/>
          <w:shd w:val="clear" w:color="auto" w:fill="auto"/>
        </w:rPr>
      </w:pPr>
      <w:r w:rsidRPr="00DA3743">
        <w:rPr/>
        <w:t>Is this an updating or amending Notice:</w:t>
        <w:tab/>
        <w:tab/>
      </w:r>
      <w:r w:rsidRPr="00DA3743">
        <w:rPr>
          <w:rFonts w:ascii="Monotype Sorts" w:hAnsi="Monotype Sorts"/>
        </w:rPr>
        <w:sym w:font="Monotype Sorts" w:char="F07F"/>
      </w:r>
      <w:r w:rsidRPr="00DA3743">
        <w:rPr/>
        <w:t>Yes</w:t>
        <w:tab/>
        <w:tab/>
      </w:r>
      <w:r w:rsidRPr="00DA3743" w:rsidR="00AD6E5A">
        <w:rPr>
          <w:rFonts w:ascii="Wingdings" w:hAnsi="Wingdings"/>
          <w:b/>
        </w:rPr>
        <w:sym w:font="Wingdings" w:char="F0FE"/>
      </w:r>
      <w:r w:rsidRPr="00DA3743">
        <w:rPr/>
        <w:t>No</w:t>
      </w:r>
      <w:r w:rsidRPr="00DA3743">
        <w:rPr>
          <w:sz w:val="32"/>
        </w:rPr>
        <w:tab/>
      </w:r>
    </w:p>
    <w:p w:rsidR="00EA4133" w:rsidRPr="00DA3743" w:rsidP="0033580E">
      <w:pPr>
        <w:pStyle w:val="ONEBodyText"/>
        <w:tabs>
          <w:tab w:val="left" w:pos="4320"/>
          <w:tab w:val="left" w:pos="5760"/>
          <w:tab w:val="right" w:pos="7920"/>
        </w:tabs>
        <w:rPr>
          <w:color w:val="auto"/>
          <w:shd w:val="clear" w:color="auto" w:fill="auto"/>
        </w:rPr>
      </w:pPr>
      <w:r w:rsidRPr="00DA3743">
        <w:rPr/>
        <w:t xml:space="preserve">If yes provide date(s) of prior Notices:  </w:t>
      </w:r>
      <w:r w:rsidR="0033580E">
        <w:rPr>
          <w:u w:val="single"/>
        </w:rPr>
        <w:tab/>
        <w:tab/>
        <w:t>N/A</w:t>
        <w:tab/>
      </w:r>
    </w:p>
    <w:p w:rsidR="00EA4133" w:rsidRPr="00DA3743" w:rsidP="001B3A69">
      <w:pPr>
        <w:pStyle w:val="ONEBodyText"/>
        <w:rPr>
          <w:color w:val="auto"/>
          <w:shd w:val="clear" w:color="auto" w:fill="auto"/>
        </w:rPr>
      </w:pPr>
      <w:r w:rsidRPr="00DA3743">
        <w:rPr/>
        <w:t xml:space="preserve">Issued and Outstanding Securities of Issuer Prior to Issuance:  </w:t>
      </w:r>
      <w:r w:rsidRPr="00DA3743" w:rsidR="007D007A">
        <w:rPr>
          <w:u w:val="single"/>
        </w:rPr>
        <w:t>40,002,932</w:t>
      </w:r>
      <w:r w:rsidRPr="00DA3743">
        <w:rPr/>
        <w:t>.</w:t>
      </w:r>
    </w:p>
    <w:p w:rsidR="00EA4133" w:rsidRPr="007F3DE3" w:rsidP="001B3A69">
      <w:pPr>
        <w:pStyle w:val="ONEBodyText"/>
        <w:rPr>
          <w:color w:val="auto"/>
          <w:shd w:val="clear" w:color="auto" w:fill="auto"/>
        </w:rPr>
      </w:pPr>
      <w:r w:rsidRPr="00DA3743">
        <w:rPr/>
        <w:t xml:space="preserve">Date of News Release Announcing Private Placement:  </w:t>
      </w:r>
      <w:r w:rsidRPr="007F3DE3">
        <w:rPr>
          <w:u w:val="single"/>
        </w:rPr>
        <w:t>August 14, 2017</w:t>
        <w:tab/>
      </w:r>
      <w:r w:rsidRPr="007F3DE3">
        <w:rPr/>
        <w:t>.</w:t>
      </w:r>
    </w:p>
    <w:p w:rsidR="00EA4133" w:rsidRPr="00AD6E5A" w:rsidP="0033580E">
      <w:pPr>
        <w:pStyle w:val="ONEBodyText"/>
        <w:tabs>
          <w:tab w:val="left" w:pos="540"/>
          <w:tab w:val="left" w:pos="1890"/>
          <w:tab w:val="left" w:pos="8370"/>
        </w:tabs>
        <w:rPr>
          <w:color w:val="auto"/>
          <w:shd w:val="clear" w:color="auto" w:fill="auto"/>
        </w:rPr>
      </w:pPr>
      <w:r w:rsidRPr="00DA3743">
        <w:rPr/>
        <w:t xml:space="preserve">Closing Market Price on Day Preceding the Issuance of the News Release: </w:t>
      </w:r>
      <w:r w:rsidR="0033580E">
        <w:rPr>
          <w:u w:val="single"/>
        </w:rPr>
        <w:tab/>
        <w:t>$2.97</w:t>
        <w:tab/>
      </w:r>
    </w:p>
    <w:p w:rsidR="00A90670" w:rsidRPr="00AD6E5A" w:rsidP="008E2CE3">
      <w:pPr>
        <w:pStyle w:val="BodyText"/>
        <w:spacing w:after="240"/>
        <w:ind w:left="720" w:hanging="720"/>
        <w:rPr>
          <w:rFonts w:cs="Arial"/>
          <w:b/>
          <w:color w:val="auto"/>
          <w:shd w:val="clear" w:color="auto" w:fill="auto"/>
        </w:rPr>
      </w:pPr>
      <w:r w:rsidRPr="00AD6E5A">
        <w:rPr>
          <w:rFonts w:cs="Arial"/>
          <w:b/>
        </w:rPr>
        <w:t>1.</w:t>
        <w:tab/>
        <w:t>Private Placement (if shares are being issued in connection with an acquisition (either as consideration or to raise funds for a cash acquisition), proceed to Part 2 of this form)</w:t>
      </w:r>
    </w:p>
    <w:tbl>
      <w:tblPr>
        <w:tblW w:w="10512" w:type="dxa"/>
        <w:tblInd w:w="-1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94"/>
        <w:gridCol w:w="1376"/>
        <w:gridCol w:w="1192"/>
        <w:gridCol w:w="1376"/>
        <w:gridCol w:w="1340"/>
        <w:gridCol w:w="1404"/>
        <w:gridCol w:w="1206"/>
        <w:gridCol w:w="1224"/>
      </w:tblGrid>
      <w:tr w:rsidTr="00CC7CD7">
        <w:tblPrEx>
          <w:tblW w:w="10512" w:type="dxa"/>
          <w:tblInd w:w="-1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cantSplit/>
          <w:tblHeader/>
        </w:trPr>
        <w:tc>
          <w:tcPr>
            <w:tcW w:w="1394" w:type="dxa"/>
          </w:tcPr>
          <w:p w:rsidR="00EA4133" w:rsidRPr="00AD6E5A" w:rsidP="001B3A69">
            <w:pPr>
              <w:pStyle w:val="BodyText"/>
              <w:spacing w:before="60" w:after="60" w:line="240" w:lineRule="auto"/>
              <w:jc w:val="center"/>
              <w:rPr>
                <w:rFonts w:cs="Arial"/>
                <w:b/>
                <w:color w:val="auto"/>
                <w:sz w:val="20"/>
                <w:shd w:val="clear" w:color="auto" w:fill="auto"/>
              </w:rPr>
            </w:pPr>
          </w:p>
          <w:p w:rsidR="00EA4133" w:rsidRPr="00AD6E5A" w:rsidP="001B3A69">
            <w:pPr>
              <w:pStyle w:val="BodyText"/>
              <w:spacing w:before="60" w:after="60" w:line="240" w:lineRule="auto"/>
              <w:jc w:val="center"/>
              <w:rPr>
                <w:rFonts w:cs="Arial"/>
                <w:b/>
                <w:color w:val="auto"/>
                <w:sz w:val="20"/>
                <w:shd w:val="clear" w:color="auto" w:fill="auto"/>
              </w:rPr>
            </w:pPr>
            <w:r w:rsidRPr="00AD6E5A">
              <w:rPr>
                <w:rFonts w:cs="Arial"/>
                <w:b/>
                <w:sz w:val="20"/>
              </w:rPr>
              <w:t>Full Name &amp; Residential Address of Placee</w:t>
            </w:r>
          </w:p>
        </w:tc>
        <w:tc>
          <w:tcPr>
            <w:tcW w:w="1376" w:type="dxa"/>
          </w:tcPr>
          <w:p w:rsidR="00EA4133" w:rsidRPr="00AD6E5A" w:rsidP="001B3A69">
            <w:pPr>
              <w:pStyle w:val="BodyText"/>
              <w:spacing w:before="60" w:after="60" w:line="240" w:lineRule="auto"/>
              <w:jc w:val="center"/>
              <w:rPr>
                <w:rFonts w:cs="Arial"/>
                <w:b/>
                <w:color w:val="auto"/>
                <w:sz w:val="20"/>
                <w:shd w:val="clear" w:color="auto" w:fill="auto"/>
              </w:rPr>
            </w:pPr>
          </w:p>
          <w:p w:rsidR="00EA4133" w:rsidRPr="00AD6E5A" w:rsidP="001B3A69">
            <w:pPr>
              <w:pStyle w:val="BodyText"/>
              <w:spacing w:before="60" w:after="60" w:line="240" w:lineRule="auto"/>
              <w:jc w:val="center"/>
              <w:rPr>
                <w:rFonts w:cs="Arial"/>
                <w:b/>
                <w:color w:val="auto"/>
                <w:sz w:val="20"/>
                <w:shd w:val="clear" w:color="auto" w:fill="auto"/>
              </w:rPr>
            </w:pPr>
            <w:r w:rsidRPr="00AD6E5A">
              <w:rPr>
                <w:rFonts w:cs="Arial"/>
                <w:b/>
                <w:sz w:val="20"/>
              </w:rPr>
              <w:t>Number of Securities Purchased or to be Purchased</w:t>
            </w:r>
          </w:p>
        </w:tc>
        <w:tc>
          <w:tcPr>
            <w:tcW w:w="1192" w:type="dxa"/>
          </w:tcPr>
          <w:p w:rsidR="00EA4133" w:rsidRPr="00AD6E5A" w:rsidP="001B3A69">
            <w:pPr>
              <w:pStyle w:val="BodyText"/>
              <w:spacing w:before="60" w:after="60" w:line="240" w:lineRule="auto"/>
              <w:jc w:val="center"/>
              <w:rPr>
                <w:rFonts w:cs="Arial"/>
                <w:b/>
                <w:color w:val="auto"/>
                <w:sz w:val="20"/>
                <w:shd w:val="clear" w:color="auto" w:fill="auto"/>
              </w:rPr>
            </w:pPr>
          </w:p>
          <w:p w:rsidR="00EA4133" w:rsidRPr="00AD6E5A" w:rsidP="001B3A69">
            <w:pPr>
              <w:pStyle w:val="BodyText"/>
              <w:spacing w:before="60" w:after="60" w:line="240" w:lineRule="auto"/>
              <w:jc w:val="center"/>
              <w:rPr>
                <w:rFonts w:cs="Arial"/>
                <w:b/>
                <w:color w:val="auto"/>
                <w:sz w:val="20"/>
                <w:shd w:val="clear" w:color="auto" w:fill="auto"/>
              </w:rPr>
            </w:pPr>
            <w:r w:rsidRPr="00AD6E5A">
              <w:rPr>
                <w:rFonts w:cs="Arial"/>
                <w:b/>
                <w:sz w:val="20"/>
              </w:rPr>
              <w:t>Purchase price per Security (CDN$)</w:t>
            </w:r>
          </w:p>
        </w:tc>
        <w:tc>
          <w:tcPr>
            <w:tcW w:w="1376" w:type="dxa"/>
          </w:tcPr>
          <w:p w:rsidR="00EA4133" w:rsidRPr="00AD6E5A" w:rsidP="001B3A69">
            <w:pPr>
              <w:pStyle w:val="BodyText"/>
              <w:spacing w:before="60" w:after="60" w:line="240" w:lineRule="auto"/>
              <w:jc w:val="center"/>
              <w:rPr>
                <w:rFonts w:cs="Arial"/>
                <w:b/>
                <w:color w:val="auto"/>
                <w:sz w:val="20"/>
                <w:shd w:val="clear" w:color="auto" w:fill="auto"/>
              </w:rPr>
            </w:pPr>
          </w:p>
          <w:p w:rsidR="00EA4133" w:rsidRPr="00AD6E5A" w:rsidP="001B3A69">
            <w:pPr>
              <w:pStyle w:val="BodyText"/>
              <w:spacing w:before="60" w:after="60" w:line="240" w:lineRule="auto"/>
              <w:jc w:val="center"/>
              <w:rPr>
                <w:rFonts w:cs="Arial"/>
                <w:b/>
                <w:color w:val="auto"/>
                <w:sz w:val="20"/>
                <w:shd w:val="clear" w:color="auto" w:fill="auto"/>
              </w:rPr>
            </w:pPr>
            <w:r w:rsidRPr="00AD6E5A">
              <w:rPr>
                <w:rFonts w:cs="Arial"/>
                <w:b/>
                <w:sz w:val="20"/>
              </w:rPr>
              <w:t>Conversion Price (if Applicable)</w:t>
            </w:r>
          </w:p>
        </w:tc>
        <w:tc>
          <w:tcPr>
            <w:tcW w:w="1340" w:type="dxa"/>
          </w:tcPr>
          <w:p w:rsidR="00EA4133" w:rsidRPr="00AD6E5A" w:rsidP="001B3A69">
            <w:pPr>
              <w:pStyle w:val="BodyText"/>
              <w:spacing w:before="60" w:after="60" w:line="240" w:lineRule="auto"/>
              <w:jc w:val="center"/>
              <w:rPr>
                <w:rFonts w:cs="Arial"/>
                <w:b/>
                <w:color w:val="auto"/>
                <w:sz w:val="20"/>
                <w:shd w:val="clear" w:color="auto" w:fill="auto"/>
              </w:rPr>
            </w:pPr>
          </w:p>
          <w:p w:rsidR="00EA4133" w:rsidRPr="00AD6E5A" w:rsidP="001B3A69">
            <w:pPr>
              <w:pStyle w:val="BodyText"/>
              <w:spacing w:before="60" w:after="60" w:line="240" w:lineRule="auto"/>
              <w:jc w:val="center"/>
              <w:rPr>
                <w:rFonts w:cs="Arial"/>
                <w:b/>
                <w:color w:val="auto"/>
                <w:sz w:val="20"/>
                <w:shd w:val="clear" w:color="auto" w:fill="auto"/>
              </w:rPr>
            </w:pPr>
            <w:r w:rsidRPr="00AD6E5A">
              <w:rPr>
                <w:rFonts w:cs="Arial"/>
                <w:b/>
                <w:sz w:val="20"/>
              </w:rPr>
              <w:t>Prospectus Exemption</w:t>
            </w:r>
          </w:p>
        </w:tc>
        <w:tc>
          <w:tcPr>
            <w:tcW w:w="1404" w:type="dxa"/>
          </w:tcPr>
          <w:p w:rsidR="00EA4133" w:rsidRPr="00AD6E5A" w:rsidP="001B3A69">
            <w:pPr>
              <w:pStyle w:val="BodyText"/>
              <w:spacing w:before="60" w:after="60" w:line="240" w:lineRule="auto"/>
              <w:jc w:val="center"/>
              <w:rPr>
                <w:rFonts w:cs="Arial"/>
                <w:b/>
                <w:color w:val="auto"/>
                <w:sz w:val="20"/>
                <w:shd w:val="clear" w:color="auto" w:fill="auto"/>
              </w:rPr>
            </w:pPr>
            <w:r w:rsidRPr="00AD6E5A">
              <w:rPr>
                <w:rFonts w:cs="Arial"/>
                <w:b/>
                <w:sz w:val="20"/>
              </w:rPr>
              <w:t>No. of Securities, directly or indirectly, Owned, Controlled or Directed</w:t>
            </w:r>
          </w:p>
        </w:tc>
        <w:tc>
          <w:tcPr>
            <w:tcW w:w="1206" w:type="dxa"/>
          </w:tcPr>
          <w:p w:rsidR="00EA4133" w:rsidRPr="00AD6E5A" w:rsidP="001B3A69">
            <w:pPr>
              <w:pStyle w:val="BodyText"/>
              <w:spacing w:before="60" w:after="60" w:line="240" w:lineRule="auto"/>
              <w:jc w:val="center"/>
              <w:rPr>
                <w:rFonts w:cs="Arial"/>
                <w:b/>
                <w:color w:val="auto"/>
                <w:sz w:val="20"/>
                <w:shd w:val="clear" w:color="auto" w:fill="auto"/>
              </w:rPr>
            </w:pPr>
          </w:p>
          <w:p w:rsidR="00EA4133" w:rsidRPr="00AD6E5A" w:rsidP="001B3A69">
            <w:pPr>
              <w:pStyle w:val="BodyText"/>
              <w:spacing w:before="60" w:after="60" w:line="240" w:lineRule="auto"/>
              <w:jc w:val="center"/>
              <w:rPr>
                <w:rFonts w:cs="Arial"/>
                <w:b/>
                <w:color w:val="000000"/>
                <w:sz w:val="20"/>
                <w:shd w:val="clear" w:color="auto" w:fill="auto"/>
              </w:rPr>
            </w:pPr>
            <w:r w:rsidRPr="00AD6E5A">
              <w:rPr>
                <w:rFonts w:cs="Arial"/>
                <w:b/>
                <w:sz w:val="20"/>
              </w:rPr>
              <w:t>Payment Date</w:t>
            </w:r>
            <w:r w:rsidRPr="001B3A69">
              <w:rPr>
                <w:rFonts w:ascii="Arial Bold" w:hAnsi="Arial Bold" w:cs="Arial"/>
                <w:b/>
                <w:color w:val="000000"/>
                <w:sz w:val="16"/>
                <w:vertAlign w:val="superscript"/>
              </w:rPr>
              <w:t>(1)</w:t>
            </w:r>
          </w:p>
        </w:tc>
        <w:tc>
          <w:tcPr>
            <w:tcW w:w="1224" w:type="dxa"/>
          </w:tcPr>
          <w:p w:rsidR="00EA4133" w:rsidRPr="00AD6E5A" w:rsidP="001B3A69">
            <w:pPr>
              <w:pStyle w:val="BodyText"/>
              <w:spacing w:before="60" w:after="60" w:line="240" w:lineRule="auto"/>
              <w:jc w:val="center"/>
              <w:rPr>
                <w:rFonts w:cs="Arial"/>
                <w:b/>
                <w:color w:val="000000"/>
                <w:sz w:val="20"/>
                <w:shd w:val="clear" w:color="auto" w:fill="auto"/>
              </w:rPr>
            </w:pPr>
          </w:p>
          <w:p w:rsidR="00EA4133" w:rsidRPr="00AD6E5A" w:rsidP="001B3A69">
            <w:pPr>
              <w:pStyle w:val="BodyText"/>
              <w:spacing w:before="60" w:after="60" w:line="240" w:lineRule="auto"/>
              <w:jc w:val="center"/>
              <w:rPr>
                <w:rFonts w:cs="Arial"/>
                <w:b/>
                <w:color w:val="000000"/>
                <w:sz w:val="20"/>
                <w:shd w:val="clear" w:color="auto" w:fill="auto"/>
              </w:rPr>
            </w:pPr>
            <w:r w:rsidRPr="00AD6E5A">
              <w:rPr>
                <w:rFonts w:cs="Arial"/>
                <w:b/>
                <w:color w:val="000000"/>
                <w:sz w:val="20"/>
              </w:rPr>
              <w:t xml:space="preserve">Describe relations-hip to Issuer </w:t>
            </w:r>
            <w:r w:rsidRPr="001B3A69">
              <w:rPr>
                <w:rFonts w:ascii="Arial Bold" w:hAnsi="Arial Bold" w:cs="Arial"/>
                <w:b/>
                <w:color w:val="000000"/>
                <w:sz w:val="16"/>
                <w:vertAlign w:val="superscript"/>
              </w:rPr>
              <w:t>(2)</w:t>
            </w:r>
          </w:p>
        </w:tc>
      </w:tr>
      <w:tr w:rsidTr="00CC7CD7">
        <w:tblPrEx>
          <w:tblW w:w="10512" w:type="dxa"/>
          <w:tblInd w:w="-144" w:type="dxa"/>
          <w:tblLayout w:type="fixed"/>
          <w:tblLook w:val="0000"/>
        </w:tblPrEx>
        <w:trPr>
          <w:trHeight w:val="864"/>
        </w:trPr>
        <w:tc>
          <w:tcPr>
            <w:tcW w:w="1394" w:type="dxa"/>
          </w:tcPr>
          <w:p w:rsidR="00A90670" w:rsidRPr="00AD6E5A" w:rsidP="001B3A69">
            <w:pPr>
              <w:pStyle w:val="BodyText"/>
              <w:spacing w:before="60" w:after="60" w:line="240" w:lineRule="auto"/>
              <w:jc w:val="center"/>
              <w:rPr>
                <w:rFonts w:cs="Arial"/>
                <w:color w:val="auto"/>
                <w:sz w:val="20"/>
                <w:shd w:val="clear" w:color="auto" w:fill="auto"/>
              </w:rPr>
            </w:pPr>
            <w:r w:rsidRPr="00AD6E5A">
              <w:rPr>
                <w:rFonts w:cs="Arial"/>
                <w:sz w:val="20"/>
              </w:rPr>
              <w:t>N/A</w:t>
            </w:r>
          </w:p>
        </w:tc>
        <w:tc>
          <w:tcPr>
            <w:tcW w:w="1376" w:type="dxa"/>
          </w:tcPr>
          <w:p w:rsidR="00A90670" w:rsidRPr="00AD6E5A" w:rsidP="001B3A69">
            <w:pPr>
              <w:pStyle w:val="BodyText"/>
              <w:spacing w:before="60" w:after="60" w:line="240" w:lineRule="auto"/>
              <w:jc w:val="center"/>
              <w:rPr>
                <w:rFonts w:cs="Arial"/>
                <w:b/>
                <w:color w:val="auto"/>
                <w:sz w:val="20"/>
                <w:shd w:val="clear" w:color="auto" w:fill="auto"/>
              </w:rPr>
            </w:pPr>
          </w:p>
        </w:tc>
        <w:tc>
          <w:tcPr>
            <w:tcW w:w="1192" w:type="dxa"/>
          </w:tcPr>
          <w:p w:rsidR="00A90670" w:rsidRPr="00AD6E5A" w:rsidP="001B3A69">
            <w:pPr>
              <w:pStyle w:val="BodyText"/>
              <w:spacing w:before="60" w:after="60" w:line="240" w:lineRule="auto"/>
              <w:jc w:val="center"/>
              <w:rPr>
                <w:rFonts w:cs="Arial"/>
                <w:b/>
                <w:color w:val="auto"/>
                <w:sz w:val="20"/>
                <w:shd w:val="clear" w:color="auto" w:fill="auto"/>
              </w:rPr>
            </w:pPr>
          </w:p>
        </w:tc>
        <w:tc>
          <w:tcPr>
            <w:tcW w:w="1376" w:type="dxa"/>
          </w:tcPr>
          <w:p w:rsidR="00A90670" w:rsidRPr="00AD6E5A" w:rsidP="001B3A69">
            <w:pPr>
              <w:pStyle w:val="BodyText"/>
              <w:spacing w:before="60" w:after="60" w:line="240" w:lineRule="auto"/>
              <w:jc w:val="center"/>
              <w:rPr>
                <w:rFonts w:cs="Arial"/>
                <w:b/>
                <w:color w:val="auto"/>
                <w:sz w:val="20"/>
                <w:shd w:val="clear" w:color="auto" w:fill="auto"/>
              </w:rPr>
            </w:pPr>
          </w:p>
        </w:tc>
        <w:tc>
          <w:tcPr>
            <w:tcW w:w="1340" w:type="dxa"/>
          </w:tcPr>
          <w:p w:rsidR="00A90670" w:rsidRPr="00AD6E5A" w:rsidP="001B3A69">
            <w:pPr>
              <w:pStyle w:val="BodyText"/>
              <w:spacing w:before="60" w:after="60" w:line="240" w:lineRule="auto"/>
              <w:jc w:val="center"/>
              <w:rPr>
                <w:rFonts w:cs="Arial"/>
                <w:b/>
                <w:color w:val="auto"/>
                <w:sz w:val="20"/>
                <w:shd w:val="clear" w:color="auto" w:fill="auto"/>
              </w:rPr>
            </w:pPr>
          </w:p>
        </w:tc>
        <w:tc>
          <w:tcPr>
            <w:tcW w:w="1404" w:type="dxa"/>
          </w:tcPr>
          <w:p w:rsidR="00A90670" w:rsidRPr="00AD6E5A" w:rsidP="001B3A69">
            <w:pPr>
              <w:pStyle w:val="BodyText"/>
              <w:spacing w:before="60" w:after="60" w:line="240" w:lineRule="auto"/>
              <w:jc w:val="center"/>
              <w:rPr>
                <w:rFonts w:cs="Arial"/>
                <w:b/>
                <w:color w:val="auto"/>
                <w:sz w:val="20"/>
                <w:shd w:val="clear" w:color="auto" w:fill="auto"/>
              </w:rPr>
            </w:pPr>
          </w:p>
        </w:tc>
        <w:tc>
          <w:tcPr>
            <w:tcW w:w="1206" w:type="dxa"/>
          </w:tcPr>
          <w:p w:rsidR="00A90670" w:rsidRPr="00AD6E5A" w:rsidP="001B3A69">
            <w:pPr>
              <w:pStyle w:val="BodyText"/>
              <w:spacing w:before="60" w:after="60" w:line="240" w:lineRule="auto"/>
              <w:jc w:val="center"/>
              <w:rPr>
                <w:rFonts w:cs="Arial"/>
                <w:b/>
                <w:color w:val="auto"/>
                <w:sz w:val="20"/>
                <w:shd w:val="clear" w:color="auto" w:fill="auto"/>
              </w:rPr>
            </w:pPr>
          </w:p>
        </w:tc>
        <w:tc>
          <w:tcPr>
            <w:tcW w:w="1224" w:type="dxa"/>
          </w:tcPr>
          <w:p w:rsidR="00A90670" w:rsidRPr="00AD6E5A" w:rsidP="001B3A69">
            <w:pPr>
              <w:pStyle w:val="BodyText"/>
              <w:spacing w:before="60" w:after="60" w:line="240" w:lineRule="auto"/>
              <w:jc w:val="center"/>
              <w:rPr>
                <w:rFonts w:cs="Arial"/>
                <w:b/>
                <w:color w:val="auto"/>
                <w:sz w:val="20"/>
                <w:shd w:val="clear" w:color="auto" w:fill="auto"/>
              </w:rPr>
            </w:pPr>
          </w:p>
        </w:tc>
      </w:tr>
      <w:tr w:rsidTr="00CC7CD7">
        <w:tblPrEx>
          <w:tblW w:w="10512" w:type="dxa"/>
          <w:tblInd w:w="-144" w:type="dxa"/>
          <w:tblLayout w:type="fixed"/>
          <w:tblLook w:val="0000"/>
        </w:tblPrEx>
        <w:trPr>
          <w:trHeight w:val="864"/>
        </w:trPr>
        <w:tc>
          <w:tcPr>
            <w:tcW w:w="1394" w:type="dxa"/>
          </w:tcPr>
          <w:p w:rsidR="00A90670" w:rsidRPr="00AD6E5A" w:rsidP="001B3A69">
            <w:pPr>
              <w:pStyle w:val="BodyText"/>
              <w:spacing w:before="60" w:after="60" w:line="240" w:lineRule="auto"/>
              <w:rPr>
                <w:rFonts w:cs="Arial"/>
                <w:color w:val="auto"/>
                <w:shd w:val="clear" w:color="auto" w:fill="auto"/>
              </w:rPr>
            </w:pPr>
          </w:p>
        </w:tc>
        <w:tc>
          <w:tcPr>
            <w:tcW w:w="1376" w:type="dxa"/>
          </w:tcPr>
          <w:p w:rsidR="00A90670" w:rsidRPr="00AD6E5A" w:rsidP="001B3A69">
            <w:pPr>
              <w:pStyle w:val="BodyText"/>
              <w:spacing w:before="60" w:after="60" w:line="240" w:lineRule="auto"/>
              <w:rPr>
                <w:rFonts w:cs="Arial"/>
                <w:color w:val="auto"/>
                <w:shd w:val="clear" w:color="auto" w:fill="auto"/>
              </w:rPr>
            </w:pPr>
          </w:p>
        </w:tc>
        <w:tc>
          <w:tcPr>
            <w:tcW w:w="1192" w:type="dxa"/>
          </w:tcPr>
          <w:p w:rsidR="00A90670" w:rsidRPr="00AD6E5A" w:rsidP="001B3A69">
            <w:pPr>
              <w:pStyle w:val="BodyText"/>
              <w:spacing w:before="60" w:after="60" w:line="240" w:lineRule="auto"/>
              <w:rPr>
                <w:rFonts w:cs="Arial"/>
                <w:color w:val="auto"/>
                <w:shd w:val="clear" w:color="auto" w:fill="auto"/>
              </w:rPr>
            </w:pPr>
          </w:p>
        </w:tc>
        <w:tc>
          <w:tcPr>
            <w:tcW w:w="1376" w:type="dxa"/>
          </w:tcPr>
          <w:p w:rsidR="00A90670" w:rsidRPr="00AD6E5A" w:rsidP="001B3A69">
            <w:pPr>
              <w:pStyle w:val="BodyText"/>
              <w:spacing w:before="60" w:after="60" w:line="240" w:lineRule="auto"/>
              <w:rPr>
                <w:rFonts w:cs="Arial"/>
                <w:color w:val="auto"/>
                <w:shd w:val="clear" w:color="auto" w:fill="auto"/>
              </w:rPr>
            </w:pPr>
          </w:p>
        </w:tc>
        <w:tc>
          <w:tcPr>
            <w:tcW w:w="1340" w:type="dxa"/>
          </w:tcPr>
          <w:p w:rsidR="00A90670" w:rsidRPr="00AD6E5A" w:rsidP="001B3A69">
            <w:pPr>
              <w:pStyle w:val="BodyText"/>
              <w:spacing w:before="60" w:after="60" w:line="240" w:lineRule="auto"/>
              <w:rPr>
                <w:rFonts w:cs="Arial"/>
                <w:color w:val="auto"/>
                <w:shd w:val="clear" w:color="auto" w:fill="auto"/>
              </w:rPr>
            </w:pPr>
          </w:p>
        </w:tc>
        <w:tc>
          <w:tcPr>
            <w:tcW w:w="1404" w:type="dxa"/>
          </w:tcPr>
          <w:p w:rsidR="00A90670" w:rsidRPr="00AD6E5A" w:rsidP="001B3A69">
            <w:pPr>
              <w:pStyle w:val="BodyText"/>
              <w:spacing w:before="60" w:after="60" w:line="240" w:lineRule="auto"/>
              <w:rPr>
                <w:rFonts w:cs="Arial"/>
                <w:color w:val="auto"/>
                <w:shd w:val="clear" w:color="auto" w:fill="auto"/>
              </w:rPr>
            </w:pPr>
          </w:p>
        </w:tc>
        <w:tc>
          <w:tcPr>
            <w:tcW w:w="1206" w:type="dxa"/>
          </w:tcPr>
          <w:p w:rsidR="00A90670" w:rsidRPr="00AD6E5A" w:rsidP="001B3A69">
            <w:pPr>
              <w:pStyle w:val="BodyText"/>
              <w:spacing w:before="60" w:after="60" w:line="240" w:lineRule="auto"/>
              <w:rPr>
                <w:rFonts w:cs="Arial"/>
                <w:color w:val="auto"/>
                <w:shd w:val="clear" w:color="auto" w:fill="auto"/>
              </w:rPr>
            </w:pPr>
          </w:p>
        </w:tc>
        <w:tc>
          <w:tcPr>
            <w:tcW w:w="1224" w:type="dxa"/>
          </w:tcPr>
          <w:p w:rsidR="00A90670" w:rsidRPr="00AD6E5A" w:rsidP="001B3A69">
            <w:pPr>
              <w:pStyle w:val="BodyText"/>
              <w:spacing w:before="60" w:after="60" w:line="240" w:lineRule="auto"/>
              <w:rPr>
                <w:rFonts w:cs="Arial"/>
                <w:color w:val="auto"/>
                <w:shd w:val="clear" w:color="auto" w:fill="auto"/>
              </w:rPr>
            </w:pPr>
          </w:p>
        </w:tc>
      </w:tr>
      <w:tr w:rsidTr="00CC7CD7">
        <w:tblPrEx>
          <w:tblW w:w="10512" w:type="dxa"/>
          <w:tblInd w:w="-144" w:type="dxa"/>
          <w:tblLayout w:type="fixed"/>
          <w:tblLook w:val="0000"/>
        </w:tblPrEx>
        <w:trPr>
          <w:trHeight w:val="864"/>
        </w:trPr>
        <w:tc>
          <w:tcPr>
            <w:tcW w:w="1394" w:type="dxa"/>
          </w:tcPr>
          <w:p w:rsidR="00A90670" w:rsidRPr="00AD6E5A" w:rsidP="001B3A69">
            <w:pPr>
              <w:pStyle w:val="BodyText"/>
              <w:spacing w:before="60" w:after="60" w:line="240" w:lineRule="auto"/>
              <w:rPr>
                <w:rFonts w:cs="Arial"/>
                <w:color w:val="auto"/>
                <w:shd w:val="clear" w:color="auto" w:fill="auto"/>
              </w:rPr>
            </w:pPr>
          </w:p>
        </w:tc>
        <w:tc>
          <w:tcPr>
            <w:tcW w:w="1376" w:type="dxa"/>
          </w:tcPr>
          <w:p w:rsidR="00A90670" w:rsidRPr="00AD6E5A" w:rsidP="001B3A69">
            <w:pPr>
              <w:pStyle w:val="BodyText"/>
              <w:spacing w:before="60" w:after="60" w:line="240" w:lineRule="auto"/>
              <w:rPr>
                <w:rFonts w:cs="Arial"/>
                <w:color w:val="auto"/>
                <w:shd w:val="clear" w:color="auto" w:fill="auto"/>
              </w:rPr>
            </w:pPr>
          </w:p>
        </w:tc>
        <w:tc>
          <w:tcPr>
            <w:tcW w:w="1192" w:type="dxa"/>
          </w:tcPr>
          <w:p w:rsidR="00A90670" w:rsidRPr="00AD6E5A" w:rsidP="001B3A69">
            <w:pPr>
              <w:pStyle w:val="BodyText"/>
              <w:spacing w:before="60" w:after="60" w:line="240" w:lineRule="auto"/>
              <w:rPr>
                <w:rFonts w:cs="Arial"/>
                <w:color w:val="auto"/>
                <w:shd w:val="clear" w:color="auto" w:fill="auto"/>
              </w:rPr>
            </w:pPr>
          </w:p>
        </w:tc>
        <w:tc>
          <w:tcPr>
            <w:tcW w:w="1376" w:type="dxa"/>
          </w:tcPr>
          <w:p w:rsidR="00A90670" w:rsidRPr="00AD6E5A" w:rsidP="001B3A69">
            <w:pPr>
              <w:pStyle w:val="BodyText"/>
              <w:spacing w:before="60" w:after="60" w:line="240" w:lineRule="auto"/>
              <w:rPr>
                <w:rFonts w:cs="Arial"/>
                <w:color w:val="auto"/>
                <w:shd w:val="clear" w:color="auto" w:fill="auto"/>
              </w:rPr>
            </w:pPr>
          </w:p>
        </w:tc>
        <w:tc>
          <w:tcPr>
            <w:tcW w:w="1340" w:type="dxa"/>
          </w:tcPr>
          <w:p w:rsidR="00A90670" w:rsidRPr="00AD6E5A" w:rsidP="001B3A69">
            <w:pPr>
              <w:pStyle w:val="BodyText"/>
              <w:spacing w:before="60" w:after="60" w:line="240" w:lineRule="auto"/>
              <w:rPr>
                <w:rFonts w:cs="Arial"/>
                <w:color w:val="auto"/>
                <w:shd w:val="clear" w:color="auto" w:fill="auto"/>
              </w:rPr>
            </w:pPr>
          </w:p>
        </w:tc>
        <w:tc>
          <w:tcPr>
            <w:tcW w:w="1404" w:type="dxa"/>
          </w:tcPr>
          <w:p w:rsidR="00A90670" w:rsidRPr="00AD6E5A" w:rsidP="001B3A69">
            <w:pPr>
              <w:pStyle w:val="BodyText"/>
              <w:spacing w:before="60" w:after="60" w:line="240" w:lineRule="auto"/>
              <w:rPr>
                <w:rFonts w:cs="Arial"/>
                <w:color w:val="auto"/>
                <w:shd w:val="clear" w:color="auto" w:fill="auto"/>
              </w:rPr>
            </w:pPr>
          </w:p>
        </w:tc>
        <w:tc>
          <w:tcPr>
            <w:tcW w:w="1206" w:type="dxa"/>
          </w:tcPr>
          <w:p w:rsidR="00A90670" w:rsidRPr="00AD6E5A" w:rsidP="001B3A69">
            <w:pPr>
              <w:pStyle w:val="BodyText"/>
              <w:spacing w:before="60" w:after="60" w:line="240" w:lineRule="auto"/>
              <w:rPr>
                <w:rFonts w:cs="Arial"/>
                <w:color w:val="auto"/>
                <w:shd w:val="clear" w:color="auto" w:fill="auto"/>
              </w:rPr>
            </w:pPr>
          </w:p>
        </w:tc>
        <w:tc>
          <w:tcPr>
            <w:tcW w:w="1224" w:type="dxa"/>
          </w:tcPr>
          <w:p w:rsidR="00A90670" w:rsidRPr="00AD6E5A" w:rsidP="001B3A69">
            <w:pPr>
              <w:pStyle w:val="BodyText"/>
              <w:spacing w:before="60" w:after="60" w:line="240" w:lineRule="auto"/>
              <w:rPr>
                <w:rFonts w:cs="Arial"/>
                <w:color w:val="auto"/>
                <w:shd w:val="clear" w:color="auto" w:fill="auto"/>
              </w:rPr>
            </w:pPr>
          </w:p>
        </w:tc>
      </w:tr>
    </w:tbl>
    <w:p w:rsidR="00EA4133" w:rsidRPr="00AD6E5A" w:rsidP="0033580E">
      <w:pPr>
        <w:pStyle w:val="BodyText"/>
        <w:numPr>
          <w:ilvl w:val="0"/>
          <w:numId w:val="1"/>
        </w:numPr>
        <w:spacing w:before="60"/>
        <w:ind w:left="389" w:hanging="389"/>
        <w:jc w:val="both"/>
        <w:rPr>
          <w:rFonts w:cs="Arial"/>
          <w:color w:val="auto"/>
          <w:sz w:val="20"/>
          <w:shd w:val="clear" w:color="auto" w:fill="auto"/>
        </w:rPr>
      </w:pPr>
      <w:r w:rsidRPr="00AD6E5A">
        <w:rPr>
          <w:rFonts w:cs="Arial"/>
          <w:sz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rsidR="00EA4133" w:rsidRPr="00AD6E5A" w:rsidP="009E4B1F">
      <w:pPr>
        <w:pStyle w:val="BodyText"/>
        <w:numPr>
          <w:ilvl w:val="0"/>
          <w:numId w:val="1"/>
        </w:numPr>
        <w:rPr>
          <w:rFonts w:cs="Arial"/>
          <w:color w:val="auto"/>
          <w:sz w:val="20"/>
          <w:shd w:val="clear" w:color="auto" w:fill="auto"/>
        </w:rPr>
      </w:pPr>
      <w:r w:rsidRPr="00AD6E5A">
        <w:rPr>
          <w:rFonts w:cs="Arial"/>
          <w:sz w:val="20"/>
        </w:rPr>
        <w:t>Indicate if Related Person.</w:t>
      </w:r>
    </w:p>
    <w:p w:rsidR="00EA4133" w:rsidRPr="00AD6E5A" w:rsidP="001B3A69">
      <w:pPr>
        <w:pStyle w:val="Heading1"/>
        <w:rPr>
          <w:color w:val="auto"/>
          <w:shd w:val="clear" w:color="auto" w:fill="auto"/>
        </w:rPr>
      </w:pPr>
      <w:r w:rsidRPr="00AD6E5A">
        <w:rPr/>
        <w:t xml:space="preserve">Total amount of funds to be raised: </w:t>
      </w:r>
      <w:r w:rsidRPr="00AD6E5A" w:rsidR="00AD6E5A">
        <w:rPr>
          <w:u w:val="single"/>
        </w:rPr>
        <w:t>N/A</w:t>
      </w:r>
      <w:r w:rsidRPr="00AD6E5A">
        <w:rPr/>
        <w:t>.</w:t>
      </w:r>
    </w:p>
    <w:p w:rsidR="00EA4133" w:rsidRPr="00AD6E5A" w:rsidP="001B3A69">
      <w:pPr>
        <w:pStyle w:val="Heading1"/>
        <w:tabs>
          <w:tab w:val="right" w:pos="9360"/>
        </w:tabs>
        <w:rPr>
          <w:color w:val="auto"/>
          <w:shd w:val="clear" w:color="auto" w:fill="auto"/>
        </w:rPr>
      </w:pPr>
      <w:r w:rsidRPr="00AD6E5A">
        <w:rPr/>
        <w:t xml:space="preserve">Provide full details of the use of the proceeds.  The disclosure should be sufficiently complete to enable a reader to appreciate the significance of the transaction without reference to any other material.  </w:t>
      </w:r>
      <w:r w:rsidRPr="00AD6E5A">
        <w:rPr>
          <w:u w:val="single"/>
        </w:rPr>
        <w:tab/>
      </w:r>
      <w:r w:rsidRPr="00AD6E5A">
        <w:rPr/>
        <w:t>.</w:t>
      </w:r>
    </w:p>
    <w:p w:rsidR="00EA4133" w:rsidRPr="00AD6E5A" w:rsidP="001B3A69">
      <w:pPr>
        <w:pStyle w:val="Heading1"/>
        <w:tabs>
          <w:tab w:val="right" w:pos="9360"/>
        </w:tabs>
        <w:rPr>
          <w:color w:val="auto"/>
          <w:shd w:val="clear" w:color="auto" w:fill="auto"/>
        </w:rPr>
      </w:pPr>
      <w:r w:rsidRPr="00AD6E5A">
        <w:rPr/>
        <w:t xml:space="preserve">Provide particulars of any proceeds which are to be paid to Related Persons of the Issuer: </w:t>
      </w:r>
      <w:r w:rsidRPr="00AD6E5A">
        <w:rPr>
          <w:u w:val="single"/>
        </w:rPr>
        <w:tab/>
        <w:br/>
        <w:tab/>
      </w:r>
      <w:r w:rsidRPr="00AD6E5A">
        <w:rPr/>
        <w:t>.</w:t>
      </w:r>
    </w:p>
    <w:p w:rsidR="00EA4133" w:rsidRPr="00AD6E5A" w:rsidP="001B3A69">
      <w:pPr>
        <w:pStyle w:val="Heading1"/>
        <w:rPr>
          <w:color w:val="auto"/>
          <w:shd w:val="clear" w:color="auto" w:fill="auto"/>
        </w:rPr>
      </w:pPr>
      <w:r w:rsidRPr="00AD6E5A">
        <w:rPr/>
        <w:t>If securities are issued in forgiveness of indebtedness, provide details and attach the debt agreement(s) or other documentation evidencing the debt and the agreement to exchange the debt for securities.</w:t>
      </w:r>
    </w:p>
    <w:p w:rsidR="00EA4133" w:rsidRPr="00AD6E5A" w:rsidP="001B3A69">
      <w:pPr>
        <w:pStyle w:val="Heading1"/>
        <w:rPr>
          <w:color w:val="auto"/>
          <w:shd w:val="clear" w:color="auto" w:fill="auto"/>
        </w:rPr>
      </w:pPr>
      <w:r w:rsidRPr="00AD6E5A">
        <w:rPr/>
        <w:t>Description of securities to be issued:</w:t>
      </w:r>
    </w:p>
    <w:p w:rsidR="00EA4133" w:rsidRPr="00AD6E5A" w:rsidP="001B3A69">
      <w:pPr>
        <w:pStyle w:val="Heading2"/>
        <w:tabs>
          <w:tab w:val="right" w:pos="9360"/>
        </w:tabs>
        <w:rPr>
          <w:color w:val="auto"/>
          <w:shd w:val="clear" w:color="auto" w:fill="auto"/>
        </w:rPr>
      </w:pPr>
      <w:r w:rsidRPr="00AD6E5A">
        <w:rPr/>
        <w:t xml:space="preserve">Class  </w:t>
      </w:r>
      <w:r w:rsidRPr="00AD6E5A">
        <w:rPr>
          <w:u w:val="single"/>
        </w:rPr>
        <w:tab/>
      </w:r>
      <w:r w:rsidRPr="00AD6E5A">
        <w:rPr/>
        <w:t>.</w:t>
      </w:r>
    </w:p>
    <w:p w:rsidR="00EA4133" w:rsidRPr="00AD6E5A" w:rsidP="001B3A69">
      <w:pPr>
        <w:pStyle w:val="Heading2"/>
        <w:tabs>
          <w:tab w:val="right" w:pos="9360"/>
        </w:tabs>
        <w:rPr>
          <w:color w:val="auto"/>
          <w:shd w:val="clear" w:color="auto" w:fill="auto"/>
        </w:rPr>
      </w:pPr>
      <w:r w:rsidRPr="00AD6E5A">
        <w:rPr/>
        <w:t xml:space="preserve">Number </w:t>
      </w:r>
      <w:r w:rsidRPr="00AD6E5A">
        <w:rPr>
          <w:u w:val="single"/>
        </w:rPr>
        <w:tab/>
      </w:r>
      <w:r w:rsidRPr="00AD6E5A">
        <w:rPr/>
        <w:t>.</w:t>
      </w:r>
    </w:p>
    <w:p w:rsidR="00EA4133" w:rsidRPr="00AD6E5A" w:rsidP="001B3A69">
      <w:pPr>
        <w:pStyle w:val="Heading2"/>
        <w:tabs>
          <w:tab w:val="right" w:pos="9360"/>
        </w:tabs>
        <w:rPr>
          <w:color w:val="auto"/>
          <w:shd w:val="clear" w:color="auto" w:fill="auto"/>
        </w:rPr>
      </w:pPr>
      <w:r w:rsidRPr="00AD6E5A">
        <w:rPr/>
        <w:t xml:space="preserve">Price per security </w:t>
      </w:r>
      <w:r w:rsidRPr="00AD6E5A">
        <w:rPr>
          <w:u w:val="single"/>
        </w:rPr>
        <w:tab/>
      </w:r>
      <w:r w:rsidRPr="00AD6E5A">
        <w:rPr/>
        <w:t>.</w:t>
      </w:r>
    </w:p>
    <w:p w:rsidR="00EA4133" w:rsidRPr="00AD6E5A" w:rsidP="001B3A69">
      <w:pPr>
        <w:pStyle w:val="Heading2"/>
        <w:tabs>
          <w:tab w:val="right" w:pos="9360"/>
        </w:tabs>
        <w:rPr>
          <w:color w:val="auto"/>
          <w:shd w:val="clear" w:color="auto" w:fill="auto"/>
        </w:rPr>
      </w:pPr>
      <w:r w:rsidRPr="00AD6E5A">
        <w:rPr/>
        <w:t xml:space="preserve">Voting rights </w:t>
      </w:r>
      <w:r w:rsidRPr="00AD6E5A">
        <w:rPr>
          <w:u w:val="single"/>
        </w:rPr>
        <w:tab/>
      </w:r>
      <w:r w:rsidR="001B3A69">
        <w:rPr/>
        <w:t>.</w:t>
      </w:r>
    </w:p>
    <w:p w:rsidR="00EA4133" w:rsidRPr="00AD6E5A" w:rsidP="001B3A69">
      <w:pPr>
        <w:pStyle w:val="Heading1"/>
        <w:rPr>
          <w:color w:val="auto"/>
          <w:shd w:val="clear" w:color="auto" w:fill="auto"/>
        </w:rPr>
      </w:pPr>
      <w:r w:rsidRPr="00AD6E5A">
        <w:rPr/>
        <w:t>Provide the following information if Warrants, (options) or other convertible securities are to be issued:</w:t>
      </w:r>
    </w:p>
    <w:p w:rsidR="00EA4133" w:rsidRPr="00AD6E5A" w:rsidP="001B3A69">
      <w:pPr>
        <w:pStyle w:val="Heading2"/>
        <w:tabs>
          <w:tab w:val="right" w:pos="9360"/>
        </w:tabs>
        <w:rPr>
          <w:color w:val="auto"/>
          <w:shd w:val="clear" w:color="auto" w:fill="auto"/>
        </w:rPr>
      </w:pPr>
      <w:r w:rsidRPr="00AD6E5A">
        <w:rPr/>
        <w:t xml:space="preserve">Number </w:t>
      </w:r>
      <w:r w:rsidRPr="00AD6E5A">
        <w:rPr>
          <w:u w:val="single"/>
        </w:rPr>
        <w:tab/>
      </w:r>
      <w:r w:rsidRPr="00AD6E5A">
        <w:rPr/>
        <w:t>.</w:t>
      </w:r>
    </w:p>
    <w:p w:rsidR="00EA4133" w:rsidRPr="00AD6E5A" w:rsidP="001B3A69">
      <w:pPr>
        <w:pStyle w:val="Heading2"/>
        <w:tabs>
          <w:tab w:val="right" w:pos="9360"/>
        </w:tabs>
        <w:rPr>
          <w:color w:val="auto"/>
          <w:u w:val="single"/>
          <w:shd w:val="clear" w:color="auto" w:fill="auto"/>
        </w:rPr>
      </w:pPr>
      <w:r w:rsidRPr="00AD6E5A">
        <w:rPr/>
        <w:t xml:space="preserve">Number of securities eligible to be purchased on exercise of </w:t>
        <w:br/>
        <w:t xml:space="preserve">Warrants (or options)  </w:t>
      </w:r>
      <w:r w:rsidRPr="00AD6E5A">
        <w:rPr>
          <w:u w:val="single"/>
        </w:rPr>
        <w:tab/>
      </w:r>
      <w:r w:rsidRPr="004C3546" w:rsidR="004C3546">
        <w:rPr/>
        <w:t>.</w:t>
      </w:r>
    </w:p>
    <w:p w:rsidR="00EA4133" w:rsidRPr="00AD6E5A" w:rsidP="001B3A69">
      <w:pPr>
        <w:pStyle w:val="Heading2"/>
        <w:tabs>
          <w:tab w:val="right" w:pos="9360"/>
        </w:tabs>
        <w:rPr>
          <w:color w:val="auto"/>
          <w:shd w:val="clear" w:color="auto" w:fill="auto"/>
        </w:rPr>
      </w:pPr>
      <w:r w:rsidRPr="00AD6E5A">
        <w:rPr/>
        <w:t>Exercise price</w:t>
      </w:r>
      <w:r w:rsidRPr="00AD6E5A">
        <w:rPr>
          <w:u w:val="single"/>
        </w:rPr>
        <w:tab/>
      </w:r>
      <w:r w:rsidRPr="00AD6E5A">
        <w:rPr/>
        <w:t>.</w:t>
      </w:r>
    </w:p>
    <w:p w:rsidR="00EA4133" w:rsidRPr="00AD6E5A" w:rsidP="001B3A69">
      <w:pPr>
        <w:pStyle w:val="Heading2"/>
        <w:tabs>
          <w:tab w:val="right" w:pos="9360"/>
        </w:tabs>
        <w:rPr>
          <w:color w:val="auto"/>
          <w:shd w:val="clear" w:color="auto" w:fill="auto"/>
        </w:rPr>
      </w:pPr>
      <w:r w:rsidRPr="00AD6E5A">
        <w:rPr/>
        <w:t xml:space="preserve">Expiry date </w:t>
      </w:r>
      <w:r w:rsidRPr="00AD6E5A">
        <w:rPr>
          <w:u w:val="single"/>
        </w:rPr>
        <w:tab/>
      </w:r>
      <w:r w:rsidRPr="00AD6E5A">
        <w:rPr/>
        <w:t>.</w:t>
      </w:r>
    </w:p>
    <w:p w:rsidR="00EA4133" w:rsidRPr="001B3A69" w:rsidP="001B3A69">
      <w:pPr>
        <w:pStyle w:val="Heading1"/>
        <w:rPr>
          <w:color w:val="auto"/>
          <w:shd w:val="clear" w:color="auto" w:fill="auto"/>
        </w:rPr>
      </w:pPr>
      <w:bookmarkStart w:id="1" w:name="_Toc370788682"/>
      <w:bookmarkStart w:id="2" w:name="_Toc398005538"/>
      <w:bookmarkStart w:id="3" w:name="_Toc412279955"/>
      <w:bookmarkStart w:id="4" w:name="_Toc419096451"/>
      <w:r w:rsidRPr="001B3A69">
        <w:rPr/>
        <w:t>Provide the following information if debt securities are to be issued:</w:t>
      </w:r>
      <w:bookmarkEnd w:id="1"/>
      <w:bookmarkEnd w:id="2"/>
      <w:bookmarkEnd w:id="3"/>
      <w:bookmarkEnd w:id="4"/>
    </w:p>
    <w:p w:rsidR="00EA4133" w:rsidRPr="00AD6E5A" w:rsidP="001B3A69">
      <w:pPr>
        <w:pStyle w:val="Heading2"/>
        <w:tabs>
          <w:tab w:val="right" w:pos="9360"/>
        </w:tabs>
        <w:rPr>
          <w:color w:val="auto"/>
          <w:shd w:val="clear" w:color="auto" w:fill="auto"/>
        </w:rPr>
      </w:pPr>
      <w:r w:rsidRPr="00AD6E5A">
        <w:rPr/>
        <w:t xml:space="preserve">Aggregate principal amount </w:t>
      </w:r>
      <w:r w:rsidRPr="00AD6E5A">
        <w:rPr>
          <w:u w:val="single"/>
        </w:rPr>
        <w:tab/>
      </w:r>
      <w:r w:rsidRPr="00AD6E5A">
        <w:rPr/>
        <w:t>.</w:t>
      </w:r>
    </w:p>
    <w:p w:rsidR="00EA4133" w:rsidRPr="00AD6E5A" w:rsidP="001B3A69">
      <w:pPr>
        <w:pStyle w:val="Heading2"/>
        <w:tabs>
          <w:tab w:val="right" w:pos="9360"/>
        </w:tabs>
        <w:rPr>
          <w:color w:val="auto"/>
          <w:shd w:val="clear" w:color="auto" w:fill="auto"/>
        </w:rPr>
      </w:pPr>
      <w:r w:rsidRPr="00AD6E5A">
        <w:rPr/>
        <w:t xml:space="preserve">Maturity date </w:t>
      </w:r>
      <w:r w:rsidRPr="00AD6E5A">
        <w:rPr>
          <w:u w:val="single"/>
        </w:rPr>
        <w:tab/>
      </w:r>
      <w:r w:rsidRPr="00AD6E5A">
        <w:rPr/>
        <w:t>.</w:t>
      </w:r>
    </w:p>
    <w:p w:rsidR="00EA4133" w:rsidRPr="00AD6E5A" w:rsidP="001B3A69">
      <w:pPr>
        <w:pStyle w:val="Heading2"/>
        <w:tabs>
          <w:tab w:val="right" w:pos="9360"/>
        </w:tabs>
        <w:rPr>
          <w:color w:val="auto"/>
          <w:shd w:val="clear" w:color="auto" w:fill="auto"/>
        </w:rPr>
      </w:pPr>
      <w:r w:rsidRPr="00AD6E5A">
        <w:rPr/>
        <w:t xml:space="preserve">Interest rate </w:t>
      </w:r>
      <w:r w:rsidRPr="00AD6E5A">
        <w:rPr>
          <w:u w:val="single"/>
        </w:rPr>
        <w:tab/>
      </w:r>
      <w:r w:rsidRPr="00AD6E5A">
        <w:rPr/>
        <w:t>.</w:t>
      </w:r>
    </w:p>
    <w:p w:rsidR="00A00C54" w:rsidRPr="00AD6E5A" w:rsidP="001B3A69">
      <w:pPr>
        <w:pStyle w:val="Heading2"/>
        <w:tabs>
          <w:tab w:val="right" w:pos="9360"/>
        </w:tabs>
        <w:rPr>
          <w:color w:val="auto"/>
          <w:shd w:val="clear" w:color="auto" w:fill="auto"/>
        </w:rPr>
      </w:pPr>
      <w:r w:rsidRPr="00AD6E5A">
        <w:rPr/>
        <w:t xml:space="preserve">Conversion terms </w:t>
      </w:r>
      <w:r w:rsidRPr="00AD6E5A">
        <w:rPr>
          <w:u w:val="single"/>
        </w:rPr>
        <w:tab/>
      </w:r>
      <w:r w:rsidRPr="00AD6E5A">
        <w:rPr/>
        <w:t>.</w:t>
      </w:r>
    </w:p>
    <w:p w:rsidR="00EA4133" w:rsidRPr="00AD6E5A" w:rsidP="001B3A69">
      <w:pPr>
        <w:pStyle w:val="Heading2"/>
        <w:tabs>
          <w:tab w:val="right" w:pos="9360"/>
        </w:tabs>
        <w:rPr>
          <w:color w:val="auto"/>
          <w:shd w:val="clear" w:color="auto" w:fill="auto"/>
        </w:rPr>
      </w:pPr>
      <w:r w:rsidRPr="00AD6E5A">
        <w:rPr/>
        <w:t xml:space="preserve">Default provisions </w:t>
      </w:r>
      <w:r w:rsidRPr="00AD6E5A">
        <w:rPr>
          <w:u w:val="single"/>
        </w:rPr>
        <w:tab/>
      </w:r>
      <w:r w:rsidRPr="00AD6E5A">
        <w:rPr/>
        <w:t>.</w:t>
      </w:r>
    </w:p>
    <w:p w:rsidR="00EA4133" w:rsidRPr="00AD6E5A" w:rsidP="008E2CE3">
      <w:pPr>
        <w:pStyle w:val="Heading1"/>
        <w:rPr>
          <w:color w:val="auto"/>
          <w:shd w:val="clear" w:color="auto" w:fill="auto"/>
        </w:rPr>
      </w:pPr>
      <w:r w:rsidRPr="00AD6E5A">
        <w:rPr/>
        <w:t>Provide the following information for any agent’s fee, commission, bonus or finder’s fee, or other compensation paid or to be paid in connection with the placement (including warrants, options, etc.):</w:t>
      </w:r>
    </w:p>
    <w:p w:rsidR="00EA4133" w:rsidRPr="00AD6E5A" w:rsidP="008E2CE3">
      <w:pPr>
        <w:pStyle w:val="Heading2"/>
        <w:tabs>
          <w:tab w:val="right" w:pos="9360"/>
        </w:tabs>
        <w:ind w:right="720"/>
        <w:rPr>
          <w:color w:val="auto"/>
          <w:u w:val="single"/>
          <w:shd w:val="clear" w:color="auto" w:fill="auto"/>
        </w:rPr>
      </w:pPr>
      <w:r w:rsidRPr="00AD6E5A">
        <w:rPr/>
        <w:t xml:space="preserve">Details of any dealer, agent, broker or othe r person receiving compensation in connection with the placement (name, address. If a corporation, identify persons owning or exercising voting control over 20% or more of the voting shares if known to the Issuer): </w:t>
      </w:r>
      <w:r w:rsidRPr="00AD6E5A">
        <w:rPr>
          <w:u w:val="single"/>
        </w:rPr>
        <w:tab/>
      </w:r>
      <w:r w:rsidRPr="00AD6E5A">
        <w:rPr/>
        <w:t>.</w:t>
      </w:r>
    </w:p>
    <w:p w:rsidR="00EA4133" w:rsidRPr="00AD6E5A" w:rsidP="008E2CE3">
      <w:pPr>
        <w:pStyle w:val="Heading2"/>
        <w:tabs>
          <w:tab w:val="right" w:pos="9360"/>
        </w:tabs>
        <w:rPr>
          <w:color w:val="auto"/>
          <w:shd w:val="clear" w:color="auto" w:fill="auto"/>
        </w:rPr>
      </w:pPr>
      <w:r w:rsidRPr="00AD6E5A">
        <w:rPr/>
        <w:t xml:space="preserve">Cash </w:t>
      </w:r>
      <w:r w:rsidRPr="00AD6E5A">
        <w:rPr>
          <w:u w:val="single"/>
        </w:rPr>
        <w:tab/>
      </w:r>
      <w:r w:rsidRPr="00AD6E5A">
        <w:rPr/>
        <w:t>.</w:t>
      </w:r>
    </w:p>
    <w:p w:rsidR="00EA4133" w:rsidRPr="00AD6E5A" w:rsidP="008E2CE3">
      <w:pPr>
        <w:pStyle w:val="Heading2"/>
        <w:tabs>
          <w:tab w:val="right" w:pos="9360"/>
        </w:tabs>
        <w:rPr>
          <w:color w:val="auto"/>
          <w:shd w:val="clear" w:color="auto" w:fill="auto"/>
        </w:rPr>
      </w:pPr>
      <w:r w:rsidRPr="00AD6E5A">
        <w:rPr/>
        <w:t xml:space="preserve">Securities </w:t>
      </w:r>
      <w:r w:rsidRPr="00AD6E5A">
        <w:rPr>
          <w:u w:val="single"/>
        </w:rPr>
        <w:tab/>
      </w:r>
      <w:r w:rsidRPr="00AD6E5A">
        <w:rPr/>
        <w:t>.</w:t>
      </w:r>
    </w:p>
    <w:p w:rsidR="00EA4133" w:rsidRPr="00AD6E5A" w:rsidP="008E2CE3">
      <w:pPr>
        <w:pStyle w:val="Heading2"/>
        <w:tabs>
          <w:tab w:val="right" w:pos="9360"/>
        </w:tabs>
        <w:rPr>
          <w:color w:val="auto"/>
          <w:shd w:val="clear" w:color="auto" w:fill="auto"/>
        </w:rPr>
      </w:pPr>
      <w:r w:rsidRPr="00AD6E5A">
        <w:rPr/>
        <w:t xml:space="preserve">Other </w:t>
      </w:r>
      <w:r w:rsidRPr="00AD6E5A">
        <w:rPr>
          <w:u w:val="single"/>
        </w:rPr>
        <w:tab/>
      </w:r>
      <w:r w:rsidRPr="00AD6E5A">
        <w:rPr/>
        <w:t>.</w:t>
      </w:r>
    </w:p>
    <w:p w:rsidR="00EA4133" w:rsidRPr="00AD6E5A" w:rsidP="008E2CE3">
      <w:pPr>
        <w:pStyle w:val="Heading2"/>
        <w:tabs>
          <w:tab w:val="right" w:pos="9360"/>
        </w:tabs>
        <w:rPr>
          <w:color w:val="auto"/>
          <w:shd w:val="clear" w:color="auto" w:fill="auto"/>
        </w:rPr>
      </w:pPr>
      <w:r w:rsidRPr="00AD6E5A">
        <w:rPr/>
        <w:t xml:space="preserve">Expiry date of any options, warrants etc. </w:t>
      </w:r>
      <w:r w:rsidRPr="00AD6E5A">
        <w:rPr>
          <w:u w:val="single"/>
        </w:rPr>
        <w:tab/>
      </w:r>
      <w:r w:rsidRPr="00AD6E5A">
        <w:rPr/>
        <w:t>.</w:t>
      </w:r>
    </w:p>
    <w:p w:rsidR="00EA4133" w:rsidRPr="00AD6E5A" w:rsidP="008E2CE3">
      <w:pPr>
        <w:pStyle w:val="Heading2"/>
        <w:tabs>
          <w:tab w:val="right" w:pos="9360"/>
        </w:tabs>
        <w:rPr>
          <w:color w:val="auto"/>
          <w:shd w:val="clear" w:color="auto" w:fill="auto"/>
        </w:rPr>
      </w:pPr>
      <w:r w:rsidRPr="00AD6E5A">
        <w:rPr/>
        <w:t xml:space="preserve">Exercise price of any options, warrants etc. </w:t>
      </w:r>
      <w:r w:rsidRPr="00AD6E5A">
        <w:rPr>
          <w:u w:val="single"/>
        </w:rPr>
        <w:tab/>
      </w:r>
      <w:r w:rsidRPr="00AD6E5A">
        <w:rPr/>
        <w:t>.</w:t>
      </w:r>
    </w:p>
    <w:p w:rsidR="00EA4133" w:rsidRPr="00AD6E5A" w:rsidP="009E4B1F">
      <w:pPr>
        <w:pStyle w:val="List"/>
        <w:numPr>
          <w:ilvl w:val="0"/>
          <w:numId w:val="2"/>
        </w:numPr>
        <w:tabs>
          <w:tab w:val="left" w:pos="9180"/>
        </w:tabs>
        <w:jc w:val="both"/>
        <w:rPr>
          <w:rFonts w:cs="Arial"/>
          <w:color w:val="auto"/>
          <w:shd w:val="clear" w:color="auto" w:fill="auto"/>
        </w:rPr>
      </w:pPr>
      <w:r w:rsidRPr="00AD6E5A">
        <w:rPr>
          <w:rFonts w:cs="Arial"/>
        </w:rPr>
        <w:t xml:space="preserve">State whether the sales agent, broker, dealer or other person receiving compensation in connection with the placement is Related Person or has any other relationship with the Issuer and provide details of the relationship </w:t>
      </w:r>
      <w:r w:rsidRPr="00AD6E5A">
        <w:rPr>
          <w:rFonts w:cs="Arial"/>
          <w:u w:val="single"/>
        </w:rPr>
        <w:tab/>
      </w:r>
      <w:r w:rsidRPr="00AD6E5A">
        <w:rPr>
          <w:rFonts w:cs="Arial"/>
        </w:rPr>
        <w:t>.</w:t>
      </w:r>
    </w:p>
    <w:p w:rsidR="00EA4133" w:rsidRPr="00AD6E5A" w:rsidP="009E4B1F">
      <w:pPr>
        <w:pStyle w:val="List"/>
        <w:numPr>
          <w:ilvl w:val="0"/>
          <w:numId w:val="2"/>
        </w:numPr>
        <w:rPr>
          <w:rFonts w:cs="Arial"/>
          <w:color w:val="auto"/>
          <w:shd w:val="clear" w:color="auto" w:fill="auto"/>
        </w:rPr>
      </w:pPr>
      <w:r w:rsidRPr="00AD6E5A">
        <w:rPr>
          <w:rFonts w:cs="Arial"/>
        </w:rPr>
        <w:t>Describe any unusual particulars of the transaction (i.e. tax “flow through” shares, etc.).</w:t>
      </w:r>
    </w:p>
    <w:p w:rsidR="00EA4133" w:rsidRPr="00AD6E5A">
      <w:pPr>
        <w:pStyle w:val="List"/>
        <w:tabs>
          <w:tab w:val="left" w:pos="1080"/>
          <w:tab w:val="left" w:pos="9180"/>
        </w:tabs>
        <w:ind w:left="0" w:firstLine="0"/>
        <w:jc w:val="both"/>
        <w:rPr>
          <w:rFonts w:cs="Arial"/>
          <w:color w:val="auto"/>
          <w:shd w:val="clear" w:color="auto" w:fill="auto"/>
        </w:rPr>
      </w:pPr>
      <w:r w:rsidRPr="00AD6E5A">
        <w:rPr>
          <w:rFonts w:cs="Arial"/>
        </w:rPr>
        <w:tab/>
      </w:r>
      <w:r w:rsidRPr="00AD6E5A">
        <w:rPr>
          <w:rFonts w:cs="Arial"/>
          <w:u w:val="single"/>
        </w:rPr>
        <w:tab/>
      </w:r>
      <w:r w:rsidRPr="00AD6E5A">
        <w:rPr>
          <w:rFonts w:cs="Arial"/>
        </w:rPr>
        <w:t>.</w:t>
      </w:r>
    </w:p>
    <w:p w:rsidR="00EA4133" w:rsidRPr="00AD6E5A" w:rsidP="009E4B1F">
      <w:pPr>
        <w:pStyle w:val="List"/>
        <w:numPr>
          <w:ilvl w:val="0"/>
          <w:numId w:val="2"/>
        </w:numPr>
        <w:rPr>
          <w:rFonts w:cs="Arial"/>
          <w:color w:val="auto"/>
          <w:shd w:val="clear" w:color="auto" w:fill="auto"/>
        </w:rPr>
      </w:pPr>
      <w:r w:rsidRPr="00AD6E5A">
        <w:rPr>
          <w:rFonts w:cs="Arial"/>
        </w:rPr>
        <w:t>State whether the private placement will result in a change of control.</w:t>
      </w:r>
    </w:p>
    <w:p w:rsidR="00EA4133" w:rsidRPr="00AD6E5A">
      <w:pPr>
        <w:pStyle w:val="List"/>
        <w:tabs>
          <w:tab w:val="left" w:pos="1080"/>
          <w:tab w:val="left" w:pos="9180"/>
        </w:tabs>
        <w:ind w:left="0" w:firstLine="0"/>
        <w:jc w:val="both"/>
        <w:rPr>
          <w:rFonts w:cs="Arial"/>
          <w:color w:val="auto"/>
          <w:shd w:val="clear" w:color="auto" w:fill="auto"/>
        </w:rPr>
      </w:pPr>
      <w:r w:rsidRPr="00AD6E5A">
        <w:rPr>
          <w:rFonts w:cs="Arial"/>
        </w:rPr>
        <w:tab/>
      </w:r>
      <w:r w:rsidRPr="00AD6E5A">
        <w:rPr>
          <w:rFonts w:cs="Arial"/>
          <w:u w:val="single"/>
        </w:rPr>
        <w:tab/>
      </w:r>
      <w:r w:rsidRPr="00AD6E5A">
        <w:rPr>
          <w:rFonts w:cs="Arial"/>
        </w:rPr>
        <w:t>.</w:t>
      </w:r>
    </w:p>
    <w:p w:rsidR="00EA4133" w:rsidRPr="00AD6E5A" w:rsidP="008E2CE3">
      <w:pPr>
        <w:pStyle w:val="BodyText"/>
        <w:keepNext/>
        <w:tabs>
          <w:tab w:val="left" w:pos="1080"/>
          <w:tab w:val="left" w:pos="4230"/>
        </w:tabs>
        <w:rPr>
          <w:rFonts w:cs="Arial"/>
          <w:color w:val="000000"/>
          <w:shd w:val="clear" w:color="auto" w:fill="auto"/>
        </w:rPr>
      </w:pPr>
      <w:r w:rsidRPr="00AD6E5A">
        <w:rPr>
          <w:rFonts w:cs="Arial"/>
          <w:b/>
          <w:color w:val="000000"/>
        </w:rPr>
        <w:t>2.</w:t>
        <w:tab/>
        <w:t>Acquisition</w:t>
      </w:r>
    </w:p>
    <w:p w:rsidR="00AD6E5A" w:rsidRPr="008E2CE3" w:rsidP="009E4B1F">
      <w:pPr>
        <w:pStyle w:val="Heading1"/>
        <w:numPr>
          <w:ilvl w:val="0"/>
          <w:numId w:val="6"/>
        </w:numPr>
        <w:rPr>
          <w:color w:val="002C40"/>
          <w:szCs w:val="24"/>
          <w:u w:val="single"/>
          <w:shd w:val="clear" w:color="auto" w:fill="auto"/>
        </w:rPr>
      </w:pPr>
      <w:r w:rsidRPr="00AD6E5A">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Pr="008E2CE3">
        <w:rPr>
          <w:szCs w:val="24"/>
          <w:u w:val="single"/>
        </w:rPr>
        <w:t>The Issuer, which owns, operates, and partners with licensed cannabis operations throughout the United States, has acquired Citiva Medical, LLC ("</w:t>
      </w:r>
      <w:r w:rsidRPr="008E2CE3">
        <w:rPr>
          <w:b/>
          <w:szCs w:val="24"/>
          <w:u w:val="single"/>
        </w:rPr>
        <w:t>Citiva NY</w:t>
      </w:r>
      <w:r w:rsidRPr="008E2CE3">
        <w:rPr>
          <w:szCs w:val="24"/>
          <w:u w:val="single"/>
        </w:rPr>
        <w:t>"), which holds one of the ten vertically integrated medical marijuana "Registered Organization" licenses issued by New York State, and Citiva, LLC ("</w:t>
      </w:r>
      <w:r w:rsidRPr="008E2CE3">
        <w:rPr>
          <w:b/>
          <w:szCs w:val="24"/>
          <w:u w:val="single"/>
        </w:rPr>
        <w:t>Citiva USA</w:t>
      </w:r>
      <w:r w:rsidRPr="008E2CE3">
        <w:rPr>
          <w:szCs w:val="24"/>
          <w:u w:val="single"/>
        </w:rPr>
        <w:t>" and, together with Citiva NY, "</w:t>
      </w:r>
      <w:r w:rsidRPr="008E2CE3">
        <w:rPr>
          <w:b/>
          <w:szCs w:val="24"/>
          <w:u w:val="single"/>
        </w:rPr>
        <w:t>Citiva</w:t>
      </w:r>
      <w:r w:rsidRPr="008E2CE3">
        <w:rPr>
          <w:szCs w:val="24"/>
          <w:u w:val="single"/>
        </w:rPr>
        <w:t>"), the owner of certain regulated cannabis industry assets and intellectual property (the "</w:t>
      </w:r>
      <w:r w:rsidRPr="008E2CE3">
        <w:rPr>
          <w:b/>
          <w:szCs w:val="24"/>
          <w:u w:val="single"/>
        </w:rPr>
        <w:t>Acquisition</w:t>
      </w:r>
      <w:r w:rsidRPr="008E2CE3">
        <w:rPr>
          <w:szCs w:val="24"/>
          <w:u w:val="single"/>
        </w:rPr>
        <w:t>"). With the closing of the Citiva acquisition, the Issuer’s regulated cannabis industry operations now span six states, including three of the most populous states on the East Coast (New York, Florida and Massachusetts)</w:t>
      </w:r>
      <w:r w:rsidRPr="008E2CE3">
        <w:rPr>
          <w:color w:val="002C40"/>
          <w:szCs w:val="24"/>
          <w:u w:val="single"/>
        </w:rPr>
        <w:t>.</w:t>
      </w:r>
    </w:p>
    <w:p w:rsidR="00AD6E5A" w:rsidRPr="008E2CE3" w:rsidP="008E2CE3">
      <w:pPr>
        <w:pStyle w:val="ONENumberCont1"/>
        <w:rPr>
          <w:color w:val="auto"/>
          <w:u w:val="single"/>
          <w:shd w:val="clear" w:color="auto" w:fill="auto"/>
        </w:rPr>
      </w:pPr>
      <w:r w:rsidRPr="008E2CE3">
        <w:rPr>
          <w:u w:val="single"/>
        </w:rPr>
        <w:t>Pursuant to the transaction, the Issuer acquired 100% of Citiva for approximately US$18.0 million, consisting of US$3.6 million payable in cash and US$14.4 million satisfied in Issuer shares, at a deemed price per share of US$2.57.</w:t>
      </w:r>
    </w:p>
    <w:p w:rsidR="00AD6E5A" w:rsidRPr="008E2CE3" w:rsidP="008E2CE3">
      <w:pPr>
        <w:pStyle w:val="ONENumberCont1"/>
        <w:rPr>
          <w:color w:val="auto"/>
          <w:u w:val="single"/>
          <w:shd w:val="clear" w:color="auto" w:fill="auto"/>
        </w:rPr>
      </w:pPr>
      <w:r w:rsidRPr="008E2CE3">
        <w:rPr>
          <w:u w:val="single"/>
        </w:rPr>
        <w:t>As one of only ten Registered Organizations under the New York medical cannabis program, Citiva NY's license includes a cultivation and processing facility and four dispensary locations to be located in Brooklyn, Staten Island, Dutchess County and Chemung County. Citiva's proposed 2,000 square-foot flagship Brooklyn dispensary is slated to open in Q4 2018, and will be one of only two dispensaries located in New York City's most populous borough, with 2.6 million residents. Citiva's Staten Island dispensary, which will be the only Registered Organization serving Staten Island's 500,000 residents, is also slated to open in Q4 2018. The Dutchess County and Chemung County dispensaries, serving a population of 300,000 and 70,000 respectively, are currently projected to open in Q2 2019.</w:t>
      </w:r>
    </w:p>
    <w:p w:rsidR="00EA4133" w:rsidRPr="008E2CE3" w:rsidP="008E2CE3">
      <w:pPr>
        <w:pStyle w:val="ONENumberCont1"/>
        <w:rPr>
          <w:color w:val="auto"/>
          <w:u w:val="single"/>
          <w:shd w:val="clear" w:color="auto" w:fill="auto"/>
        </w:rPr>
      </w:pPr>
      <w:r w:rsidRPr="008E2CE3">
        <w:rPr>
          <w:u w:val="single"/>
        </w:rPr>
        <w:t>The Issuer anticipates completing the purchase of 8.2 acres of land located in Orange County and beginning the buildout of its cultivation facility in Q1 2018. The Company has an option to purchase an additional 6.2 acres at a later date at the same location. Phase 1 of the buildout, which is projected to be complete in February 2019, will create 27,500 square-feet of cultivation space to support up to 1,470,000 grams of total flower capacity per year. Phase 2 of the buildout, which is expected to begin in Q3 2020 and complete construction by Q1 2021, is expected to expand the facility to 43,000 square-feet and support 2,940,000 grams of total flower capacity. Citiva is currently in advanced discussions with one or more Registered Organizations to implement a wholesale agreement in order to begin sales of medical cannabis products in Q4 2018.</w:t>
      </w:r>
    </w:p>
    <w:p w:rsidR="00AD6E5A" w:rsidRPr="00AD6E5A" w:rsidP="008E2CE3">
      <w:pPr>
        <w:pStyle w:val="Heading1"/>
        <w:rPr>
          <w:color w:val="auto"/>
          <w:u w:val="single"/>
          <w:shd w:val="clear" w:color="auto" w:fill="auto"/>
        </w:rPr>
      </w:pPr>
      <w:r w:rsidRPr="00AD6E5A">
        <w:rPr/>
        <w:t xml:space="preserve">Provide details of the acquisition including the date, parties to and type of agreement (eg: sale, option, license etc.) and relationship to the Issuer. The disclosure should be sufficiently complete to enable a reader to appreciate the significance of the acquisition without reference to any other material: </w:t>
      </w:r>
    </w:p>
    <w:p w:rsidR="00AD6E5A" w:rsidRPr="008E2CE3" w:rsidP="008E2CE3">
      <w:pPr>
        <w:pStyle w:val="ONENumberCont1"/>
        <w:rPr>
          <w:color w:val="auto"/>
          <w:u w:val="single"/>
          <w:shd w:val="clear" w:color="auto" w:fill="auto"/>
        </w:rPr>
      </w:pPr>
      <w:r w:rsidRPr="008E2CE3">
        <w:rPr>
          <w:u w:val="single"/>
        </w:rPr>
        <w:t>iAnthus acquired 100% of Citiva NY for US$12.0 million, with US$2.4 million payable in cash and approximately US$9.6 million satisfied in iAnthus common shares and Class A convertible restricted shares, each at a price of US$2.57 per share. iAnthus acquired 100% of Citiva USA for US$6.0 million, with US$1.2 million payable in cash and approximately US$4.8 million satisfied in iAnthus common shares and Class A convertible restricted shares, each at a price of US$2.57 per share.</w:t>
      </w:r>
    </w:p>
    <w:p w:rsidR="00AD6E5A" w:rsidRPr="008E2CE3" w:rsidP="008E2CE3">
      <w:pPr>
        <w:pStyle w:val="ONENumberCont1"/>
        <w:rPr>
          <w:color w:val="auto"/>
          <w:u w:val="single"/>
          <w:shd w:val="clear" w:color="auto" w:fill="auto"/>
        </w:rPr>
      </w:pPr>
      <w:r w:rsidRPr="008E2CE3">
        <w:rPr>
          <w:u w:val="single"/>
        </w:rPr>
        <w:t>The securities issued by iAnthus in connection with the acquisition of Citiva are issued on a prospectus exempt basis and are subject to: (i) a hold period in Canada of four months and a day from the date of issuance; and (ii) an applicable US securities law legend.</w:t>
      </w:r>
    </w:p>
    <w:p w:rsidR="00AD6E5A" w:rsidRPr="008E2CE3" w:rsidP="008E2CE3">
      <w:pPr>
        <w:pStyle w:val="ONENumberCont1"/>
        <w:rPr>
          <w:color w:val="auto"/>
          <w:u w:val="single"/>
          <w:shd w:val="clear" w:color="auto" w:fill="auto"/>
        </w:rPr>
      </w:pPr>
      <w:r w:rsidRPr="008E2CE3">
        <w:rPr>
          <w:u w:val="single"/>
        </w:rPr>
        <w:t>The Company does not expect the acquisition of Citiva to be a "significant acquisition" for the purposes of Part 8 of National Instrument 51-102 -- </w:t>
      </w:r>
      <w:r w:rsidRPr="008E2CE3">
        <w:rPr>
          <w:rStyle w:val="Emphasis"/>
          <w:rFonts w:cs="Arial"/>
          <w:color w:val="002C40"/>
          <w:u w:val="single"/>
          <w:bdr w:val="nil"/>
        </w:rPr>
        <w:t>Continuous Disclosure Obligations</w:t>
      </w:r>
      <w:r w:rsidRPr="008E2CE3">
        <w:rPr>
          <w:u w:val="single"/>
        </w:rPr>
        <w:t>.</w:t>
      </w:r>
    </w:p>
    <w:p w:rsidR="00DA3743" w:rsidP="008E2CE3">
      <w:pPr>
        <w:pStyle w:val="ONENumberCont1"/>
        <w:rPr>
          <w:color w:val="auto"/>
          <w:shd w:val="clear" w:color="auto" w:fill="auto"/>
        </w:rPr>
      </w:pPr>
      <w:r>
        <w:rPr/>
        <w:t>Each purchaser has been advised of the applicable securities legislation restricted or seasoning period:</w:t>
      </w:r>
    </w:p>
    <w:p w:rsidR="00DA3743" w:rsidRPr="008E2CE3" w:rsidP="008E2CE3">
      <w:pPr>
        <w:pStyle w:val="ONENumberCont1"/>
        <w:rPr>
          <w:b/>
          <w:color w:val="auto"/>
          <w:u w:val="single"/>
          <w:shd w:val="clear" w:color="auto" w:fill="auto"/>
        </w:rPr>
      </w:pPr>
      <w:r w:rsidRPr="008E2CE3">
        <w:rPr>
          <w:b/>
          <w:u w:val="single"/>
        </w:rPr>
        <w:t>All certificates for securities issued which are subject to a hold period bear the appropriate legend restricting their transfer until the expiry of the applicable hold period required by National Instrument 45-102.</w:t>
      </w:r>
    </w:p>
    <w:p w:rsidR="00DA3743" w:rsidRPr="008E2CE3" w:rsidP="008E2CE3">
      <w:pPr>
        <w:pStyle w:val="ONENumberCont1"/>
        <w:rPr>
          <w:color w:val="auto"/>
          <w:u w:val="single"/>
          <w:shd w:val="clear" w:color="auto" w:fill="auto"/>
        </w:rPr>
      </w:pPr>
      <w:r w:rsidRPr="008E2CE3">
        <w:rPr>
          <w:u w:val="single"/>
        </w:rPr>
        <w:t>All certificates for securities issued to United States subscribers will also bear the following legend under the U.S. Securities Act of 1933, as amended:</w:t>
      </w:r>
    </w:p>
    <w:p w:rsidR="00DA3743" w:rsidRPr="008E2CE3" w:rsidP="008E2CE3">
      <w:pPr>
        <w:pStyle w:val="ONENumberCont1"/>
        <w:rPr>
          <w:b/>
          <w:color w:val="auto"/>
          <w:u w:val="single"/>
          <w:shd w:val="clear" w:color="auto" w:fill="auto"/>
        </w:rPr>
      </w:pPr>
      <w:r w:rsidRPr="008E2CE3">
        <w:rPr>
          <w:b/>
          <w:u w:val="single"/>
        </w:rPr>
        <w:t>The securities represented hereby have not been registered under the United States Securities Act of 1933, as amended (the “U.S. Securities Act”) or the securities laws of any state of the United States.  The holder hereof, by purchasing such securities, agrees for the benefit of the Company that such securities may be offered, sold or otherwise transferred only (a) to the Company; (b) outside the United States in accordance with Rule 904 of Regulation S under the U.S. Securities Act; (c) in accordance with the exemption from registration under the U.S. Securities Act provided by Rule 144 thereunder, if available, and in compliance with any applicable state securities laws; or (d) in a transaction that does not require registration under the U.S. Securities Act and any applicable state securities laws, and, in the case of clause (c) or (d), the seller furnishes to the Company an opinion of counsel of recognized standing in form and substance satisfactory to the Company to such effect.</w:t>
      </w:r>
    </w:p>
    <w:p w:rsidR="00DA3743" w:rsidRPr="008E2CE3" w:rsidP="008E2CE3">
      <w:pPr>
        <w:pStyle w:val="ONENumberCont1"/>
        <w:rPr>
          <w:b/>
          <w:color w:val="auto"/>
          <w:u w:val="single"/>
          <w:shd w:val="clear" w:color="auto" w:fill="auto"/>
        </w:rPr>
      </w:pPr>
      <w:r w:rsidRPr="008E2CE3">
        <w:rPr>
          <w:b/>
          <w:u w:val="single"/>
        </w:rPr>
        <w:t>The presence of this legend may impair the ability of the holder hereof to effect “good delivery” of the securities represented hereby on a Canadian Stock Exchange.</w:t>
      </w:r>
    </w:p>
    <w:p w:rsidR="00DA3743" w:rsidRPr="00DA3743" w:rsidP="008E2CE3">
      <w:pPr>
        <w:pStyle w:val="ONENumberCont1"/>
        <w:rPr>
          <w:b/>
          <w:color w:val="auto"/>
          <w:u w:val="single"/>
          <w:shd w:val="clear" w:color="auto" w:fill="auto"/>
        </w:rPr>
      </w:pPr>
      <w:r>
        <w:rPr/>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w:t>
      </w:r>
    </w:p>
    <w:p w:rsidR="00EA4133" w:rsidRPr="00AD6E5A" w:rsidP="008E2CE3">
      <w:pPr>
        <w:pStyle w:val="Heading1"/>
        <w:rPr>
          <w:color w:val="auto"/>
          <w:shd w:val="clear" w:color="auto" w:fill="auto"/>
        </w:rPr>
      </w:pPr>
      <w:r w:rsidRPr="00AD6E5A">
        <w:rPr/>
        <w:t>Provide the following information in relation to the total consideration for the acquisition (including details of all cash, securities or other consideration) and any required work commitments:</w:t>
      </w:r>
    </w:p>
    <w:p w:rsidR="00AD6E5A" w:rsidRPr="008E2CE3" w:rsidP="008E2CE3">
      <w:pPr>
        <w:pStyle w:val="ONENumberCont2"/>
        <w:rPr>
          <w:b/>
          <w:color w:val="auto"/>
          <w:sz w:val="20"/>
          <w:szCs w:val="20"/>
          <w:shd w:val="clear" w:color="auto" w:fill="auto"/>
        </w:rPr>
      </w:pPr>
      <w:r w:rsidRPr="008E2CE3">
        <w:rPr>
          <w:sz w:val="20"/>
          <w:szCs w:val="20"/>
        </w:rPr>
        <w:t>*Bank of Canada daily exchange rate @ Feb. 1, 2018: US$1.00 = C$1.2288</w:t>
      </w:r>
    </w:p>
    <w:p w:rsidR="00EA4133" w:rsidRPr="00AD6E5A" w:rsidP="008E2CE3">
      <w:pPr>
        <w:pStyle w:val="Heading2"/>
        <w:rPr>
          <w:color w:val="auto"/>
          <w:shd w:val="clear" w:color="auto" w:fill="auto"/>
        </w:rPr>
      </w:pPr>
      <w:r w:rsidRPr="00AD6E5A">
        <w:rPr/>
        <w:t xml:space="preserve">Total aggregate consideration in Canadian dollars: </w:t>
      </w:r>
      <w:r w:rsidR="00AD6E5A">
        <w:rPr>
          <w:u w:val="single"/>
        </w:rPr>
        <w:t>US$18.0 million</w:t>
      </w:r>
      <w:r w:rsidRPr="00AD6E5A">
        <w:rPr/>
        <w:t xml:space="preserve">. </w:t>
      </w:r>
    </w:p>
    <w:p w:rsidR="00EA4133" w:rsidRPr="00AD6E5A" w:rsidP="008E2CE3">
      <w:pPr>
        <w:pStyle w:val="Heading2"/>
        <w:rPr>
          <w:color w:val="auto"/>
          <w:shd w:val="clear" w:color="auto" w:fill="auto"/>
        </w:rPr>
      </w:pPr>
      <w:r w:rsidRPr="00AD6E5A">
        <w:rPr/>
        <w:t xml:space="preserve">Cash: </w:t>
      </w:r>
      <w:r w:rsidRPr="00DA3743">
        <w:rPr>
          <w:u w:val="single"/>
        </w:rPr>
        <w:t>CDN $4.42 million (US$3.6 million).</w:t>
      </w:r>
    </w:p>
    <w:p w:rsidR="00EA4133" w:rsidRPr="00677582" w:rsidP="008E2CE3">
      <w:pPr>
        <w:pStyle w:val="Heading2"/>
        <w:rPr>
          <w:color w:val="auto"/>
          <w:shd w:val="clear" w:color="auto" w:fill="auto"/>
        </w:rPr>
      </w:pPr>
      <w:r w:rsidRPr="00677582">
        <w:rPr/>
        <w:t>Securities (including options, warrants etc.) and dollar value:</w:t>
      </w:r>
      <w:r w:rsidRPr="00677582" w:rsidR="00DA3743">
        <w:rPr>
          <w:u w:val="single"/>
        </w:rPr>
        <w:t xml:space="preserve"> 5,603,008 Common and Class A shares with aggregate value of CDN$17.69 million (US$14.4 million total – USD$2.57 deemed share price).</w:t>
      </w:r>
    </w:p>
    <w:p w:rsidR="00EA4133" w:rsidRPr="00AD6E5A" w:rsidP="008E2CE3">
      <w:pPr>
        <w:pStyle w:val="Heading2"/>
        <w:rPr>
          <w:color w:val="auto"/>
          <w:shd w:val="clear" w:color="auto" w:fill="auto"/>
        </w:rPr>
      </w:pPr>
      <w:r w:rsidRPr="00AD6E5A">
        <w:rPr/>
        <w:t xml:space="preserve">Other: </w:t>
      </w:r>
      <w:r w:rsidRPr="00AD6E5A" w:rsidR="00AD6E5A">
        <w:rPr>
          <w:u w:val="single"/>
        </w:rPr>
        <w:t>N/A</w:t>
      </w:r>
      <w:r w:rsidRPr="00AD6E5A">
        <w:rPr/>
        <w:t xml:space="preserve"> .</w:t>
      </w:r>
    </w:p>
    <w:p w:rsidR="00EA4133" w:rsidRPr="00AD6E5A" w:rsidP="008E2CE3">
      <w:pPr>
        <w:pStyle w:val="Heading2"/>
        <w:rPr>
          <w:color w:val="auto"/>
          <w:shd w:val="clear" w:color="auto" w:fill="auto"/>
        </w:rPr>
      </w:pPr>
      <w:r w:rsidRPr="00AD6E5A">
        <w:rPr/>
        <w:t xml:space="preserve">Expiry date of options, warrants, etc. if any: </w:t>
      </w:r>
      <w:r w:rsidRPr="00AD6E5A" w:rsidR="00AD6E5A">
        <w:rPr>
          <w:u w:val="single"/>
        </w:rPr>
        <w:t>N/A</w:t>
      </w:r>
      <w:r w:rsidRPr="00AD6E5A" w:rsidR="00AD6E5A">
        <w:rPr/>
        <w:t>.</w:t>
      </w:r>
    </w:p>
    <w:p w:rsidR="00EA4133" w:rsidRPr="00AD6E5A" w:rsidP="008E2CE3">
      <w:pPr>
        <w:pStyle w:val="Heading2"/>
        <w:rPr>
          <w:color w:val="auto"/>
          <w:shd w:val="clear" w:color="auto" w:fill="auto"/>
        </w:rPr>
      </w:pPr>
      <w:r w:rsidRPr="00AD6E5A">
        <w:rPr/>
        <w:t xml:space="preserve">Exercise price of options, warrants, etc. if any: </w:t>
      </w:r>
      <w:r w:rsidRPr="00AD6E5A" w:rsidR="00AD6E5A">
        <w:rPr>
          <w:u w:val="single"/>
        </w:rPr>
        <w:t>N/A</w:t>
      </w:r>
      <w:r w:rsidRPr="00AD6E5A" w:rsidR="00AD6E5A">
        <w:rPr/>
        <w:t xml:space="preserve"> .</w:t>
      </w:r>
    </w:p>
    <w:p w:rsidR="00EA4133" w:rsidRPr="00AD6E5A" w:rsidP="008E2CE3">
      <w:pPr>
        <w:pStyle w:val="Heading2"/>
        <w:rPr>
          <w:color w:val="auto"/>
          <w:shd w:val="clear" w:color="auto" w:fill="auto"/>
        </w:rPr>
      </w:pPr>
      <w:r w:rsidRPr="00AD6E5A">
        <w:rPr/>
        <w:t xml:space="preserve">Work commitments: </w:t>
      </w:r>
      <w:r w:rsidRPr="00AD6E5A" w:rsidR="00AD6E5A">
        <w:rPr>
          <w:u w:val="single"/>
        </w:rPr>
        <w:t>N/A</w:t>
      </w:r>
      <w:r w:rsidRPr="00AD6E5A" w:rsidR="00AD6E5A">
        <w:rPr/>
        <w:t xml:space="preserve"> .</w:t>
      </w:r>
    </w:p>
    <w:p w:rsidR="00EA4133" w:rsidRPr="00AD6E5A" w:rsidP="008E2CE3">
      <w:pPr>
        <w:pStyle w:val="Heading1"/>
        <w:rPr>
          <w:color w:val="auto"/>
          <w:shd w:val="clear" w:color="auto" w:fill="auto"/>
        </w:rPr>
      </w:pPr>
      <w:r w:rsidRPr="00AD6E5A" w:rsidR="00AD6E5A">
        <w:rPr/>
        <w:t xml:space="preserve">State how the purchase or sale price was determined (e.g. arm’s-length negotiation, independent committee of the Board, third party valuation etc). </w:t>
      </w:r>
      <w:r w:rsidRPr="00AD6E5A" w:rsidR="00AD6E5A">
        <w:rPr>
          <w:u w:val="single"/>
        </w:rPr>
        <w:t>By arms-length negotiation.</w:t>
      </w:r>
    </w:p>
    <w:p w:rsidR="00EA4133" w:rsidRPr="00AD6E5A" w:rsidP="008E2CE3">
      <w:pPr>
        <w:pStyle w:val="Heading1"/>
        <w:rPr>
          <w:color w:val="auto"/>
          <w:shd w:val="clear" w:color="auto" w:fill="auto"/>
        </w:rPr>
      </w:pPr>
      <w:r w:rsidRPr="00AD6E5A">
        <w:rPr/>
        <w:t>Provide details of any appraisal or valuation of the subject of the acquisition known to management of the Issuer:</w:t>
      </w:r>
      <w:r w:rsidRPr="00DA3743" w:rsidR="00AD6E5A">
        <w:rPr>
          <w:u w:val="single"/>
        </w:rPr>
        <w:t xml:space="preserve"> None</w:t>
      </w:r>
      <w:r w:rsidRPr="00DA3743" w:rsidR="00AD6E5A">
        <w:rPr/>
        <w:t>.</w:t>
      </w:r>
    </w:p>
    <w:p w:rsidR="00EA4133" w:rsidRPr="00AD6E5A" w:rsidP="008E2CE3">
      <w:pPr>
        <w:pStyle w:val="Heading1"/>
        <w:rPr>
          <w:color w:val="auto"/>
          <w:shd w:val="clear" w:color="auto" w:fill="auto"/>
        </w:rPr>
      </w:pPr>
      <w:r w:rsidRPr="00AD6E5A">
        <w:rPr/>
        <w:t>The names of parties receiving securities of the Issuer pursuant to the acquisition and the number of securities to be issued are described as follows:</w:t>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980"/>
        <w:gridCol w:w="1170"/>
        <w:gridCol w:w="1350"/>
        <w:gridCol w:w="1350"/>
        <w:gridCol w:w="1260"/>
        <w:gridCol w:w="1350"/>
        <w:gridCol w:w="1530"/>
      </w:tblGrid>
      <w:tr w:rsidTr="00E606FE">
        <w:tblPrEx>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c>
          <w:tcPr>
            <w:tcW w:w="1980" w:type="dxa"/>
          </w:tcPr>
          <w:p w:rsidR="00EA4133" w:rsidRPr="00AD6E5A" w:rsidP="009E4B1F">
            <w:pPr>
              <w:pStyle w:val="BodyText"/>
              <w:keepNext/>
              <w:keepLines/>
              <w:spacing w:before="120" w:after="60" w:line="240" w:lineRule="auto"/>
              <w:jc w:val="center"/>
              <w:rPr>
                <w:rFonts w:cs="Arial"/>
                <w:b/>
                <w:color w:val="auto"/>
                <w:sz w:val="20"/>
                <w:shd w:val="clear" w:color="auto" w:fill="auto"/>
              </w:rPr>
            </w:pPr>
            <w:r w:rsidRPr="00AD6E5A">
              <w:rPr>
                <w:rFonts w:cs="Arial"/>
                <w:b/>
                <w:sz w:val="20"/>
              </w:rPr>
              <w:t>Name of Party (If not an individual, name all insiders of the Party)</w:t>
            </w:r>
          </w:p>
        </w:tc>
        <w:tc>
          <w:tcPr>
            <w:tcW w:w="1170" w:type="dxa"/>
          </w:tcPr>
          <w:p w:rsidR="00EA4133" w:rsidRPr="00AD6E5A" w:rsidP="009E4B1F">
            <w:pPr>
              <w:pStyle w:val="BodyText"/>
              <w:keepNext/>
              <w:keepLines/>
              <w:spacing w:before="120" w:after="60" w:line="240" w:lineRule="auto"/>
              <w:jc w:val="center"/>
              <w:rPr>
                <w:rFonts w:cs="Arial"/>
                <w:b/>
                <w:color w:val="auto"/>
                <w:sz w:val="20"/>
                <w:shd w:val="clear" w:color="auto" w:fill="auto"/>
              </w:rPr>
            </w:pPr>
            <w:r w:rsidRPr="00AD6E5A">
              <w:rPr>
                <w:rFonts w:cs="Arial"/>
                <w:b/>
                <w:sz w:val="20"/>
              </w:rPr>
              <w:t>Number and Type of Securities to be Issued</w:t>
            </w:r>
          </w:p>
        </w:tc>
        <w:tc>
          <w:tcPr>
            <w:tcW w:w="1350" w:type="dxa"/>
          </w:tcPr>
          <w:p w:rsidR="00EA4133" w:rsidRPr="00AD6E5A" w:rsidP="009E4B1F">
            <w:pPr>
              <w:pStyle w:val="BodyText"/>
              <w:keepNext/>
              <w:keepLines/>
              <w:spacing w:before="120" w:after="60" w:line="240" w:lineRule="auto"/>
              <w:jc w:val="center"/>
              <w:rPr>
                <w:rFonts w:cs="Arial"/>
                <w:b/>
                <w:color w:val="auto"/>
                <w:sz w:val="20"/>
                <w:shd w:val="clear" w:color="auto" w:fill="auto"/>
              </w:rPr>
            </w:pPr>
            <w:r w:rsidRPr="00AD6E5A">
              <w:rPr>
                <w:rFonts w:cs="Arial"/>
                <w:b/>
                <w:sz w:val="20"/>
              </w:rPr>
              <w:t>Dollar value per Security (USD$)</w:t>
            </w:r>
          </w:p>
        </w:tc>
        <w:tc>
          <w:tcPr>
            <w:tcW w:w="1350" w:type="dxa"/>
          </w:tcPr>
          <w:p w:rsidR="00EA4133" w:rsidRPr="00AD6E5A" w:rsidP="009E4B1F">
            <w:pPr>
              <w:pStyle w:val="BodyText"/>
              <w:keepNext/>
              <w:keepLines/>
              <w:spacing w:before="120" w:after="60" w:line="240" w:lineRule="auto"/>
              <w:jc w:val="center"/>
              <w:rPr>
                <w:rFonts w:cs="Arial"/>
                <w:b/>
                <w:color w:val="auto"/>
                <w:sz w:val="20"/>
                <w:shd w:val="clear" w:color="auto" w:fill="auto"/>
              </w:rPr>
            </w:pPr>
            <w:r w:rsidRPr="00AD6E5A">
              <w:rPr>
                <w:rFonts w:cs="Arial"/>
                <w:b/>
                <w:sz w:val="20"/>
              </w:rPr>
              <w:t>Conversion price (if applicable)</w:t>
            </w:r>
          </w:p>
        </w:tc>
        <w:tc>
          <w:tcPr>
            <w:tcW w:w="1260" w:type="dxa"/>
          </w:tcPr>
          <w:p w:rsidR="00EA4133" w:rsidRPr="00AD6E5A" w:rsidP="009E4B1F">
            <w:pPr>
              <w:pStyle w:val="BodyText"/>
              <w:keepNext/>
              <w:keepLines/>
              <w:spacing w:before="120" w:after="60" w:line="240" w:lineRule="auto"/>
              <w:jc w:val="center"/>
              <w:rPr>
                <w:rFonts w:cs="Arial"/>
                <w:b/>
                <w:color w:val="auto"/>
                <w:sz w:val="20"/>
                <w:shd w:val="clear" w:color="auto" w:fill="auto"/>
              </w:rPr>
            </w:pPr>
            <w:r w:rsidRPr="00AD6E5A">
              <w:rPr>
                <w:rFonts w:cs="Arial"/>
                <w:b/>
                <w:sz w:val="20"/>
              </w:rPr>
              <w:t>Prospectus Exemption</w:t>
            </w:r>
          </w:p>
        </w:tc>
        <w:tc>
          <w:tcPr>
            <w:tcW w:w="1350" w:type="dxa"/>
          </w:tcPr>
          <w:p w:rsidR="00EA4133" w:rsidRPr="00AD6E5A" w:rsidP="009E4B1F">
            <w:pPr>
              <w:pStyle w:val="BodyText"/>
              <w:keepNext/>
              <w:keepLines/>
              <w:spacing w:before="120" w:after="60" w:line="240" w:lineRule="auto"/>
              <w:jc w:val="center"/>
              <w:rPr>
                <w:rFonts w:cs="Arial"/>
                <w:b/>
                <w:color w:val="auto"/>
                <w:sz w:val="20"/>
                <w:shd w:val="clear" w:color="auto" w:fill="auto"/>
              </w:rPr>
            </w:pPr>
            <w:r w:rsidRPr="00AD6E5A">
              <w:rPr>
                <w:rFonts w:cs="Arial"/>
                <w:b/>
                <w:sz w:val="20"/>
              </w:rPr>
              <w:t>No. of Securities, directly or indirectly, Owned, Controlled or Directed by Party</w:t>
            </w:r>
          </w:p>
        </w:tc>
        <w:tc>
          <w:tcPr>
            <w:tcW w:w="1530" w:type="dxa"/>
          </w:tcPr>
          <w:p w:rsidR="00EA4133" w:rsidRPr="00AD6E5A" w:rsidP="009E4B1F">
            <w:pPr>
              <w:pStyle w:val="BodyText"/>
              <w:keepNext/>
              <w:keepLines/>
              <w:spacing w:before="120" w:after="60" w:line="240" w:lineRule="auto"/>
              <w:jc w:val="center"/>
              <w:rPr>
                <w:rFonts w:cs="Arial"/>
                <w:b/>
                <w:color w:val="000000"/>
                <w:sz w:val="20"/>
                <w:shd w:val="clear" w:color="auto" w:fill="auto"/>
              </w:rPr>
            </w:pPr>
            <w:r w:rsidRPr="00AD6E5A">
              <w:rPr>
                <w:rFonts w:cs="Arial"/>
                <w:b/>
                <w:color w:val="000000"/>
                <w:sz w:val="20"/>
              </w:rPr>
              <w:t>Describe relationship to Issuer</w:t>
            </w:r>
            <w:r w:rsidRPr="00AD6E5A">
              <w:rPr>
                <w:rFonts w:cs="Arial"/>
                <w:b/>
                <w:color w:val="000000"/>
                <w:sz w:val="20"/>
                <w:vertAlign w:val="superscript"/>
              </w:rPr>
              <w:t xml:space="preserve"> </w:t>
            </w:r>
            <w:r w:rsidRPr="00AD6E5A">
              <w:rPr>
                <w:rFonts w:cs="Arial"/>
                <w:b/>
                <w:color w:val="000000"/>
                <w:sz w:val="16"/>
                <w:vertAlign w:val="superscript"/>
              </w:rPr>
              <w:t>(1)</w:t>
            </w:r>
          </w:p>
        </w:tc>
      </w:tr>
      <w:tr w:rsidTr="00E606FE">
        <w:tblPrEx>
          <w:tblW w:w="9990" w:type="dxa"/>
          <w:tblInd w:w="378" w:type="dxa"/>
          <w:tblLayout w:type="fixed"/>
          <w:tblLook w:val="0000"/>
        </w:tblPrEx>
        <w:tc>
          <w:tcPr>
            <w:tcW w:w="1980" w:type="dxa"/>
          </w:tcPr>
          <w:p w:rsidR="00AD6E5A" w:rsidRPr="00AD6E5A" w:rsidP="009E4B1F">
            <w:pPr>
              <w:pStyle w:val="BodyText"/>
              <w:keepNext/>
              <w:keepLines/>
              <w:spacing w:before="60" w:after="60" w:line="240" w:lineRule="auto"/>
              <w:jc w:val="center"/>
              <w:rPr>
                <w:rFonts w:cs="Arial"/>
                <w:b/>
                <w:color w:val="auto"/>
                <w:sz w:val="20"/>
                <w:shd w:val="clear" w:color="auto" w:fill="auto"/>
              </w:rPr>
            </w:pPr>
            <w:r w:rsidRPr="00AD6E5A">
              <w:rPr>
                <w:rFonts w:cs="Arial"/>
                <w:b/>
                <w:sz w:val="20"/>
              </w:rPr>
              <w:t>(See attached Schedule “A”)</w:t>
            </w:r>
          </w:p>
        </w:tc>
        <w:tc>
          <w:tcPr>
            <w:tcW w:w="1170" w:type="dxa"/>
          </w:tcPr>
          <w:p w:rsidR="00AD6E5A" w:rsidRPr="00AD6E5A" w:rsidP="009E4B1F">
            <w:pPr>
              <w:pStyle w:val="BodyText"/>
              <w:keepNext/>
              <w:keepLines/>
              <w:spacing w:before="60" w:after="60" w:line="240" w:lineRule="auto"/>
              <w:jc w:val="center"/>
              <w:rPr>
                <w:rFonts w:cs="Arial"/>
                <w:b/>
                <w:color w:val="auto"/>
                <w:sz w:val="20"/>
                <w:shd w:val="clear" w:color="auto" w:fill="auto"/>
              </w:rPr>
            </w:pPr>
          </w:p>
        </w:tc>
        <w:tc>
          <w:tcPr>
            <w:tcW w:w="1350" w:type="dxa"/>
          </w:tcPr>
          <w:p w:rsidR="00AD6E5A" w:rsidRPr="00AD6E5A" w:rsidP="009E4B1F">
            <w:pPr>
              <w:pStyle w:val="BodyText"/>
              <w:keepNext/>
              <w:keepLines/>
              <w:spacing w:before="60" w:after="60" w:line="240" w:lineRule="auto"/>
              <w:jc w:val="center"/>
              <w:rPr>
                <w:rFonts w:cs="Arial"/>
                <w:b/>
                <w:color w:val="auto"/>
                <w:sz w:val="20"/>
                <w:shd w:val="clear" w:color="auto" w:fill="auto"/>
              </w:rPr>
            </w:pPr>
          </w:p>
        </w:tc>
        <w:tc>
          <w:tcPr>
            <w:tcW w:w="1350" w:type="dxa"/>
          </w:tcPr>
          <w:p w:rsidR="00AD6E5A" w:rsidRPr="00AD6E5A" w:rsidP="009E4B1F">
            <w:pPr>
              <w:pStyle w:val="BodyText"/>
              <w:keepNext/>
              <w:keepLines/>
              <w:spacing w:before="60" w:after="60" w:line="240" w:lineRule="auto"/>
              <w:jc w:val="center"/>
              <w:rPr>
                <w:rFonts w:cs="Arial"/>
                <w:b/>
                <w:color w:val="auto"/>
                <w:sz w:val="20"/>
                <w:shd w:val="clear" w:color="auto" w:fill="auto"/>
              </w:rPr>
            </w:pPr>
          </w:p>
        </w:tc>
        <w:tc>
          <w:tcPr>
            <w:tcW w:w="1260" w:type="dxa"/>
          </w:tcPr>
          <w:p w:rsidR="00AD6E5A" w:rsidRPr="00AD6E5A" w:rsidP="009E4B1F">
            <w:pPr>
              <w:pStyle w:val="BodyText"/>
              <w:keepNext/>
              <w:keepLines/>
              <w:spacing w:before="60" w:after="60" w:line="240" w:lineRule="auto"/>
              <w:jc w:val="center"/>
              <w:rPr>
                <w:rFonts w:cs="Arial"/>
                <w:b/>
                <w:color w:val="auto"/>
                <w:sz w:val="20"/>
                <w:shd w:val="clear" w:color="auto" w:fill="auto"/>
              </w:rPr>
            </w:pPr>
          </w:p>
        </w:tc>
        <w:tc>
          <w:tcPr>
            <w:tcW w:w="1350" w:type="dxa"/>
          </w:tcPr>
          <w:p w:rsidR="00AD6E5A" w:rsidRPr="00AD6E5A" w:rsidP="009E4B1F">
            <w:pPr>
              <w:pStyle w:val="BodyText"/>
              <w:keepNext/>
              <w:keepLines/>
              <w:spacing w:before="60" w:after="60" w:line="240" w:lineRule="auto"/>
              <w:jc w:val="center"/>
              <w:rPr>
                <w:rFonts w:cs="Arial"/>
                <w:b/>
                <w:color w:val="auto"/>
                <w:sz w:val="20"/>
                <w:shd w:val="clear" w:color="auto" w:fill="auto"/>
              </w:rPr>
            </w:pPr>
          </w:p>
        </w:tc>
        <w:tc>
          <w:tcPr>
            <w:tcW w:w="1530" w:type="dxa"/>
          </w:tcPr>
          <w:p w:rsidR="00AD6E5A" w:rsidRPr="00AD6E5A" w:rsidP="009E4B1F">
            <w:pPr>
              <w:pStyle w:val="BodyText"/>
              <w:keepNext/>
              <w:keepLines/>
              <w:spacing w:before="60" w:after="60" w:line="240" w:lineRule="auto"/>
              <w:jc w:val="center"/>
              <w:rPr>
                <w:rFonts w:cs="Arial"/>
                <w:b/>
                <w:color w:val="auto"/>
                <w:sz w:val="20"/>
                <w:shd w:val="clear" w:color="auto" w:fill="auto"/>
              </w:rPr>
            </w:pPr>
          </w:p>
        </w:tc>
      </w:tr>
    </w:tbl>
    <w:p w:rsidR="00EA4133" w:rsidRPr="00AD6E5A" w:rsidP="009E4B1F">
      <w:pPr>
        <w:pStyle w:val="BodyText"/>
        <w:numPr>
          <w:ilvl w:val="0"/>
          <w:numId w:val="3"/>
        </w:numPr>
        <w:tabs>
          <w:tab w:val="num" w:pos="450"/>
          <w:tab w:val="clear" w:pos="720"/>
        </w:tabs>
        <w:spacing w:before="120"/>
        <w:ind w:left="450" w:hanging="263"/>
        <w:rPr>
          <w:rFonts w:cs="Arial"/>
          <w:color w:val="auto"/>
          <w:sz w:val="20"/>
          <w:shd w:val="clear" w:color="auto" w:fill="auto"/>
        </w:rPr>
      </w:pPr>
      <w:r w:rsidRPr="00AD6E5A">
        <w:rPr>
          <w:rFonts w:cs="Arial"/>
          <w:sz w:val="20"/>
        </w:rPr>
        <w:t>Indicate if Related Person</w:t>
      </w:r>
    </w:p>
    <w:p w:rsidR="00AD6E5A" w:rsidRPr="00AD6E5A" w:rsidP="009E4B1F">
      <w:pPr>
        <w:pStyle w:val="Heading1"/>
        <w:rPr>
          <w:color w:val="auto"/>
          <w:shd w:val="clear" w:color="auto" w:fill="auto"/>
        </w:rPr>
      </w:pPr>
      <w:r w:rsidRPr="00AD6E5A">
        <w:rPr/>
        <w:t xml:space="preserve">Details of the steps taken by the Issuer to ensure that the vendor has good title to the assets being acquired: </w:t>
      </w:r>
      <w:r w:rsidR="00DA3743">
        <w:rPr>
          <w:u w:val="single"/>
        </w:rPr>
        <w:t>The Issuer completed legal due diligence</w:t>
      </w:r>
      <w:r w:rsidRPr="00505175" w:rsidR="00DA3743">
        <w:rPr/>
        <w:t>.</w:t>
      </w:r>
    </w:p>
    <w:p w:rsidR="00EA4133" w:rsidRPr="00AD6E5A" w:rsidP="009E4B1F">
      <w:pPr>
        <w:pStyle w:val="Heading1"/>
        <w:rPr>
          <w:color w:val="auto"/>
          <w:shd w:val="clear" w:color="auto" w:fill="auto"/>
        </w:rPr>
      </w:pPr>
      <w:r w:rsidRPr="00AD6E5A">
        <w:rPr/>
        <w:t>Provide the following information for any agent’s fee, commission, bonus or finder’s fee, or other compensation paid or to be paid in connection with the acquisition (including warrants, options, etc.):</w:t>
      </w:r>
    </w:p>
    <w:p w:rsidR="00EA4133" w:rsidRPr="00AD6E5A" w:rsidP="009E4B1F">
      <w:pPr>
        <w:pStyle w:val="Heading2"/>
        <w:tabs>
          <w:tab w:val="right" w:pos="9360"/>
        </w:tabs>
        <w:rPr>
          <w:color w:val="auto"/>
          <w:u w:val="single"/>
          <w:shd w:val="clear" w:color="auto" w:fill="auto"/>
        </w:rPr>
      </w:pPr>
      <w:r w:rsidRPr="00AD6E5A">
        <w:rPr/>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Pr="00AD6E5A">
        <w:rPr>
          <w:u w:val="single"/>
        </w:rPr>
        <w:t>N/A</w:t>
        <w:tab/>
        <w:br/>
        <w:tab/>
      </w:r>
      <w:r w:rsidRPr="00AD6E5A">
        <w:rPr/>
        <w:t>.</w:t>
      </w:r>
    </w:p>
    <w:p w:rsidR="00EA4133" w:rsidRPr="00AD6E5A" w:rsidP="009E4B1F">
      <w:pPr>
        <w:pStyle w:val="Heading2"/>
        <w:tabs>
          <w:tab w:val="right" w:pos="9360"/>
        </w:tabs>
        <w:rPr>
          <w:color w:val="auto"/>
          <w:shd w:val="clear" w:color="auto" w:fill="auto"/>
        </w:rPr>
      </w:pPr>
      <w:r w:rsidRPr="00AD6E5A">
        <w:rPr/>
        <w:t xml:space="preserve">Cash </w:t>
      </w:r>
      <w:r w:rsidRPr="009E4B1F">
        <w:rPr>
          <w:u w:val="single"/>
        </w:rPr>
        <w:tab/>
      </w:r>
      <w:r w:rsidRPr="00AD6E5A">
        <w:rPr/>
        <w:t>.</w:t>
      </w:r>
    </w:p>
    <w:p w:rsidR="00EA4133" w:rsidRPr="00AD6E5A" w:rsidP="009E4B1F">
      <w:pPr>
        <w:pStyle w:val="Heading2"/>
        <w:tabs>
          <w:tab w:val="right" w:pos="9360"/>
        </w:tabs>
        <w:rPr>
          <w:color w:val="auto"/>
          <w:shd w:val="clear" w:color="auto" w:fill="auto"/>
        </w:rPr>
      </w:pPr>
      <w:r w:rsidRPr="00AD6E5A">
        <w:rPr/>
        <w:t xml:space="preserve">Securities </w:t>
      </w:r>
      <w:r w:rsidRPr="00AD6E5A">
        <w:rPr>
          <w:u w:val="single"/>
        </w:rPr>
        <w:tab/>
      </w:r>
      <w:r w:rsidRPr="00AD6E5A">
        <w:rPr/>
        <w:t>.</w:t>
      </w:r>
    </w:p>
    <w:p w:rsidR="00EA4133" w:rsidRPr="00AD6E5A" w:rsidP="009E4B1F">
      <w:pPr>
        <w:pStyle w:val="Heading2"/>
        <w:tabs>
          <w:tab w:val="right" w:pos="9360"/>
        </w:tabs>
        <w:rPr>
          <w:color w:val="auto"/>
          <w:shd w:val="clear" w:color="auto" w:fill="auto"/>
        </w:rPr>
      </w:pPr>
      <w:r w:rsidRPr="00AD6E5A">
        <w:rPr/>
        <w:t xml:space="preserve">Other </w:t>
      </w:r>
      <w:r w:rsidRPr="00AD6E5A">
        <w:rPr>
          <w:u w:val="single"/>
        </w:rPr>
        <w:tab/>
      </w:r>
      <w:r w:rsidRPr="00AD6E5A">
        <w:rPr/>
        <w:t>.</w:t>
      </w:r>
    </w:p>
    <w:p w:rsidR="00EA4133" w:rsidRPr="00AD6E5A" w:rsidP="009E4B1F">
      <w:pPr>
        <w:pStyle w:val="Heading2"/>
        <w:tabs>
          <w:tab w:val="right" w:pos="9360"/>
        </w:tabs>
        <w:rPr>
          <w:color w:val="auto"/>
          <w:shd w:val="clear" w:color="auto" w:fill="auto"/>
        </w:rPr>
      </w:pPr>
      <w:r w:rsidRPr="00AD6E5A">
        <w:rPr/>
        <w:t xml:space="preserve">Expiry date of any options, warrants etc. </w:t>
      </w:r>
      <w:r w:rsidRPr="00AD6E5A">
        <w:rPr>
          <w:u w:val="single"/>
        </w:rPr>
        <w:tab/>
      </w:r>
      <w:r w:rsidRPr="009E4B1F" w:rsidR="009E4B1F">
        <w:rPr/>
        <w:t>.</w:t>
      </w:r>
    </w:p>
    <w:p w:rsidR="00EA4133" w:rsidRPr="00AD6E5A" w:rsidP="009E4B1F">
      <w:pPr>
        <w:pStyle w:val="Heading2"/>
        <w:tabs>
          <w:tab w:val="right" w:pos="9360"/>
        </w:tabs>
        <w:rPr>
          <w:color w:val="auto"/>
          <w:shd w:val="clear" w:color="auto" w:fill="auto"/>
        </w:rPr>
      </w:pPr>
      <w:r w:rsidRPr="00AD6E5A">
        <w:rPr/>
        <w:t xml:space="preserve">Exercise price of any options, warrants etc. </w:t>
      </w:r>
      <w:r w:rsidRPr="00AD6E5A">
        <w:rPr>
          <w:u w:val="single"/>
        </w:rPr>
        <w:tab/>
      </w:r>
      <w:r w:rsidRPr="00AD6E5A">
        <w:rPr/>
        <w:t>.</w:t>
      </w:r>
    </w:p>
    <w:p w:rsidR="00AD6E5A" w:rsidRPr="00AD6E5A" w:rsidP="009E4B1F">
      <w:pPr>
        <w:pStyle w:val="Heading1"/>
        <w:rPr>
          <w:color w:val="auto"/>
          <w:shd w:val="clear" w:color="auto" w:fill="auto"/>
        </w:rPr>
      </w:pPr>
      <w:r w:rsidRPr="00AD6E5A">
        <w:rPr/>
        <w:t xml:space="preserve">State whether the sales agent, broker or other person receiving compensation in connection with the acquisition is a Related Person or has any other relationship with the Issuer and provide details of the relationship. </w:t>
      </w:r>
      <w:r w:rsidRPr="00AD6E5A">
        <w:rPr>
          <w:u w:val="single"/>
        </w:rPr>
        <w:t>N/A.</w:t>
      </w:r>
    </w:p>
    <w:p w:rsidR="00EA4133" w:rsidRPr="00DA3743" w:rsidP="009E4B1F">
      <w:pPr>
        <w:pStyle w:val="Heading1"/>
        <w:rPr>
          <w:color w:val="auto"/>
          <w:shd w:val="clear" w:color="auto" w:fill="auto"/>
        </w:rPr>
      </w:pPr>
      <w:r w:rsidRPr="00AD6E5A">
        <w:rPr/>
        <w:t xml:space="preserve">If applicable, indicate whether the acquisition is the acquisition of an interest in property contiguous to or otherwise related to any other asset acquired in the last 12 months. </w:t>
      </w:r>
      <w:r w:rsidRPr="00AD6E5A" w:rsidR="00AD6E5A">
        <w:rPr>
          <w:u w:val="single"/>
        </w:rPr>
        <w:t>N/A.</w:t>
      </w:r>
    </w:p>
    <w:p w:rsidR="00DA3743">
      <w:pPr>
        <w:rPr>
          <w:rFonts w:cs="Arial"/>
          <w:b/>
          <w:color w:val="auto"/>
          <w:shd w:val="clear" w:color="auto" w:fill="auto"/>
          <w:lang w:val="en-GB"/>
        </w:rPr>
      </w:pPr>
      <w:r>
        <w:rPr>
          <w:rFonts w:cs="Arial"/>
          <w:b/>
        </w:rPr>
        <w:br w:type="page"/>
      </w:r>
    </w:p>
    <w:p w:rsidR="00EA4133" w:rsidRPr="009E4B1F" w:rsidP="009E4B1F">
      <w:pPr>
        <w:pStyle w:val="ONEBodyText"/>
        <w:keepNext/>
        <w:rPr>
          <w:b/>
          <w:color w:val="auto"/>
          <w:shd w:val="clear" w:color="auto" w:fill="auto"/>
        </w:rPr>
      </w:pPr>
      <w:r w:rsidRPr="009E4B1F">
        <w:rPr>
          <w:b/>
        </w:rPr>
        <w:t>Certificate Of Compliance</w:t>
      </w:r>
    </w:p>
    <w:p w:rsidR="00EA4133" w:rsidRPr="00AD6E5A">
      <w:pPr>
        <w:pStyle w:val="BodyText"/>
        <w:rPr>
          <w:rFonts w:cs="Arial"/>
          <w:color w:val="auto"/>
          <w:shd w:val="clear" w:color="auto" w:fill="auto"/>
        </w:rPr>
      </w:pPr>
      <w:r w:rsidRPr="00AD6E5A">
        <w:rPr>
          <w:rFonts w:cs="Arial"/>
        </w:rPr>
        <w:t>The undersigned hereby certifies that:</w:t>
      </w:r>
    </w:p>
    <w:p w:rsidR="00EA4133" w:rsidRPr="00AD6E5A" w:rsidP="009E4B1F">
      <w:pPr>
        <w:pStyle w:val="Heading1"/>
        <w:numPr>
          <w:ilvl w:val="0"/>
          <w:numId w:val="7"/>
        </w:numPr>
        <w:rPr>
          <w:color w:val="auto"/>
          <w:shd w:val="clear" w:color="auto" w:fill="auto"/>
        </w:rPr>
      </w:pPr>
      <w:r w:rsidRPr="00AD6E5A">
        <w:rPr/>
        <w:t>The undersigned is a director and/or senior officer of the Issuer and has been duly authorized by a resolution of the board of directors of the Issuer to sign this Certificate of Compliance on behalf of the Issuer.</w:t>
      </w:r>
    </w:p>
    <w:p w:rsidR="00EA4133" w:rsidRPr="00AD6E5A" w:rsidP="009E4B1F">
      <w:pPr>
        <w:pStyle w:val="Heading1"/>
        <w:rPr>
          <w:color w:val="auto"/>
          <w:shd w:val="clear" w:color="auto" w:fill="auto"/>
        </w:rPr>
      </w:pPr>
      <w:r w:rsidRPr="00AD6E5A">
        <w:rPr/>
        <w:t>As of the date hereof there is not material information concerning the Issuer which has not been publicly disclosed.</w:t>
      </w:r>
    </w:p>
    <w:p w:rsidR="00EA4133" w:rsidRPr="00AD6E5A" w:rsidP="009E4B1F">
      <w:pPr>
        <w:pStyle w:val="Heading1"/>
        <w:rPr>
          <w:color w:val="auto"/>
          <w:shd w:val="clear" w:color="auto" w:fill="auto"/>
        </w:rPr>
      </w:pPr>
      <w:r w:rsidRPr="00AD6E5A">
        <w:rPr/>
        <w:t>The undersigned hereby certifies to the Exchange that the Issuer is in compliance with the requirements of applicable securities legislation (as such term is defined in National Instrument 14-101) and all Exchange Requirements (as defined in CSE Policy 1).</w:t>
      </w:r>
    </w:p>
    <w:p w:rsidR="00EA4133" w:rsidRPr="00AD6E5A" w:rsidP="009E4B1F">
      <w:pPr>
        <w:pStyle w:val="Heading1"/>
        <w:rPr>
          <w:color w:val="auto"/>
          <w:shd w:val="clear" w:color="auto" w:fill="auto"/>
        </w:rPr>
      </w:pPr>
      <w:r w:rsidRPr="00AD6E5A">
        <w:rPr/>
        <w:t>All of the information in this Form 9 Notice of Issuance of Securities is true.</w:t>
      </w:r>
    </w:p>
    <w:p w:rsidR="00EA4133" w:rsidRPr="00AD6E5A">
      <w:pPr>
        <w:pStyle w:val="BodyText"/>
        <w:tabs>
          <w:tab w:val="left" w:pos="4680"/>
          <w:tab w:val="left" w:pos="7200"/>
        </w:tabs>
        <w:spacing w:before="480"/>
        <w:jc w:val="both"/>
        <w:rPr>
          <w:rFonts w:cs="Arial"/>
          <w:color w:val="auto"/>
          <w:shd w:val="clear" w:color="auto" w:fill="auto"/>
        </w:rPr>
      </w:pPr>
      <w:r w:rsidRPr="00AD6E5A">
        <w:rPr>
          <w:rFonts w:cs="Arial"/>
        </w:rPr>
        <w:t xml:space="preserve">Dated </w:t>
      </w:r>
      <w:r w:rsidRPr="00AD6E5A" w:rsidR="00AD6E5A">
        <w:rPr>
          <w:rFonts w:cs="Arial"/>
          <w:u w:val="single"/>
        </w:rPr>
        <w:t>February 2, 2018</w:t>
      </w:r>
      <w:r w:rsidRPr="00AD6E5A">
        <w:rPr>
          <w:rFonts w:cs="Arial"/>
        </w:rPr>
        <w:t>.</w:t>
      </w:r>
    </w:p>
    <w:p w:rsidR="00EA4133" w:rsidRPr="00AD6E5A">
      <w:pPr>
        <w:pStyle w:val="List"/>
        <w:tabs>
          <w:tab w:val="left" w:pos="9180"/>
        </w:tabs>
        <w:ind w:left="5760" w:hanging="5760"/>
        <w:rPr>
          <w:rFonts w:cs="Arial"/>
          <w:color w:val="auto"/>
          <w:shd w:val="clear" w:color="auto" w:fill="auto"/>
        </w:rPr>
      </w:pPr>
      <w:r w:rsidRPr="00AD6E5A">
        <w:rPr>
          <w:rFonts w:cs="Arial"/>
        </w:rPr>
        <w:tab/>
      </w:r>
      <w:r w:rsidRPr="00AD6E5A">
        <w:rPr>
          <w:rFonts w:cs="Arial"/>
          <w:u w:val="single"/>
        </w:rPr>
        <w:t>Julius Kalcevich</w:t>
        <w:tab/>
        <w:br/>
      </w:r>
      <w:r w:rsidRPr="00AD6E5A">
        <w:rPr>
          <w:rFonts w:cs="Arial"/>
        </w:rPr>
        <w:t>Name of Director or Senior Officer</w:t>
      </w:r>
    </w:p>
    <w:p w:rsidR="00EA4133" w:rsidRPr="00AD6E5A">
      <w:pPr>
        <w:pStyle w:val="List"/>
        <w:tabs>
          <w:tab w:val="left" w:pos="9180"/>
          <w:tab w:val="left" w:pos="9360"/>
        </w:tabs>
        <w:ind w:left="5760" w:hanging="5760"/>
        <w:rPr>
          <w:rFonts w:cs="Arial"/>
          <w:color w:val="auto"/>
          <w:shd w:val="clear" w:color="auto" w:fill="auto"/>
        </w:rPr>
      </w:pPr>
      <w:r w:rsidRPr="00AD6E5A">
        <w:rPr>
          <w:rFonts w:cs="Arial"/>
        </w:rPr>
        <w:tab/>
      </w:r>
      <w:r w:rsidR="00643A36">
        <w:rPr>
          <w:rFonts w:cs="Arial"/>
          <w:u w:val="single"/>
        </w:rPr>
        <w:t>(signed) “</w:t>
      </w:r>
      <w:r w:rsidRPr="00643A36" w:rsidR="00643A36">
        <w:rPr>
          <w:rFonts w:cs="Arial"/>
          <w:i/>
          <w:u w:val="single"/>
        </w:rPr>
        <w:t>Julius Kalcevich</w:t>
      </w:r>
      <w:r w:rsidR="00643A36">
        <w:rPr>
          <w:rFonts w:cs="Arial"/>
          <w:u w:val="single"/>
        </w:rPr>
        <w:t>”</w:t>
      </w:r>
      <w:r w:rsidRPr="00AD6E5A">
        <w:rPr>
          <w:rFonts w:cs="Arial"/>
        </w:rPr>
        <w:br/>
        <w:t>Signature</w:t>
      </w:r>
    </w:p>
    <w:p w:rsidR="00EA4133">
      <w:pPr>
        <w:pStyle w:val="List"/>
        <w:tabs>
          <w:tab w:val="left" w:pos="9180"/>
          <w:tab w:val="left" w:pos="9360"/>
        </w:tabs>
        <w:ind w:left="5760" w:hanging="5760"/>
        <w:rPr>
          <w:rFonts w:cs="Arial"/>
          <w:color w:val="auto"/>
          <w:shd w:val="clear" w:color="auto" w:fill="auto"/>
        </w:rPr>
      </w:pPr>
      <w:r w:rsidRPr="00AD6E5A">
        <w:rPr>
          <w:rFonts w:cs="Arial"/>
        </w:rPr>
        <w:tab/>
      </w:r>
      <w:r w:rsidRPr="00AD6E5A" w:rsidR="00AD6E5A">
        <w:rPr>
          <w:rFonts w:cs="Arial"/>
          <w:u w:val="single"/>
        </w:rPr>
        <w:t>Chief Financial Officer</w:t>
      </w:r>
      <w:r w:rsidRPr="00AD6E5A">
        <w:rPr>
          <w:rFonts w:cs="Arial"/>
        </w:rPr>
        <w:br/>
        <w:t>Official Capacity</w:t>
      </w:r>
    </w:p>
    <w:p w:rsidR="00824388">
      <w:pPr>
        <w:rPr>
          <w:rFonts w:cs="Arial"/>
          <w:color w:val="auto"/>
          <w:shd w:val="clear" w:color="auto" w:fill="auto"/>
          <w:lang w:val="en-GB"/>
        </w:rPr>
      </w:pPr>
      <w:r>
        <w:rPr>
          <w:rFonts w:cs="Arial"/>
        </w:rPr>
        <w:br w:type="page"/>
      </w:r>
    </w:p>
    <w:p w:rsidR="00824388" w:rsidP="00824388">
      <w:pPr>
        <w:pStyle w:val="List"/>
        <w:tabs>
          <w:tab w:val="left" w:pos="9180"/>
          <w:tab w:val="left" w:pos="9360"/>
        </w:tabs>
        <w:ind w:left="5760" w:hanging="5760"/>
        <w:jc w:val="center"/>
        <w:rPr>
          <w:rFonts w:cs="Arial"/>
          <w:b/>
          <w:color w:val="auto"/>
          <w:shd w:val="clear" w:color="auto" w:fill="auto"/>
        </w:rPr>
      </w:pPr>
      <w:r>
        <w:rPr>
          <w:rFonts w:cs="Arial"/>
          <w:b/>
        </w:rPr>
        <w:t>Schedule A</w:t>
      </w:r>
    </w:p>
    <w:tbl>
      <w:tblPr>
        <w:tblW w:w="10098" w:type="dxa"/>
        <w:tblInd w:w="-1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052"/>
        <w:gridCol w:w="1260"/>
        <w:gridCol w:w="1080"/>
        <w:gridCol w:w="1440"/>
        <w:gridCol w:w="1476"/>
        <w:gridCol w:w="1440"/>
        <w:gridCol w:w="1350"/>
      </w:tblGrid>
      <w:tr w:rsidTr="00034F73">
        <w:tblPrEx>
          <w:tblW w:w="10098" w:type="dxa"/>
          <w:tblInd w:w="-1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cantSplit/>
          <w:tblHeader/>
        </w:trPr>
        <w:tc>
          <w:tcPr>
            <w:tcW w:w="2052" w:type="dxa"/>
          </w:tcPr>
          <w:p w:rsidR="00824388" w:rsidRPr="009E4B1F" w:rsidP="009E4B1F">
            <w:pPr>
              <w:pStyle w:val="BodyText"/>
              <w:keepNext/>
              <w:keepLines/>
              <w:spacing w:before="120" w:after="60" w:line="240" w:lineRule="auto"/>
              <w:jc w:val="center"/>
              <w:rPr>
                <w:rFonts w:cs="Arial"/>
                <w:b/>
                <w:color w:val="auto"/>
                <w:sz w:val="20"/>
                <w:szCs w:val="20"/>
                <w:shd w:val="clear" w:color="auto" w:fill="auto"/>
              </w:rPr>
            </w:pPr>
            <w:r w:rsidRPr="009E4B1F">
              <w:rPr>
                <w:rFonts w:cs="Arial"/>
                <w:b/>
                <w:sz w:val="20"/>
                <w:szCs w:val="20"/>
              </w:rPr>
              <w:t>Name of Party (If not an individual, name all insiders of the Party)</w:t>
            </w:r>
          </w:p>
        </w:tc>
        <w:tc>
          <w:tcPr>
            <w:tcW w:w="1260" w:type="dxa"/>
          </w:tcPr>
          <w:p w:rsidR="00824388" w:rsidRPr="009E4B1F" w:rsidP="009E4B1F">
            <w:pPr>
              <w:pStyle w:val="BodyText"/>
              <w:keepNext/>
              <w:keepLines/>
              <w:spacing w:before="120" w:after="60" w:line="240" w:lineRule="auto"/>
              <w:jc w:val="center"/>
              <w:rPr>
                <w:rFonts w:cs="Arial"/>
                <w:b/>
                <w:color w:val="auto"/>
                <w:sz w:val="20"/>
                <w:szCs w:val="20"/>
                <w:shd w:val="clear" w:color="auto" w:fill="auto"/>
              </w:rPr>
            </w:pPr>
            <w:r w:rsidRPr="009E4B1F">
              <w:rPr>
                <w:rFonts w:cs="Arial"/>
                <w:b/>
                <w:sz w:val="20"/>
                <w:szCs w:val="20"/>
              </w:rPr>
              <w:t>Number and Type of Securities to be Issued</w:t>
            </w:r>
          </w:p>
        </w:tc>
        <w:tc>
          <w:tcPr>
            <w:tcW w:w="1080" w:type="dxa"/>
          </w:tcPr>
          <w:p w:rsidR="00824388" w:rsidRPr="009E4B1F" w:rsidP="009E4B1F">
            <w:pPr>
              <w:pStyle w:val="BodyText"/>
              <w:keepNext/>
              <w:keepLines/>
              <w:spacing w:before="120" w:after="60" w:line="240" w:lineRule="auto"/>
              <w:jc w:val="center"/>
              <w:rPr>
                <w:rFonts w:cs="Arial"/>
                <w:b/>
                <w:color w:val="auto"/>
                <w:sz w:val="20"/>
                <w:szCs w:val="20"/>
                <w:shd w:val="clear" w:color="auto" w:fill="auto"/>
              </w:rPr>
            </w:pPr>
            <w:r w:rsidRPr="009E4B1F">
              <w:rPr>
                <w:rFonts w:cs="Arial"/>
                <w:b/>
                <w:sz w:val="20"/>
                <w:szCs w:val="20"/>
              </w:rPr>
              <w:t>Dollar value per Security (USD$)</w:t>
            </w:r>
          </w:p>
        </w:tc>
        <w:tc>
          <w:tcPr>
            <w:tcW w:w="1440" w:type="dxa"/>
          </w:tcPr>
          <w:p w:rsidR="00824388" w:rsidRPr="009E4B1F" w:rsidP="009E4B1F">
            <w:pPr>
              <w:pStyle w:val="BodyText"/>
              <w:keepNext/>
              <w:keepLines/>
              <w:spacing w:before="120" w:after="60" w:line="240" w:lineRule="auto"/>
              <w:jc w:val="center"/>
              <w:rPr>
                <w:rFonts w:cs="Arial"/>
                <w:b/>
                <w:color w:val="auto"/>
                <w:sz w:val="20"/>
                <w:szCs w:val="20"/>
                <w:shd w:val="clear" w:color="auto" w:fill="auto"/>
              </w:rPr>
            </w:pPr>
            <w:r w:rsidRPr="009E4B1F">
              <w:rPr>
                <w:rFonts w:cs="Arial"/>
                <w:b/>
                <w:sz w:val="20"/>
                <w:szCs w:val="20"/>
              </w:rPr>
              <w:t>Conversion price (if applicable)</w:t>
            </w:r>
          </w:p>
        </w:tc>
        <w:tc>
          <w:tcPr>
            <w:tcW w:w="1476" w:type="dxa"/>
          </w:tcPr>
          <w:p w:rsidR="00824388" w:rsidRPr="009E4B1F" w:rsidP="009E4B1F">
            <w:pPr>
              <w:pStyle w:val="BodyText"/>
              <w:keepNext/>
              <w:keepLines/>
              <w:spacing w:before="120" w:after="60" w:line="240" w:lineRule="auto"/>
              <w:jc w:val="center"/>
              <w:rPr>
                <w:rFonts w:cs="Arial"/>
                <w:b/>
                <w:color w:val="auto"/>
                <w:sz w:val="20"/>
                <w:szCs w:val="20"/>
                <w:shd w:val="clear" w:color="auto" w:fill="auto"/>
              </w:rPr>
            </w:pPr>
            <w:r w:rsidRPr="009E4B1F">
              <w:rPr>
                <w:rFonts w:cs="Arial"/>
                <w:b/>
                <w:sz w:val="20"/>
                <w:szCs w:val="20"/>
              </w:rPr>
              <w:t>Prospectus Exemption</w:t>
            </w:r>
          </w:p>
        </w:tc>
        <w:tc>
          <w:tcPr>
            <w:tcW w:w="1440" w:type="dxa"/>
          </w:tcPr>
          <w:p w:rsidR="00824388" w:rsidRPr="009E4B1F" w:rsidP="009E4B1F">
            <w:pPr>
              <w:pStyle w:val="BodyText"/>
              <w:keepNext/>
              <w:keepLines/>
              <w:spacing w:before="120" w:after="60" w:line="240" w:lineRule="auto"/>
              <w:jc w:val="center"/>
              <w:rPr>
                <w:rFonts w:cs="Arial"/>
                <w:b/>
                <w:color w:val="auto"/>
                <w:sz w:val="20"/>
                <w:szCs w:val="20"/>
                <w:shd w:val="clear" w:color="auto" w:fill="auto"/>
              </w:rPr>
            </w:pPr>
            <w:r w:rsidRPr="009E4B1F">
              <w:rPr>
                <w:rFonts w:cs="Arial"/>
                <w:b/>
                <w:sz w:val="20"/>
                <w:szCs w:val="20"/>
              </w:rPr>
              <w:t>No. of Securities, directly or indirectly, Owned, Controlled or Directed by Party</w:t>
            </w:r>
          </w:p>
        </w:tc>
        <w:tc>
          <w:tcPr>
            <w:tcW w:w="1350" w:type="dxa"/>
          </w:tcPr>
          <w:p w:rsidR="00824388" w:rsidRPr="009E4B1F" w:rsidP="009E4B1F">
            <w:pPr>
              <w:pStyle w:val="BodyText"/>
              <w:keepNext/>
              <w:keepLines/>
              <w:spacing w:before="120" w:after="60" w:line="240" w:lineRule="auto"/>
              <w:jc w:val="center"/>
              <w:rPr>
                <w:rFonts w:cs="Arial"/>
                <w:b/>
                <w:color w:val="000000"/>
                <w:sz w:val="20"/>
                <w:szCs w:val="20"/>
                <w:shd w:val="clear" w:color="auto" w:fill="auto"/>
              </w:rPr>
            </w:pPr>
            <w:r w:rsidRPr="009E4B1F">
              <w:rPr>
                <w:rFonts w:cs="Arial"/>
                <w:b/>
                <w:color w:val="000000"/>
                <w:sz w:val="20"/>
                <w:szCs w:val="20"/>
              </w:rPr>
              <w:t>Describe relationship to Issuer</w:t>
            </w:r>
            <w:r w:rsidRPr="009E4B1F">
              <w:rPr>
                <w:rFonts w:cs="Arial"/>
                <w:b/>
                <w:color w:val="000000"/>
                <w:sz w:val="20"/>
                <w:szCs w:val="20"/>
                <w:vertAlign w:val="superscript"/>
              </w:rPr>
              <w:t xml:space="preserve"> (1)</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VG – Citiva Medical Holdings LLC</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513,968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513,968 Common Shares</w:t>
            </w:r>
          </w:p>
        </w:tc>
        <w:tc>
          <w:tcPr>
            <w:tcW w:w="1350" w:type="dxa"/>
          </w:tcPr>
          <w:p w:rsidR="00EF1011" w:rsidRPr="009E4B1F" w:rsidP="009E4B1F">
            <w:pPr>
              <w:pStyle w:val="BodyText"/>
              <w:keepNext/>
              <w:keepLines/>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Thomas Mazza</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26,367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26,367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Michael Mazza</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52,755</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52,755</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Kathleen Caridi</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26,367</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26,367</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Geraldine Greene</w:t>
            </w:r>
            <w:r w:rsidRPr="00643A36" w:rsidR="00643A36">
              <w:rPr>
                <w:rFonts w:cs="Arial"/>
                <w:sz w:val="20"/>
                <w:szCs w:val="20"/>
                <w:vertAlign w:val="superscript"/>
              </w:rPr>
              <w:t>(2)</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Pr>
                <w:rFonts w:cs="Arial"/>
                <w:color w:val="000000"/>
                <w:sz w:val="20"/>
                <w:szCs w:val="20"/>
              </w:rPr>
              <w:t>50,046</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606FE" w:rsidRPr="009E4B1F" w:rsidP="00E606FE">
            <w:pPr>
              <w:spacing w:before="60" w:after="60" w:line="240" w:lineRule="auto"/>
              <w:jc w:val="center"/>
              <w:rPr>
                <w:rFonts w:cs="Arial"/>
                <w:color w:val="000000"/>
                <w:sz w:val="20"/>
                <w:szCs w:val="20"/>
                <w:shd w:val="clear" w:color="auto" w:fill="auto"/>
              </w:rPr>
            </w:pPr>
            <w:r>
              <w:rPr>
                <w:rFonts w:cs="Arial"/>
                <w:color w:val="000000"/>
                <w:sz w:val="20"/>
                <w:szCs w:val="20"/>
              </w:rPr>
              <w:t>50,046</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Alicia Durante</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26,367</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26,367</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Empire Choice LLC</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364,239</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364,239</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James Bennett</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361,302</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361,302</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Charles Destefano</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49,314</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49,314</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Robert Valinoti</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24,655</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24,655</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Frank Turano</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765,259</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Class A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765,259</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Class A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rPr>
          <w:cantSplit/>
        </w:trPr>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Dave Palmieri</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821,930</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Class A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821,930</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Class A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Kim Volman</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390,374</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Class A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390,374</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Class A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Jack D'Angelo</w:t>
            </w:r>
            <w:r w:rsidRPr="00643A36" w:rsidR="00034F73">
              <w:rPr>
                <w:rFonts w:cs="Arial"/>
                <w:sz w:val="20"/>
                <w:szCs w:val="20"/>
                <w:vertAlign w:val="superscript"/>
              </w:rPr>
              <w:t>(3)</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132,099</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132,099</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Christopher Perez</w:t>
            </w:r>
            <w:r w:rsidR="00034F73">
              <w:rPr>
                <w:rFonts w:cs="Arial"/>
                <w:sz w:val="20"/>
                <w:szCs w:val="20"/>
                <w:vertAlign w:val="superscript"/>
              </w:rPr>
              <w:t>(4)</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70,861</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70,861</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Michael David </w:t>
              <w:br/>
              <w:t>Zumpano</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236,119</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236,119</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Paul Russo</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236,119</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236,119</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Erica Fraga</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236,119</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236,119</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George Lewis</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35,399</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35,399</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Amy Holdener</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26,628</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26,628</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Natalie Bogdanov</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41,268</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41,268</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Sanjeev Vinayak</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7,307</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7,307</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rPr>
          <w:cantSplit/>
        </w:trPr>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Kaetan Mazza</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7,307</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7,307</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David Rozinov</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Pr>
                <w:rFonts w:cs="Arial"/>
                <w:color w:val="000000"/>
                <w:sz w:val="20"/>
                <w:szCs w:val="20"/>
              </w:rPr>
              <w:t>43,058</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606FE" w:rsidRPr="009E4B1F" w:rsidP="00E606FE">
            <w:pPr>
              <w:spacing w:before="60" w:after="60" w:line="240" w:lineRule="auto"/>
              <w:jc w:val="center"/>
              <w:rPr>
                <w:rFonts w:cs="Arial"/>
                <w:color w:val="000000"/>
                <w:sz w:val="20"/>
                <w:szCs w:val="20"/>
                <w:shd w:val="clear" w:color="auto" w:fill="auto"/>
              </w:rPr>
            </w:pPr>
            <w:r>
              <w:rPr>
                <w:rFonts w:cs="Arial"/>
                <w:color w:val="000000"/>
                <w:sz w:val="20"/>
                <w:szCs w:val="20"/>
              </w:rPr>
              <w:t>43,058</w:t>
            </w:r>
          </w:p>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Marc Kassman</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47,359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47,359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Cajetan C. Mazza</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23,679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23,679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Anna Dykshteyn</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47,359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47,359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John Tardy</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47,359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47,359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John Barry</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35,521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35,521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Rosemarie Barbieri</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50,361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50,361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Alexander Gordon</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91,908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91,908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RJK Joint Ventures LLC</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94,727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94,727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Tyche Global Holdings</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57,086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57,086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Joyce Lew-Ng</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66,814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66,814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rPr>
          <w:cantSplit/>
        </w:trPr>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Ken Ziman</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66,814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66,814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Steven Horowitz, MD</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66,814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66,814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Frank Gugliada</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22,240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22,240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Paul Gardella</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66,814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66,814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Tina Marie Connors</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33,406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33,406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Simon Field</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126,920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126,920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Bennett Investment Protection 1 LLC</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21,375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21,375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Daniel Kosmal</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27,585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27,585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Ralph Madeb</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21,673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21,673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Daniel Mchugh</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5,995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5,995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Frank Cicero</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5,995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5,995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Austin Gray</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11,991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11,991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rPr>
          <w:cantSplit/>
        </w:trPr>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Michael Greene</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5,995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5,995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r w:rsidTr="00034F73">
        <w:tblPrEx>
          <w:tblW w:w="10098" w:type="dxa"/>
          <w:tblInd w:w="-144" w:type="dxa"/>
          <w:tblLayout w:type="fixed"/>
          <w:tblLook w:val="0000"/>
        </w:tblPrEx>
        <w:tc>
          <w:tcPr>
            <w:tcW w:w="2052" w:type="dxa"/>
          </w:tcPr>
          <w:p w:rsidR="00EF1011" w:rsidRPr="009E4B1F" w:rsidP="009E4B1F">
            <w:pPr>
              <w:spacing w:before="60" w:after="60" w:line="240" w:lineRule="auto"/>
              <w:rPr>
                <w:rFonts w:cs="Arial"/>
                <w:color w:val="auto"/>
                <w:sz w:val="20"/>
                <w:szCs w:val="20"/>
                <w:shd w:val="clear" w:color="auto" w:fill="auto"/>
              </w:rPr>
            </w:pPr>
            <w:r w:rsidRPr="009E4B1F">
              <w:rPr>
                <w:rFonts w:cs="Arial"/>
                <w:sz w:val="20"/>
                <w:szCs w:val="20"/>
              </w:rPr>
              <w:t>Raz Winiarsky</w:t>
            </w:r>
            <w:r w:rsidRPr="00643A36" w:rsidR="00643A36">
              <w:rPr>
                <w:rFonts w:cs="Arial"/>
                <w:sz w:val="20"/>
                <w:szCs w:val="20"/>
                <w:vertAlign w:val="superscript"/>
              </w:rPr>
              <w:t>(1)</w:t>
            </w:r>
          </w:p>
        </w:tc>
        <w:tc>
          <w:tcPr>
            <w:tcW w:w="126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11,991 Common Shares</w:t>
            </w:r>
          </w:p>
        </w:tc>
        <w:tc>
          <w:tcPr>
            <w:tcW w:w="1080" w:type="dxa"/>
          </w:tcPr>
          <w:p w:rsidR="00EF1011" w:rsidRPr="009E4B1F" w:rsidP="009E4B1F">
            <w:pPr>
              <w:tabs>
                <w:tab w:val="left" w:pos="720"/>
              </w:tabs>
              <w:spacing w:before="60" w:after="60" w:line="240" w:lineRule="auto"/>
              <w:jc w:val="center"/>
              <w:rPr>
                <w:rFonts w:cs="Arial"/>
                <w:color w:val="auto"/>
                <w:sz w:val="20"/>
                <w:szCs w:val="20"/>
                <w:shd w:val="clear" w:color="auto" w:fill="auto"/>
              </w:rPr>
            </w:pPr>
            <w:r w:rsidRPr="009E4B1F">
              <w:rPr>
                <w:rFonts w:cs="Arial"/>
                <w:sz w:val="20"/>
                <w:szCs w:val="20"/>
              </w:rPr>
              <w:t>$2.57</w:t>
            </w:r>
          </w:p>
        </w:tc>
        <w:tc>
          <w:tcPr>
            <w:tcW w:w="1440" w:type="dxa"/>
          </w:tcPr>
          <w:p w:rsidR="00EF1011" w:rsidRPr="009E4B1F" w:rsidP="009E4B1F">
            <w:pPr>
              <w:pStyle w:val="BodyText"/>
              <w:keepNext/>
              <w:keepLines/>
              <w:spacing w:before="60" w:after="60" w:line="240" w:lineRule="auto"/>
              <w:jc w:val="center"/>
              <w:rPr>
                <w:rFonts w:cs="Arial"/>
                <w:b/>
                <w:color w:val="auto"/>
                <w:sz w:val="20"/>
                <w:szCs w:val="20"/>
                <w:shd w:val="clear" w:color="auto" w:fill="auto"/>
              </w:rPr>
            </w:pPr>
            <w:r w:rsidRPr="009E4B1F">
              <w:rPr>
                <w:rFonts w:cs="Arial"/>
                <w:b/>
                <w:sz w:val="20"/>
                <w:szCs w:val="20"/>
              </w:rPr>
              <w:t>-</w:t>
            </w:r>
          </w:p>
        </w:tc>
        <w:tc>
          <w:tcPr>
            <w:tcW w:w="1476" w:type="dxa"/>
          </w:tcPr>
          <w:p w:rsidR="00EF1011" w:rsidRPr="009E4B1F" w:rsidP="009E4B1F">
            <w:pPr>
              <w:pStyle w:val="BodyText"/>
              <w:keepNext/>
              <w:keepLines/>
              <w:spacing w:before="60" w:after="60" w:line="240" w:lineRule="auto"/>
              <w:rPr>
                <w:rFonts w:cs="Arial"/>
                <w:color w:val="auto"/>
                <w:sz w:val="20"/>
                <w:szCs w:val="20"/>
                <w:shd w:val="clear" w:color="auto" w:fill="auto"/>
              </w:rPr>
            </w:pPr>
            <w:r>
              <w:rPr>
                <w:rFonts w:cs="Arial"/>
                <w:sz w:val="20"/>
                <w:szCs w:val="20"/>
              </w:rPr>
              <w:t>BCI 72-503 [Distribution Outside BC]</w:t>
            </w:r>
          </w:p>
        </w:tc>
        <w:tc>
          <w:tcPr>
            <w:tcW w:w="1440" w:type="dxa"/>
          </w:tcPr>
          <w:p w:rsidR="00EF1011" w:rsidRPr="009E4B1F" w:rsidP="009E4B1F">
            <w:pPr>
              <w:spacing w:before="60" w:after="60" w:line="240" w:lineRule="auto"/>
              <w:jc w:val="center"/>
              <w:rPr>
                <w:rFonts w:cs="Arial"/>
                <w:color w:val="000000"/>
                <w:sz w:val="20"/>
                <w:szCs w:val="20"/>
                <w:shd w:val="clear" w:color="auto" w:fill="auto"/>
              </w:rPr>
            </w:pPr>
            <w:r w:rsidRPr="009E4B1F">
              <w:rPr>
                <w:rFonts w:cs="Arial"/>
                <w:color w:val="000000"/>
                <w:sz w:val="20"/>
                <w:szCs w:val="20"/>
              </w:rPr>
              <w:t>11,991 Common Shares</w:t>
            </w:r>
          </w:p>
        </w:tc>
        <w:tc>
          <w:tcPr>
            <w:tcW w:w="1350" w:type="dxa"/>
          </w:tcPr>
          <w:p w:rsidR="00EF1011" w:rsidRPr="009E4B1F" w:rsidP="009E4B1F">
            <w:pPr>
              <w:spacing w:before="60" w:after="60" w:line="240" w:lineRule="auto"/>
              <w:jc w:val="center"/>
              <w:rPr>
                <w:rFonts w:cs="Arial"/>
                <w:b/>
                <w:color w:val="000000"/>
                <w:sz w:val="20"/>
                <w:szCs w:val="20"/>
                <w:shd w:val="clear" w:color="auto" w:fill="auto"/>
              </w:rPr>
            </w:pPr>
            <w:r w:rsidRPr="009E4B1F">
              <w:rPr>
                <w:rFonts w:cs="Arial"/>
                <w:b/>
                <w:color w:val="000000"/>
                <w:sz w:val="20"/>
                <w:szCs w:val="20"/>
              </w:rPr>
              <w:t>-</w:t>
            </w:r>
          </w:p>
        </w:tc>
      </w:tr>
    </w:tbl>
    <w:p w:rsidR="00824388" w:rsidRPr="00034F73" w:rsidP="00643A36">
      <w:pPr>
        <w:pStyle w:val="List"/>
        <w:tabs>
          <w:tab w:val="left" w:pos="9180"/>
          <w:tab w:val="left" w:pos="9360"/>
        </w:tabs>
        <w:spacing w:before="120"/>
        <w:ind w:left="5760" w:hanging="6034"/>
        <w:rPr>
          <w:rFonts w:cs="Arial"/>
          <w:color w:val="auto"/>
          <w:sz w:val="16"/>
          <w:szCs w:val="16"/>
          <w:u w:val="single"/>
          <w:shd w:val="clear" w:color="auto" w:fill="auto"/>
        </w:rPr>
      </w:pPr>
      <w:r w:rsidRPr="00034F73">
        <w:rPr>
          <w:rFonts w:cs="Arial"/>
          <w:sz w:val="16"/>
          <w:szCs w:val="16"/>
          <w:u w:val="single"/>
        </w:rPr>
        <w:t>Notes:</w:t>
      </w:r>
    </w:p>
    <w:p w:rsidR="00643A36" w:rsidRPr="00034F73" w:rsidP="00034F73">
      <w:pPr>
        <w:pStyle w:val="List"/>
        <w:tabs>
          <w:tab w:val="left" w:pos="9180"/>
          <w:tab w:val="left" w:pos="9360"/>
        </w:tabs>
        <w:spacing w:before="120"/>
        <w:ind w:left="-274" w:firstLine="0"/>
        <w:rPr>
          <w:rFonts w:cs="Arial"/>
          <w:color w:val="auto"/>
          <w:sz w:val="16"/>
          <w:szCs w:val="16"/>
          <w:shd w:val="clear" w:color="auto" w:fill="auto"/>
        </w:rPr>
      </w:pPr>
      <w:r w:rsidRPr="00034F73">
        <w:rPr>
          <w:rFonts w:cs="Arial"/>
          <w:sz w:val="16"/>
          <w:szCs w:val="16"/>
        </w:rPr>
        <w:t>(1) To be issued upon receipt of closing documents.</w:t>
      </w:r>
    </w:p>
    <w:p w:rsidR="00034F73" w:rsidP="00034F73">
      <w:pPr>
        <w:pStyle w:val="List"/>
        <w:tabs>
          <w:tab w:val="left" w:pos="9180"/>
          <w:tab w:val="left" w:pos="9360"/>
        </w:tabs>
        <w:spacing w:before="120"/>
        <w:ind w:left="-274" w:firstLine="0"/>
        <w:rPr>
          <w:rFonts w:cs="Arial"/>
          <w:color w:val="auto"/>
          <w:sz w:val="16"/>
          <w:szCs w:val="16"/>
          <w:shd w:val="clear" w:color="auto" w:fill="auto"/>
        </w:rPr>
      </w:pPr>
      <w:r w:rsidR="00E606FE">
        <w:rPr>
          <w:rFonts w:cs="Arial"/>
          <w:sz w:val="16"/>
          <w:szCs w:val="16"/>
        </w:rPr>
        <w:t>(2) 23,679 common shares have been issued. A further 26,367 common shares to be issued upon receipt of closing documents.</w:t>
      </w:r>
    </w:p>
    <w:p w:rsidR="00034F73" w:rsidP="00034F73">
      <w:pPr>
        <w:pStyle w:val="List"/>
        <w:tabs>
          <w:tab w:val="left" w:pos="9180"/>
          <w:tab w:val="left" w:pos="9360"/>
        </w:tabs>
        <w:spacing w:before="120"/>
        <w:ind w:left="-274" w:firstLine="0"/>
        <w:rPr>
          <w:rFonts w:cs="Arial"/>
          <w:color w:val="auto"/>
          <w:sz w:val="16"/>
          <w:szCs w:val="16"/>
          <w:shd w:val="clear" w:color="auto" w:fill="auto"/>
        </w:rPr>
      </w:pPr>
      <w:r>
        <w:rPr>
          <w:rFonts w:cs="Arial"/>
          <w:sz w:val="16"/>
          <w:szCs w:val="16"/>
        </w:rPr>
        <w:t>(3) 108,105 common shares have been issued. A further 23,994 common shares to be issued upon receipt of closing documents.</w:t>
        <w:tab/>
      </w:r>
    </w:p>
    <w:p w:rsidR="00034F73" w:rsidRPr="00034F73" w:rsidP="00034F73">
      <w:pPr>
        <w:pStyle w:val="List"/>
        <w:tabs>
          <w:tab w:val="left" w:pos="9180"/>
          <w:tab w:val="left" w:pos="9360"/>
        </w:tabs>
        <w:spacing w:before="120"/>
        <w:ind w:left="-274" w:firstLine="0"/>
        <w:rPr>
          <w:rFonts w:cs="Arial"/>
          <w:color w:val="auto"/>
          <w:sz w:val="16"/>
          <w:szCs w:val="16"/>
          <w:shd w:val="clear" w:color="auto" w:fill="auto"/>
        </w:rPr>
      </w:pPr>
      <w:r>
        <w:rPr>
          <w:rFonts w:cs="Arial"/>
          <w:sz w:val="16"/>
          <w:szCs w:val="16"/>
        </w:rPr>
        <w:t>(4) 64,866 common shares have been issued.  A further 5,995 common shares to be issued upon receipt of closing documents.</w:t>
      </w:r>
    </w:p>
    <w:sectPr w:rsidSect="001B3A69">
      <w:headerReference w:type="default" r:id="rId5"/>
      <w:footerReference w:type="default" r:id="rId6"/>
      <w:footerReference w:type="first" r:id="rId7"/>
      <w:pgSz w:w="12240" w:h="15840" w:code="1"/>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onotype Sorts">
    <w:altName w:val="Symbol"/>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36" w:rsidP="001B3A69">
    <w:pPr>
      <w:tabs>
        <w:tab w:val="center" w:pos="4674"/>
        <w:tab w:val="left" w:pos="8460"/>
      </w:tabs>
      <w:spacing w:after="0"/>
      <w:jc w:val="center"/>
      <w:rPr>
        <w:rStyle w:val="PageNumber"/>
        <w:rFonts w:cs="Arial"/>
        <w:b/>
        <w:color w:val="auto"/>
        <w:shd w:val="clear" w:color="auto" w:fill="auto"/>
      </w:rPr>
    </w:pPr>
    <w:r>
      <w:rPr>
        <w:rFonts w:ascii="Times New Roman" w:hAnsi="Times New Roman"/>
        <w:b/>
        <w:noProof/>
        <w:lang w:eastAsia="en-CA"/>
      </w:rPr>
      <w:pict>
        <v:line id="Line 3" o:spid="_x0000_s2049" style="flip:x;mso-height-percent:0;mso-height-relative:page;mso-width-percent:0;mso-width-relative:page;mso-wrap-distance-bottom:0;mso-wrap-distance-left:9pt;mso-wrap-distance-right:9pt;mso-wrap-distance-top:0;mso-wrap-style:square;position:absolute;visibility:visible;z-index:251658240" from="4.05pt,-1.6pt" to="465.75pt,-1.6pt"/>
      </w:pict>
    </w:r>
    <w:r>
      <w:rPr>
        <w:rFonts w:cs="Arial"/>
        <w:b/>
      </w:rPr>
      <w:t>FORM 9 – NOTICE OF PROPOSED ISSUANCE OF</w:t>
    </w:r>
  </w:p>
  <w:p w:rsidR="00643A36" w:rsidP="001B3A69">
    <w:pPr>
      <w:tabs>
        <w:tab w:val="center" w:pos="4674"/>
        <w:tab w:val="left" w:pos="8460"/>
      </w:tabs>
      <w:spacing w:after="0"/>
      <w:jc w:val="center"/>
      <w:rPr>
        <w:rStyle w:val="PageNumber"/>
        <w:rFonts w:cs="Arial"/>
        <w:b/>
        <w:color w:val="auto"/>
        <w:shd w:val="clear" w:color="auto" w:fill="auto"/>
      </w:rPr>
    </w:pPr>
    <w:r>
      <w:rPr>
        <w:rFonts w:cs="Arial"/>
        <w:b/>
      </w:rPr>
      <w:t>LISTED SECURITIES</w:t>
    </w:r>
  </w:p>
  <w:p w:rsidR="00643A36" w:rsidP="008003B9">
    <w:pPr>
      <w:pStyle w:val="Footer"/>
      <w:tabs>
        <w:tab w:val="center" w:pos="4860"/>
      </w:tabs>
      <w:jc w:val="center"/>
      <w:rPr>
        <w:rStyle w:val="PageNumber"/>
        <w:rFonts w:cs="Arial"/>
        <w:color w:val="auto"/>
        <w:szCs w:val="16"/>
        <w:shd w:val="clear" w:color="auto" w:fill="auto"/>
      </w:rPr>
    </w:pPr>
    <w:r>
      <w:rPr>
        <w:rStyle w:val="PageNumber"/>
        <w:rFonts w:cs="Arial"/>
        <w:szCs w:val="16"/>
      </w:rPr>
      <w:t>January 2015</w:t>
    </w:r>
  </w:p>
  <w:p w:rsidR="00643A36" w:rsidP="008003B9">
    <w:pPr>
      <w:pStyle w:val="Footer"/>
      <w:jc w:val="center"/>
      <w:rPr>
        <w:rStyle w:val="PageNumber"/>
        <w:rFonts w:cs="Arial"/>
        <w:color w:val="auto"/>
        <w:szCs w:val="16"/>
        <w:shd w:val="clear" w:color="auto" w:fill="auto"/>
      </w:rPr>
    </w:pPr>
    <w:r w:rsidRPr="002557FD">
      <w:rPr>
        <w:rStyle w:val="PageNumber"/>
        <w:rFonts w:cs="Arial"/>
        <w:szCs w:val="16"/>
      </w:rPr>
      <w:t xml:space="preserve">Page </w:t>
    </w:r>
    <w:r w:rsidRPr="002557FD">
      <w:rPr>
        <w:rStyle w:val="PageNumber"/>
        <w:rFonts w:cs="Arial"/>
        <w:szCs w:val="16"/>
      </w:rPr>
      <w:fldChar w:fldCharType="begin"/>
    </w:r>
    <w:r w:rsidRPr="002557FD">
      <w:rPr>
        <w:rStyle w:val="PageNumber"/>
        <w:rFonts w:cs="Arial"/>
        <w:szCs w:val="16"/>
      </w:rPr>
      <w:instrText xml:space="preserve"> PAGE </w:instrText>
    </w:r>
    <w:r w:rsidRPr="002557FD">
      <w:rPr>
        <w:rStyle w:val="PageNumber"/>
        <w:rFonts w:cs="Arial"/>
        <w:szCs w:val="16"/>
      </w:rPr>
      <w:fldChar w:fldCharType="separate"/>
    </w:r>
    <w:r w:rsidR="009F2A58">
      <w:rPr>
        <w:rStyle w:val="PageNumber"/>
        <w:rFonts w:cs="Arial"/>
        <w:noProof/>
        <w:szCs w:val="16"/>
      </w:rPr>
      <w:t>1</w:t>
    </w:r>
    <w:r w:rsidRPr="002557FD">
      <w:rPr>
        <w:rStyle w:val="PageNumber"/>
        <w:rFonts w:cs="Arial"/>
        <w:szCs w:val="16"/>
      </w:rPr>
      <w:fldChar w:fldCharType="end"/>
    </w:r>
  </w:p>
  <w:p w:rsidR="00643A36" w:rsidRPr="002557FD" w:rsidP="00AD6E5A">
    <w:pPr>
      <w:pStyle w:val="Footer"/>
      <w:rPr>
        <w:rFonts w:cs="Arial"/>
        <w:color w:val="auto"/>
        <w:szCs w:val="16"/>
        <w:shd w:val="clear" w:color="auto" w:fill="auto"/>
      </w:rPr>
    </w:pPr>
    <w:r>
      <w:fldChar w:fldCharType="begin"/>
    </w:r>
    <w:r>
      <w:rPr/>
      <w:instrText xml:space="preserve"> DOCPROPERTY "DocID" \* MERGEFORMAT </w:instrText>
    </w:r>
    <w:r>
      <w:fldChar w:fldCharType="separate"/>
    </w:r>
    <w:r w:rsidRPr="00E606FE" w:rsidR="00E606FE">
      <w:rPr>
        <w:rStyle w:val="DocID"/>
      </w:rPr>
      <w:t>LEGAL_28596469.2</w:t>
    </w:r>
    <w:r w:rsidRPr="00E606FE" w:rsidR="00E606FE">
      <w:rPr>
        <w:rStyle w:val="DocID"/>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36">
    <w:pPr>
      <w:pStyle w:val="Footer"/>
      <w:rPr>
        <w:color w:val="auto"/>
        <w:shd w:val="clear" w:color="auto" w:fill="auto"/>
      </w:rPr>
    </w:pPr>
    <w:r>
      <w:fldChar w:fldCharType="begin"/>
    </w:r>
    <w:r>
      <w:rPr/>
      <w:instrText xml:space="preserve"> DOCPROPERTY FOOTERPATH \* MERGEFORMAT </w:instrText>
    </w:r>
    <w:r>
      <w:fldChar w:fldCharType="separate"/>
    </w:r>
    <w:r w:rsidR="00E606FE">
      <w:rPr/>
      <w:t>3214.001\0180</w:t>
    </w:r>
    <w:r w:rsidR="00E606FE">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B6A">
      <w:r>
        <w:separator/>
      </w:r>
    </w:p>
  </w:footnote>
  <w:footnote w:type="continuationSeparator" w:id="1">
    <w:p w:rsidR="00545B6A">
      <w:r>
        <w:continuationSeparator/>
      </w:r>
    </w:p>
  </w:footnote>
  <w:footnote w:id="2">
    <w:p w:rsidR="00643A36">
      <w:pPr>
        <w:pStyle w:val="FootnoteText"/>
        <w:rPr>
          <w:color w:val="auto"/>
          <w:shd w:val="clear" w:color="auto" w:fill="auto"/>
        </w:rPr>
      </w:pPr>
      <w:r>
        <w:rPr>
          <w:rStyle w:val="FootnoteReference"/>
        </w:rPr>
        <w:footnoteRef/>
      </w:r>
      <w:r w:rsidRPr="001B3A69">
        <w:rPr/>
        <w:t xml:space="preserve"> An issuance of non-convertible debt does not have to be reported unless it is a significant transaction as defined in Policy 7, in which case it is to be reported on Form 10.</w:t>
      </w:r>
    </w:p>
    <w:p w:rsidR="00643A36" w:rsidRPr="001B3A69">
      <w:pPr>
        <w:pStyle w:val="FootnoteText"/>
        <w:rPr>
          <w:color w:val="auto"/>
          <w:shd w:val="clear" w:color="auto" w:fill="auto"/>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36" w:rsidRPr="00DA3743" w:rsidP="00DA3743">
    <w:pPr>
      <w:pStyle w:val="Header"/>
      <w:jc w:val="right"/>
      <w:rPr>
        <w:rFonts w:cs="Arial"/>
        <w:b/>
        <w:color w:val="auto"/>
        <w:shd w:val="clear" w:color="auto" w:fill="auto"/>
      </w:rPr>
    </w:pPr>
    <w:r w:rsidRPr="00DA3743">
      <w:rPr>
        <w:rFonts w:cs="Arial"/>
        <w:b/>
      </w:rPr>
      <w:t>[FINAL]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
    <w:nsid w:val="33E81507"/>
    <w:multiLevelType w:val="multilevel"/>
    <w:tmpl w:val="A4141F18"/>
    <w:lvl w:ilvl="0">
      <w:start w:val="1"/>
      <w:numFmt w:val="decimal"/>
      <w:pStyle w:val="Heading1"/>
      <w:lvlText w:val="%1."/>
      <w:lvlJc w:val="left"/>
      <w:pPr>
        <w:tabs>
          <w:tab w:val="num" w:pos="720"/>
        </w:tabs>
        <w:ind w:left="720" w:hanging="720"/>
      </w:pPr>
      <w:rPr>
        <w:b w:val="0"/>
        <w:i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upperLetter"/>
      <w:pStyle w:val="Heading5"/>
      <w:lvlText w:val="(%5)"/>
      <w:lvlJc w:val="left"/>
      <w:pPr>
        <w:tabs>
          <w:tab w:val="num" w:pos="3600"/>
        </w:tabs>
        <w:ind w:left="3600" w:hanging="720"/>
      </w:pPr>
      <w:rPr>
        <w:caps w:val="0"/>
        <w:color w:val="010000"/>
        <w:u w:val="none"/>
      </w:rPr>
    </w:lvl>
    <w:lvl w:ilvl="5">
      <w:start w:val="1"/>
      <w:numFmt w:val="upperRoman"/>
      <w:pStyle w:val="Heading6"/>
      <w:lvlText w:val="(%6)"/>
      <w:lvlJc w:val="left"/>
      <w:pPr>
        <w:tabs>
          <w:tab w:val="num" w:pos="3600"/>
        </w:tabs>
        <w:ind w:left="3600" w:hanging="720"/>
      </w:pPr>
      <w:rPr>
        <w:caps w:val="0"/>
        <w:color w:val="010000"/>
        <w:u w:val="none"/>
      </w:rPr>
    </w:lvl>
    <w:lvl w:ilvl="6">
      <w:start w:val="1"/>
      <w:numFmt w:val="decimal"/>
      <w:pStyle w:val="Heading7"/>
      <w:lvlText w:val="%7)"/>
      <w:lvlJc w:val="left"/>
      <w:pPr>
        <w:tabs>
          <w:tab w:val="num" w:pos="3600"/>
        </w:tabs>
        <w:ind w:left="3600" w:hanging="720"/>
      </w:pPr>
      <w:rPr>
        <w:caps w:val="0"/>
        <w:color w:val="010000"/>
        <w:u w:val="none"/>
      </w:rPr>
    </w:lvl>
    <w:lvl w:ilvl="7">
      <w:start w:val="1"/>
      <w:numFmt w:val="lowerLetter"/>
      <w:pStyle w:val="Heading8"/>
      <w:lvlText w:val="%8)"/>
      <w:lvlJc w:val="left"/>
      <w:pPr>
        <w:tabs>
          <w:tab w:val="num" w:pos="3600"/>
        </w:tabs>
        <w:ind w:left="3600" w:hanging="720"/>
      </w:pPr>
      <w:rPr>
        <w:caps w:val="0"/>
        <w:color w:val="010000"/>
        <w:u w:val="none"/>
      </w:rPr>
    </w:lvl>
    <w:lvl w:ilvl="8">
      <w:start w:val="1"/>
      <w:numFmt w:val="lowerRoman"/>
      <w:pStyle w:val="Heading9"/>
      <w:lvlText w:val="%9)"/>
      <w:lvlJc w:val="left"/>
      <w:pPr>
        <w:tabs>
          <w:tab w:val="num" w:pos="3600"/>
        </w:tabs>
        <w:ind w:left="3600" w:hanging="720"/>
      </w:pPr>
      <w:rPr>
        <w:caps w:val="0"/>
        <w:color w:val="010000"/>
        <w:u w:val="none"/>
      </w:rPr>
    </w:lvl>
  </w:abstractNum>
  <w:abstractNum w:abstractNumId="3">
    <w:nsid w:val="385C6C5B"/>
    <w:multiLevelType w:val="hybridMultilevel"/>
    <w:tmpl w:val="D9DEBE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4405469"/>
    <w:multiLevelType w:val="multilevel"/>
    <w:tmpl w:val="ECDE97DA"/>
    <w:lvl w:ilvl="0">
      <w:start w:val="1"/>
      <w:numFmt w:val="bullet"/>
      <w:pStyle w:val="ONEBulletL1"/>
      <w:lvlText w:val=""/>
      <w:lvlJc w:val="left"/>
      <w:pPr>
        <w:ind w:left="720" w:hanging="360"/>
      </w:pPr>
      <w:rPr>
        <w:rFonts w:ascii="Wingdings" w:hAnsi="Wingdings" w:hint="default"/>
      </w:rPr>
    </w:lvl>
    <w:lvl w:ilvl="1">
      <w:start w:val="1"/>
      <w:numFmt w:val="bullet"/>
      <w:pStyle w:val="ONEBulletL2"/>
      <w:lvlText w:val="o"/>
      <w:lvlJc w:val="left"/>
      <w:pPr>
        <w:ind w:left="1080" w:hanging="360"/>
      </w:pPr>
      <w:rPr>
        <w:rFonts w:ascii="Courier New" w:hAnsi="Courier New" w:hint="default"/>
      </w:rPr>
    </w:lvl>
    <w:lvl w:ilvl="2">
      <w:start w:val="1"/>
      <w:numFmt w:val="bullet"/>
      <w:pStyle w:val="ONEBulletL3"/>
      <w:lvlText w:val=""/>
      <w:lvlJc w:val="left"/>
      <w:pPr>
        <w:ind w:left="144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801"/>
  <w:doNotTrackMoves/>
  <w:defaultTabStop w:val="720"/>
  <w:displayHorizontalDrawingGridEvery w:val="0"/>
  <w:displayVerticalDrawingGridEvery w:val="0"/>
  <w:doNotUseMarginsForDrawingGridOrigin/>
  <w:noPunctuationKerning/>
  <w:characterSpacingControl w:val="doNotCompress"/>
  <w:doNotEmbedSmartTags/>
  <w:footnotePr>
    <w:footnote w:id="0"/>
    <w:footnote w:id="1"/>
  </w:footnotePr>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rsid w:val="008E2CE3"/>
    <w:pPr>
      <w:spacing w:after="240" w:line="276" w:lineRule="auto"/>
    </w:pPr>
    <w:rPr>
      <w:rFonts w:ascii="Arial" w:hAnsi="Arial" w:eastAsiaTheme="minorHAnsi" w:cstheme="minorBidi"/>
      <w:sz w:val="24"/>
      <w:szCs w:val="24"/>
      <w:lang w:val="en-CA"/>
    </w:rPr>
  </w:style>
  <w:style w:type="paragraph" w:styleId="Heading1">
    <w:name w:val="heading 1"/>
    <w:basedOn w:val="Normal"/>
    <w:link w:val="Heading1Char"/>
    <w:qFormat/>
    <w:rsid w:val="008E2CE3"/>
    <w:pPr>
      <w:numPr>
        <w:numId w:val="4"/>
      </w:numPr>
      <w:jc w:val="both"/>
      <w:outlineLvl w:val="0"/>
    </w:pPr>
    <w:rPr>
      <w:rFonts w:eastAsiaTheme="majorEastAsia" w:cs="Arial"/>
      <w:bCs/>
      <w:szCs w:val="28"/>
    </w:rPr>
  </w:style>
  <w:style w:type="paragraph" w:styleId="Heading2">
    <w:name w:val="heading 2"/>
    <w:basedOn w:val="Normal"/>
    <w:unhideWhenUsed/>
    <w:qFormat/>
    <w:rsid w:val="001B3A69"/>
    <w:pPr>
      <w:numPr>
        <w:ilvl w:val="1"/>
        <w:numId w:val="4"/>
      </w:numPr>
      <w:outlineLvl w:val="1"/>
    </w:pPr>
    <w:rPr>
      <w:rFonts w:eastAsiaTheme="majorEastAsia" w:cs="Arial"/>
      <w:bCs/>
      <w:szCs w:val="26"/>
    </w:rPr>
  </w:style>
  <w:style w:type="paragraph" w:styleId="Heading3">
    <w:name w:val="heading 3"/>
    <w:basedOn w:val="Normal"/>
    <w:link w:val="Heading3Char"/>
    <w:semiHidden/>
    <w:unhideWhenUsed/>
    <w:qFormat/>
    <w:rsid w:val="001B3A69"/>
    <w:pPr>
      <w:numPr>
        <w:ilvl w:val="2"/>
        <w:numId w:val="4"/>
      </w:numPr>
      <w:outlineLvl w:val="2"/>
    </w:pPr>
    <w:rPr>
      <w:rFonts w:eastAsiaTheme="majorEastAsia" w:cs="Arial"/>
      <w:bCs/>
    </w:rPr>
  </w:style>
  <w:style w:type="paragraph" w:styleId="Heading4">
    <w:name w:val="heading 4"/>
    <w:basedOn w:val="Normal"/>
    <w:link w:val="Heading4Char"/>
    <w:semiHidden/>
    <w:unhideWhenUsed/>
    <w:qFormat/>
    <w:rsid w:val="001B3A69"/>
    <w:pPr>
      <w:numPr>
        <w:ilvl w:val="3"/>
        <w:numId w:val="4"/>
      </w:numPr>
      <w:outlineLvl w:val="3"/>
    </w:pPr>
    <w:rPr>
      <w:rFonts w:eastAsiaTheme="majorEastAsia" w:cs="Arial"/>
      <w:bCs/>
      <w:iCs/>
    </w:rPr>
  </w:style>
  <w:style w:type="paragraph" w:styleId="Heading5">
    <w:name w:val="heading 5"/>
    <w:basedOn w:val="Normal"/>
    <w:link w:val="Heading5Char"/>
    <w:semiHidden/>
    <w:unhideWhenUsed/>
    <w:qFormat/>
    <w:rsid w:val="001B3A69"/>
    <w:pPr>
      <w:numPr>
        <w:ilvl w:val="4"/>
        <w:numId w:val="4"/>
      </w:numPr>
      <w:outlineLvl w:val="4"/>
    </w:pPr>
    <w:rPr>
      <w:rFonts w:eastAsiaTheme="majorEastAsia" w:cs="Arial"/>
    </w:rPr>
  </w:style>
  <w:style w:type="paragraph" w:styleId="Heading6">
    <w:name w:val="heading 6"/>
    <w:basedOn w:val="Normal"/>
    <w:link w:val="Heading6Char"/>
    <w:semiHidden/>
    <w:unhideWhenUsed/>
    <w:qFormat/>
    <w:rsid w:val="001B3A69"/>
    <w:pPr>
      <w:numPr>
        <w:ilvl w:val="5"/>
        <w:numId w:val="4"/>
      </w:numPr>
      <w:outlineLvl w:val="5"/>
    </w:pPr>
    <w:rPr>
      <w:rFonts w:eastAsiaTheme="majorEastAsia" w:cs="Arial"/>
      <w:iCs/>
    </w:rPr>
  </w:style>
  <w:style w:type="paragraph" w:styleId="Heading7">
    <w:name w:val="heading 7"/>
    <w:basedOn w:val="Normal"/>
    <w:link w:val="Heading7Char"/>
    <w:semiHidden/>
    <w:unhideWhenUsed/>
    <w:qFormat/>
    <w:rsid w:val="001B3A69"/>
    <w:pPr>
      <w:numPr>
        <w:ilvl w:val="6"/>
        <w:numId w:val="4"/>
      </w:numPr>
      <w:outlineLvl w:val="6"/>
    </w:pPr>
    <w:rPr>
      <w:rFonts w:eastAsiaTheme="majorEastAsia" w:cs="Arial"/>
      <w:iCs/>
    </w:rPr>
  </w:style>
  <w:style w:type="paragraph" w:styleId="Heading8">
    <w:name w:val="heading 8"/>
    <w:basedOn w:val="Normal"/>
    <w:link w:val="Heading8Char"/>
    <w:semiHidden/>
    <w:unhideWhenUsed/>
    <w:qFormat/>
    <w:rsid w:val="001B3A69"/>
    <w:pPr>
      <w:numPr>
        <w:ilvl w:val="7"/>
        <w:numId w:val="4"/>
      </w:numPr>
      <w:outlineLvl w:val="7"/>
    </w:pPr>
    <w:rPr>
      <w:rFonts w:eastAsiaTheme="majorEastAsia" w:cs="Arial"/>
    </w:rPr>
  </w:style>
  <w:style w:type="paragraph" w:styleId="Heading9">
    <w:name w:val="heading 9"/>
    <w:basedOn w:val="Normal"/>
    <w:link w:val="Heading9Char"/>
    <w:semiHidden/>
    <w:unhideWhenUsed/>
    <w:qFormat/>
    <w:rsid w:val="001B3A69"/>
    <w:pPr>
      <w:numPr>
        <w:ilvl w:val="8"/>
        <w:numId w:val="4"/>
      </w:numPr>
      <w:outlineLvl w:val="8"/>
    </w:pPr>
    <w:rPr>
      <w:rFonts w:eastAsiaTheme="majorEastAsia" w:cs="Arial"/>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B3A69"/>
    <w:pPr>
      <w:spacing w:after="120"/>
    </w:pPr>
  </w:style>
  <w:style w:type="paragraph" w:styleId="List">
    <w:name w:val="List"/>
    <w:basedOn w:val="BodyText"/>
    <w:rsid w:val="00D759CD"/>
    <w:pPr>
      <w:ind w:left="1080" w:hanging="1080"/>
    </w:pPr>
  </w:style>
  <w:style w:type="paragraph" w:styleId="List2">
    <w:name w:val="List 2"/>
    <w:basedOn w:val="List"/>
    <w:rsid w:val="00D759CD"/>
    <w:pPr>
      <w:ind w:left="1800" w:hanging="720"/>
    </w:pPr>
  </w:style>
  <w:style w:type="paragraph" w:styleId="Title">
    <w:name w:val="Title"/>
    <w:basedOn w:val="Normal"/>
    <w:next w:val="Normal"/>
    <w:uiPriority w:val="99"/>
    <w:qFormat/>
    <w:rsid w:val="001B3A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amend">
    <w:name w:val="amend"/>
    <w:basedOn w:val="Normal"/>
    <w:rsid w:val="00D759CD"/>
    <w:pPr>
      <w:tabs>
        <w:tab w:val="left" w:pos="1080"/>
      </w:tabs>
      <w:spacing w:before="40" w:after="40"/>
      <w:jc w:val="right"/>
    </w:pPr>
    <w:rPr>
      <w:b/>
      <w:vertAlign w:val="superscript"/>
      <w:lang w:val="en-GB"/>
    </w:rPr>
  </w:style>
  <w:style w:type="paragraph" w:styleId="Header">
    <w:name w:val="header"/>
    <w:basedOn w:val="Normal"/>
    <w:uiPriority w:val="99"/>
    <w:unhideWhenUsed/>
    <w:rsid w:val="001B3A69"/>
    <w:pPr>
      <w:tabs>
        <w:tab w:val="center" w:pos="4680"/>
        <w:tab w:val="right" w:pos="9360"/>
      </w:tabs>
      <w:spacing w:after="0"/>
    </w:pPr>
  </w:style>
  <w:style w:type="paragraph" w:styleId="Footer">
    <w:name w:val="footer"/>
    <w:basedOn w:val="Normal"/>
    <w:uiPriority w:val="99"/>
    <w:unhideWhenUsed/>
    <w:rsid w:val="001B3A69"/>
    <w:pPr>
      <w:tabs>
        <w:tab w:val="center" w:pos="4680"/>
        <w:tab w:val="right" w:pos="9360"/>
      </w:tabs>
      <w:spacing w:after="0"/>
    </w:pPr>
    <w:rPr>
      <w:sz w:val="16"/>
    </w:rPr>
  </w:style>
  <w:style w:type="character" w:styleId="PageNumber">
    <w:name w:val="page number"/>
    <w:basedOn w:val="DefaultParagraphFont"/>
    <w:uiPriority w:val="99"/>
    <w:unhideWhenUsed/>
    <w:rsid w:val="001B3A69"/>
  </w:style>
  <w:style w:type="paragraph" w:styleId="EndnoteText">
    <w:name w:val="endnote text"/>
    <w:basedOn w:val="Normal"/>
    <w:uiPriority w:val="99"/>
    <w:semiHidden/>
    <w:unhideWhenUsed/>
    <w:rsid w:val="001B3A69"/>
    <w:pPr>
      <w:spacing w:after="0"/>
    </w:pPr>
    <w:rPr>
      <w:sz w:val="16"/>
    </w:rPr>
  </w:style>
  <w:style w:type="paragraph" w:styleId="BalloonText">
    <w:name w:val="Balloon Text"/>
    <w:basedOn w:val="Normal"/>
    <w:uiPriority w:val="99"/>
    <w:semiHidden/>
    <w:rsid w:val="001B3A69"/>
    <w:pPr>
      <w:spacing w:after="0"/>
    </w:pPr>
    <w:rPr>
      <w:rFonts w:ascii="Tahoma" w:hAnsi="Tahoma" w:cs="Tahoma"/>
      <w:sz w:val="16"/>
      <w:szCs w:val="16"/>
    </w:rPr>
  </w:style>
  <w:style w:type="paragraph" w:styleId="FootnoteText">
    <w:name w:val="footnote text"/>
    <w:basedOn w:val="Normal"/>
    <w:uiPriority w:val="99"/>
    <w:semiHidden/>
    <w:unhideWhenUsed/>
    <w:rsid w:val="001B3A69"/>
    <w:pPr>
      <w:spacing w:after="0"/>
    </w:pPr>
    <w:rPr>
      <w:sz w:val="16"/>
    </w:rPr>
  </w:style>
  <w:style w:type="character" w:styleId="FootnoteReference">
    <w:name w:val="footnote reference"/>
    <w:basedOn w:val="DefaultParagraphFont"/>
    <w:uiPriority w:val="99"/>
    <w:semiHidden/>
    <w:unhideWhenUsed/>
    <w:rsid w:val="001B3A69"/>
    <w:rPr>
      <w:vertAlign w:val="superscript"/>
    </w:rPr>
  </w:style>
  <w:style w:type="character" w:customStyle="1" w:styleId="Heading1Char">
    <w:name w:val="Heading 1 Char"/>
    <w:basedOn w:val="DefaultParagraphFont"/>
    <w:link w:val="Heading1"/>
    <w:rsid w:val="008E2CE3"/>
    <w:rPr>
      <w:rFonts w:ascii="Arial" w:hAnsi="Arial" w:eastAsiaTheme="majorEastAsia" w:cs="Arial"/>
      <w:bCs/>
      <w:sz w:val="24"/>
      <w:szCs w:val="28"/>
      <w:lang w:val="en-CA"/>
    </w:rPr>
  </w:style>
  <w:style w:type="character" w:styleId="Hyperlink">
    <w:name w:val="Hyperlink"/>
    <w:basedOn w:val="DefaultParagraphFont"/>
    <w:uiPriority w:val="99"/>
    <w:semiHidden/>
    <w:unhideWhenUsed/>
    <w:rsid w:val="001B3A69"/>
    <w:rPr>
      <w:color w:val="0000FF" w:themeColor="hyperlink"/>
      <w:u w:val="single"/>
    </w:rPr>
  </w:style>
  <w:style w:type="paragraph" w:styleId="NormalWeb">
    <w:name w:val="Normal (Web)"/>
    <w:basedOn w:val="Normal"/>
    <w:uiPriority w:val="99"/>
    <w:semiHidden/>
    <w:unhideWhenUsed/>
    <w:rsid w:val="001B3A69"/>
    <w:rPr>
      <w:rFonts w:cs="Times New Roman"/>
    </w:rPr>
  </w:style>
  <w:style w:type="character" w:styleId="Emphasis">
    <w:name w:val="Emphasis"/>
    <w:basedOn w:val="DefaultParagraphFont"/>
    <w:uiPriority w:val="99"/>
    <w:qFormat/>
    <w:rsid w:val="001B3A69"/>
    <w:rPr>
      <w:i/>
      <w:iCs/>
    </w:rPr>
  </w:style>
  <w:style w:type="paragraph" w:styleId="Bibliography">
    <w:name w:val="Bibliography"/>
    <w:basedOn w:val="Normal"/>
    <w:next w:val="Normal"/>
    <w:uiPriority w:val="99"/>
    <w:semiHidden/>
    <w:rsid w:val="001B3A69"/>
  </w:style>
  <w:style w:type="paragraph" w:styleId="BlockText">
    <w:name w:val="Block Text"/>
    <w:basedOn w:val="Normal"/>
    <w:uiPriority w:val="99"/>
    <w:semiHidden/>
    <w:rsid w:val="001B3A6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rsid w:val="001B3A69"/>
    <w:pPr>
      <w:spacing w:after="120" w:line="480" w:lineRule="auto"/>
    </w:pPr>
  </w:style>
  <w:style w:type="character" w:customStyle="1" w:styleId="BodyText2Char">
    <w:name w:val="Body Text 2 Char"/>
    <w:basedOn w:val="DefaultParagraphFont"/>
    <w:link w:val="BodyText2"/>
    <w:uiPriority w:val="99"/>
    <w:semiHidden/>
    <w:rsid w:val="001B3A69"/>
    <w:rPr>
      <w:rFonts w:ascii="Arial" w:hAnsi="Arial" w:eastAsiaTheme="minorHAnsi" w:cstheme="minorBidi"/>
      <w:sz w:val="24"/>
      <w:szCs w:val="24"/>
      <w:lang w:val="en-CA"/>
    </w:rPr>
  </w:style>
  <w:style w:type="paragraph" w:styleId="BodyText3">
    <w:name w:val="Body Text 3"/>
    <w:basedOn w:val="Normal"/>
    <w:link w:val="BodyText3Char"/>
    <w:uiPriority w:val="99"/>
    <w:semiHidden/>
    <w:rsid w:val="001B3A69"/>
    <w:pPr>
      <w:spacing w:after="120"/>
    </w:pPr>
    <w:rPr>
      <w:sz w:val="16"/>
      <w:szCs w:val="16"/>
    </w:rPr>
  </w:style>
  <w:style w:type="character" w:customStyle="1" w:styleId="BodyText3Char">
    <w:name w:val="Body Text 3 Char"/>
    <w:basedOn w:val="DefaultParagraphFont"/>
    <w:link w:val="BodyText3"/>
    <w:uiPriority w:val="99"/>
    <w:semiHidden/>
    <w:rsid w:val="001B3A69"/>
    <w:rPr>
      <w:rFonts w:ascii="Arial" w:hAnsi="Arial" w:eastAsiaTheme="minorHAnsi" w:cstheme="minorBidi"/>
      <w:sz w:val="16"/>
      <w:szCs w:val="16"/>
      <w:lang w:val="en-CA"/>
    </w:rPr>
  </w:style>
  <w:style w:type="paragraph" w:styleId="BodyTextFirstIndent">
    <w:name w:val="Body Text First Indent"/>
    <w:basedOn w:val="BodyText"/>
    <w:link w:val="BodyTextFirstIndentChar"/>
    <w:uiPriority w:val="99"/>
    <w:semiHidden/>
    <w:rsid w:val="001B3A69"/>
    <w:pPr>
      <w:spacing w:after="200"/>
      <w:ind w:firstLine="360"/>
    </w:pPr>
  </w:style>
  <w:style w:type="character" w:customStyle="1" w:styleId="BodyTextChar">
    <w:name w:val="Body Text Char"/>
    <w:basedOn w:val="DefaultParagraphFont"/>
    <w:link w:val="BodyText"/>
    <w:uiPriority w:val="99"/>
    <w:rsid w:val="001B3A69"/>
    <w:rPr>
      <w:rFonts w:ascii="Arial" w:hAnsi="Arial" w:eastAsiaTheme="minorHAnsi" w:cstheme="minorBidi"/>
      <w:sz w:val="24"/>
      <w:szCs w:val="24"/>
      <w:lang w:val="en-CA"/>
    </w:rPr>
  </w:style>
  <w:style w:type="character" w:customStyle="1" w:styleId="BodyTextFirstIndentChar">
    <w:name w:val="Body Text First Indent Char"/>
    <w:basedOn w:val="BodyTextChar"/>
    <w:link w:val="BodyTextFirstIndent"/>
    <w:uiPriority w:val="99"/>
    <w:semiHidden/>
    <w:rsid w:val="001B3A69"/>
  </w:style>
  <w:style w:type="paragraph" w:styleId="BodyTextIndent">
    <w:name w:val="Body Text Indent"/>
    <w:basedOn w:val="Normal"/>
    <w:link w:val="BodyTextIndentChar"/>
    <w:uiPriority w:val="99"/>
    <w:semiHidden/>
    <w:rsid w:val="001B3A69"/>
    <w:pPr>
      <w:spacing w:after="120"/>
      <w:ind w:left="360"/>
    </w:pPr>
  </w:style>
  <w:style w:type="character" w:customStyle="1" w:styleId="BodyTextIndentChar">
    <w:name w:val="Body Text Indent Char"/>
    <w:basedOn w:val="DefaultParagraphFont"/>
    <w:link w:val="BodyTextIndent"/>
    <w:uiPriority w:val="99"/>
    <w:semiHidden/>
    <w:rsid w:val="001B3A69"/>
    <w:rPr>
      <w:rFonts w:ascii="Arial" w:hAnsi="Arial" w:eastAsiaTheme="minorHAnsi" w:cstheme="minorBidi"/>
      <w:sz w:val="24"/>
      <w:szCs w:val="24"/>
      <w:lang w:val="en-CA"/>
    </w:rPr>
  </w:style>
  <w:style w:type="paragraph" w:styleId="BodyTextFirstIndent2">
    <w:name w:val="Body Text First Indent 2"/>
    <w:basedOn w:val="BodyTextIndent"/>
    <w:link w:val="BodyTextFirstIndent2Char"/>
    <w:uiPriority w:val="99"/>
    <w:semiHidden/>
    <w:rsid w:val="001B3A69"/>
    <w:pPr>
      <w:spacing w:after="200"/>
      <w:ind w:firstLine="360"/>
    </w:pPr>
  </w:style>
  <w:style w:type="character" w:customStyle="1" w:styleId="BodyTextFirstIndent2Char">
    <w:name w:val="Body Text First Indent 2 Char"/>
    <w:basedOn w:val="BodyTextIndentChar"/>
    <w:link w:val="BodyTextFirstIndent2"/>
    <w:uiPriority w:val="99"/>
    <w:semiHidden/>
    <w:rsid w:val="001B3A69"/>
  </w:style>
  <w:style w:type="paragraph" w:styleId="BodyTextIndent2">
    <w:name w:val="Body Text Indent 2"/>
    <w:basedOn w:val="Normal"/>
    <w:link w:val="BodyTextIndent2Char"/>
    <w:uiPriority w:val="99"/>
    <w:semiHidden/>
    <w:rsid w:val="001B3A69"/>
    <w:pPr>
      <w:spacing w:after="120" w:line="480" w:lineRule="auto"/>
      <w:ind w:left="360"/>
    </w:pPr>
  </w:style>
  <w:style w:type="character" w:customStyle="1" w:styleId="BodyTextIndent2Char">
    <w:name w:val="Body Text Indent 2 Char"/>
    <w:basedOn w:val="DefaultParagraphFont"/>
    <w:link w:val="BodyTextIndent2"/>
    <w:uiPriority w:val="99"/>
    <w:semiHidden/>
    <w:rsid w:val="001B3A69"/>
    <w:rPr>
      <w:rFonts w:ascii="Arial" w:hAnsi="Arial" w:eastAsiaTheme="minorHAnsi" w:cstheme="minorBidi"/>
      <w:sz w:val="24"/>
      <w:szCs w:val="24"/>
      <w:lang w:val="en-CA"/>
    </w:rPr>
  </w:style>
  <w:style w:type="paragraph" w:styleId="BodyTextIndent3">
    <w:name w:val="Body Text Indent 3"/>
    <w:basedOn w:val="Normal"/>
    <w:link w:val="BodyTextIndent3Char"/>
    <w:uiPriority w:val="99"/>
    <w:semiHidden/>
    <w:rsid w:val="001B3A6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B3A69"/>
    <w:rPr>
      <w:rFonts w:ascii="Arial" w:hAnsi="Arial" w:eastAsiaTheme="minorHAnsi" w:cstheme="minorBidi"/>
      <w:sz w:val="16"/>
      <w:szCs w:val="16"/>
      <w:lang w:val="en-CA"/>
    </w:rPr>
  </w:style>
  <w:style w:type="character" w:styleId="BookTitle">
    <w:name w:val="Book Title"/>
    <w:basedOn w:val="DefaultParagraphFont"/>
    <w:uiPriority w:val="99"/>
    <w:qFormat/>
    <w:rsid w:val="001B3A69"/>
    <w:rPr>
      <w:b/>
      <w:bCs/>
      <w:smallCaps/>
      <w:spacing w:val="5"/>
    </w:rPr>
  </w:style>
  <w:style w:type="paragraph" w:styleId="Caption">
    <w:name w:val="caption"/>
    <w:basedOn w:val="Normal"/>
    <w:next w:val="Normal"/>
    <w:uiPriority w:val="99"/>
    <w:semiHidden/>
    <w:qFormat/>
    <w:rsid w:val="001B3A69"/>
    <w:rPr>
      <w:b/>
      <w:bCs/>
      <w:color w:val="4F81BD" w:themeColor="accent1"/>
      <w:sz w:val="18"/>
      <w:szCs w:val="18"/>
    </w:rPr>
  </w:style>
  <w:style w:type="paragraph" w:styleId="Closing">
    <w:name w:val="Closing"/>
    <w:basedOn w:val="Normal"/>
    <w:link w:val="ClosingChar"/>
    <w:uiPriority w:val="99"/>
    <w:semiHidden/>
    <w:rsid w:val="001B3A69"/>
    <w:pPr>
      <w:spacing w:after="0"/>
      <w:ind w:left="4320"/>
    </w:pPr>
  </w:style>
  <w:style w:type="character" w:customStyle="1" w:styleId="ClosingChar">
    <w:name w:val="Closing Char"/>
    <w:basedOn w:val="DefaultParagraphFont"/>
    <w:link w:val="Closing"/>
    <w:uiPriority w:val="99"/>
    <w:semiHidden/>
    <w:rsid w:val="001B3A69"/>
    <w:rPr>
      <w:rFonts w:ascii="Arial" w:hAnsi="Arial" w:eastAsiaTheme="minorHAnsi" w:cstheme="minorBidi"/>
      <w:sz w:val="24"/>
      <w:szCs w:val="24"/>
      <w:lang w:val="en-CA"/>
    </w:rPr>
  </w:style>
  <w:style w:type="character" w:styleId="CommentReference">
    <w:name w:val="annotation reference"/>
    <w:basedOn w:val="DefaultParagraphFont"/>
    <w:uiPriority w:val="99"/>
    <w:semiHidden/>
    <w:unhideWhenUsed/>
    <w:rsid w:val="001B3A69"/>
    <w:rPr>
      <w:sz w:val="16"/>
      <w:szCs w:val="16"/>
    </w:rPr>
  </w:style>
  <w:style w:type="paragraph" w:styleId="CommentText">
    <w:name w:val="annotation text"/>
    <w:basedOn w:val="Normal"/>
    <w:link w:val="CommentTextChar"/>
    <w:uiPriority w:val="99"/>
    <w:semiHidden/>
    <w:unhideWhenUsed/>
    <w:rsid w:val="001B3A69"/>
  </w:style>
  <w:style w:type="character" w:customStyle="1" w:styleId="CommentTextChar">
    <w:name w:val="Comment Text Char"/>
    <w:basedOn w:val="DefaultParagraphFont"/>
    <w:link w:val="CommentText"/>
    <w:uiPriority w:val="99"/>
    <w:semiHidden/>
    <w:rsid w:val="001B3A69"/>
    <w:rPr>
      <w:rFonts w:ascii="Arial" w:hAnsi="Arial" w:eastAsiaTheme="minorHAnsi" w:cstheme="minorBidi"/>
      <w:sz w:val="24"/>
      <w:szCs w:val="24"/>
      <w:lang w:val="en-CA"/>
    </w:rPr>
  </w:style>
  <w:style w:type="paragraph" w:styleId="CommentSubject">
    <w:name w:val="annotation subject"/>
    <w:basedOn w:val="CommentText"/>
    <w:next w:val="CommentText"/>
    <w:link w:val="CommentSubjectChar"/>
    <w:uiPriority w:val="99"/>
    <w:semiHidden/>
    <w:unhideWhenUsed/>
    <w:rsid w:val="001B3A69"/>
    <w:rPr>
      <w:b/>
      <w:bCs/>
    </w:rPr>
  </w:style>
  <w:style w:type="character" w:customStyle="1" w:styleId="CommentSubjectChar">
    <w:name w:val="Comment Subject Char"/>
    <w:basedOn w:val="CommentTextChar"/>
    <w:link w:val="CommentSubject"/>
    <w:uiPriority w:val="99"/>
    <w:semiHidden/>
    <w:rsid w:val="001B3A69"/>
    <w:rPr>
      <w:b/>
      <w:bCs/>
    </w:rPr>
  </w:style>
  <w:style w:type="paragraph" w:styleId="Date">
    <w:name w:val="Date"/>
    <w:basedOn w:val="Normal"/>
    <w:next w:val="Normal"/>
    <w:link w:val="DateChar"/>
    <w:uiPriority w:val="99"/>
    <w:semiHidden/>
    <w:unhideWhenUsed/>
    <w:rsid w:val="001B3A69"/>
  </w:style>
  <w:style w:type="character" w:customStyle="1" w:styleId="DateChar">
    <w:name w:val="Date Char"/>
    <w:basedOn w:val="DefaultParagraphFont"/>
    <w:link w:val="Date"/>
    <w:uiPriority w:val="99"/>
    <w:semiHidden/>
    <w:rsid w:val="001B3A69"/>
    <w:rPr>
      <w:rFonts w:ascii="Arial" w:hAnsi="Arial" w:eastAsiaTheme="minorHAnsi" w:cstheme="minorBidi"/>
      <w:sz w:val="24"/>
      <w:szCs w:val="24"/>
      <w:lang w:val="en-CA"/>
    </w:rPr>
  </w:style>
  <w:style w:type="character" w:customStyle="1" w:styleId="DocID">
    <w:name w:val="DocID"/>
    <w:basedOn w:val="DefaultParagraphFont"/>
    <w:uiPriority w:val="99"/>
    <w:semiHidden/>
    <w:rsid w:val="001B3A69"/>
    <w:rPr>
      <w:rFonts w:ascii="Times New Roman" w:hAnsi="Times New Roman"/>
      <w:sz w:val="14"/>
    </w:rPr>
  </w:style>
  <w:style w:type="paragraph" w:styleId="DocumentMap">
    <w:name w:val="Document Map"/>
    <w:basedOn w:val="Normal"/>
    <w:link w:val="DocumentMapChar"/>
    <w:uiPriority w:val="99"/>
    <w:semiHidden/>
    <w:unhideWhenUsed/>
    <w:rsid w:val="001B3A6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3A69"/>
    <w:rPr>
      <w:rFonts w:ascii="Tahoma" w:hAnsi="Tahoma" w:eastAsiaTheme="minorHAnsi" w:cs="Tahoma"/>
      <w:sz w:val="16"/>
      <w:szCs w:val="16"/>
      <w:lang w:val="en-CA"/>
    </w:rPr>
  </w:style>
  <w:style w:type="paragraph" w:styleId="E-mailSignature">
    <w:name w:val="E-mail Signature"/>
    <w:basedOn w:val="Normal"/>
    <w:link w:val="E-mailSignatureChar"/>
    <w:uiPriority w:val="99"/>
    <w:semiHidden/>
    <w:unhideWhenUsed/>
    <w:rsid w:val="001B3A69"/>
    <w:pPr>
      <w:spacing w:after="0"/>
    </w:pPr>
  </w:style>
  <w:style w:type="character" w:customStyle="1" w:styleId="E-mailSignatureChar">
    <w:name w:val="E-mail Signature Char"/>
    <w:basedOn w:val="DefaultParagraphFont"/>
    <w:link w:val="E-mailSignature"/>
    <w:uiPriority w:val="99"/>
    <w:semiHidden/>
    <w:rsid w:val="001B3A69"/>
    <w:rPr>
      <w:rFonts w:ascii="Arial" w:hAnsi="Arial" w:eastAsiaTheme="minorHAnsi" w:cstheme="minorBidi"/>
      <w:sz w:val="24"/>
      <w:szCs w:val="24"/>
      <w:lang w:val="en-CA"/>
    </w:rPr>
  </w:style>
  <w:style w:type="character" w:styleId="EndnoteReference">
    <w:name w:val="endnote reference"/>
    <w:basedOn w:val="DefaultParagraphFont"/>
    <w:uiPriority w:val="99"/>
    <w:semiHidden/>
    <w:unhideWhenUsed/>
    <w:rsid w:val="001B3A69"/>
    <w:rPr>
      <w:vertAlign w:val="superscript"/>
    </w:rPr>
  </w:style>
  <w:style w:type="paragraph" w:styleId="EnvelopeAddress">
    <w:name w:val="envelope address"/>
    <w:basedOn w:val="Normal"/>
    <w:uiPriority w:val="99"/>
    <w:semiHidden/>
    <w:unhideWhenUsed/>
    <w:rsid w:val="001B3A69"/>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B3A69"/>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1B3A69"/>
    <w:rPr>
      <w:color w:val="800080" w:themeColor="followedHyperlink"/>
      <w:u w:val="single"/>
    </w:rPr>
  </w:style>
  <w:style w:type="character" w:customStyle="1" w:styleId="Heading3Char">
    <w:name w:val="Heading 3 Char"/>
    <w:basedOn w:val="DefaultParagraphFont"/>
    <w:link w:val="Heading3"/>
    <w:semiHidden/>
    <w:rsid w:val="001B3A69"/>
    <w:rPr>
      <w:rFonts w:ascii="Arial" w:hAnsi="Arial" w:eastAsiaTheme="majorEastAsia" w:cs="Arial"/>
      <w:bCs/>
      <w:sz w:val="24"/>
      <w:szCs w:val="24"/>
      <w:lang w:val="en-CA"/>
    </w:rPr>
  </w:style>
  <w:style w:type="character" w:customStyle="1" w:styleId="Heading4Char">
    <w:name w:val="Heading 4 Char"/>
    <w:basedOn w:val="DefaultParagraphFont"/>
    <w:link w:val="Heading4"/>
    <w:semiHidden/>
    <w:rsid w:val="001B3A69"/>
    <w:rPr>
      <w:rFonts w:ascii="Arial" w:hAnsi="Arial" w:eastAsiaTheme="majorEastAsia" w:cs="Arial"/>
      <w:bCs/>
      <w:iCs/>
      <w:sz w:val="24"/>
      <w:szCs w:val="24"/>
      <w:lang w:val="en-CA"/>
    </w:rPr>
  </w:style>
  <w:style w:type="character" w:customStyle="1" w:styleId="Heading5Char">
    <w:name w:val="Heading 5 Char"/>
    <w:basedOn w:val="DefaultParagraphFont"/>
    <w:link w:val="Heading5"/>
    <w:semiHidden/>
    <w:rsid w:val="001B3A69"/>
    <w:rPr>
      <w:rFonts w:ascii="Arial" w:hAnsi="Arial" w:eastAsiaTheme="majorEastAsia" w:cs="Arial"/>
      <w:sz w:val="24"/>
      <w:szCs w:val="24"/>
      <w:lang w:val="en-CA"/>
    </w:rPr>
  </w:style>
  <w:style w:type="character" w:customStyle="1" w:styleId="Heading6Char">
    <w:name w:val="Heading 6 Char"/>
    <w:basedOn w:val="DefaultParagraphFont"/>
    <w:link w:val="Heading6"/>
    <w:semiHidden/>
    <w:rsid w:val="001B3A69"/>
    <w:rPr>
      <w:rFonts w:ascii="Arial" w:hAnsi="Arial" w:eastAsiaTheme="majorEastAsia" w:cs="Arial"/>
      <w:iCs/>
      <w:sz w:val="24"/>
      <w:szCs w:val="24"/>
      <w:lang w:val="en-CA"/>
    </w:rPr>
  </w:style>
  <w:style w:type="character" w:customStyle="1" w:styleId="Heading7Char">
    <w:name w:val="Heading 7 Char"/>
    <w:basedOn w:val="DefaultParagraphFont"/>
    <w:link w:val="Heading7"/>
    <w:semiHidden/>
    <w:rsid w:val="001B3A69"/>
    <w:rPr>
      <w:rFonts w:ascii="Arial" w:hAnsi="Arial" w:eastAsiaTheme="majorEastAsia" w:cs="Arial"/>
      <w:iCs/>
      <w:sz w:val="24"/>
      <w:szCs w:val="24"/>
      <w:lang w:val="en-CA"/>
    </w:rPr>
  </w:style>
  <w:style w:type="character" w:customStyle="1" w:styleId="Heading8Char">
    <w:name w:val="Heading 8 Char"/>
    <w:basedOn w:val="DefaultParagraphFont"/>
    <w:link w:val="Heading8"/>
    <w:semiHidden/>
    <w:rsid w:val="001B3A69"/>
    <w:rPr>
      <w:rFonts w:ascii="Arial" w:hAnsi="Arial" w:eastAsiaTheme="majorEastAsia" w:cs="Arial"/>
      <w:sz w:val="24"/>
      <w:szCs w:val="24"/>
      <w:lang w:val="en-CA"/>
    </w:rPr>
  </w:style>
  <w:style w:type="character" w:customStyle="1" w:styleId="Heading9Char">
    <w:name w:val="Heading 9 Char"/>
    <w:basedOn w:val="DefaultParagraphFont"/>
    <w:link w:val="Heading9"/>
    <w:semiHidden/>
    <w:rsid w:val="001B3A69"/>
    <w:rPr>
      <w:rFonts w:ascii="Arial" w:hAnsi="Arial" w:eastAsiaTheme="majorEastAsia" w:cs="Arial"/>
      <w:iCs/>
      <w:sz w:val="24"/>
      <w:szCs w:val="24"/>
      <w:lang w:val="en-CA"/>
    </w:rPr>
  </w:style>
  <w:style w:type="character" w:styleId="HTMLAcronym">
    <w:name w:val="HTML Acronym"/>
    <w:basedOn w:val="DefaultParagraphFont"/>
    <w:uiPriority w:val="99"/>
    <w:semiHidden/>
    <w:unhideWhenUsed/>
    <w:rsid w:val="001B3A69"/>
  </w:style>
  <w:style w:type="paragraph" w:styleId="HTMLAddress">
    <w:name w:val="HTML Address"/>
    <w:basedOn w:val="Normal"/>
    <w:link w:val="HTMLAddressChar"/>
    <w:uiPriority w:val="99"/>
    <w:semiHidden/>
    <w:unhideWhenUsed/>
    <w:rsid w:val="001B3A69"/>
    <w:pPr>
      <w:spacing w:after="0"/>
    </w:pPr>
    <w:rPr>
      <w:i/>
      <w:iCs/>
    </w:rPr>
  </w:style>
  <w:style w:type="character" w:customStyle="1" w:styleId="HTMLAddressChar">
    <w:name w:val="HTML Address Char"/>
    <w:basedOn w:val="DefaultParagraphFont"/>
    <w:link w:val="HTMLAddress"/>
    <w:uiPriority w:val="99"/>
    <w:semiHidden/>
    <w:rsid w:val="001B3A69"/>
    <w:rPr>
      <w:rFonts w:ascii="Arial" w:hAnsi="Arial" w:eastAsiaTheme="minorHAnsi" w:cstheme="minorBidi"/>
      <w:i/>
      <w:iCs/>
      <w:sz w:val="24"/>
      <w:szCs w:val="24"/>
      <w:lang w:val="en-CA"/>
    </w:rPr>
  </w:style>
  <w:style w:type="character" w:styleId="HTMLCite">
    <w:name w:val="HTML Cite"/>
    <w:basedOn w:val="DefaultParagraphFont"/>
    <w:uiPriority w:val="99"/>
    <w:semiHidden/>
    <w:unhideWhenUsed/>
    <w:rsid w:val="001B3A69"/>
    <w:rPr>
      <w:i/>
      <w:iCs/>
    </w:rPr>
  </w:style>
  <w:style w:type="character" w:styleId="HTMLCode">
    <w:name w:val="HTML Code"/>
    <w:basedOn w:val="DefaultParagraphFont"/>
    <w:uiPriority w:val="99"/>
    <w:semiHidden/>
    <w:unhideWhenUsed/>
    <w:rsid w:val="001B3A69"/>
    <w:rPr>
      <w:rFonts w:ascii="Consolas" w:hAnsi="Consolas"/>
      <w:sz w:val="20"/>
      <w:szCs w:val="20"/>
    </w:rPr>
  </w:style>
  <w:style w:type="character" w:styleId="HTMLDefinition">
    <w:name w:val="HTML Definition"/>
    <w:basedOn w:val="DefaultParagraphFont"/>
    <w:uiPriority w:val="99"/>
    <w:semiHidden/>
    <w:unhideWhenUsed/>
    <w:rsid w:val="001B3A69"/>
    <w:rPr>
      <w:i/>
      <w:iCs/>
    </w:rPr>
  </w:style>
  <w:style w:type="character" w:styleId="HTMLKeyboard">
    <w:name w:val="HTML Keyboard"/>
    <w:basedOn w:val="DefaultParagraphFont"/>
    <w:uiPriority w:val="99"/>
    <w:semiHidden/>
    <w:unhideWhenUsed/>
    <w:rsid w:val="001B3A69"/>
    <w:rPr>
      <w:rFonts w:ascii="Consolas" w:hAnsi="Consolas"/>
      <w:sz w:val="20"/>
      <w:szCs w:val="20"/>
    </w:rPr>
  </w:style>
  <w:style w:type="paragraph" w:styleId="HTMLPreformatted">
    <w:name w:val="HTML Preformatted"/>
    <w:basedOn w:val="Normal"/>
    <w:link w:val="HTMLPreformattedChar"/>
    <w:uiPriority w:val="99"/>
    <w:semiHidden/>
    <w:unhideWhenUsed/>
    <w:rsid w:val="001B3A69"/>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1B3A69"/>
    <w:rPr>
      <w:rFonts w:ascii="Consolas" w:hAnsi="Consolas" w:eastAsiaTheme="minorHAnsi" w:cstheme="minorBidi"/>
      <w:sz w:val="24"/>
      <w:szCs w:val="24"/>
      <w:lang w:val="en-CA"/>
    </w:rPr>
  </w:style>
  <w:style w:type="character" w:styleId="HTMLSample">
    <w:name w:val="HTML Sample"/>
    <w:basedOn w:val="DefaultParagraphFont"/>
    <w:uiPriority w:val="99"/>
    <w:semiHidden/>
    <w:unhideWhenUsed/>
    <w:rsid w:val="001B3A69"/>
    <w:rPr>
      <w:rFonts w:ascii="Consolas" w:hAnsi="Consolas"/>
      <w:sz w:val="24"/>
      <w:szCs w:val="24"/>
    </w:rPr>
  </w:style>
  <w:style w:type="character" w:styleId="HTMLTypewriter">
    <w:name w:val="HTML Typewriter"/>
    <w:basedOn w:val="DefaultParagraphFont"/>
    <w:uiPriority w:val="99"/>
    <w:semiHidden/>
    <w:unhideWhenUsed/>
    <w:rsid w:val="001B3A69"/>
    <w:rPr>
      <w:rFonts w:ascii="Consolas" w:hAnsi="Consolas"/>
      <w:sz w:val="20"/>
      <w:szCs w:val="20"/>
    </w:rPr>
  </w:style>
  <w:style w:type="character" w:styleId="HTMLVariable">
    <w:name w:val="HTML Variable"/>
    <w:basedOn w:val="DefaultParagraphFont"/>
    <w:uiPriority w:val="99"/>
    <w:semiHidden/>
    <w:unhideWhenUsed/>
    <w:rsid w:val="001B3A69"/>
    <w:rPr>
      <w:i/>
      <w:iCs/>
    </w:rPr>
  </w:style>
  <w:style w:type="paragraph" w:styleId="Index1">
    <w:name w:val="index 1"/>
    <w:basedOn w:val="Normal"/>
    <w:next w:val="Normal"/>
    <w:autoRedefine/>
    <w:uiPriority w:val="99"/>
    <w:semiHidden/>
    <w:unhideWhenUsed/>
    <w:rsid w:val="001B3A69"/>
    <w:pPr>
      <w:spacing w:after="0"/>
      <w:ind w:left="220" w:hanging="220"/>
    </w:pPr>
  </w:style>
  <w:style w:type="paragraph" w:styleId="Index2">
    <w:name w:val="index 2"/>
    <w:basedOn w:val="Normal"/>
    <w:next w:val="Normal"/>
    <w:autoRedefine/>
    <w:uiPriority w:val="99"/>
    <w:semiHidden/>
    <w:unhideWhenUsed/>
    <w:rsid w:val="001B3A69"/>
    <w:pPr>
      <w:spacing w:after="0"/>
      <w:ind w:left="440" w:hanging="220"/>
    </w:pPr>
  </w:style>
  <w:style w:type="paragraph" w:styleId="Index3">
    <w:name w:val="index 3"/>
    <w:basedOn w:val="Normal"/>
    <w:next w:val="Normal"/>
    <w:autoRedefine/>
    <w:uiPriority w:val="99"/>
    <w:semiHidden/>
    <w:unhideWhenUsed/>
    <w:rsid w:val="001B3A69"/>
    <w:pPr>
      <w:spacing w:after="0"/>
      <w:ind w:left="660" w:hanging="220"/>
    </w:pPr>
  </w:style>
  <w:style w:type="paragraph" w:styleId="Index4">
    <w:name w:val="index 4"/>
    <w:basedOn w:val="Normal"/>
    <w:next w:val="Normal"/>
    <w:autoRedefine/>
    <w:uiPriority w:val="99"/>
    <w:semiHidden/>
    <w:unhideWhenUsed/>
    <w:rsid w:val="001B3A69"/>
    <w:pPr>
      <w:spacing w:after="0"/>
      <w:ind w:left="880" w:hanging="220"/>
    </w:pPr>
  </w:style>
  <w:style w:type="paragraph" w:styleId="Index5">
    <w:name w:val="index 5"/>
    <w:basedOn w:val="Normal"/>
    <w:next w:val="Normal"/>
    <w:autoRedefine/>
    <w:uiPriority w:val="99"/>
    <w:semiHidden/>
    <w:unhideWhenUsed/>
    <w:rsid w:val="001B3A69"/>
    <w:pPr>
      <w:spacing w:after="0"/>
      <w:ind w:left="1100" w:hanging="220"/>
    </w:pPr>
  </w:style>
  <w:style w:type="paragraph" w:styleId="Index6">
    <w:name w:val="index 6"/>
    <w:basedOn w:val="Normal"/>
    <w:next w:val="Normal"/>
    <w:autoRedefine/>
    <w:uiPriority w:val="99"/>
    <w:semiHidden/>
    <w:unhideWhenUsed/>
    <w:rsid w:val="001B3A69"/>
    <w:pPr>
      <w:spacing w:after="0"/>
      <w:ind w:left="1320" w:hanging="220"/>
    </w:pPr>
  </w:style>
  <w:style w:type="paragraph" w:styleId="Index7">
    <w:name w:val="index 7"/>
    <w:basedOn w:val="Normal"/>
    <w:next w:val="Normal"/>
    <w:autoRedefine/>
    <w:uiPriority w:val="99"/>
    <w:semiHidden/>
    <w:unhideWhenUsed/>
    <w:rsid w:val="001B3A69"/>
    <w:pPr>
      <w:spacing w:after="0"/>
      <w:ind w:left="1540" w:hanging="220"/>
    </w:pPr>
  </w:style>
  <w:style w:type="paragraph" w:styleId="Index8">
    <w:name w:val="index 8"/>
    <w:basedOn w:val="Normal"/>
    <w:next w:val="Normal"/>
    <w:autoRedefine/>
    <w:uiPriority w:val="99"/>
    <w:semiHidden/>
    <w:unhideWhenUsed/>
    <w:rsid w:val="001B3A69"/>
    <w:pPr>
      <w:spacing w:after="0"/>
      <w:ind w:left="1760" w:hanging="220"/>
    </w:pPr>
  </w:style>
  <w:style w:type="paragraph" w:styleId="Index9">
    <w:name w:val="index 9"/>
    <w:basedOn w:val="Normal"/>
    <w:next w:val="Normal"/>
    <w:autoRedefine/>
    <w:uiPriority w:val="99"/>
    <w:semiHidden/>
    <w:unhideWhenUsed/>
    <w:rsid w:val="001B3A69"/>
    <w:pPr>
      <w:spacing w:after="0"/>
      <w:ind w:left="1980" w:hanging="220"/>
    </w:pPr>
  </w:style>
  <w:style w:type="paragraph" w:styleId="IndexHeading">
    <w:name w:val="index heading"/>
    <w:basedOn w:val="Normal"/>
    <w:next w:val="Index1"/>
    <w:uiPriority w:val="99"/>
    <w:semiHidden/>
    <w:unhideWhenUsed/>
    <w:rsid w:val="001B3A69"/>
    <w:rPr>
      <w:rFonts w:asciiTheme="majorHAnsi" w:eastAsiaTheme="majorEastAsia" w:hAnsiTheme="majorHAnsi" w:cstheme="majorBidi"/>
      <w:b/>
      <w:bCs/>
    </w:rPr>
  </w:style>
  <w:style w:type="character" w:styleId="IntenseEmphasis">
    <w:name w:val="Intense Emphasis"/>
    <w:basedOn w:val="DefaultParagraphFont"/>
    <w:uiPriority w:val="99"/>
    <w:qFormat/>
    <w:rsid w:val="001B3A69"/>
    <w:rPr>
      <w:b/>
      <w:bCs/>
      <w:i/>
      <w:iCs/>
      <w:color w:val="4F81BD" w:themeColor="accent1"/>
    </w:rPr>
  </w:style>
  <w:style w:type="paragraph" w:styleId="IntenseQuote">
    <w:name w:val="Intense Quote"/>
    <w:basedOn w:val="Normal"/>
    <w:next w:val="Normal"/>
    <w:link w:val="IntenseQuoteChar"/>
    <w:uiPriority w:val="99"/>
    <w:qFormat/>
    <w:rsid w:val="001B3A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1B3A69"/>
    <w:rPr>
      <w:rFonts w:ascii="Arial" w:hAnsi="Arial" w:eastAsiaTheme="minorHAnsi" w:cstheme="minorBidi"/>
      <w:b/>
      <w:bCs/>
      <w:i/>
      <w:iCs/>
      <w:color w:val="4F81BD" w:themeColor="accent1"/>
      <w:sz w:val="24"/>
      <w:szCs w:val="24"/>
      <w:lang w:val="en-CA"/>
    </w:rPr>
  </w:style>
  <w:style w:type="character" w:styleId="IntenseReference">
    <w:name w:val="Intense Reference"/>
    <w:basedOn w:val="DefaultParagraphFont"/>
    <w:uiPriority w:val="99"/>
    <w:qFormat/>
    <w:rsid w:val="001B3A69"/>
    <w:rPr>
      <w:b/>
      <w:bCs/>
      <w:smallCaps/>
      <w:color w:val="C0504D" w:themeColor="accent2"/>
      <w:spacing w:val="5"/>
      <w:u w:val="single"/>
    </w:rPr>
  </w:style>
  <w:style w:type="character" w:styleId="LineNumber">
    <w:name w:val="line number"/>
    <w:basedOn w:val="DefaultParagraphFont"/>
    <w:uiPriority w:val="99"/>
    <w:semiHidden/>
    <w:unhideWhenUsed/>
    <w:rsid w:val="001B3A69"/>
  </w:style>
  <w:style w:type="paragraph" w:styleId="Macro">
    <w:name w:val="macro"/>
    <w:link w:val="MacroTextChar"/>
    <w:uiPriority w:val="99"/>
    <w:semiHidden/>
    <w:unhideWhenUsed/>
    <w:rsid w:val="001B3A69"/>
    <w:pPr>
      <w:tabs>
        <w:tab w:val="left" w:pos="480"/>
        <w:tab w:val="left" w:pos="960"/>
        <w:tab w:val="left" w:pos="1440"/>
        <w:tab w:val="left" w:pos="1920"/>
        <w:tab w:val="left" w:pos="2400"/>
        <w:tab w:val="left" w:pos="2880"/>
        <w:tab w:val="left" w:pos="3360"/>
        <w:tab w:val="left" w:pos="3840"/>
        <w:tab w:val="left" w:pos="4320"/>
      </w:tabs>
    </w:pPr>
    <w:rPr>
      <w:rFonts w:ascii="Consolas" w:hAnsi="Consolas" w:eastAsiaTheme="minorHAnsi" w:cstheme="minorBidi"/>
      <w:sz w:val="24"/>
      <w:szCs w:val="24"/>
      <w:lang w:val="en-CA"/>
    </w:rPr>
  </w:style>
  <w:style w:type="character" w:customStyle="1" w:styleId="MacroTextChar">
    <w:name w:val="Macro Text Char"/>
    <w:basedOn w:val="DefaultParagraphFont"/>
    <w:link w:val="Macro"/>
    <w:uiPriority w:val="99"/>
    <w:semiHidden/>
    <w:rsid w:val="001B3A69"/>
    <w:rPr>
      <w:rFonts w:ascii="Consolas" w:hAnsi="Consolas" w:eastAsiaTheme="minorHAnsi" w:cstheme="minorBidi"/>
      <w:sz w:val="24"/>
      <w:szCs w:val="24"/>
      <w:lang w:val="en-CA"/>
    </w:rPr>
  </w:style>
  <w:style w:type="paragraph" w:styleId="MessageHeader">
    <w:name w:val="Message Header"/>
    <w:basedOn w:val="Normal"/>
    <w:link w:val="MessageHeaderChar"/>
    <w:uiPriority w:val="99"/>
    <w:semiHidden/>
    <w:unhideWhenUsed/>
    <w:rsid w:val="001B3A6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B3A69"/>
    <w:rPr>
      <w:rFonts w:asciiTheme="majorHAnsi" w:eastAsiaTheme="majorEastAsia" w:hAnsiTheme="majorHAnsi" w:cstheme="majorBidi"/>
      <w:sz w:val="24"/>
      <w:szCs w:val="24"/>
      <w:shd w:val="pct20" w:color="auto" w:fill="auto"/>
      <w:lang w:val="en-CA"/>
    </w:rPr>
  </w:style>
  <w:style w:type="paragraph" w:styleId="NoSpacing">
    <w:name w:val="No Spacing"/>
    <w:uiPriority w:val="99"/>
    <w:qFormat/>
    <w:rsid w:val="001B3A69"/>
    <w:rPr>
      <w:rFonts w:eastAsiaTheme="minorHAnsi" w:cstheme="minorBidi"/>
      <w:sz w:val="24"/>
      <w:szCs w:val="24"/>
      <w:lang w:val="en-CA"/>
    </w:rPr>
  </w:style>
  <w:style w:type="paragraph" w:styleId="NormalIndent">
    <w:name w:val="Normal Indent"/>
    <w:basedOn w:val="Normal"/>
    <w:uiPriority w:val="99"/>
    <w:semiHidden/>
    <w:unhideWhenUsed/>
    <w:rsid w:val="001B3A69"/>
    <w:pPr>
      <w:ind w:left="720"/>
    </w:pPr>
  </w:style>
  <w:style w:type="paragraph" w:customStyle="1" w:styleId="NoteHeading">
    <w:name w:val="Note Heading"/>
    <w:basedOn w:val="Normal"/>
    <w:next w:val="Normal"/>
    <w:link w:val="NoteHeadingChar"/>
    <w:uiPriority w:val="99"/>
    <w:semiHidden/>
    <w:unhideWhenUsed/>
    <w:rsid w:val="001B3A69"/>
    <w:pPr>
      <w:spacing w:after="0"/>
    </w:pPr>
  </w:style>
  <w:style w:type="character" w:customStyle="1" w:styleId="NoteHeadingChar">
    <w:name w:val="Note Heading Char"/>
    <w:basedOn w:val="DefaultParagraphFont"/>
    <w:link w:val="NoteHeading"/>
    <w:uiPriority w:val="99"/>
    <w:semiHidden/>
    <w:rsid w:val="001B3A69"/>
    <w:rPr>
      <w:rFonts w:ascii="Arial" w:hAnsi="Arial" w:eastAsiaTheme="minorHAnsi" w:cstheme="minorBidi"/>
      <w:sz w:val="24"/>
      <w:szCs w:val="24"/>
      <w:lang w:val="en-CA"/>
    </w:rPr>
  </w:style>
  <w:style w:type="paragraph" w:customStyle="1" w:styleId="ONEBodyText">
    <w:name w:val="ONE Body Text"/>
    <w:basedOn w:val="Normal"/>
    <w:qFormat/>
    <w:rsid w:val="008E2CE3"/>
    <w:pPr>
      <w:jc w:val="both"/>
    </w:pPr>
  </w:style>
  <w:style w:type="paragraph" w:customStyle="1" w:styleId="ONEBulletL1">
    <w:name w:val="ONE Bullet L1"/>
    <w:basedOn w:val="Normal"/>
    <w:qFormat/>
    <w:rsid w:val="001B3A69"/>
    <w:pPr>
      <w:numPr>
        <w:numId w:val="5"/>
      </w:numPr>
    </w:pPr>
  </w:style>
  <w:style w:type="paragraph" w:customStyle="1" w:styleId="ONEBulletL2">
    <w:name w:val="ONE Bullet L2"/>
    <w:basedOn w:val="Normal"/>
    <w:qFormat/>
    <w:rsid w:val="001B3A69"/>
    <w:pPr>
      <w:numPr>
        <w:ilvl w:val="1"/>
        <w:numId w:val="5"/>
      </w:numPr>
    </w:pPr>
  </w:style>
  <w:style w:type="paragraph" w:customStyle="1" w:styleId="ONEBulletL3">
    <w:name w:val="ONE Bullet L3"/>
    <w:basedOn w:val="Normal"/>
    <w:qFormat/>
    <w:rsid w:val="001B3A69"/>
    <w:pPr>
      <w:numPr>
        <w:ilvl w:val="2"/>
        <w:numId w:val="5"/>
      </w:numPr>
    </w:pPr>
  </w:style>
  <w:style w:type="paragraph" w:customStyle="1" w:styleId="ONELine">
    <w:name w:val="ONE Line"/>
    <w:basedOn w:val="Normal"/>
    <w:qFormat/>
    <w:rsid w:val="001B3A69"/>
    <w:pPr>
      <w:spacing w:before="120" w:after="480"/>
    </w:pPr>
  </w:style>
  <w:style w:type="paragraph" w:customStyle="1" w:styleId="ONENumberCont1">
    <w:name w:val="ONE Number Cont. 1"/>
    <w:basedOn w:val="Normal"/>
    <w:qFormat/>
    <w:rsid w:val="008E2CE3"/>
    <w:pPr>
      <w:ind w:left="720"/>
      <w:jc w:val="both"/>
    </w:pPr>
  </w:style>
  <w:style w:type="paragraph" w:customStyle="1" w:styleId="ONENumberCont2">
    <w:name w:val="ONE Number Cont. 2"/>
    <w:basedOn w:val="Normal"/>
    <w:qFormat/>
    <w:rsid w:val="008E2CE3"/>
    <w:pPr>
      <w:ind w:left="1440"/>
      <w:jc w:val="both"/>
    </w:pPr>
  </w:style>
  <w:style w:type="paragraph" w:customStyle="1" w:styleId="ONENumberCont3">
    <w:name w:val="ONE Number Cont. 3"/>
    <w:basedOn w:val="Normal"/>
    <w:qFormat/>
    <w:rsid w:val="001B3A69"/>
    <w:pPr>
      <w:ind w:left="2160"/>
    </w:pPr>
  </w:style>
  <w:style w:type="paragraph" w:customStyle="1" w:styleId="ONENumberCont4">
    <w:name w:val="ONE Number Cont. 4"/>
    <w:basedOn w:val="Normal"/>
    <w:qFormat/>
    <w:rsid w:val="001B3A69"/>
    <w:pPr>
      <w:ind w:left="2880"/>
    </w:pPr>
  </w:style>
  <w:style w:type="paragraph" w:customStyle="1" w:styleId="ONENumberCont5">
    <w:name w:val="ONE Number Cont. 5"/>
    <w:basedOn w:val="Normal"/>
    <w:qFormat/>
    <w:rsid w:val="001B3A69"/>
    <w:pPr>
      <w:ind w:left="3600"/>
    </w:pPr>
  </w:style>
  <w:style w:type="paragraph" w:customStyle="1" w:styleId="ONEPlain">
    <w:name w:val="ONE Plain"/>
    <w:basedOn w:val="Normal"/>
    <w:qFormat/>
    <w:rsid w:val="001B3A69"/>
    <w:pPr>
      <w:spacing w:after="0"/>
    </w:pPr>
  </w:style>
  <w:style w:type="paragraph" w:customStyle="1" w:styleId="ONEQuote">
    <w:name w:val="ONE Quote"/>
    <w:basedOn w:val="Normal"/>
    <w:qFormat/>
    <w:rsid w:val="001B3A69"/>
    <w:pPr>
      <w:ind w:left="1440" w:right="1440"/>
      <w:jc w:val="both"/>
    </w:pPr>
  </w:style>
  <w:style w:type="paragraph" w:customStyle="1" w:styleId="ONEScheduleTitle">
    <w:name w:val="ONE Schedule Title"/>
    <w:basedOn w:val="Normal"/>
    <w:qFormat/>
    <w:rsid w:val="001B3A69"/>
    <w:pPr>
      <w:jc w:val="center"/>
    </w:pPr>
    <w:rPr>
      <w:b/>
    </w:rPr>
  </w:style>
  <w:style w:type="character" w:styleId="PlaceholderText">
    <w:name w:val="Placeholder Text"/>
    <w:basedOn w:val="DefaultParagraphFont"/>
    <w:uiPriority w:val="99"/>
    <w:semiHidden/>
    <w:rsid w:val="001B3A69"/>
    <w:rPr>
      <w:color w:val="808080"/>
    </w:rPr>
  </w:style>
  <w:style w:type="paragraph" w:styleId="PlainText">
    <w:name w:val="Plain Text"/>
    <w:basedOn w:val="Normal"/>
    <w:link w:val="PlainTextChar"/>
    <w:uiPriority w:val="99"/>
    <w:semiHidden/>
    <w:unhideWhenUsed/>
    <w:rsid w:val="001B3A69"/>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B3A69"/>
    <w:rPr>
      <w:rFonts w:ascii="Consolas" w:hAnsi="Consolas" w:eastAsiaTheme="minorHAnsi" w:cstheme="minorBidi"/>
      <w:sz w:val="21"/>
      <w:szCs w:val="21"/>
      <w:lang w:val="en-CA"/>
    </w:rPr>
  </w:style>
  <w:style w:type="paragraph" w:styleId="Quote">
    <w:name w:val="Quote"/>
    <w:basedOn w:val="Normal"/>
    <w:next w:val="Normal"/>
    <w:link w:val="QuoteChar"/>
    <w:uiPriority w:val="99"/>
    <w:qFormat/>
    <w:rsid w:val="001B3A69"/>
    <w:rPr>
      <w:i/>
      <w:iCs/>
      <w:color w:val="000000" w:themeColor="text1"/>
    </w:rPr>
  </w:style>
  <w:style w:type="character" w:customStyle="1" w:styleId="QuoteChar">
    <w:name w:val="Quote Char"/>
    <w:basedOn w:val="DefaultParagraphFont"/>
    <w:link w:val="Quote"/>
    <w:uiPriority w:val="99"/>
    <w:rsid w:val="001B3A69"/>
    <w:rPr>
      <w:rFonts w:ascii="Arial" w:hAnsi="Arial" w:eastAsiaTheme="minorHAnsi" w:cstheme="minorBidi"/>
      <w:i/>
      <w:iCs/>
      <w:color w:val="000000" w:themeColor="text1"/>
      <w:sz w:val="24"/>
      <w:szCs w:val="24"/>
      <w:lang w:val="en-CA"/>
    </w:rPr>
  </w:style>
  <w:style w:type="paragraph" w:styleId="Salutation">
    <w:name w:val="Salutation"/>
    <w:basedOn w:val="Normal"/>
    <w:next w:val="Normal"/>
    <w:link w:val="SalutationChar"/>
    <w:uiPriority w:val="99"/>
    <w:semiHidden/>
    <w:unhideWhenUsed/>
    <w:rsid w:val="001B3A69"/>
  </w:style>
  <w:style w:type="character" w:customStyle="1" w:styleId="SalutationChar">
    <w:name w:val="Salutation Char"/>
    <w:basedOn w:val="DefaultParagraphFont"/>
    <w:link w:val="Salutation"/>
    <w:uiPriority w:val="99"/>
    <w:semiHidden/>
    <w:rsid w:val="001B3A69"/>
    <w:rPr>
      <w:rFonts w:ascii="Arial" w:hAnsi="Arial" w:eastAsiaTheme="minorHAnsi" w:cstheme="minorBidi"/>
      <w:sz w:val="24"/>
      <w:szCs w:val="24"/>
      <w:lang w:val="en-CA"/>
    </w:rPr>
  </w:style>
  <w:style w:type="paragraph" w:styleId="Signature">
    <w:name w:val="Signature"/>
    <w:basedOn w:val="Normal"/>
    <w:link w:val="SignatureChar"/>
    <w:uiPriority w:val="99"/>
    <w:semiHidden/>
    <w:unhideWhenUsed/>
    <w:rsid w:val="001B3A69"/>
    <w:pPr>
      <w:spacing w:after="0"/>
      <w:ind w:left="4320"/>
    </w:pPr>
  </w:style>
  <w:style w:type="character" w:customStyle="1" w:styleId="SignatureChar">
    <w:name w:val="Signature Char"/>
    <w:basedOn w:val="DefaultParagraphFont"/>
    <w:link w:val="Signature"/>
    <w:uiPriority w:val="99"/>
    <w:semiHidden/>
    <w:rsid w:val="001B3A69"/>
    <w:rPr>
      <w:rFonts w:ascii="Arial" w:hAnsi="Arial" w:eastAsiaTheme="minorHAnsi" w:cstheme="minorBidi"/>
      <w:sz w:val="24"/>
      <w:szCs w:val="24"/>
      <w:lang w:val="en-CA"/>
    </w:rPr>
  </w:style>
  <w:style w:type="character" w:styleId="Strong">
    <w:name w:val="Strong"/>
    <w:basedOn w:val="DefaultParagraphFont"/>
    <w:uiPriority w:val="99"/>
    <w:qFormat/>
    <w:rsid w:val="001B3A69"/>
    <w:rPr>
      <w:b/>
      <w:bCs/>
    </w:rPr>
  </w:style>
  <w:style w:type="paragraph" w:styleId="Subtitle">
    <w:name w:val="Subtitle"/>
    <w:basedOn w:val="Normal"/>
    <w:next w:val="Normal"/>
    <w:link w:val="SubtitleChar"/>
    <w:uiPriority w:val="99"/>
    <w:qFormat/>
    <w:rsid w:val="001B3A6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rsid w:val="001B3A69"/>
    <w:rPr>
      <w:rFonts w:asciiTheme="majorHAnsi" w:eastAsiaTheme="majorEastAsia" w:hAnsiTheme="majorHAnsi" w:cstheme="majorBidi"/>
      <w:i/>
      <w:iCs/>
      <w:color w:val="4F81BD" w:themeColor="accent1"/>
      <w:spacing w:val="15"/>
      <w:sz w:val="24"/>
      <w:szCs w:val="24"/>
      <w:lang w:val="en-CA"/>
    </w:rPr>
  </w:style>
  <w:style w:type="character" w:styleId="SubtleEmphasis">
    <w:name w:val="Subtle Emphasis"/>
    <w:basedOn w:val="DefaultParagraphFont"/>
    <w:uiPriority w:val="99"/>
    <w:qFormat/>
    <w:rsid w:val="001B3A69"/>
    <w:rPr>
      <w:i/>
      <w:iCs/>
      <w:color w:val="808080" w:themeColor="text1" w:themeTint="7F"/>
    </w:rPr>
  </w:style>
  <w:style w:type="character" w:styleId="SubtleReference">
    <w:name w:val="Subtle Reference"/>
    <w:basedOn w:val="DefaultParagraphFont"/>
    <w:uiPriority w:val="99"/>
    <w:qFormat/>
    <w:rsid w:val="001B3A69"/>
    <w:rPr>
      <w:smallCaps/>
      <w:color w:val="C0504D" w:themeColor="accent2"/>
      <w:u w:val="single"/>
    </w:rPr>
  </w:style>
  <w:style w:type="paragraph" w:styleId="TableofAuthorities">
    <w:name w:val="table of authorities"/>
    <w:basedOn w:val="Normal"/>
    <w:next w:val="Normal"/>
    <w:uiPriority w:val="99"/>
    <w:semiHidden/>
    <w:unhideWhenUsed/>
    <w:rsid w:val="001B3A69"/>
    <w:pPr>
      <w:spacing w:after="0"/>
      <w:ind w:left="220" w:hanging="220"/>
    </w:pPr>
  </w:style>
  <w:style w:type="paragraph" w:styleId="TableofFigures">
    <w:name w:val="table of figures"/>
    <w:basedOn w:val="Normal"/>
    <w:next w:val="Normal"/>
    <w:uiPriority w:val="99"/>
    <w:semiHidden/>
    <w:unhideWhenUsed/>
    <w:rsid w:val="001B3A69"/>
    <w:pPr>
      <w:spacing w:after="0"/>
    </w:pPr>
  </w:style>
  <w:style w:type="paragraph" w:styleId="TOAHeading">
    <w:name w:val="toa heading"/>
    <w:basedOn w:val="Normal"/>
    <w:next w:val="Normal"/>
    <w:uiPriority w:val="99"/>
    <w:semiHidden/>
    <w:unhideWhenUsed/>
    <w:rsid w:val="001B3A6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1B3A69"/>
    <w:pPr>
      <w:spacing w:after="100"/>
    </w:pPr>
  </w:style>
  <w:style w:type="paragraph" w:styleId="TOC2">
    <w:name w:val="toc 2"/>
    <w:basedOn w:val="Normal"/>
    <w:next w:val="Normal"/>
    <w:autoRedefine/>
    <w:uiPriority w:val="39"/>
    <w:semiHidden/>
    <w:unhideWhenUsed/>
    <w:rsid w:val="001B3A69"/>
    <w:pPr>
      <w:spacing w:after="100"/>
      <w:ind w:left="220"/>
    </w:pPr>
  </w:style>
  <w:style w:type="paragraph" w:styleId="TOC3">
    <w:name w:val="toc 3"/>
    <w:basedOn w:val="Normal"/>
    <w:next w:val="Normal"/>
    <w:autoRedefine/>
    <w:uiPriority w:val="39"/>
    <w:semiHidden/>
    <w:unhideWhenUsed/>
    <w:rsid w:val="001B3A69"/>
    <w:pPr>
      <w:spacing w:after="100"/>
      <w:ind w:left="440"/>
    </w:pPr>
  </w:style>
  <w:style w:type="paragraph" w:styleId="TOC4">
    <w:name w:val="toc 4"/>
    <w:basedOn w:val="Normal"/>
    <w:next w:val="Normal"/>
    <w:autoRedefine/>
    <w:uiPriority w:val="39"/>
    <w:semiHidden/>
    <w:unhideWhenUsed/>
    <w:rsid w:val="001B3A69"/>
    <w:pPr>
      <w:spacing w:after="100"/>
      <w:ind w:left="660"/>
    </w:pPr>
  </w:style>
  <w:style w:type="paragraph" w:styleId="TOC5">
    <w:name w:val="toc 5"/>
    <w:basedOn w:val="Normal"/>
    <w:next w:val="Normal"/>
    <w:autoRedefine/>
    <w:uiPriority w:val="39"/>
    <w:semiHidden/>
    <w:unhideWhenUsed/>
    <w:rsid w:val="001B3A69"/>
    <w:pPr>
      <w:spacing w:after="100"/>
      <w:ind w:left="880"/>
    </w:pPr>
  </w:style>
  <w:style w:type="paragraph" w:styleId="TOC6">
    <w:name w:val="toc 6"/>
    <w:basedOn w:val="Normal"/>
    <w:next w:val="Normal"/>
    <w:autoRedefine/>
    <w:uiPriority w:val="39"/>
    <w:semiHidden/>
    <w:unhideWhenUsed/>
    <w:rsid w:val="001B3A69"/>
    <w:pPr>
      <w:spacing w:after="100"/>
      <w:ind w:left="1100"/>
    </w:pPr>
  </w:style>
  <w:style w:type="paragraph" w:styleId="TOC7">
    <w:name w:val="toc 7"/>
    <w:basedOn w:val="Normal"/>
    <w:next w:val="Normal"/>
    <w:autoRedefine/>
    <w:uiPriority w:val="39"/>
    <w:semiHidden/>
    <w:unhideWhenUsed/>
    <w:rsid w:val="001B3A69"/>
    <w:pPr>
      <w:spacing w:after="100"/>
      <w:ind w:left="1320"/>
    </w:pPr>
  </w:style>
  <w:style w:type="paragraph" w:styleId="TOC8">
    <w:name w:val="toc 8"/>
    <w:basedOn w:val="Normal"/>
    <w:next w:val="Normal"/>
    <w:autoRedefine/>
    <w:uiPriority w:val="39"/>
    <w:semiHidden/>
    <w:unhideWhenUsed/>
    <w:rsid w:val="001B3A69"/>
    <w:pPr>
      <w:spacing w:after="100"/>
      <w:ind w:left="1540"/>
    </w:pPr>
  </w:style>
  <w:style w:type="paragraph" w:styleId="TOC9">
    <w:name w:val="toc 9"/>
    <w:basedOn w:val="Normal"/>
    <w:next w:val="Normal"/>
    <w:autoRedefine/>
    <w:uiPriority w:val="39"/>
    <w:semiHidden/>
    <w:unhideWhenUsed/>
    <w:rsid w:val="001B3A69"/>
    <w:pPr>
      <w:spacing w:after="100"/>
      <w:ind w:left="1760"/>
    </w:pPr>
  </w:style>
  <w:style w:type="paragraph" w:styleId="TOCHeading">
    <w:name w:val="TOC Heading"/>
    <w:basedOn w:val="Heading1"/>
    <w:next w:val="Normal"/>
    <w:uiPriority w:val="39"/>
    <w:semiHidden/>
    <w:unhideWhenUsed/>
    <w:qFormat/>
    <w:rsid w:val="001B3A69"/>
    <w:pPr>
      <w:numPr>
        <w:numId w:val="0"/>
      </w:num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3008</Words>
  <Characters>16123</Characters>
  <Application>Microsoft Office Word</Application>
  <DocSecurity>0</DocSecurity>
  <Lines>1005</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2018-02-02T23:22:00Z</dcterms:modified>
</cp:coreProperties>
</file>