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B53815">
        <w:rPr>
          <w:rFonts w:ascii="Arial" w:hAnsi="Arial"/>
          <w:u w:val="single"/>
          <w:lang w:val="en-CA"/>
        </w:rPr>
        <w:t>Laguna Blends Inc.</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(the “Issuer”).  </w:t>
      </w:r>
    </w:p>
    <w:p w:rsidR="00EA4133" w:rsidRDefault="00EA4133">
      <w:pPr>
        <w:pStyle w:val="BodyText"/>
        <w:rPr>
          <w:rFonts w:ascii="Arial" w:hAnsi="Arial"/>
          <w:lang w:val="en-CA"/>
        </w:rPr>
      </w:pPr>
      <w:r>
        <w:rPr>
          <w:rFonts w:ascii="Arial" w:hAnsi="Arial"/>
          <w:lang w:val="en-CA"/>
        </w:rPr>
        <w:t xml:space="preserve">Trading Symbol:  </w:t>
      </w:r>
      <w:r w:rsidR="00B53815">
        <w:rPr>
          <w:rFonts w:ascii="Arial" w:hAnsi="Arial"/>
          <w:u w:val="single"/>
          <w:lang w:val="en-CA"/>
        </w:rPr>
        <w:t>LAG</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spacing w:after="240"/>
        <w:rPr>
          <w:rFonts w:ascii="Arial" w:hAnsi="Arial"/>
          <w:lang w:val="en-CA"/>
        </w:rPr>
      </w:pPr>
      <w:r>
        <w:rPr>
          <w:rFonts w:ascii="Arial" w:hAnsi="Arial"/>
          <w:lang w:val="en-CA"/>
        </w:rPr>
        <w:t xml:space="preserve">Date:  </w:t>
      </w:r>
      <w:r w:rsidR="00B53815">
        <w:rPr>
          <w:rFonts w:ascii="Arial" w:hAnsi="Arial"/>
          <w:u w:val="single"/>
          <w:lang w:val="en-CA"/>
        </w:rPr>
        <w:tab/>
        <w:t>July</w:t>
      </w:r>
      <w:r w:rsidR="00F8201C">
        <w:rPr>
          <w:rFonts w:ascii="Arial" w:hAnsi="Arial"/>
          <w:u w:val="single"/>
          <w:lang w:val="en-CA"/>
        </w:rPr>
        <w:t xml:space="preserve"> 7</w:t>
      </w:r>
      <w:r w:rsidR="00B53815">
        <w:rPr>
          <w:rFonts w:ascii="Arial" w:hAnsi="Arial"/>
          <w:u w:val="single"/>
          <w:lang w:val="en-CA"/>
        </w:rPr>
        <w:t>, 2016</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F502C5">
        <w:rPr>
          <w:rFonts w:ascii="Arial" w:hAnsi="Arial"/>
          <w:lang w:val="en-CA"/>
        </w:rPr>
        <w:sym w:font="Wingdings 2" w:char="F0A3"/>
      </w:r>
      <w:r>
        <w:rPr>
          <w:rFonts w:ascii="Arial" w:hAnsi="Arial"/>
          <w:lang w:val="en-CA"/>
        </w:rPr>
        <w:t>Yes</w:t>
      </w:r>
      <w:r>
        <w:rPr>
          <w:rFonts w:ascii="Arial" w:hAnsi="Arial"/>
          <w:lang w:val="en-CA"/>
        </w:rPr>
        <w:tab/>
      </w:r>
      <w:r>
        <w:rPr>
          <w:rFonts w:ascii="Arial" w:hAnsi="Arial"/>
          <w:lang w:val="en-CA"/>
        </w:rPr>
        <w:tab/>
      </w:r>
      <w:r w:rsidR="00B53815">
        <w:rPr>
          <w:rFonts w:ascii="Arial" w:hAnsi="Arial"/>
          <w:lang w:val="en-CA"/>
        </w:rPr>
        <w:sym w:font="Wingdings 2" w:char="F054"/>
      </w:r>
      <w:r>
        <w:rPr>
          <w:rFonts w:ascii="Arial" w:hAnsi="Arial"/>
          <w:lang w:val="en-CA"/>
        </w:rPr>
        <w:t>No</w:t>
      </w:r>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F502C5">
        <w:rPr>
          <w:rFonts w:ascii="Arial" w:hAnsi="Arial"/>
          <w:u w:val="single"/>
          <w:lang w:val="en-CA"/>
        </w:rPr>
        <w:t>22,670,036</w:t>
      </w:r>
      <w:r w:rsidR="00F502C5">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1B12F5">
        <w:rPr>
          <w:rFonts w:ascii="Arial" w:hAnsi="Arial"/>
          <w:u w:val="single"/>
          <w:lang w:val="en-CA"/>
        </w:rPr>
        <w:t>May 30, 2016</w:t>
      </w:r>
      <w:r w:rsidR="00B53815">
        <w:rPr>
          <w:rFonts w:ascii="Arial" w:hAnsi="Arial"/>
          <w:u w:val="single"/>
          <w:lang w:val="en-CA"/>
        </w:rPr>
        <w:tab/>
      </w:r>
      <w:r>
        <w:rPr>
          <w:rFonts w:ascii="Arial" w:hAnsi="Arial"/>
          <w:lang w:val="en-CA"/>
        </w:rPr>
        <w:t xml:space="preserve"> .</w:t>
      </w:r>
    </w:p>
    <w:p w:rsidR="00EA4133" w:rsidRPr="00B53815"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1B12F5">
        <w:rPr>
          <w:rFonts w:ascii="Arial" w:hAnsi="Arial"/>
          <w:u w:val="single"/>
          <w:lang w:val="en-CA"/>
        </w:rPr>
        <w:t>$0.10</w:t>
      </w:r>
      <w:r w:rsidR="00B53815">
        <w:rPr>
          <w:rFonts w:ascii="Arial" w:hAnsi="Arial"/>
          <w:u w:val="single"/>
          <w:lang w:val="en-CA"/>
        </w:rPr>
        <w:tab/>
      </w:r>
      <w:r w:rsidR="00B53815">
        <w:rPr>
          <w:rFonts w:ascii="Arial" w:hAnsi="Arial"/>
          <w:lang w:val="en-CA"/>
        </w:rPr>
        <w:t xml:space="preserve"> .</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394"/>
        <w:gridCol w:w="1376"/>
        <w:gridCol w:w="1192"/>
        <w:gridCol w:w="1376"/>
        <w:gridCol w:w="1376"/>
        <w:gridCol w:w="1584"/>
        <w:gridCol w:w="1080"/>
        <w:gridCol w:w="1278"/>
      </w:tblGrid>
      <w:tr w:rsidR="00EA4133" w:rsidTr="009A5990">
        <w:trPr>
          <w:trHeight w:val="1965"/>
        </w:trPr>
        <w:tc>
          <w:tcPr>
            <w:tcW w:w="1394"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584" w:type="dxa"/>
          </w:tcPr>
          <w:p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278"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rsidTr="009A5990">
        <w:trPr>
          <w:trHeight w:val="864"/>
        </w:trPr>
        <w:tc>
          <w:tcPr>
            <w:tcW w:w="1394" w:type="dxa"/>
          </w:tcPr>
          <w:p w:rsidR="00A90670" w:rsidRPr="009A5990" w:rsidRDefault="001B12F5" w:rsidP="00B53815">
            <w:pPr>
              <w:pStyle w:val="BodyText"/>
              <w:spacing w:before="0" w:line="280" w:lineRule="exact"/>
              <w:rPr>
                <w:rFonts w:ascii="Arial" w:hAnsi="Arial"/>
                <w:b/>
                <w:sz w:val="20"/>
                <w:lang w:val="en-CA"/>
              </w:rPr>
            </w:pPr>
            <w:r>
              <w:rPr>
                <w:rFonts w:ascii="Arial" w:hAnsi="Arial"/>
                <w:b/>
                <w:sz w:val="20"/>
                <w:lang w:val="en-CA"/>
              </w:rPr>
              <w:t>Emmanuel Arceneaux</w:t>
            </w:r>
          </w:p>
        </w:tc>
        <w:tc>
          <w:tcPr>
            <w:tcW w:w="1376" w:type="dxa"/>
          </w:tcPr>
          <w:p w:rsidR="00A90670" w:rsidRPr="009A5990" w:rsidRDefault="00B53815">
            <w:pPr>
              <w:pStyle w:val="BodyText"/>
              <w:spacing w:before="0" w:line="280" w:lineRule="exact"/>
              <w:jc w:val="center"/>
              <w:rPr>
                <w:rFonts w:ascii="Arial" w:hAnsi="Arial"/>
                <w:b/>
                <w:sz w:val="20"/>
                <w:vertAlign w:val="superscript"/>
                <w:lang w:val="en-CA"/>
              </w:rPr>
            </w:pPr>
            <w:r w:rsidRPr="009A5990">
              <w:rPr>
                <w:rFonts w:ascii="Arial" w:hAnsi="Arial"/>
                <w:b/>
                <w:sz w:val="20"/>
                <w:vertAlign w:val="superscript"/>
                <w:lang w:val="en-CA"/>
              </w:rPr>
              <w:t>(3)</w:t>
            </w:r>
          </w:p>
        </w:tc>
        <w:tc>
          <w:tcPr>
            <w:tcW w:w="1192" w:type="dxa"/>
          </w:tcPr>
          <w:p w:rsidR="00A90670" w:rsidRPr="009A5990" w:rsidRDefault="00B53815" w:rsidP="00B53815">
            <w:pPr>
              <w:pStyle w:val="BodyText"/>
              <w:spacing w:before="0" w:line="280" w:lineRule="exact"/>
              <w:jc w:val="center"/>
              <w:rPr>
                <w:rFonts w:ascii="Arial" w:hAnsi="Arial"/>
                <w:b/>
                <w:sz w:val="20"/>
                <w:vertAlign w:val="superscript"/>
                <w:lang w:val="en-CA"/>
              </w:rPr>
            </w:pPr>
            <w:r w:rsidRPr="009A5990">
              <w:rPr>
                <w:rFonts w:ascii="Arial" w:hAnsi="Arial"/>
                <w:b/>
                <w:sz w:val="20"/>
                <w:vertAlign w:val="superscript"/>
                <w:lang w:val="en-CA"/>
              </w:rPr>
              <w:t>(3)</w:t>
            </w:r>
          </w:p>
        </w:tc>
        <w:tc>
          <w:tcPr>
            <w:tcW w:w="1376" w:type="dxa"/>
          </w:tcPr>
          <w:p w:rsidR="00A90670" w:rsidRPr="009A5990" w:rsidRDefault="00B53815">
            <w:pPr>
              <w:pStyle w:val="BodyText"/>
              <w:spacing w:before="0" w:line="280" w:lineRule="exact"/>
              <w:jc w:val="center"/>
              <w:rPr>
                <w:rFonts w:ascii="Arial" w:hAnsi="Arial"/>
                <w:b/>
                <w:sz w:val="20"/>
                <w:lang w:val="en-CA"/>
              </w:rPr>
            </w:pPr>
            <w:r w:rsidRPr="009A5990">
              <w:rPr>
                <w:rFonts w:ascii="Arial" w:hAnsi="Arial"/>
                <w:b/>
                <w:sz w:val="20"/>
                <w:lang w:val="en-CA"/>
              </w:rPr>
              <w:t>N/A</w:t>
            </w:r>
          </w:p>
        </w:tc>
        <w:tc>
          <w:tcPr>
            <w:tcW w:w="1376" w:type="dxa"/>
          </w:tcPr>
          <w:p w:rsidR="00A90670" w:rsidRPr="009A5990" w:rsidRDefault="00F502C5" w:rsidP="00581988">
            <w:pPr>
              <w:pStyle w:val="BodyText"/>
              <w:spacing w:before="0" w:line="280" w:lineRule="exact"/>
              <w:jc w:val="center"/>
              <w:rPr>
                <w:rFonts w:ascii="Arial" w:hAnsi="Arial"/>
                <w:b/>
                <w:sz w:val="20"/>
                <w:lang w:val="en-CA"/>
              </w:rPr>
            </w:pPr>
            <w:r>
              <w:rPr>
                <w:rFonts w:ascii="Arial" w:hAnsi="Arial"/>
                <w:b/>
                <w:sz w:val="20"/>
                <w:lang w:val="en-CA"/>
              </w:rPr>
              <w:t xml:space="preserve">Section </w:t>
            </w:r>
            <w:r w:rsidR="00581988">
              <w:rPr>
                <w:rFonts w:ascii="Arial" w:hAnsi="Arial"/>
                <w:b/>
                <w:sz w:val="20"/>
                <w:lang w:val="en-CA"/>
              </w:rPr>
              <w:t>2.24</w:t>
            </w:r>
            <w:r w:rsidR="001B12F5">
              <w:rPr>
                <w:rFonts w:ascii="Arial" w:hAnsi="Arial"/>
                <w:b/>
                <w:sz w:val="20"/>
                <w:lang w:val="en-CA"/>
              </w:rPr>
              <w:t xml:space="preserve"> </w:t>
            </w:r>
            <w:r>
              <w:rPr>
                <w:rFonts w:ascii="Arial" w:hAnsi="Arial"/>
                <w:b/>
                <w:sz w:val="20"/>
                <w:lang w:val="en-CA"/>
              </w:rPr>
              <w:t>of NI 45-106</w:t>
            </w:r>
          </w:p>
        </w:tc>
        <w:tc>
          <w:tcPr>
            <w:tcW w:w="1584" w:type="dxa"/>
          </w:tcPr>
          <w:p w:rsidR="00A90670" w:rsidRPr="009A5990" w:rsidRDefault="00B53815">
            <w:pPr>
              <w:pStyle w:val="BodyText"/>
              <w:spacing w:before="0" w:line="280" w:lineRule="exact"/>
              <w:jc w:val="center"/>
              <w:rPr>
                <w:rFonts w:ascii="Arial" w:hAnsi="Arial"/>
                <w:b/>
                <w:sz w:val="20"/>
              </w:rPr>
            </w:pPr>
            <w:r w:rsidRPr="009A5990">
              <w:rPr>
                <w:rFonts w:ascii="Arial" w:hAnsi="Arial"/>
                <w:b/>
                <w:sz w:val="20"/>
              </w:rPr>
              <w:t>Nil</w:t>
            </w:r>
          </w:p>
        </w:tc>
        <w:tc>
          <w:tcPr>
            <w:tcW w:w="1080" w:type="dxa"/>
          </w:tcPr>
          <w:p w:rsidR="00A90670" w:rsidRPr="009A5990" w:rsidRDefault="00B53815">
            <w:pPr>
              <w:pStyle w:val="BodyText"/>
              <w:spacing w:before="0" w:line="280" w:lineRule="exact"/>
              <w:jc w:val="center"/>
              <w:rPr>
                <w:rFonts w:ascii="Arial" w:hAnsi="Arial"/>
                <w:b/>
                <w:sz w:val="20"/>
                <w:vertAlign w:val="superscript"/>
                <w:lang w:val="en-CA"/>
              </w:rPr>
            </w:pPr>
            <w:r w:rsidRPr="009A5990">
              <w:rPr>
                <w:rFonts w:ascii="Arial" w:hAnsi="Arial"/>
                <w:b/>
                <w:sz w:val="20"/>
                <w:vertAlign w:val="superscript"/>
                <w:lang w:val="en-CA"/>
              </w:rPr>
              <w:t>(3)</w:t>
            </w:r>
          </w:p>
        </w:tc>
        <w:tc>
          <w:tcPr>
            <w:tcW w:w="1278" w:type="dxa"/>
          </w:tcPr>
          <w:p w:rsidR="00A90670" w:rsidRPr="009A5990" w:rsidRDefault="00581988">
            <w:pPr>
              <w:pStyle w:val="BodyText"/>
              <w:spacing w:before="0" w:line="280" w:lineRule="exact"/>
              <w:jc w:val="center"/>
              <w:rPr>
                <w:rFonts w:ascii="Arial" w:hAnsi="Arial"/>
                <w:b/>
                <w:color w:val="000000"/>
                <w:sz w:val="20"/>
                <w:lang w:val="en-CA"/>
              </w:rPr>
            </w:pPr>
            <w:r>
              <w:rPr>
                <w:rFonts w:ascii="Arial" w:hAnsi="Arial"/>
                <w:b/>
                <w:color w:val="000000"/>
                <w:sz w:val="20"/>
                <w:lang w:val="en-CA"/>
              </w:rPr>
              <w:t>Consultant</w:t>
            </w:r>
          </w:p>
        </w:tc>
      </w:tr>
      <w:tr w:rsidR="00A90670" w:rsidTr="009A5990">
        <w:trPr>
          <w:trHeight w:val="864"/>
        </w:trPr>
        <w:tc>
          <w:tcPr>
            <w:tcW w:w="1394"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76" w:type="dxa"/>
          </w:tcPr>
          <w:p w:rsidR="00A90670" w:rsidRDefault="00A90670">
            <w:pPr>
              <w:pStyle w:val="BodyText"/>
              <w:rPr>
                <w:rFonts w:ascii="Arial" w:hAnsi="Arial"/>
                <w:lang w:val="en-CA"/>
              </w:rPr>
            </w:pPr>
          </w:p>
        </w:tc>
        <w:tc>
          <w:tcPr>
            <w:tcW w:w="1192" w:type="dxa"/>
          </w:tcPr>
          <w:p w:rsidR="00A90670" w:rsidRDefault="00A90670">
            <w:pPr>
              <w:pStyle w:val="BodyText"/>
              <w:rPr>
                <w:rFonts w:ascii="Arial" w:hAnsi="Arial"/>
                <w:lang w:val="en-CA"/>
              </w:rPr>
            </w:pPr>
          </w:p>
        </w:tc>
        <w:tc>
          <w:tcPr>
            <w:tcW w:w="1376" w:type="dxa"/>
          </w:tcPr>
          <w:p w:rsidR="00A90670" w:rsidRDefault="00A90670">
            <w:pPr>
              <w:pStyle w:val="BodyText"/>
              <w:rPr>
                <w:rFonts w:ascii="Arial" w:hAnsi="Arial"/>
                <w:lang w:val="en-CA"/>
              </w:rPr>
            </w:pPr>
          </w:p>
        </w:tc>
        <w:tc>
          <w:tcPr>
            <w:tcW w:w="1376" w:type="dxa"/>
          </w:tcPr>
          <w:p w:rsidR="00A90670" w:rsidRDefault="00A90670">
            <w:pPr>
              <w:pStyle w:val="BodyText"/>
              <w:rPr>
                <w:rFonts w:ascii="Arial" w:hAnsi="Arial"/>
                <w:lang w:val="en-CA"/>
              </w:rPr>
            </w:pPr>
          </w:p>
        </w:tc>
        <w:tc>
          <w:tcPr>
            <w:tcW w:w="1584"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278" w:type="dxa"/>
          </w:tcPr>
          <w:p w:rsidR="00A90670" w:rsidRDefault="00A90670">
            <w:pPr>
              <w:pStyle w:val="BodyText"/>
              <w:rPr>
                <w:rFonts w:ascii="Arial" w:hAnsi="Arial"/>
                <w:lang w:val="en-CA"/>
              </w:rPr>
            </w:pPr>
          </w:p>
        </w:tc>
      </w:tr>
      <w:tr w:rsidR="00A90670" w:rsidTr="009A5990">
        <w:trPr>
          <w:trHeight w:val="864"/>
        </w:trPr>
        <w:tc>
          <w:tcPr>
            <w:tcW w:w="1394" w:type="dxa"/>
          </w:tcPr>
          <w:p w:rsidR="00A90670" w:rsidRDefault="00A90670">
            <w:pPr>
              <w:pStyle w:val="BodyText"/>
              <w:rPr>
                <w:rFonts w:ascii="Arial" w:hAnsi="Arial"/>
                <w:lang w:val="en-CA"/>
              </w:rPr>
            </w:pPr>
          </w:p>
        </w:tc>
        <w:tc>
          <w:tcPr>
            <w:tcW w:w="1376" w:type="dxa"/>
          </w:tcPr>
          <w:p w:rsidR="00A90670" w:rsidRDefault="00A90670">
            <w:pPr>
              <w:pStyle w:val="BodyText"/>
              <w:rPr>
                <w:rFonts w:ascii="Arial" w:hAnsi="Arial"/>
                <w:lang w:val="en-CA"/>
              </w:rPr>
            </w:pPr>
          </w:p>
        </w:tc>
        <w:tc>
          <w:tcPr>
            <w:tcW w:w="1192" w:type="dxa"/>
          </w:tcPr>
          <w:p w:rsidR="00A90670" w:rsidRDefault="00A90670">
            <w:pPr>
              <w:pStyle w:val="BodyText"/>
              <w:rPr>
                <w:rFonts w:ascii="Arial" w:hAnsi="Arial"/>
                <w:lang w:val="en-CA"/>
              </w:rPr>
            </w:pPr>
          </w:p>
        </w:tc>
        <w:tc>
          <w:tcPr>
            <w:tcW w:w="1376" w:type="dxa"/>
          </w:tcPr>
          <w:p w:rsidR="00A90670" w:rsidRDefault="00A90670">
            <w:pPr>
              <w:pStyle w:val="BodyText"/>
              <w:rPr>
                <w:rFonts w:ascii="Arial" w:hAnsi="Arial"/>
                <w:lang w:val="en-CA"/>
              </w:rPr>
            </w:pPr>
          </w:p>
        </w:tc>
        <w:tc>
          <w:tcPr>
            <w:tcW w:w="1376" w:type="dxa"/>
          </w:tcPr>
          <w:p w:rsidR="00A90670" w:rsidRDefault="00A90670">
            <w:pPr>
              <w:pStyle w:val="BodyText"/>
              <w:rPr>
                <w:rFonts w:ascii="Arial" w:hAnsi="Arial"/>
                <w:lang w:val="en-CA"/>
              </w:rPr>
            </w:pPr>
          </w:p>
        </w:tc>
        <w:tc>
          <w:tcPr>
            <w:tcW w:w="1584"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278" w:type="dxa"/>
          </w:tcPr>
          <w:p w:rsidR="00A90670" w:rsidRDefault="00A90670">
            <w:pPr>
              <w:pStyle w:val="BodyText"/>
              <w:rPr>
                <w:rFonts w:ascii="Arial" w:hAnsi="Arial"/>
                <w:lang w:val="en-CA"/>
              </w:rPr>
            </w:pP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lastRenderedPageBreak/>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rsidR="00EA4133" w:rsidRDefault="00EA4133">
      <w:pPr>
        <w:pStyle w:val="BodyText"/>
        <w:numPr>
          <w:ilvl w:val="0"/>
          <w:numId w:val="8"/>
        </w:numPr>
        <w:rPr>
          <w:rFonts w:ascii="Arial" w:hAnsi="Arial" w:cs="Arial"/>
          <w:sz w:val="20"/>
        </w:rPr>
      </w:pPr>
      <w:r w:rsidRPr="008003B9">
        <w:rPr>
          <w:rFonts w:ascii="Arial" w:hAnsi="Arial" w:cs="Arial"/>
          <w:sz w:val="20"/>
        </w:rPr>
        <w:t>Indicate if Related Person.</w:t>
      </w:r>
    </w:p>
    <w:p w:rsidR="00B53815" w:rsidRDefault="001B12F5" w:rsidP="00502A47">
      <w:pPr>
        <w:pStyle w:val="BodyText"/>
        <w:numPr>
          <w:ilvl w:val="0"/>
          <w:numId w:val="8"/>
        </w:numPr>
        <w:jc w:val="both"/>
        <w:rPr>
          <w:rFonts w:ascii="Arial" w:hAnsi="Arial" w:cs="Arial"/>
          <w:sz w:val="20"/>
        </w:rPr>
      </w:pPr>
      <w:r>
        <w:rPr>
          <w:rFonts w:ascii="Arial" w:hAnsi="Arial" w:cs="Arial"/>
          <w:sz w:val="20"/>
        </w:rPr>
        <w:t xml:space="preserve">The Company has entered into an </w:t>
      </w:r>
      <w:r w:rsidR="00581988">
        <w:rPr>
          <w:rFonts w:ascii="Arial" w:hAnsi="Arial" w:cs="Arial"/>
          <w:sz w:val="20"/>
        </w:rPr>
        <w:t>A</w:t>
      </w:r>
      <w:r>
        <w:rPr>
          <w:rFonts w:ascii="Arial" w:hAnsi="Arial" w:cs="Arial"/>
          <w:sz w:val="20"/>
        </w:rPr>
        <w:t>mend</w:t>
      </w:r>
      <w:r w:rsidR="00581988">
        <w:rPr>
          <w:rFonts w:ascii="Arial" w:hAnsi="Arial" w:cs="Arial"/>
          <w:sz w:val="20"/>
        </w:rPr>
        <w:t>ment</w:t>
      </w:r>
      <w:r>
        <w:rPr>
          <w:rFonts w:ascii="Arial" w:hAnsi="Arial" w:cs="Arial"/>
          <w:sz w:val="20"/>
        </w:rPr>
        <w:t xml:space="preserve"> to the </w:t>
      </w:r>
      <w:r w:rsidR="00581988">
        <w:rPr>
          <w:rFonts w:ascii="Arial" w:hAnsi="Arial" w:cs="Arial"/>
          <w:sz w:val="20"/>
        </w:rPr>
        <w:t>E</w:t>
      </w:r>
      <w:r>
        <w:rPr>
          <w:rFonts w:ascii="Arial" w:hAnsi="Arial" w:cs="Arial"/>
          <w:sz w:val="20"/>
        </w:rPr>
        <w:t xml:space="preserve">ndorsement </w:t>
      </w:r>
      <w:r w:rsidR="00581988">
        <w:rPr>
          <w:rFonts w:ascii="Arial" w:hAnsi="Arial" w:cs="Arial"/>
          <w:sz w:val="20"/>
        </w:rPr>
        <w:t>S</w:t>
      </w:r>
      <w:r>
        <w:rPr>
          <w:rFonts w:ascii="Arial" w:hAnsi="Arial" w:cs="Arial"/>
          <w:sz w:val="20"/>
        </w:rPr>
        <w:t xml:space="preserve">ervices </w:t>
      </w:r>
      <w:r w:rsidR="00581988">
        <w:rPr>
          <w:rFonts w:ascii="Arial" w:hAnsi="Arial" w:cs="Arial"/>
          <w:sz w:val="20"/>
        </w:rPr>
        <w:t>A</w:t>
      </w:r>
      <w:r>
        <w:rPr>
          <w:rFonts w:ascii="Arial" w:hAnsi="Arial" w:cs="Arial"/>
          <w:sz w:val="20"/>
        </w:rPr>
        <w:t xml:space="preserve">greement </w:t>
      </w:r>
      <w:r w:rsidR="00B53815">
        <w:rPr>
          <w:rFonts w:ascii="Arial" w:hAnsi="Arial" w:cs="Arial"/>
          <w:sz w:val="20"/>
        </w:rPr>
        <w:t xml:space="preserve">between the Company and </w:t>
      </w:r>
      <w:r>
        <w:rPr>
          <w:rFonts w:ascii="Arial" w:hAnsi="Arial" w:cs="Arial"/>
          <w:sz w:val="20"/>
        </w:rPr>
        <w:t xml:space="preserve">Emmanuel Arceneaux </w:t>
      </w:r>
      <w:r w:rsidR="00B53815">
        <w:rPr>
          <w:rFonts w:ascii="Arial" w:hAnsi="Arial" w:cs="Arial"/>
          <w:sz w:val="20"/>
        </w:rPr>
        <w:t xml:space="preserve">dated </w:t>
      </w:r>
      <w:r>
        <w:rPr>
          <w:rFonts w:ascii="Arial" w:hAnsi="Arial" w:cs="Arial"/>
          <w:sz w:val="20"/>
        </w:rPr>
        <w:t>May 21</w:t>
      </w:r>
      <w:r w:rsidR="00B53815">
        <w:rPr>
          <w:rFonts w:ascii="Arial" w:hAnsi="Arial" w:cs="Arial"/>
          <w:sz w:val="20"/>
        </w:rPr>
        <w:t xml:space="preserve">, 2016 (the “Agreement’), whereby the </w:t>
      </w:r>
      <w:r>
        <w:rPr>
          <w:rFonts w:ascii="Arial" w:hAnsi="Arial" w:cs="Arial"/>
          <w:sz w:val="20"/>
        </w:rPr>
        <w:t>parties agreed to extend the t</w:t>
      </w:r>
      <w:bookmarkStart w:id="0" w:name="_GoBack"/>
      <w:bookmarkEnd w:id="0"/>
      <w:r>
        <w:rPr>
          <w:rFonts w:ascii="Arial" w:hAnsi="Arial" w:cs="Arial"/>
          <w:sz w:val="20"/>
        </w:rPr>
        <w:t>erms of the Endorsement Services Agreement da</w:t>
      </w:r>
      <w:r w:rsidR="00581988">
        <w:rPr>
          <w:rFonts w:ascii="Arial" w:hAnsi="Arial" w:cs="Arial"/>
          <w:sz w:val="20"/>
        </w:rPr>
        <w:t>t</w:t>
      </w:r>
      <w:r>
        <w:rPr>
          <w:rFonts w:ascii="Arial" w:hAnsi="Arial" w:cs="Arial"/>
          <w:sz w:val="20"/>
        </w:rPr>
        <w:t>ed Au</w:t>
      </w:r>
      <w:r w:rsidR="00581988">
        <w:rPr>
          <w:rFonts w:ascii="Arial" w:hAnsi="Arial" w:cs="Arial"/>
          <w:sz w:val="20"/>
        </w:rPr>
        <w:t>gust 31</w:t>
      </w:r>
      <w:r w:rsidR="00405351">
        <w:rPr>
          <w:rFonts w:ascii="Arial" w:hAnsi="Arial" w:cs="Arial"/>
          <w:sz w:val="20"/>
        </w:rPr>
        <w:t>, 2015 to April 30, 2017, renewing</w:t>
      </w:r>
      <w:r w:rsidR="00581988">
        <w:rPr>
          <w:rFonts w:ascii="Arial" w:hAnsi="Arial" w:cs="Arial"/>
          <w:sz w:val="20"/>
        </w:rPr>
        <w:t xml:space="preserve"> automatically for one year periods, and include a </w:t>
      </w:r>
      <w:r w:rsidR="00B53815">
        <w:rPr>
          <w:rFonts w:ascii="Arial" w:hAnsi="Arial" w:cs="Arial"/>
          <w:sz w:val="20"/>
        </w:rPr>
        <w:t xml:space="preserve">monthly </w:t>
      </w:r>
      <w:r w:rsidR="00581988">
        <w:rPr>
          <w:rFonts w:ascii="Arial" w:hAnsi="Arial" w:cs="Arial"/>
          <w:sz w:val="20"/>
        </w:rPr>
        <w:t xml:space="preserve">consulting </w:t>
      </w:r>
      <w:r w:rsidR="00B53815">
        <w:rPr>
          <w:rFonts w:ascii="Arial" w:hAnsi="Arial" w:cs="Arial"/>
          <w:sz w:val="20"/>
        </w:rPr>
        <w:t xml:space="preserve">fee of $2,500, payable solely in common shares of the Company (each, a “Share”) which Shares will be issued within 10 business days of each monthly period following the effective date of the Agreement. </w:t>
      </w:r>
      <w:r w:rsidR="00502A47">
        <w:rPr>
          <w:rFonts w:ascii="Arial" w:hAnsi="Arial" w:cs="Arial"/>
          <w:sz w:val="20"/>
        </w:rPr>
        <w:t>The number of Shares to be issued each month will be equal to: ($2,500 divided by (ii) the Market Price (as defined in the Agreement) on the trading day immediately prior to the trigger date of each applicable month.</w:t>
      </w:r>
    </w:p>
    <w:p w:rsidR="00502A47" w:rsidRPr="00502A47" w:rsidRDefault="00502A47" w:rsidP="00502A47">
      <w:pPr>
        <w:pStyle w:val="BodyText"/>
        <w:ind w:left="390"/>
        <w:jc w:val="both"/>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502A47">
        <w:rPr>
          <w:rFonts w:ascii="Arial" w:hAnsi="Arial"/>
          <w:u w:val="single"/>
        </w:rPr>
        <w:t>N/A.  Shares are being issued at a deemed price pursuant to the Agreement</w:t>
      </w:r>
      <w:r w:rsidR="00502A47">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502A47">
        <w:rPr>
          <w:rFonts w:ascii="Arial" w:hAnsi="Arial"/>
          <w:u w:val="single"/>
        </w:rPr>
        <w:t>N/A</w:t>
      </w:r>
      <w:r w:rsidR="00502A47">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02A47">
        <w:rPr>
          <w:rFonts w:ascii="Arial" w:hAnsi="Arial"/>
          <w:u w:val="single"/>
        </w:rPr>
        <w:t>N/A</w:t>
      </w:r>
      <w:r w:rsidR="00502A47">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502A47">
        <w:rPr>
          <w:rFonts w:ascii="Arial" w:hAnsi="Arial"/>
          <w:u w:val="single"/>
        </w:rPr>
        <w:t>Common shares</w:t>
      </w:r>
      <w:r w:rsidR="00502A47">
        <w:rPr>
          <w:rFonts w:ascii="Arial" w:hAnsi="Arial"/>
          <w:u w:val="single"/>
        </w:rPr>
        <w:tab/>
      </w:r>
      <w:r>
        <w:rPr>
          <w:rFonts w:ascii="Arial" w:hAnsi="Arial"/>
        </w:rPr>
        <w:t xml:space="preserve"> .</w:t>
      </w:r>
    </w:p>
    <w:p w:rsidR="00EA4133" w:rsidRDefault="00EA4133" w:rsidP="00F502C5">
      <w:pPr>
        <w:pStyle w:val="BodyText"/>
        <w:tabs>
          <w:tab w:val="left" w:pos="1080"/>
          <w:tab w:val="left" w:pos="1440"/>
          <w:tab w:val="left" w:pos="2160"/>
          <w:tab w:val="left" w:pos="9180"/>
        </w:tabs>
        <w:ind w:left="2160" w:hanging="2160"/>
        <w:rPr>
          <w:rFonts w:ascii="Arial" w:hAnsi="Arial"/>
        </w:rPr>
      </w:pPr>
      <w:r>
        <w:rPr>
          <w:rFonts w:ascii="Arial" w:hAnsi="Arial"/>
        </w:rPr>
        <w:tab/>
        <w:t>(b)</w:t>
      </w:r>
      <w:r>
        <w:rPr>
          <w:rFonts w:ascii="Arial" w:hAnsi="Arial"/>
        </w:rPr>
        <w:tab/>
      </w:r>
      <w:r>
        <w:rPr>
          <w:rFonts w:ascii="Arial" w:hAnsi="Arial"/>
        </w:rPr>
        <w:tab/>
        <w:t xml:space="preserve">Number </w:t>
      </w:r>
      <w:r w:rsidR="00F502C5">
        <w:rPr>
          <w:rFonts w:ascii="Arial" w:hAnsi="Arial"/>
          <w:u w:val="single"/>
        </w:rPr>
        <w:t>such number of shares equal to $2,500 divided by the Market Price (as defined in the Agreement) at the time of issuance</w:t>
      </w:r>
      <w:r w:rsidR="009A5990">
        <w:rPr>
          <w:rFonts w:ascii="Arial" w:hAnsi="Arial"/>
          <w:u w:val="single"/>
        </w:rPr>
        <w:tab/>
      </w:r>
      <w:r>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F502C5">
        <w:rPr>
          <w:rFonts w:ascii="Arial" w:hAnsi="Arial"/>
          <w:u w:val="single"/>
        </w:rPr>
        <w:t>Market Price at the time of issuance</w:t>
      </w:r>
      <w:r w:rsidR="009A5990">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502A47">
        <w:rPr>
          <w:rFonts w:ascii="Arial" w:hAnsi="Arial"/>
          <w:u w:val="single"/>
        </w:rPr>
        <w:t>100%</w:t>
      </w:r>
      <w:r w:rsidR="00502A47">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r w:rsidR="00502A47">
        <w:rPr>
          <w:rFonts w:ascii="Arial" w:hAnsi="Arial"/>
        </w:rPr>
        <w:t xml:space="preserve"> N/A</w:t>
      </w:r>
    </w:p>
    <w:p w:rsidR="00EA4133" w:rsidRDefault="00EA4133">
      <w:pPr>
        <w:pStyle w:val="List"/>
        <w:tabs>
          <w:tab w:val="left" w:pos="1440"/>
          <w:tab w:val="left" w:pos="2160"/>
          <w:tab w:val="left" w:pos="9180"/>
        </w:tabs>
        <w:rPr>
          <w:rFonts w:ascii="Arial" w:hAnsi="Arial"/>
        </w:rPr>
      </w:pPr>
      <w:r>
        <w:rPr>
          <w:rFonts w:ascii="Arial" w:hAnsi="Arial"/>
        </w:rPr>
        <w:lastRenderedPageBreak/>
        <w:tab/>
        <w:t>(a)</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r w:rsidR="00502A47">
        <w:rPr>
          <w:b w:val="0"/>
          <w:sz w:val="24"/>
        </w:rPr>
        <w:t xml:space="preserve"> N/A</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502A47">
        <w:rPr>
          <w:rFonts w:ascii="Arial" w:hAnsi="Arial"/>
        </w:rPr>
        <w:t xml:space="preserve"> N/A</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502A47" w:rsidP="00502A47">
      <w:pPr>
        <w:pStyle w:val="List"/>
        <w:tabs>
          <w:tab w:val="left" w:pos="1080"/>
          <w:tab w:val="left" w:pos="9180"/>
        </w:tabs>
        <w:ind w:firstLine="0"/>
        <w:jc w:val="both"/>
        <w:rPr>
          <w:rFonts w:ascii="Arial" w:hAnsi="Arial"/>
        </w:rPr>
      </w:pPr>
      <w:r>
        <w:rPr>
          <w:rFonts w:ascii="Arial" w:hAnsi="Arial"/>
          <w:u w:val="single"/>
        </w:rPr>
        <w:t>N/A</w:t>
      </w:r>
      <w:r>
        <w:rPr>
          <w:rFonts w:ascii="Arial" w:hAnsi="Arial"/>
          <w:u w:val="single"/>
        </w:rPr>
        <w:tab/>
      </w:r>
      <w:r w:rsidR="00EA4133">
        <w:rPr>
          <w:rFonts w:ascii="Arial" w:hAnsi="Arial"/>
        </w:rPr>
        <w:t xml:space="preserve"> .</w:t>
      </w:r>
    </w:p>
    <w:p w:rsidR="00EA4133" w:rsidRDefault="00EA4133">
      <w:pPr>
        <w:pStyle w:val="List"/>
        <w:numPr>
          <w:ilvl w:val="0"/>
          <w:numId w:val="10"/>
        </w:numPr>
        <w:rPr>
          <w:rFonts w:ascii="Arial" w:hAnsi="Arial"/>
        </w:rPr>
      </w:pPr>
      <w:r>
        <w:rPr>
          <w:rFonts w:ascii="Arial" w:hAnsi="Arial"/>
        </w:rPr>
        <w:lastRenderedPageBreak/>
        <w:t>Describe any unusual particulars of the transaction (i.e. tax “flow through” shares, etc.).</w:t>
      </w:r>
    </w:p>
    <w:p w:rsidR="00EA4133" w:rsidRDefault="00502A47" w:rsidP="00502A47">
      <w:pPr>
        <w:pStyle w:val="List"/>
        <w:tabs>
          <w:tab w:val="left" w:pos="1080"/>
          <w:tab w:val="left" w:pos="9180"/>
        </w:tabs>
        <w:ind w:firstLine="0"/>
        <w:jc w:val="both"/>
        <w:rPr>
          <w:rFonts w:ascii="Arial" w:hAnsi="Arial"/>
        </w:rPr>
      </w:pPr>
      <w:r>
        <w:rPr>
          <w:rFonts w:ascii="Arial" w:hAnsi="Arial"/>
          <w:u w:val="single"/>
        </w:rPr>
        <w:t>N/A</w:t>
      </w:r>
      <w:r>
        <w:rPr>
          <w:rFonts w:ascii="Arial" w:hAnsi="Arial"/>
          <w:u w:val="single"/>
        </w:rPr>
        <w:tab/>
      </w:r>
      <w:r w:rsidR="00EA4133">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502A47" w:rsidP="00502A47">
      <w:pPr>
        <w:pStyle w:val="List"/>
        <w:tabs>
          <w:tab w:val="left" w:pos="1080"/>
          <w:tab w:val="left" w:pos="9180"/>
        </w:tabs>
        <w:ind w:firstLine="0"/>
        <w:jc w:val="both"/>
        <w:rPr>
          <w:rFonts w:ascii="Arial" w:hAnsi="Arial"/>
        </w:rPr>
      </w:pPr>
      <w:r>
        <w:rPr>
          <w:rFonts w:ascii="Arial" w:hAnsi="Arial"/>
          <w:u w:val="single"/>
        </w:rPr>
        <w:t>N/A</w:t>
      </w:r>
      <w:r>
        <w:rPr>
          <w:rFonts w:ascii="Arial" w:hAnsi="Arial"/>
          <w:u w:val="single"/>
        </w:rPr>
        <w:tab/>
      </w:r>
      <w:r w:rsidR="00EA4133">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Pr>
          <w:rFonts w:ascii="Arial" w:hAnsi="Arial"/>
        </w:rPr>
        <w:t>Instrument 45-102..</w:t>
      </w:r>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lastRenderedPageBreak/>
        <w:t xml:space="preserve">Other: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lastRenderedPageBreak/>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CF2A90" w:rsidRDefault="00CF2A90" w:rsidP="00CF2A90">
      <w:pPr>
        <w:pStyle w:val="List"/>
        <w:tabs>
          <w:tab w:val="left" w:pos="9180"/>
        </w:tabs>
        <w:ind w:left="0" w:firstLine="0"/>
        <w:rPr>
          <w:rFonts w:ascii="Arial" w:hAnsi="Arial"/>
          <w:color w:val="000000"/>
        </w:rPr>
      </w:pP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F8201C">
        <w:rPr>
          <w:rFonts w:ascii="Arial" w:hAnsi="Arial"/>
          <w:u w:val="single"/>
        </w:rPr>
        <w:t>July , 2016</w:t>
      </w:r>
    </w:p>
    <w:p w:rsidR="00EA4133" w:rsidRDefault="00EA4133">
      <w:pPr>
        <w:pStyle w:val="List"/>
        <w:tabs>
          <w:tab w:val="left" w:pos="9180"/>
        </w:tabs>
        <w:ind w:left="5760" w:hanging="5760"/>
        <w:rPr>
          <w:rFonts w:ascii="Arial" w:hAnsi="Arial"/>
        </w:rPr>
      </w:pPr>
      <w:r>
        <w:rPr>
          <w:rFonts w:ascii="Arial" w:hAnsi="Arial"/>
        </w:rPr>
        <w:lastRenderedPageBreak/>
        <w:tab/>
      </w:r>
      <w:r w:rsidR="00F8201C">
        <w:rPr>
          <w:rFonts w:ascii="Arial" w:hAnsi="Arial"/>
          <w:u w:val="single"/>
        </w:rPr>
        <w:t>Negar Adam</w:t>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F8201C" w:rsidRPr="00F8201C">
        <w:rPr>
          <w:rFonts w:ascii="Arial" w:hAnsi="Arial"/>
          <w:i/>
          <w:u w:val="single"/>
        </w:rPr>
        <w:t>"Negar Adam"</w:t>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F8201C">
        <w:rPr>
          <w:rFonts w:ascii="Arial" w:hAnsi="Arial"/>
          <w:u w:val="single"/>
        </w:rPr>
        <w:t>Director, Corporate Secretary</w:t>
      </w:r>
      <w:r>
        <w:rPr>
          <w:rFonts w:ascii="Arial" w:hAnsi="Arial"/>
        </w:rPr>
        <w:br/>
        <w:t>Official Capacity</w:t>
      </w:r>
    </w:p>
    <w:sectPr w:rsidR="00EA4133" w:rsidSect="008003B9">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440" w:header="720" w:footer="93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E50" w:rsidRDefault="00DB1E50">
      <w:r>
        <w:separator/>
      </w:r>
    </w:p>
  </w:endnote>
  <w:endnote w:type="continuationSeparator" w:id="0">
    <w:p w:rsidR="00DB1E50" w:rsidRDefault="00DB1E50">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15" w:rsidRDefault="00B538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15" w:rsidRDefault="004D437B" w:rsidP="008003B9">
    <w:pPr>
      <w:tabs>
        <w:tab w:val="center" w:pos="4674"/>
        <w:tab w:val="left" w:pos="8460"/>
      </w:tabs>
      <w:jc w:val="center"/>
      <w:rPr>
        <w:rStyle w:val="PageNumber"/>
        <w:rFonts w:ascii="Arial" w:hAnsi="Arial" w:cs="Arial"/>
        <w:b/>
      </w:rPr>
    </w:pPr>
    <w:r w:rsidRPr="004D437B">
      <w:rPr>
        <w:b/>
        <w:noProof/>
      </w:rPr>
      <w:pict>
        <v:line id="Line 3" o:spid="_x0000_s25601"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B53815">
      <w:rPr>
        <w:rFonts w:ascii="Arial" w:hAnsi="Arial" w:cs="Arial"/>
        <w:b/>
      </w:rPr>
      <w:t>FORM 9 – NOTICE OF PROPOSED ISSUANCE OF</w:t>
    </w:r>
  </w:p>
  <w:p w:rsidR="00B53815" w:rsidRDefault="00B53815" w:rsidP="008003B9">
    <w:pPr>
      <w:tabs>
        <w:tab w:val="center" w:pos="4674"/>
        <w:tab w:val="left" w:pos="8460"/>
      </w:tabs>
      <w:jc w:val="center"/>
      <w:rPr>
        <w:rStyle w:val="PageNumber"/>
        <w:rFonts w:ascii="Arial" w:hAnsi="Arial" w:cs="Arial"/>
        <w:b/>
      </w:rPr>
    </w:pPr>
    <w:r>
      <w:rPr>
        <w:rFonts w:ascii="Arial" w:hAnsi="Arial" w:cs="Arial"/>
        <w:b/>
      </w:rPr>
      <w:t>LISTED SECURITIES</w:t>
    </w:r>
  </w:p>
  <w:p w:rsidR="00B53815" w:rsidRDefault="00B53815"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B53815" w:rsidRDefault="00B53815"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004D437B"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4D437B" w:rsidRPr="002557FD">
      <w:rPr>
        <w:rStyle w:val="PageNumber"/>
        <w:rFonts w:ascii="Arial" w:hAnsi="Arial" w:cs="Arial"/>
        <w:sz w:val="16"/>
        <w:szCs w:val="16"/>
      </w:rPr>
      <w:fldChar w:fldCharType="separate"/>
    </w:r>
    <w:r w:rsidR="00F8201C">
      <w:rPr>
        <w:rStyle w:val="PageNumber"/>
        <w:rFonts w:ascii="Arial" w:hAnsi="Arial" w:cs="Arial"/>
        <w:noProof/>
        <w:sz w:val="16"/>
        <w:szCs w:val="16"/>
      </w:rPr>
      <w:t>7</w:t>
    </w:r>
    <w:r w:rsidR="004D437B" w:rsidRPr="002557FD">
      <w:rPr>
        <w:rStyle w:val="PageNumber"/>
        <w:rFonts w:ascii="Arial" w:hAnsi="Arial" w:cs="Arial"/>
        <w:sz w:val="16"/>
        <w:szCs w:val="16"/>
      </w:rPr>
      <w:fldChar w:fldCharType="end"/>
    </w:r>
  </w:p>
  <w:p w:rsidR="009A5990" w:rsidRPr="009A5990" w:rsidRDefault="004D437B" w:rsidP="009A5990">
    <w:pPr>
      <w:pStyle w:val="Footer"/>
      <w:rPr>
        <w:rFonts w:ascii="Arial" w:hAnsi="Arial" w:cs="Arial"/>
        <w:color w:val="000000"/>
        <w:sz w:val="16"/>
        <w:szCs w:val="16"/>
      </w:rPr>
    </w:pPr>
    <w:fldSimple w:instr=" KEYWORDS  \* MERGEFORMAT ">
      <w:r w:rsidR="00F8201C">
        <w:rPr>
          <w:rFonts w:ascii="Arial" w:hAnsi="Arial" w:cs="Arial"/>
          <w:color w:val="000000"/>
          <w:sz w:val="16"/>
          <w:szCs w:val="16"/>
        </w:rPr>
        <w:t>CW10043122.1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15" w:rsidRDefault="004D437B">
    <w:pPr>
      <w:pStyle w:val="Footer"/>
    </w:pPr>
    <w:fldSimple w:instr=" DOCPROPERTY FOOTERPATH \* MERGEFORMAT ">
      <w:r w:rsidR="00F8201C">
        <w:t>3214.001\0180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E50" w:rsidRDefault="00DB1E50">
      <w:r>
        <w:separator/>
      </w:r>
    </w:p>
  </w:footnote>
  <w:footnote w:type="continuationSeparator" w:id="0">
    <w:p w:rsidR="00DB1E50" w:rsidRDefault="00DB1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15" w:rsidRDefault="00B538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15" w:rsidRDefault="00B538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15" w:rsidRDefault="00B538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801"/>
  <w:defaultTabStop w:val="720"/>
  <w:displayHorizontalDrawingGridEvery w:val="0"/>
  <w:displayVerticalDrawingGridEvery w:val="0"/>
  <w:doNotUseMarginsForDrawingGridOrigin/>
  <w:noPunctuationKerning/>
  <w:characterSpacingControl w:val="doNotCompress"/>
  <w:hdrShapeDefaults>
    <o:shapedefaults v:ext="edit" spidmax="26626"/>
    <o:shapelayout v:ext="edit">
      <o:idmap v:ext="edit" data="25"/>
    </o:shapelayout>
  </w:hdrShapeDefaults>
  <w:footnotePr>
    <w:footnote w:id="-1"/>
    <w:footnote w:id="0"/>
  </w:footnotePr>
  <w:endnotePr>
    <w:endnote w:id="-1"/>
    <w:endnote w:id="0"/>
  </w:endnotePr>
  <w:compat/>
  <w:rsids>
    <w:rsidRoot w:val="007568B3"/>
    <w:rsid w:val="00003125"/>
    <w:rsid w:val="0001060A"/>
    <w:rsid w:val="000B64EF"/>
    <w:rsid w:val="00116314"/>
    <w:rsid w:val="00173F0B"/>
    <w:rsid w:val="00186DA5"/>
    <w:rsid w:val="001B12F5"/>
    <w:rsid w:val="002557FD"/>
    <w:rsid w:val="002F0416"/>
    <w:rsid w:val="00326D55"/>
    <w:rsid w:val="00405351"/>
    <w:rsid w:val="00456624"/>
    <w:rsid w:val="004A1403"/>
    <w:rsid w:val="004B214D"/>
    <w:rsid w:val="004D437B"/>
    <w:rsid w:val="00502A47"/>
    <w:rsid w:val="00581988"/>
    <w:rsid w:val="00617A0E"/>
    <w:rsid w:val="0062717F"/>
    <w:rsid w:val="00680379"/>
    <w:rsid w:val="007568B3"/>
    <w:rsid w:val="007B0425"/>
    <w:rsid w:val="008003B9"/>
    <w:rsid w:val="008F27FF"/>
    <w:rsid w:val="009136E7"/>
    <w:rsid w:val="009466F0"/>
    <w:rsid w:val="0097763E"/>
    <w:rsid w:val="009A5990"/>
    <w:rsid w:val="00A00C54"/>
    <w:rsid w:val="00A10285"/>
    <w:rsid w:val="00A90670"/>
    <w:rsid w:val="00A93530"/>
    <w:rsid w:val="00A9392C"/>
    <w:rsid w:val="00AE40E1"/>
    <w:rsid w:val="00B53815"/>
    <w:rsid w:val="00B923F6"/>
    <w:rsid w:val="00BA5C7D"/>
    <w:rsid w:val="00CF076A"/>
    <w:rsid w:val="00CF2A90"/>
    <w:rsid w:val="00DB1E50"/>
    <w:rsid w:val="00DB640C"/>
    <w:rsid w:val="00E55E58"/>
    <w:rsid w:val="00E97C13"/>
    <w:rsid w:val="00EA4133"/>
    <w:rsid w:val="00F502C5"/>
    <w:rsid w:val="00F82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7B"/>
  </w:style>
  <w:style w:type="paragraph" w:styleId="Heading2">
    <w:name w:val="heading 2"/>
    <w:basedOn w:val="BodyText"/>
    <w:next w:val="BodyText"/>
    <w:qFormat/>
    <w:rsid w:val="004D437B"/>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437B"/>
    <w:pPr>
      <w:spacing w:before="240"/>
    </w:pPr>
    <w:rPr>
      <w:sz w:val="24"/>
      <w:lang w:val="en-GB"/>
    </w:rPr>
  </w:style>
  <w:style w:type="paragraph" w:styleId="List">
    <w:name w:val="List"/>
    <w:basedOn w:val="BodyText"/>
    <w:rsid w:val="004D437B"/>
    <w:pPr>
      <w:ind w:left="1080" w:hanging="1080"/>
    </w:pPr>
  </w:style>
  <w:style w:type="paragraph" w:styleId="List2">
    <w:name w:val="List 2"/>
    <w:basedOn w:val="List"/>
    <w:rsid w:val="004D437B"/>
    <w:pPr>
      <w:ind w:left="1800" w:hanging="720"/>
    </w:pPr>
  </w:style>
  <w:style w:type="paragraph" w:styleId="Title">
    <w:name w:val="Title"/>
    <w:basedOn w:val="BodyText"/>
    <w:qFormat/>
    <w:rsid w:val="004D437B"/>
    <w:pPr>
      <w:spacing w:after="240"/>
      <w:jc w:val="center"/>
    </w:pPr>
    <w:rPr>
      <w:rFonts w:ascii="Arial" w:hAnsi="Arial"/>
      <w:b/>
      <w:sz w:val="40"/>
    </w:rPr>
  </w:style>
  <w:style w:type="paragraph" w:customStyle="1" w:styleId="amend">
    <w:name w:val="amend"/>
    <w:basedOn w:val="Normal"/>
    <w:rsid w:val="004D437B"/>
    <w:pPr>
      <w:tabs>
        <w:tab w:val="left" w:pos="1080"/>
      </w:tabs>
      <w:spacing w:before="40" w:after="40"/>
      <w:jc w:val="right"/>
    </w:pPr>
    <w:rPr>
      <w:rFonts w:ascii="Arial" w:hAnsi="Arial"/>
      <w:b/>
      <w:sz w:val="24"/>
      <w:vertAlign w:val="superscript"/>
      <w:lang w:val="en-GB"/>
    </w:rPr>
  </w:style>
  <w:style w:type="paragraph" w:styleId="Header">
    <w:name w:val="header"/>
    <w:basedOn w:val="Normal"/>
    <w:rsid w:val="004D437B"/>
    <w:pPr>
      <w:tabs>
        <w:tab w:val="center" w:pos="4320"/>
        <w:tab w:val="right" w:pos="8640"/>
      </w:tabs>
    </w:pPr>
  </w:style>
  <w:style w:type="paragraph" w:styleId="Footer">
    <w:name w:val="footer"/>
    <w:basedOn w:val="Normal"/>
    <w:rsid w:val="004D437B"/>
    <w:pPr>
      <w:tabs>
        <w:tab w:val="center" w:pos="4320"/>
        <w:tab w:val="right" w:pos="8640"/>
      </w:tabs>
    </w:pPr>
  </w:style>
  <w:style w:type="character" w:styleId="PageNumber">
    <w:name w:val="page number"/>
    <w:basedOn w:val="DefaultParagraphFont"/>
    <w:rsid w:val="004D437B"/>
  </w:style>
  <w:style w:type="paragraph" w:styleId="EndnoteText">
    <w:name w:val="endnote text"/>
    <w:basedOn w:val="Normal"/>
    <w:semiHidden/>
    <w:rsid w:val="004D437B"/>
    <w:pPr>
      <w:widowControl w:val="0"/>
    </w:pPr>
    <w:rPr>
      <w:rFonts w:ascii="Helv 12pt" w:hAnsi="Helv 12pt"/>
      <w:sz w:val="24"/>
    </w:rPr>
  </w:style>
  <w:style w:type="paragraph" w:styleId="BalloonText">
    <w:name w:val="Balloon Text"/>
    <w:basedOn w:val="Normal"/>
    <w:semiHidden/>
    <w:rsid w:val="004D437B"/>
    <w:rPr>
      <w:rFonts w:ascii="Tahoma" w:hAnsi="Tahoma" w:cs="Tahoma"/>
      <w:sz w:val="16"/>
      <w:szCs w:val="16"/>
    </w:rPr>
  </w:style>
  <w:style w:type="paragraph" w:styleId="FootnoteText">
    <w:name w:val="footnote text"/>
    <w:basedOn w:val="Normal"/>
    <w:semiHidden/>
    <w:rsid w:val="004D437B"/>
  </w:style>
  <w:style w:type="character" w:styleId="FootnoteReference">
    <w:name w:val="footnote reference"/>
    <w:semiHidden/>
    <w:rsid w:val="004D43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keywords>CW10043122.1</cp:keywords>
  <dc:description>42734-0001</dc:description>
  <cp:lastModifiedBy>Negar</cp:lastModifiedBy>
  <cp:revision>3</cp:revision>
  <cp:lastPrinted>2016-07-07T20:07:00Z</cp:lastPrinted>
  <dcterms:created xsi:type="dcterms:W3CDTF">2016-07-07T20:06:00Z</dcterms:created>
  <dcterms:modified xsi:type="dcterms:W3CDTF">2016-07-07T20:07:00Z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