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B7" w:rsidRDefault="006F1782">
      <w:pPr>
        <w:pStyle w:val="Title"/>
        <w:spacing w:before="0"/>
        <w:rPr>
          <w:sz w:val="28"/>
          <w:lang w:val="en-CA"/>
        </w:rPr>
      </w:pPr>
      <w:r>
        <w:rPr>
          <w:sz w:val="28"/>
          <w:lang w:val="en-CA"/>
        </w:rPr>
        <w:t>FORM 9</w:t>
      </w:r>
    </w:p>
    <w:p w:rsidR="008A42B7" w:rsidRDefault="006F1782">
      <w:pPr>
        <w:pStyle w:val="Title"/>
        <w:spacing w:before="0" w:after="0"/>
        <w:rPr>
          <w:sz w:val="28"/>
          <w:u w:val="single"/>
          <w:lang w:val="en-CA"/>
        </w:rPr>
      </w:pPr>
      <w:r>
        <w:rPr>
          <w:sz w:val="28"/>
          <w:u w:val="single"/>
          <w:lang w:val="en-CA"/>
        </w:rPr>
        <w:t xml:space="preserve">NOTICE OF PROPOSED ISSUANCE OF LISTED SECURITIES </w:t>
      </w:r>
    </w:p>
    <w:p w:rsidR="008A42B7" w:rsidRDefault="006F1782">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8A42B7" w:rsidRDefault="006F1782">
      <w:pPr>
        <w:pStyle w:val="BodyText"/>
        <w:rPr>
          <w:rFonts w:ascii="Arial" w:hAnsi="Arial"/>
          <w:lang w:val="en-CA"/>
        </w:rPr>
      </w:pPr>
      <w:r>
        <w:rPr>
          <w:rFonts w:ascii="Arial" w:hAnsi="Arial"/>
          <w:lang w:val="en-CA"/>
        </w:rPr>
        <w:t>Please complete the following:</w:t>
      </w:r>
    </w:p>
    <w:p w:rsidR="008A42B7" w:rsidRDefault="006F1782">
      <w:pPr>
        <w:pStyle w:val="BodyText"/>
        <w:rPr>
          <w:rFonts w:ascii="Arial" w:hAnsi="Arial"/>
          <w:lang w:val="en-CA"/>
        </w:rPr>
      </w:pPr>
      <w:r>
        <w:rPr>
          <w:rFonts w:ascii="Arial" w:hAnsi="Arial"/>
          <w:lang w:val="en-CA"/>
        </w:rPr>
        <w:t xml:space="preserve">Name of Listed Issuer:  </w:t>
      </w:r>
      <w:r>
        <w:rPr>
          <w:rFonts w:ascii="Arial" w:hAnsi="Arial"/>
          <w:u w:val="single"/>
          <w:lang w:val="en-CA"/>
        </w:rPr>
        <w:t>Acreage Holdings, Inc.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rsidR="008A42B7" w:rsidRDefault="006F1782">
      <w:pPr>
        <w:pStyle w:val="BodyText"/>
        <w:rPr>
          <w:rFonts w:ascii="Arial" w:hAnsi="Arial"/>
          <w:lang w:val="en-CA"/>
        </w:rPr>
      </w:pPr>
      <w:r>
        <w:rPr>
          <w:rFonts w:ascii="Arial" w:hAnsi="Arial"/>
          <w:lang w:val="en-CA"/>
        </w:rPr>
        <w:t xml:space="preserve">Trading Symbol:  </w:t>
      </w:r>
      <w:r>
        <w:rPr>
          <w:rFonts w:ascii="Arial" w:hAnsi="Arial"/>
          <w:u w:val="single"/>
          <w:lang w:val="en-CA"/>
        </w:rPr>
        <w:t>ACRG.U</w:t>
      </w:r>
      <w:r>
        <w:rPr>
          <w:rFonts w:ascii="Arial" w:hAnsi="Arial"/>
          <w:u w:val="single"/>
          <w:lang w:val="en-CA"/>
        </w:rPr>
        <w:tab/>
      </w:r>
      <w:r>
        <w:rPr>
          <w:rFonts w:ascii="Arial" w:hAnsi="Arial"/>
          <w:u w:val="single"/>
          <w:lang w:val="en-CA"/>
        </w:rPr>
        <w:tab/>
      </w:r>
      <w:r>
        <w:rPr>
          <w:rFonts w:ascii="Arial" w:hAnsi="Arial"/>
          <w:u w:val="single"/>
          <w:lang w:val="en-CA"/>
        </w:rPr>
        <w:tab/>
      </w:r>
      <w:proofErr w:type="gramStart"/>
      <w:r>
        <w:rPr>
          <w:rFonts w:ascii="Arial" w:hAnsi="Arial"/>
          <w:u w:val="single"/>
          <w:lang w:val="en-CA"/>
        </w:rPr>
        <w:tab/>
      </w:r>
      <w:r>
        <w:rPr>
          <w:rFonts w:ascii="Arial" w:hAnsi="Arial"/>
          <w:lang w:val="en-CA"/>
        </w:rPr>
        <w:t xml:space="preserve"> .</w:t>
      </w:r>
      <w:proofErr w:type="gramEnd"/>
    </w:p>
    <w:p w:rsidR="008A42B7" w:rsidRDefault="006F1782">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C4116E">
        <w:rPr>
          <w:rFonts w:ascii="Arial" w:hAnsi="Arial"/>
          <w:u w:val="single"/>
          <w:lang w:val="en-CA"/>
        </w:rPr>
        <w:t xml:space="preserve">December </w:t>
      </w:r>
      <w:r w:rsidR="00A86F55">
        <w:rPr>
          <w:rFonts w:ascii="Arial" w:hAnsi="Arial"/>
          <w:u w:val="single"/>
          <w:lang w:val="en-CA"/>
        </w:rPr>
        <w:t>6</w:t>
      </w:r>
      <w:r>
        <w:rPr>
          <w:rFonts w:ascii="Arial" w:hAnsi="Arial"/>
          <w:u w:val="single"/>
          <w:lang w:val="en-CA"/>
        </w:rPr>
        <w:t xml:space="preserve">, 2018 </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proofErr w:type="gramStart"/>
      <w:r>
        <w:rPr>
          <w:rFonts w:ascii="Arial" w:hAnsi="Arial"/>
          <w:u w:val="single"/>
          <w:lang w:val="en-CA"/>
        </w:rPr>
        <w:tab/>
      </w:r>
      <w:r>
        <w:rPr>
          <w:rFonts w:ascii="Arial" w:hAnsi="Arial"/>
          <w:lang w:val="en-CA"/>
        </w:rPr>
        <w:t xml:space="preserve"> .</w:t>
      </w:r>
      <w:proofErr w:type="gramEnd"/>
    </w:p>
    <w:p w:rsidR="008A42B7" w:rsidRDefault="006F1782">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u w:val="single"/>
          <w:lang w:val="en-CA"/>
        </w:rPr>
        <w:t>X</w:t>
      </w:r>
      <w:r>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8A42B7" w:rsidRDefault="006F1782">
      <w:pPr>
        <w:pStyle w:val="BodyText"/>
        <w:tabs>
          <w:tab w:val="left" w:pos="9180"/>
        </w:tabs>
        <w:spacing w:before="0" w:after="240"/>
        <w:rPr>
          <w:rFonts w:ascii="Arial" w:hAnsi="Arial"/>
          <w:lang w:val="en-CA"/>
        </w:rPr>
      </w:pPr>
      <w:r>
        <w:rPr>
          <w:rFonts w:ascii="Arial" w:hAnsi="Arial"/>
          <w:lang w:val="en-CA"/>
        </w:rPr>
        <w:t xml:space="preserve">If yes provide date(s) of prior Notices:  </w:t>
      </w:r>
      <w:r>
        <w:rPr>
          <w:rFonts w:ascii="Arial" w:hAnsi="Arial"/>
          <w:b/>
          <w:lang w:val="en-CA"/>
        </w:rPr>
        <w:t>N/A</w:t>
      </w:r>
      <w:r>
        <w:rPr>
          <w:rFonts w:ascii="Arial" w:hAnsi="Arial"/>
          <w:lang w:val="en-CA"/>
        </w:rPr>
        <w:t>.</w:t>
      </w:r>
    </w:p>
    <w:p w:rsidR="008A42B7" w:rsidRDefault="006F1782">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21,443,042 Subordinate Voting Shares</w:t>
      </w:r>
      <w:r w:rsidR="008A7D70">
        <w:rPr>
          <w:rFonts w:ascii="Arial" w:hAnsi="Arial"/>
          <w:u w:val="single"/>
          <w:lang w:val="en-CA"/>
        </w:rPr>
        <w:t xml:space="preserve">, </w:t>
      </w:r>
      <w:r w:rsidR="008A7D70" w:rsidRPr="006F1782">
        <w:rPr>
          <w:rFonts w:ascii="Arial" w:hAnsi="Arial"/>
          <w:u w:val="single"/>
          <w:lang w:val="en-CA"/>
        </w:rPr>
        <w:t>1,445,879</w:t>
      </w:r>
      <w:r>
        <w:rPr>
          <w:rFonts w:ascii="Arial" w:hAnsi="Arial"/>
          <w:u w:val="single"/>
          <w:lang w:val="en-CA"/>
        </w:rPr>
        <w:t xml:space="preserve"> Proportionate Voting Shares and </w:t>
      </w:r>
      <w:r w:rsidR="008A7D70">
        <w:rPr>
          <w:rFonts w:ascii="Arial" w:hAnsi="Arial"/>
          <w:u w:val="single"/>
          <w:lang w:val="en-CA"/>
        </w:rPr>
        <w:t xml:space="preserve">168,000 </w:t>
      </w:r>
      <w:r>
        <w:rPr>
          <w:rFonts w:ascii="Arial" w:hAnsi="Arial"/>
          <w:u w:val="single"/>
          <w:lang w:val="en-CA"/>
        </w:rPr>
        <w:t>Multiple Voting Shares</w:t>
      </w:r>
      <w:proofErr w:type="gramStart"/>
      <w:r>
        <w:rPr>
          <w:rFonts w:ascii="Arial" w:hAnsi="Arial"/>
          <w:u w:val="single"/>
          <w:lang w:val="en-CA"/>
        </w:rPr>
        <w:tab/>
      </w:r>
      <w:r>
        <w:rPr>
          <w:rFonts w:ascii="Arial" w:hAnsi="Arial"/>
          <w:lang w:val="en-CA"/>
        </w:rPr>
        <w:t xml:space="preserve"> .</w:t>
      </w:r>
      <w:proofErr w:type="gramEnd"/>
    </w:p>
    <w:p w:rsidR="008A42B7" w:rsidRDefault="006F1782">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Pr>
          <w:rFonts w:ascii="Arial" w:hAnsi="Arial"/>
          <w:b/>
          <w:u w:val="single"/>
          <w:lang w:val="en-CA"/>
        </w:rPr>
        <w:t>N/A</w:t>
      </w:r>
      <w:proofErr w:type="gramStart"/>
      <w:r>
        <w:rPr>
          <w:rFonts w:ascii="Arial" w:hAnsi="Arial"/>
          <w:u w:val="single"/>
          <w:lang w:val="en-CA"/>
        </w:rPr>
        <w:tab/>
      </w:r>
      <w:r>
        <w:rPr>
          <w:rFonts w:ascii="Arial" w:hAnsi="Arial"/>
          <w:lang w:val="en-CA"/>
        </w:rPr>
        <w:t xml:space="preserve"> .</w:t>
      </w:r>
      <w:proofErr w:type="gramEnd"/>
    </w:p>
    <w:p w:rsidR="008A42B7" w:rsidRDefault="006F1782">
      <w:pPr>
        <w:pStyle w:val="BodyText"/>
        <w:tabs>
          <w:tab w:val="left" w:pos="9180"/>
        </w:tabs>
        <w:spacing w:before="0" w:after="240"/>
        <w:ind w:right="-540"/>
        <w:rPr>
          <w:rFonts w:ascii="Arial" w:hAnsi="Arial"/>
          <w:lang w:val="en-CA"/>
        </w:rPr>
      </w:pPr>
      <w:r>
        <w:rPr>
          <w:rFonts w:ascii="Arial" w:hAnsi="Arial"/>
          <w:lang w:val="en-CA"/>
        </w:rPr>
        <w:t xml:space="preserve">Closing Market Price on Day Preceding the Issuance of the News Release: </w:t>
      </w:r>
      <w:r>
        <w:rPr>
          <w:rFonts w:ascii="Arial" w:hAnsi="Arial"/>
          <w:u w:val="single"/>
          <w:lang w:val="en-CA"/>
        </w:rPr>
        <w:t>N/A (Closing price on</w:t>
      </w:r>
      <w:r w:rsidR="000109ED">
        <w:rPr>
          <w:rFonts w:ascii="Arial" w:hAnsi="Arial"/>
          <w:u w:val="single"/>
          <w:lang w:val="en-CA"/>
        </w:rPr>
        <w:t xml:space="preserve"> December </w:t>
      </w:r>
      <w:r w:rsidR="00B312D4">
        <w:rPr>
          <w:rFonts w:ascii="Arial" w:hAnsi="Arial"/>
          <w:u w:val="single"/>
          <w:lang w:val="en-CA"/>
        </w:rPr>
        <w:t>5</w:t>
      </w:r>
      <w:r>
        <w:rPr>
          <w:rFonts w:ascii="Arial" w:hAnsi="Arial"/>
          <w:u w:val="single"/>
          <w:lang w:val="en-CA"/>
        </w:rPr>
        <w:t>, 2018 was US$</w:t>
      </w:r>
      <w:r w:rsidR="00A13310">
        <w:rPr>
          <w:rFonts w:ascii="Arial" w:hAnsi="Arial"/>
          <w:u w:val="single"/>
          <w:lang w:val="en-CA"/>
        </w:rPr>
        <w:t>15.</w:t>
      </w:r>
      <w:proofErr w:type="gramStart"/>
      <w:r w:rsidR="00A13310">
        <w:rPr>
          <w:rFonts w:ascii="Arial" w:hAnsi="Arial"/>
          <w:u w:val="single"/>
          <w:lang w:val="en-CA"/>
        </w:rPr>
        <w:t>98</w:t>
      </w:r>
      <w:bookmarkStart w:id="0" w:name="_GoBack"/>
      <w:bookmarkEnd w:id="0"/>
      <w:r>
        <w:rPr>
          <w:rFonts w:ascii="Arial" w:hAnsi="Arial"/>
          <w:u w:val="single"/>
          <w:lang w:val="en-CA"/>
        </w:rPr>
        <w:t>)_</w:t>
      </w:r>
      <w:proofErr w:type="gramEnd"/>
      <w:r>
        <w:rPr>
          <w:rFonts w:ascii="Arial" w:hAnsi="Arial"/>
          <w:u w:val="single"/>
          <w:lang w:val="en-CA"/>
        </w:rPr>
        <w:t>_</w:t>
      </w:r>
      <w:r>
        <w:rPr>
          <w:rFonts w:ascii="Arial" w:hAnsi="Arial"/>
          <w:u w:val="single"/>
          <w:lang w:val="en-CA"/>
        </w:rPr>
        <w:tab/>
      </w:r>
      <w:r>
        <w:rPr>
          <w:rFonts w:ascii="Arial" w:hAnsi="Arial"/>
          <w:u w:val="single"/>
          <w:lang w:val="en-CA"/>
        </w:rPr>
        <w:tab/>
      </w:r>
    </w:p>
    <w:p w:rsidR="008A42B7" w:rsidRDefault="006F1782">
      <w:pPr>
        <w:pStyle w:val="BodyText"/>
        <w:spacing w:before="0" w:after="240"/>
        <w:rPr>
          <w:rFonts w:ascii="Arial" w:hAnsi="Arial"/>
          <w:b/>
          <w:lang w:val="en-CA"/>
        </w:rPr>
      </w:pPr>
      <w:r>
        <w:rPr>
          <w:rFonts w:ascii="Arial" w:hAnsi="Arial"/>
          <w:b/>
          <w:lang w:val="en-CA"/>
        </w:rPr>
        <w:t>1.</w:t>
      </w:r>
      <w:r>
        <w:rPr>
          <w:rFonts w:ascii="Arial" w:hAnsi="Arial"/>
          <w:b/>
          <w:lang w:val="en-CA"/>
        </w:rPr>
        <w:tab/>
        <w:t>Private Placement</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24"/>
        <w:gridCol w:w="1170"/>
        <w:gridCol w:w="1350"/>
        <w:gridCol w:w="1350"/>
        <w:gridCol w:w="1620"/>
        <w:gridCol w:w="1348"/>
        <w:gridCol w:w="1100"/>
      </w:tblGrid>
      <w:tr w:rsidR="008A42B7">
        <w:trPr>
          <w:trHeight w:val="1965"/>
        </w:trPr>
        <w:tc>
          <w:tcPr>
            <w:tcW w:w="1394"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24"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Conversion</w:t>
            </w: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Price (if</w:t>
            </w: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8A42B7" w:rsidRDefault="006F1782">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348" w:type="dxa"/>
          </w:tcPr>
          <w:p w:rsidR="008A42B7" w:rsidRDefault="008A42B7">
            <w:pPr>
              <w:pStyle w:val="BodyText"/>
              <w:spacing w:before="0" w:line="280" w:lineRule="exact"/>
              <w:jc w:val="center"/>
              <w:rPr>
                <w:rFonts w:ascii="Arial" w:hAnsi="Arial"/>
                <w:b/>
                <w:sz w:val="20"/>
                <w:lang w:val="en-CA"/>
              </w:rPr>
            </w:pPr>
          </w:p>
          <w:p w:rsidR="008A42B7" w:rsidRDefault="006F1782">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8A42B7" w:rsidRDefault="008A42B7">
            <w:pPr>
              <w:pStyle w:val="BodyText"/>
              <w:spacing w:before="0" w:line="280" w:lineRule="exact"/>
              <w:jc w:val="center"/>
              <w:rPr>
                <w:rFonts w:ascii="Arial" w:hAnsi="Arial"/>
                <w:b/>
                <w:color w:val="000000"/>
                <w:sz w:val="20"/>
                <w:lang w:val="en-CA"/>
              </w:rPr>
            </w:pPr>
          </w:p>
          <w:p w:rsidR="008A42B7" w:rsidRDefault="006F1782">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8A42B7">
        <w:trPr>
          <w:trHeight w:val="864"/>
        </w:trPr>
        <w:tc>
          <w:tcPr>
            <w:tcW w:w="1394" w:type="dxa"/>
          </w:tcPr>
          <w:p w:rsidR="008A42B7" w:rsidRDefault="008A42B7">
            <w:pPr>
              <w:pStyle w:val="BodyText"/>
              <w:spacing w:before="0" w:line="280" w:lineRule="exact"/>
              <w:rPr>
                <w:rFonts w:ascii="Arial" w:hAnsi="Arial"/>
                <w:sz w:val="20"/>
                <w:lang w:val="en-CA"/>
              </w:rPr>
            </w:pPr>
          </w:p>
        </w:tc>
        <w:tc>
          <w:tcPr>
            <w:tcW w:w="1324" w:type="dxa"/>
          </w:tcPr>
          <w:p w:rsidR="008A42B7" w:rsidRDefault="008A42B7">
            <w:pPr>
              <w:pStyle w:val="BodyText"/>
              <w:spacing w:before="0" w:line="280" w:lineRule="exact"/>
              <w:rPr>
                <w:rFonts w:ascii="Arial" w:hAnsi="Arial"/>
                <w:sz w:val="20"/>
                <w:lang w:val="en-CA"/>
              </w:rPr>
            </w:pPr>
          </w:p>
        </w:tc>
        <w:tc>
          <w:tcPr>
            <w:tcW w:w="1170" w:type="dxa"/>
          </w:tcPr>
          <w:p w:rsidR="008A42B7" w:rsidRDefault="008A42B7">
            <w:pPr>
              <w:pStyle w:val="BodyText"/>
              <w:spacing w:before="0" w:line="280" w:lineRule="exact"/>
              <w:rPr>
                <w:rFonts w:ascii="Arial" w:hAnsi="Arial"/>
                <w:b/>
                <w:sz w:val="20"/>
                <w:lang w:val="en-CA"/>
              </w:rPr>
            </w:pPr>
          </w:p>
        </w:tc>
        <w:tc>
          <w:tcPr>
            <w:tcW w:w="1350" w:type="dxa"/>
          </w:tcPr>
          <w:p w:rsidR="008A42B7" w:rsidRDefault="008A42B7">
            <w:pPr>
              <w:pStyle w:val="BodyText"/>
              <w:spacing w:before="0" w:line="280" w:lineRule="exact"/>
              <w:rPr>
                <w:rFonts w:ascii="Arial" w:hAnsi="Arial"/>
                <w:b/>
                <w:sz w:val="20"/>
                <w:lang w:val="en-CA"/>
              </w:rPr>
            </w:pPr>
          </w:p>
        </w:tc>
        <w:tc>
          <w:tcPr>
            <w:tcW w:w="1350" w:type="dxa"/>
          </w:tcPr>
          <w:p w:rsidR="008A42B7" w:rsidRDefault="008A42B7">
            <w:pPr>
              <w:pStyle w:val="BodyText"/>
              <w:spacing w:before="0" w:line="280" w:lineRule="exact"/>
              <w:rPr>
                <w:rFonts w:ascii="Arial" w:hAnsi="Arial"/>
                <w:b/>
                <w:sz w:val="20"/>
                <w:lang w:val="en-CA"/>
              </w:rPr>
            </w:pPr>
          </w:p>
        </w:tc>
        <w:tc>
          <w:tcPr>
            <w:tcW w:w="1620" w:type="dxa"/>
          </w:tcPr>
          <w:p w:rsidR="008A42B7" w:rsidRDefault="008A42B7">
            <w:pPr>
              <w:pStyle w:val="BodyText"/>
              <w:spacing w:before="0" w:line="280" w:lineRule="exact"/>
              <w:rPr>
                <w:rFonts w:ascii="Arial" w:hAnsi="Arial"/>
                <w:b/>
                <w:sz w:val="20"/>
              </w:rPr>
            </w:pPr>
          </w:p>
        </w:tc>
        <w:tc>
          <w:tcPr>
            <w:tcW w:w="1348" w:type="dxa"/>
          </w:tcPr>
          <w:p w:rsidR="008A42B7" w:rsidRDefault="008A42B7">
            <w:pPr>
              <w:pStyle w:val="BodyText"/>
              <w:spacing w:before="0" w:line="280" w:lineRule="exact"/>
              <w:rPr>
                <w:rFonts w:ascii="Arial" w:hAnsi="Arial"/>
                <w:b/>
                <w:sz w:val="20"/>
                <w:lang w:val="en-CA"/>
              </w:rPr>
            </w:pPr>
          </w:p>
        </w:tc>
        <w:tc>
          <w:tcPr>
            <w:tcW w:w="1100" w:type="dxa"/>
          </w:tcPr>
          <w:p w:rsidR="008A42B7" w:rsidRDefault="008A42B7">
            <w:pPr>
              <w:pStyle w:val="BodyText"/>
              <w:spacing w:before="0" w:line="280" w:lineRule="exact"/>
              <w:rPr>
                <w:rFonts w:ascii="Arial" w:hAnsi="Arial"/>
                <w:b/>
                <w:color w:val="000000"/>
                <w:sz w:val="20"/>
                <w:lang w:val="en-CA"/>
              </w:rPr>
            </w:pPr>
          </w:p>
        </w:tc>
      </w:tr>
    </w:tbl>
    <w:p w:rsidR="008A42B7" w:rsidRDefault="006F1782">
      <w:pPr>
        <w:pStyle w:val="BodyText"/>
        <w:numPr>
          <w:ilvl w:val="0"/>
          <w:numId w:val="8"/>
        </w:numPr>
        <w:jc w:val="both"/>
        <w:rPr>
          <w:rFonts w:ascii="Arial" w:hAnsi="Arial" w:cs="Arial"/>
          <w:sz w:val="20"/>
        </w:rPr>
      </w:pPr>
      <w:r>
        <w:rPr>
          <w:rFonts w:ascii="Arial" w:hAnsi="Arial" w:cs="Arial"/>
          <w:sz w:val="20"/>
        </w:rPr>
        <w:t xml:space="preserve">Indicate date each </w:t>
      </w:r>
      <w:proofErr w:type="spellStart"/>
      <w:r>
        <w:rPr>
          <w:rFonts w:ascii="Arial" w:hAnsi="Arial" w:cs="Arial"/>
          <w:sz w:val="20"/>
        </w:rPr>
        <w:t>placee</w:t>
      </w:r>
      <w:proofErr w:type="spellEnd"/>
      <w:r>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A42B7" w:rsidRDefault="006F1782">
      <w:pPr>
        <w:pStyle w:val="BodyText"/>
        <w:numPr>
          <w:ilvl w:val="0"/>
          <w:numId w:val="8"/>
        </w:numPr>
        <w:rPr>
          <w:rFonts w:ascii="Arial" w:hAnsi="Arial" w:cs="Arial"/>
          <w:sz w:val="20"/>
        </w:rPr>
      </w:pPr>
      <w:r>
        <w:rPr>
          <w:rFonts w:ascii="Arial" w:hAnsi="Arial" w:cs="Arial"/>
          <w:sz w:val="20"/>
        </w:rPr>
        <w:t>Indicate if Related Person.</w:t>
      </w:r>
    </w:p>
    <w:p w:rsidR="008A42B7" w:rsidRDefault="008A42B7">
      <w:pPr>
        <w:pStyle w:val="BodyText"/>
        <w:rPr>
          <w:rFonts w:ascii="Arial" w:hAnsi="Arial" w:cs="Arial"/>
          <w:sz w:val="20"/>
        </w:rPr>
      </w:pPr>
    </w:p>
    <w:p w:rsidR="008A42B7" w:rsidRDefault="006F1782">
      <w:pPr>
        <w:pStyle w:val="FootnoteText"/>
        <w:rPr>
          <w:rFonts w:ascii="Arial" w:hAnsi="Arial" w:cs="Arial"/>
          <w:sz w:val="24"/>
          <w:szCs w:val="24"/>
        </w:rPr>
      </w:pPr>
      <w:r>
        <w:rPr>
          <w:rFonts w:ascii="Arial" w:hAnsi="Arial" w:cs="Arial"/>
          <w:vertAlign w:val="superscript"/>
        </w:rPr>
        <w:lastRenderedPageBreak/>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rsidR="008A42B7" w:rsidRDefault="006F1782">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b/>
          <w:lang w:val="en-CA"/>
        </w:rPr>
        <w:t>N/</w:t>
      </w:r>
      <w:proofErr w:type="gramStart"/>
      <w:r>
        <w:rPr>
          <w:rFonts w:ascii="Arial" w:hAnsi="Arial"/>
          <w:b/>
          <w:lang w:val="en-CA"/>
        </w:rPr>
        <w:t>A</w:t>
      </w:r>
      <w:r>
        <w:rPr>
          <w:rFonts w:ascii="Arial" w:hAnsi="Arial"/>
        </w:rPr>
        <w:t xml:space="preserve"> .</w:t>
      </w:r>
      <w:proofErr w:type="gramEnd"/>
    </w:p>
    <w:p w:rsidR="008A42B7" w:rsidRDefault="006F1782">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b/>
          <w:lang w:val="en-CA"/>
        </w:rPr>
        <w:t>N/</w:t>
      </w:r>
      <w:proofErr w:type="gramStart"/>
      <w:r>
        <w:rPr>
          <w:rFonts w:ascii="Arial" w:hAnsi="Arial"/>
          <w:b/>
          <w:lang w:val="en-CA"/>
        </w:rPr>
        <w:t>A</w:t>
      </w:r>
      <w:r>
        <w:rPr>
          <w:rFonts w:ascii="Arial" w:hAnsi="Arial"/>
        </w:rPr>
        <w:t xml:space="preserve"> .</w:t>
      </w:r>
      <w:proofErr w:type="gramEnd"/>
    </w:p>
    <w:p w:rsidR="008A42B7" w:rsidRDefault="006F1782">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proofErr w:type="gramStart"/>
      <w:r>
        <w:rPr>
          <w:rFonts w:ascii="Arial" w:hAnsi="Arial"/>
          <w:u w:val="single"/>
        </w:rPr>
        <w:t>None</w:t>
      </w:r>
      <w:r>
        <w:rPr>
          <w:rFonts w:ascii="Arial" w:hAnsi="Arial"/>
        </w:rPr>
        <w:t xml:space="preserve"> .</w:t>
      </w:r>
      <w:proofErr w:type="gramEnd"/>
    </w:p>
    <w:p w:rsidR="008A42B7" w:rsidRDefault="006F1782">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and attach the debt agreement(s) or other documentation evidencing the debt and the agreement to exchange the debt for securities. </w:t>
      </w:r>
      <w:r>
        <w:rPr>
          <w:rFonts w:ascii="Arial" w:hAnsi="Arial"/>
          <w:b/>
          <w:lang w:val="en-CA"/>
        </w:rPr>
        <w:t>None</w:t>
      </w:r>
      <w:r w:rsidR="002F17B8">
        <w:rPr>
          <w:rFonts w:ascii="Arial" w:hAnsi="Arial"/>
          <w:lang w:val="en-CA"/>
        </w:rPr>
        <w:t>.</w:t>
      </w:r>
    </w:p>
    <w:p w:rsidR="008A42B7" w:rsidRDefault="006F1782">
      <w:pPr>
        <w:pStyle w:val="BodyText"/>
        <w:numPr>
          <w:ilvl w:val="0"/>
          <w:numId w:val="10"/>
        </w:numPr>
        <w:tabs>
          <w:tab w:val="left" w:pos="9180"/>
        </w:tabs>
        <w:rPr>
          <w:rFonts w:ascii="Arial" w:hAnsi="Arial"/>
        </w:rPr>
      </w:pPr>
      <w:r>
        <w:rPr>
          <w:rFonts w:ascii="Arial" w:hAnsi="Arial"/>
        </w:rPr>
        <w:t xml:space="preserve">Description of securities to be issued: </w:t>
      </w:r>
      <w:r>
        <w:rPr>
          <w:rFonts w:ascii="Arial" w:hAnsi="Arial"/>
          <w:b/>
          <w:lang w:val="en-CA"/>
        </w:rPr>
        <w:t>N/</w:t>
      </w:r>
      <w:proofErr w:type="gramStart"/>
      <w:r>
        <w:rPr>
          <w:rFonts w:ascii="Arial" w:hAnsi="Arial"/>
          <w:b/>
          <w:lang w:val="en-CA"/>
        </w:rPr>
        <w:t>A</w:t>
      </w:r>
      <w:r>
        <w:rPr>
          <w:rFonts w:ascii="Arial" w:hAnsi="Arial"/>
          <w:lang w:val="en-CA"/>
        </w:rPr>
        <w:t xml:space="preserve"> .</w:t>
      </w:r>
      <w:proofErr w:type="gramEnd"/>
    </w:p>
    <w:p w:rsidR="008A42B7" w:rsidRDefault="006F1782">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rsidR="008A42B7" w:rsidRDefault="006F1782">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Pr>
          <w:rFonts w:ascii="Arial" w:hAnsi="Arial"/>
          <w:u w:val="single"/>
        </w:rPr>
        <w:tab/>
      </w:r>
      <w:proofErr w:type="gramEnd"/>
      <w:r>
        <w:rPr>
          <w:rFonts w:ascii="Arial" w:hAnsi="Arial"/>
        </w:rPr>
        <w:t xml:space="preserve"> .</w:t>
      </w:r>
    </w:p>
    <w:p w:rsidR="008A42B7" w:rsidRDefault="006F1782">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Pr>
          <w:rFonts w:ascii="Arial" w:hAnsi="Arial"/>
          <w:u w:val="single"/>
        </w:rPr>
        <w:tab/>
      </w:r>
      <w:proofErr w:type="gramEnd"/>
      <w:r>
        <w:rPr>
          <w:rFonts w:ascii="Arial" w:hAnsi="Arial"/>
        </w:rPr>
        <w:t xml:space="preserve"> .</w:t>
      </w:r>
    </w:p>
    <w:p w:rsidR="008A42B7" w:rsidRDefault="006F1782">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r>
        <w:rPr>
          <w:rFonts w:ascii="Arial" w:hAnsi="Arial"/>
        </w:rPr>
        <w:t xml:space="preserve"> </w:t>
      </w:r>
    </w:p>
    <w:p w:rsidR="008A42B7" w:rsidRDefault="006F1782">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Warrants, (options) or other convertible securities are to be issued: </w:t>
      </w:r>
      <w:r>
        <w:rPr>
          <w:rFonts w:ascii="Arial" w:hAnsi="Arial"/>
          <w:b/>
          <w:lang w:val="en-CA"/>
        </w:rPr>
        <w:t>N/</w:t>
      </w:r>
      <w:proofErr w:type="gramStart"/>
      <w:r>
        <w:rPr>
          <w:rFonts w:ascii="Arial" w:hAnsi="Arial"/>
          <w:b/>
          <w:lang w:val="en-CA"/>
        </w:rPr>
        <w:t>A</w:t>
      </w:r>
      <w:r>
        <w:rPr>
          <w:rFonts w:ascii="Arial" w:hAnsi="Arial"/>
          <w:lang w:val="en-CA"/>
        </w:rPr>
        <w:t xml:space="preserve"> .</w:t>
      </w:r>
      <w:proofErr w:type="gramEnd"/>
    </w:p>
    <w:p w:rsidR="008A42B7" w:rsidRDefault="006F1782">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8A42B7" w:rsidRDefault="006F1782">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8A42B7" w:rsidRDefault="006F1782">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8A42B7" w:rsidRDefault="006F1782">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8A42B7" w:rsidRDefault="006F1782">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Pr>
          <w:sz w:val="24"/>
          <w:lang w:val="en-CA"/>
        </w:rPr>
        <w:t xml:space="preserve"> N/</w:t>
      </w:r>
      <w:proofErr w:type="gramStart"/>
      <w:r>
        <w:rPr>
          <w:sz w:val="24"/>
          <w:lang w:val="en-CA"/>
        </w:rPr>
        <w:t>A .</w:t>
      </w:r>
      <w:proofErr w:type="gramEnd"/>
    </w:p>
    <w:p w:rsidR="008A42B7" w:rsidRDefault="006F1782">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8A42B7" w:rsidRDefault="006F1782">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8A42B7" w:rsidRDefault="006F1782">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8A42B7" w:rsidRDefault="008A42B7">
      <w:pPr>
        <w:pStyle w:val="BodyText"/>
        <w:tabs>
          <w:tab w:val="left" w:pos="1080"/>
          <w:tab w:val="left" w:pos="1440"/>
          <w:tab w:val="left" w:pos="2160"/>
          <w:tab w:val="left" w:pos="9180"/>
        </w:tabs>
        <w:rPr>
          <w:rFonts w:ascii="Arial" w:hAnsi="Arial"/>
        </w:rPr>
      </w:pPr>
    </w:p>
    <w:p w:rsidR="008A42B7" w:rsidRDefault="006F1782">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8A42B7" w:rsidRDefault="006F1782">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placement (including warrants, options, etc.): </w:t>
      </w:r>
      <w:r>
        <w:rPr>
          <w:rFonts w:ascii="Arial" w:hAnsi="Arial"/>
          <w:b/>
          <w:lang w:val="en-CA"/>
        </w:rPr>
        <w:t>N/</w:t>
      </w:r>
      <w:proofErr w:type="gramStart"/>
      <w:r>
        <w:rPr>
          <w:rFonts w:ascii="Arial" w:hAnsi="Arial"/>
          <w:b/>
          <w:lang w:val="en-CA"/>
        </w:rPr>
        <w:t>A</w:t>
      </w:r>
      <w:r>
        <w:rPr>
          <w:rFonts w:ascii="Arial" w:hAnsi="Arial"/>
          <w:lang w:val="en-CA"/>
        </w:rPr>
        <w:t xml:space="preserve"> .</w:t>
      </w:r>
      <w:proofErr w:type="gramEnd"/>
    </w:p>
    <w:p w:rsidR="008A42B7" w:rsidRDefault="006F1782">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8A42B7" w:rsidRDefault="006F1782">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8A42B7" w:rsidRDefault="006F1782">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8A42B7" w:rsidRDefault="006F1782">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p>
    <w:p w:rsidR="008A42B7" w:rsidRDefault="006F1782">
      <w:pPr>
        <w:pStyle w:val="List"/>
        <w:tabs>
          <w:tab w:val="left" w:pos="1080"/>
          <w:tab w:val="left" w:pos="9180"/>
        </w:tabs>
        <w:ind w:left="0" w:firstLine="0"/>
        <w:jc w:val="both"/>
        <w:rPr>
          <w:rFonts w:ascii="Arial" w:hAnsi="Arial"/>
        </w:rPr>
      </w:pPr>
      <w:r>
        <w:rPr>
          <w:rFonts w:ascii="Arial" w:hAnsi="Arial"/>
        </w:rPr>
        <w:tab/>
      </w:r>
      <w:r>
        <w:rPr>
          <w:rFonts w:ascii="Arial" w:hAnsi="Arial"/>
          <w:b/>
          <w:lang w:val="en-CA"/>
        </w:rPr>
        <w:t>N/</w:t>
      </w:r>
      <w:proofErr w:type="gramStart"/>
      <w:r>
        <w:rPr>
          <w:rFonts w:ascii="Arial" w:hAnsi="Arial"/>
          <w:b/>
          <w:lang w:val="en-CA"/>
        </w:rPr>
        <w:t>A</w:t>
      </w:r>
      <w:r>
        <w:rPr>
          <w:rFonts w:ascii="Arial" w:hAnsi="Arial"/>
        </w:rPr>
        <w:t xml:space="preserve"> .</w:t>
      </w:r>
      <w:proofErr w:type="gramEnd"/>
    </w:p>
    <w:p w:rsidR="008A42B7" w:rsidRDefault="006F1782">
      <w:pPr>
        <w:pStyle w:val="List"/>
        <w:numPr>
          <w:ilvl w:val="0"/>
          <w:numId w:val="10"/>
        </w:numPr>
        <w:rPr>
          <w:rFonts w:ascii="Arial" w:hAnsi="Arial"/>
        </w:rPr>
      </w:pPr>
      <w:r>
        <w:rPr>
          <w:rFonts w:ascii="Arial" w:hAnsi="Arial"/>
        </w:rPr>
        <w:t>Describe any unusual particulars of the transaction (i.e. tax “flow through” shares, etc.).</w:t>
      </w:r>
    </w:p>
    <w:p w:rsidR="008A42B7" w:rsidRDefault="006F1782">
      <w:pPr>
        <w:pStyle w:val="List"/>
        <w:tabs>
          <w:tab w:val="left" w:pos="1080"/>
          <w:tab w:val="left" w:pos="9180"/>
        </w:tabs>
        <w:ind w:left="0" w:firstLine="0"/>
        <w:jc w:val="both"/>
        <w:rPr>
          <w:rFonts w:ascii="Arial" w:hAnsi="Arial"/>
        </w:rPr>
      </w:pPr>
      <w:r>
        <w:rPr>
          <w:rFonts w:ascii="Arial" w:hAnsi="Arial"/>
        </w:rPr>
        <w:tab/>
      </w:r>
      <w:r>
        <w:rPr>
          <w:rFonts w:ascii="Arial" w:hAnsi="Arial"/>
          <w:b/>
          <w:lang w:val="en-CA"/>
        </w:rPr>
        <w:t>N/</w:t>
      </w:r>
      <w:proofErr w:type="gramStart"/>
      <w:r>
        <w:rPr>
          <w:rFonts w:ascii="Arial" w:hAnsi="Arial"/>
          <w:b/>
          <w:lang w:val="en-CA"/>
        </w:rPr>
        <w:t>A</w:t>
      </w:r>
      <w:r>
        <w:rPr>
          <w:rFonts w:ascii="Arial" w:hAnsi="Arial"/>
        </w:rPr>
        <w:t xml:space="preserve"> .</w:t>
      </w:r>
      <w:proofErr w:type="gramEnd"/>
    </w:p>
    <w:p w:rsidR="008A42B7" w:rsidRDefault="006F1782">
      <w:pPr>
        <w:pStyle w:val="List"/>
        <w:numPr>
          <w:ilvl w:val="0"/>
          <w:numId w:val="10"/>
        </w:numPr>
        <w:rPr>
          <w:rFonts w:ascii="Arial" w:hAnsi="Arial"/>
        </w:rPr>
      </w:pPr>
      <w:r>
        <w:rPr>
          <w:rFonts w:ascii="Arial" w:hAnsi="Arial"/>
        </w:rPr>
        <w:t>State whether the private placement will result in a change of control.</w:t>
      </w:r>
    </w:p>
    <w:p w:rsidR="008A42B7" w:rsidRDefault="006F1782">
      <w:pPr>
        <w:pStyle w:val="List"/>
        <w:tabs>
          <w:tab w:val="left" w:pos="1080"/>
          <w:tab w:val="left" w:pos="9180"/>
        </w:tabs>
        <w:ind w:firstLine="0"/>
        <w:jc w:val="both"/>
        <w:rPr>
          <w:rFonts w:ascii="Arial" w:hAnsi="Arial"/>
        </w:rPr>
      </w:pPr>
      <w:r>
        <w:rPr>
          <w:rFonts w:ascii="Arial" w:hAnsi="Arial"/>
          <w:b/>
          <w:lang w:val="en-CA"/>
        </w:rPr>
        <w:t>N/</w:t>
      </w:r>
      <w:proofErr w:type="gramStart"/>
      <w:r>
        <w:rPr>
          <w:rFonts w:ascii="Arial" w:hAnsi="Arial"/>
          <w:b/>
          <w:lang w:val="en-CA"/>
        </w:rPr>
        <w:t>A</w:t>
      </w:r>
      <w:r>
        <w:rPr>
          <w:rFonts w:ascii="Arial" w:hAnsi="Arial"/>
        </w:rPr>
        <w:t xml:space="preserve"> .</w:t>
      </w:r>
      <w:proofErr w:type="gramEnd"/>
    </w:p>
    <w:p w:rsidR="008A42B7" w:rsidRDefault="008A42B7">
      <w:pPr>
        <w:pStyle w:val="List"/>
        <w:tabs>
          <w:tab w:val="left" w:pos="9180"/>
        </w:tabs>
        <w:spacing w:before="0"/>
        <w:jc w:val="both"/>
        <w:rPr>
          <w:rFonts w:ascii="Arial" w:hAnsi="Arial"/>
        </w:rPr>
      </w:pPr>
    </w:p>
    <w:p w:rsidR="008A42B7" w:rsidRDefault="006F1782">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b/>
        </w:rPr>
        <w:t>N/A</w:t>
      </w:r>
      <w:r>
        <w:rPr>
          <w:rFonts w:ascii="Arial" w:hAnsi="Arial"/>
          <w:u w:val="single"/>
        </w:rPr>
        <w:tab/>
      </w:r>
    </w:p>
    <w:p w:rsidR="008A42B7" w:rsidRDefault="006F1782">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8A42B7" w:rsidRDefault="006F1782">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8A42B7" w:rsidRDefault="006F1782">
      <w:pPr>
        <w:pStyle w:val="List"/>
        <w:tabs>
          <w:tab w:val="left" w:pos="1080"/>
          <w:tab w:val="left" w:pos="9180"/>
        </w:tabs>
        <w:spacing w:before="0"/>
        <w:ind w:left="0" w:firstLine="0"/>
        <w:jc w:val="both"/>
        <w:rPr>
          <w:rFonts w:ascii="Arial" w:hAnsi="Arial"/>
        </w:rPr>
      </w:pPr>
      <w:r>
        <w:rPr>
          <w:rFonts w:ascii="Arial" w:hAnsi="Arial"/>
        </w:rPr>
        <w:tab/>
      </w:r>
    </w:p>
    <w:p w:rsidR="008A42B7" w:rsidRDefault="006F1782">
      <w:pPr>
        <w:pStyle w:val="List"/>
        <w:numPr>
          <w:ilvl w:val="0"/>
          <w:numId w:val="10"/>
        </w:numPr>
        <w:jc w:val="both"/>
        <w:rPr>
          <w:rFonts w:ascii="Arial" w:hAnsi="Arial"/>
        </w:rPr>
      </w:pPr>
      <w:r>
        <w:rPr>
          <w:rFonts w:ascii="Arial" w:hAnsi="Arial"/>
        </w:rPr>
        <w:lastRenderedPageBreak/>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rsidR="008A42B7" w:rsidRDefault="006F1782">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8A42B7" w:rsidRDefault="008A42B7">
      <w:pPr>
        <w:pStyle w:val="List"/>
        <w:tabs>
          <w:tab w:val="left" w:pos="9180"/>
        </w:tabs>
        <w:spacing w:before="0"/>
        <w:ind w:left="0" w:firstLine="0"/>
        <w:jc w:val="both"/>
        <w:rPr>
          <w:rFonts w:ascii="Arial" w:hAnsi="Arial"/>
          <w:color w:val="000000"/>
        </w:rPr>
      </w:pPr>
    </w:p>
    <w:p w:rsidR="008A42B7" w:rsidRDefault="006F1782">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8A42B7" w:rsidRDefault="006F1782">
      <w:pPr>
        <w:pStyle w:val="List"/>
        <w:tabs>
          <w:tab w:val="left" w:pos="9180"/>
        </w:tabs>
        <w:spacing w:before="0"/>
        <w:ind w:firstLine="0"/>
        <w:jc w:val="both"/>
        <w:rPr>
          <w:rFonts w:ascii="Arial" w:hAnsi="Arial"/>
          <w:color w:val="000000"/>
          <w:u w:val="single"/>
        </w:rPr>
      </w:pPr>
      <w:r>
        <w:rPr>
          <w:rFonts w:ascii="Arial" w:hAnsi="Arial"/>
          <w:color w:val="000000"/>
          <w:u w:val="single"/>
        </w:rPr>
        <w:t>Acquisition of all of the issued and outstanding shares of Form Factory, Inc. (“</w:t>
      </w:r>
      <w:r>
        <w:rPr>
          <w:rFonts w:ascii="Arial" w:hAnsi="Arial"/>
          <w:b/>
          <w:color w:val="000000"/>
          <w:u w:val="single"/>
        </w:rPr>
        <w:t>Form Factory</w:t>
      </w:r>
      <w:r>
        <w:rPr>
          <w:rFonts w:ascii="Arial" w:hAnsi="Arial"/>
          <w:color w:val="000000"/>
          <w:u w:val="single"/>
        </w:rPr>
        <w:t>”), with business operations, directly and through its subsidiaries, and assets located in California, Oregon, and Washington</w:t>
      </w:r>
      <w:r w:rsidR="00E34061">
        <w:rPr>
          <w:rFonts w:ascii="Arial" w:hAnsi="Arial"/>
          <w:color w:val="000000"/>
          <w:u w:val="single"/>
        </w:rPr>
        <w:t xml:space="preserve">.  </w:t>
      </w:r>
      <w:r w:rsidR="00E34061" w:rsidRPr="00E34061">
        <w:rPr>
          <w:rFonts w:ascii="Arial" w:hAnsi="Arial"/>
          <w:color w:val="000000"/>
          <w:u w:val="single"/>
        </w:rPr>
        <w:t xml:space="preserve">Form Factory is a cannabis manufacturer and co-packer located in Portland, Oregon, with an additional facility in Washington and plans for expansion into California. </w:t>
      </w:r>
    </w:p>
    <w:p w:rsidR="008A42B7" w:rsidRDefault="006F1782">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p>
    <w:p w:rsidR="008A42B7" w:rsidRDefault="006F1782">
      <w:pPr>
        <w:pStyle w:val="List"/>
        <w:tabs>
          <w:tab w:val="left" w:pos="1080"/>
          <w:tab w:val="left" w:pos="9180"/>
        </w:tabs>
        <w:spacing w:before="0"/>
        <w:ind w:firstLine="0"/>
        <w:jc w:val="both"/>
        <w:rPr>
          <w:rFonts w:ascii="Arial" w:hAnsi="Arial"/>
          <w:b/>
          <w:color w:val="000000"/>
          <w:u w:val="single"/>
        </w:rPr>
      </w:pPr>
      <w:r>
        <w:rPr>
          <w:rFonts w:ascii="Arial" w:hAnsi="Arial"/>
          <w:color w:val="000000"/>
          <w:u w:val="single"/>
        </w:rPr>
        <w:t>On</w:t>
      </w:r>
      <w:r w:rsidR="00E34061">
        <w:rPr>
          <w:rFonts w:ascii="Arial" w:hAnsi="Arial"/>
          <w:color w:val="000000"/>
          <w:u w:val="single"/>
        </w:rPr>
        <w:t xml:space="preserve"> December 5</w:t>
      </w:r>
      <w:r>
        <w:rPr>
          <w:rFonts w:ascii="Arial" w:hAnsi="Arial"/>
          <w:color w:val="000000"/>
          <w:u w:val="single"/>
        </w:rPr>
        <w:t>, 2018, the Issuer</w:t>
      </w:r>
      <w:r w:rsidR="00E34061">
        <w:rPr>
          <w:rFonts w:ascii="Arial" w:hAnsi="Arial"/>
          <w:color w:val="000000"/>
          <w:u w:val="single"/>
        </w:rPr>
        <w:t xml:space="preserve"> signed a definitive agreement to</w:t>
      </w:r>
      <w:r>
        <w:rPr>
          <w:rFonts w:ascii="Arial" w:hAnsi="Arial"/>
          <w:color w:val="000000"/>
          <w:u w:val="single"/>
        </w:rPr>
        <w:t xml:space="preserve"> acquire all of the issued and outstanding shares of Form Factory in an arm’s length transaction</w:t>
      </w:r>
      <w:r>
        <w:rPr>
          <w:rFonts w:ascii="Arial" w:hAnsi="Arial"/>
          <w:u w:val="single"/>
          <w:lang w:val="en-CA"/>
        </w:rPr>
        <w:t>; the acquisition will be the result of Form Factory merging with and into a wholly-owned subsidiary of the Issuer, with Form Factory surviving such merger as a wholly-owned subsidiary of the Issuer. Form Factory does not have an existing relationship with the Issuer. The payment terms are USD$1</w:t>
      </w:r>
      <w:r w:rsidR="000A1716">
        <w:rPr>
          <w:rFonts w:ascii="Arial" w:hAnsi="Arial"/>
          <w:u w:val="single"/>
          <w:lang w:val="en-CA"/>
        </w:rPr>
        <w:t>60</w:t>
      </w:r>
      <w:r w:rsidR="00E34061">
        <w:rPr>
          <w:rFonts w:ascii="Arial" w:hAnsi="Arial"/>
          <w:u w:val="single"/>
          <w:lang w:val="en-CA"/>
        </w:rPr>
        <w:t>,0</w:t>
      </w:r>
      <w:r w:rsidR="000A1716">
        <w:rPr>
          <w:rFonts w:ascii="Arial" w:hAnsi="Arial"/>
          <w:u w:val="single"/>
          <w:lang w:val="en-CA"/>
        </w:rPr>
        <w:t>00</w:t>
      </w:r>
      <w:r w:rsidR="00E34061">
        <w:rPr>
          <w:rFonts w:ascii="Arial" w:hAnsi="Arial"/>
          <w:u w:val="single"/>
          <w:lang w:val="en-CA"/>
        </w:rPr>
        <w:t>,000.00</w:t>
      </w:r>
      <w:r>
        <w:rPr>
          <w:rFonts w:ascii="Arial" w:hAnsi="Arial"/>
          <w:u w:val="single"/>
          <w:lang w:val="en-CA"/>
        </w:rPr>
        <w:t xml:space="preserve"> (CAD$</w:t>
      </w:r>
      <w:r w:rsidR="000A1716">
        <w:rPr>
          <w:rFonts w:ascii="Arial" w:hAnsi="Arial"/>
          <w:u w:val="single"/>
          <w:lang w:val="en-CA"/>
        </w:rPr>
        <w:t>21</w:t>
      </w:r>
      <w:r w:rsidR="00B312D4">
        <w:rPr>
          <w:rFonts w:ascii="Arial" w:hAnsi="Arial"/>
          <w:u w:val="single"/>
          <w:lang w:val="en-CA"/>
        </w:rPr>
        <w:t>3</w:t>
      </w:r>
      <w:r w:rsidR="000A1716">
        <w:rPr>
          <w:rFonts w:ascii="Arial" w:hAnsi="Arial"/>
          <w:u w:val="single"/>
          <w:lang w:val="en-CA"/>
        </w:rPr>
        <w:t>,</w:t>
      </w:r>
      <w:r w:rsidR="00B312D4">
        <w:rPr>
          <w:rFonts w:ascii="Arial" w:hAnsi="Arial"/>
          <w:u w:val="single"/>
          <w:lang w:val="en-CA"/>
        </w:rPr>
        <w:t>648</w:t>
      </w:r>
      <w:r w:rsidR="000A1716">
        <w:rPr>
          <w:rFonts w:ascii="Arial" w:hAnsi="Arial"/>
          <w:u w:val="single"/>
          <w:lang w:val="en-CA"/>
        </w:rPr>
        <w:t>,000.00</w:t>
      </w:r>
      <w:r>
        <w:rPr>
          <w:rFonts w:ascii="Arial" w:hAnsi="Arial"/>
          <w:u w:val="single"/>
          <w:lang w:val="en-CA"/>
        </w:rPr>
        <w:t xml:space="preserve">) assuming a U.S. to </w:t>
      </w:r>
      <w:r>
        <w:rPr>
          <w:rFonts w:ascii="Arial" w:hAnsi="Arial"/>
          <w:color w:val="000000"/>
          <w:u w:val="single"/>
        </w:rPr>
        <w:t>Canadian dollar exchange rate of 1:1.3</w:t>
      </w:r>
      <w:r w:rsidR="00B312D4">
        <w:rPr>
          <w:rFonts w:ascii="Arial" w:hAnsi="Arial"/>
          <w:color w:val="000000"/>
          <w:u w:val="single"/>
        </w:rPr>
        <w:t>353</w:t>
      </w:r>
      <w:r>
        <w:rPr>
          <w:rFonts w:ascii="Arial" w:hAnsi="Arial"/>
          <w:color w:val="000000"/>
          <w:u w:val="single"/>
        </w:rPr>
        <w:t xml:space="preserve">, being the closing rate published by Bank of Canada on </w:t>
      </w:r>
      <w:r w:rsidR="00E34061">
        <w:rPr>
          <w:rFonts w:ascii="Arial" w:hAnsi="Arial"/>
          <w:color w:val="000000"/>
          <w:u w:val="single"/>
        </w:rPr>
        <w:t xml:space="preserve">December </w:t>
      </w:r>
      <w:r w:rsidR="00B312D4">
        <w:rPr>
          <w:rFonts w:ascii="Arial" w:hAnsi="Arial"/>
          <w:color w:val="000000"/>
          <w:u w:val="single"/>
        </w:rPr>
        <w:t>5</w:t>
      </w:r>
      <w:r>
        <w:rPr>
          <w:rFonts w:ascii="Arial" w:hAnsi="Arial"/>
          <w:color w:val="000000"/>
          <w:u w:val="single"/>
        </w:rPr>
        <w:t xml:space="preserve">, 2018), to be satisfied by the issuance of up to </w:t>
      </w:r>
      <w:r w:rsidRPr="0029562F">
        <w:rPr>
          <w:rFonts w:ascii="Arial" w:hAnsi="Arial"/>
          <w:u w:val="single"/>
          <w:lang w:val="en-CA"/>
        </w:rPr>
        <w:t>6,400,000</w:t>
      </w:r>
      <w:r>
        <w:rPr>
          <w:rFonts w:ascii="Arial" w:hAnsi="Arial"/>
          <w:u w:val="single"/>
          <w:lang w:val="en-CA"/>
        </w:rPr>
        <w:t xml:space="preserve"> Subordinate Voting Shares of the Issuer, of which:</w:t>
      </w:r>
      <w:r w:rsidR="00D157C0">
        <w:rPr>
          <w:rFonts w:ascii="Arial" w:hAnsi="Arial"/>
          <w:u w:val="single"/>
          <w:lang w:val="en-CA"/>
        </w:rPr>
        <w:t xml:space="preserve"> </w:t>
      </w:r>
      <w:r w:rsidR="00F27FEE">
        <w:rPr>
          <w:rFonts w:ascii="Arial" w:hAnsi="Arial"/>
          <w:u w:val="single"/>
          <w:lang w:val="en-CA"/>
        </w:rPr>
        <w:t>760,000</w:t>
      </w:r>
      <w:r>
        <w:rPr>
          <w:rFonts w:ascii="Arial" w:hAnsi="Arial"/>
          <w:u w:val="single"/>
          <w:lang w:val="en-CA"/>
        </w:rPr>
        <w:t xml:space="preserve"> Subordinate Voting Shares will be subject to a 2-year escrow in order to: (</w:t>
      </w:r>
      <w:proofErr w:type="spellStart"/>
      <w:r>
        <w:rPr>
          <w:rFonts w:ascii="Arial" w:hAnsi="Arial"/>
          <w:u w:val="single"/>
          <w:lang w:val="en-CA"/>
        </w:rPr>
        <w:t>i</w:t>
      </w:r>
      <w:proofErr w:type="spellEnd"/>
      <w:r>
        <w:rPr>
          <w:rFonts w:ascii="Arial" w:hAnsi="Arial"/>
          <w:u w:val="single"/>
          <w:lang w:val="en-CA"/>
        </w:rPr>
        <w:t xml:space="preserve">) satisfy excesses of Form Factory indebtedness and transaction expenses over estimated amounts;  and (ii) claims by the Issuer for indemnification in respect of breaches of representations and warranties and covenants of Form Factory and its shareholders in the Merger Agreement. </w:t>
      </w:r>
    </w:p>
    <w:p w:rsidR="008A42B7" w:rsidRDefault="006F1782">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8A42B7" w:rsidRDefault="006F1782">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CAD</w:t>
      </w:r>
      <w:r w:rsidR="000A1716">
        <w:rPr>
          <w:rFonts w:ascii="Arial" w:hAnsi="Arial"/>
          <w:color w:val="000000"/>
          <w:u w:val="single"/>
        </w:rPr>
        <w:t>$21</w:t>
      </w:r>
      <w:r w:rsidR="00B312D4">
        <w:rPr>
          <w:rFonts w:ascii="Arial" w:hAnsi="Arial"/>
          <w:color w:val="000000"/>
          <w:u w:val="single"/>
        </w:rPr>
        <w:t>3</w:t>
      </w:r>
      <w:r w:rsidR="000A1716">
        <w:rPr>
          <w:rFonts w:ascii="Arial" w:hAnsi="Arial"/>
          <w:color w:val="000000"/>
          <w:u w:val="single"/>
        </w:rPr>
        <w:t>,</w:t>
      </w:r>
      <w:r w:rsidR="00B312D4">
        <w:rPr>
          <w:rFonts w:ascii="Arial" w:hAnsi="Arial"/>
          <w:color w:val="000000"/>
          <w:u w:val="single"/>
        </w:rPr>
        <w:t>648</w:t>
      </w:r>
      <w:r w:rsidR="000A1716">
        <w:rPr>
          <w:rFonts w:ascii="Arial" w:hAnsi="Arial"/>
          <w:color w:val="000000"/>
          <w:u w:val="single"/>
        </w:rPr>
        <w:t>,000.00</w:t>
      </w:r>
      <w:r>
        <w:rPr>
          <w:rFonts w:ascii="Arial" w:hAnsi="Arial"/>
          <w:color w:val="000000"/>
          <w:u w:val="single"/>
        </w:rPr>
        <w:t xml:space="preserve"> (assuming a U.S. to Canadian dollar exchange rate of 1:1.3</w:t>
      </w:r>
      <w:r w:rsidR="00B312D4">
        <w:rPr>
          <w:rFonts w:ascii="Arial" w:hAnsi="Arial"/>
          <w:color w:val="000000"/>
          <w:u w:val="single"/>
        </w:rPr>
        <w:t>353</w:t>
      </w:r>
      <w:r>
        <w:rPr>
          <w:rFonts w:ascii="Arial" w:hAnsi="Arial"/>
          <w:color w:val="000000"/>
          <w:u w:val="single"/>
        </w:rPr>
        <w:t xml:space="preserve">, being the closing rate published by Bank of Canada on </w:t>
      </w:r>
      <w:r w:rsidR="00F27FEE">
        <w:rPr>
          <w:rFonts w:ascii="Arial" w:hAnsi="Arial"/>
          <w:color w:val="000000"/>
          <w:u w:val="single"/>
        </w:rPr>
        <w:t xml:space="preserve">December </w:t>
      </w:r>
      <w:r w:rsidR="00B312D4">
        <w:rPr>
          <w:rFonts w:ascii="Arial" w:hAnsi="Arial"/>
          <w:color w:val="000000"/>
          <w:u w:val="single"/>
        </w:rPr>
        <w:t>5</w:t>
      </w:r>
      <w:r>
        <w:rPr>
          <w:rFonts w:ascii="Arial" w:hAnsi="Arial"/>
          <w:color w:val="000000"/>
          <w:u w:val="single"/>
        </w:rPr>
        <w:t xml:space="preserve">, 2018). </w:t>
      </w:r>
      <w:r>
        <w:rPr>
          <w:rFonts w:ascii="Arial" w:hAnsi="Arial"/>
          <w:color w:val="000000"/>
          <w:u w:val="single"/>
        </w:rPr>
        <w:tab/>
      </w:r>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Cash: </w:t>
      </w:r>
      <w:r>
        <w:rPr>
          <w:rFonts w:ascii="Arial" w:hAnsi="Arial"/>
          <w:b/>
          <w:u w:val="single"/>
          <w:lang w:val="en-CA"/>
        </w:rPr>
        <w:t>N/A</w:t>
      </w:r>
      <w:r>
        <w:rPr>
          <w:rFonts w:ascii="Arial" w:hAnsi="Arial"/>
          <w:u w:val="single"/>
          <w:lang w:val="en-CA"/>
        </w:rPr>
        <w:tab/>
      </w:r>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Pr="004C43F4">
        <w:rPr>
          <w:rFonts w:ascii="Arial" w:hAnsi="Arial"/>
          <w:u w:val="single"/>
          <w:lang w:val="en-CA"/>
        </w:rPr>
        <w:t>6,400,000</w:t>
      </w:r>
      <w:r>
        <w:rPr>
          <w:rFonts w:ascii="Arial" w:hAnsi="Arial"/>
          <w:u w:val="single"/>
          <w:lang w:val="en-CA"/>
        </w:rPr>
        <w:t xml:space="preserve"> Subordinate Voting Shares issued at a deemed price of US$25.00 per share.</w:t>
      </w:r>
      <w:r>
        <w:rPr>
          <w:rFonts w:ascii="Arial" w:hAnsi="Arial"/>
          <w:u w:val="single"/>
          <w:lang w:val="en-CA"/>
        </w:rPr>
        <w:tab/>
      </w:r>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8A42B7" w:rsidRDefault="006F1782">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8A42B7" w:rsidRDefault="006F1782">
      <w:pPr>
        <w:pStyle w:val="List"/>
        <w:keepNext/>
        <w:keepLines/>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8A42B7" w:rsidRDefault="006F1782">
      <w:pPr>
        <w:pStyle w:val="List"/>
        <w:keepNext/>
        <w:keepLines/>
        <w:tabs>
          <w:tab w:val="left" w:pos="9180"/>
        </w:tabs>
        <w:spacing w:before="0"/>
        <w:ind w:firstLine="0"/>
        <w:rPr>
          <w:rFonts w:ascii="Arial" w:hAnsi="Arial"/>
          <w:color w:val="000000"/>
          <w:u w:val="single"/>
        </w:rPr>
      </w:pPr>
      <w:r>
        <w:rPr>
          <w:rFonts w:ascii="Arial" w:hAnsi="Arial"/>
          <w:u w:val="single"/>
          <w:lang w:val="en-CA"/>
        </w:rPr>
        <w:t>Arm’s length negotiations between the parties.</w:t>
      </w:r>
      <w:r>
        <w:rPr>
          <w:rFonts w:ascii="Arial" w:hAnsi="Arial"/>
          <w:u w:val="single"/>
          <w:lang w:val="en-CA"/>
        </w:rPr>
        <w:tab/>
      </w:r>
    </w:p>
    <w:p w:rsidR="008A42B7" w:rsidRDefault="006F1782">
      <w:pPr>
        <w:pStyle w:val="List"/>
        <w:numPr>
          <w:ilvl w:val="0"/>
          <w:numId w:val="16"/>
        </w:numPr>
        <w:tabs>
          <w:tab w:val="left" w:pos="9180"/>
        </w:tabs>
        <w:rPr>
          <w:rFonts w:ascii="Arial" w:hAnsi="Arial"/>
          <w:color w:val="000000"/>
          <w:u w:val="single"/>
        </w:rPr>
      </w:pPr>
      <w:r>
        <w:rPr>
          <w:rFonts w:ascii="Arial" w:hAnsi="Arial"/>
          <w:color w:val="000000"/>
        </w:rPr>
        <w:t>Provide details of any appraisal or valuation of the subject of the acquisition known to management of the Issuer:</w:t>
      </w:r>
      <w:r>
        <w:rPr>
          <w:rFonts w:ascii="Arial" w:hAnsi="Arial"/>
          <w:b/>
          <w:lang w:val="en-CA"/>
        </w:rPr>
        <w:t xml:space="preserve"> </w:t>
      </w:r>
      <w:r w:rsidRPr="004C33DF">
        <w:rPr>
          <w:rFonts w:ascii="Arial" w:hAnsi="Arial"/>
          <w:u w:val="single"/>
          <w:lang w:val="en-CA"/>
        </w:rPr>
        <w:t>N/A</w:t>
      </w:r>
      <w:r>
        <w:rPr>
          <w:rFonts w:ascii="Arial" w:hAnsi="Arial"/>
          <w:u w:val="single"/>
          <w:lang w:val="en-CA"/>
        </w:rPr>
        <w:tab/>
      </w:r>
    </w:p>
    <w:p w:rsidR="008A42B7" w:rsidRDefault="006F1782">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8A42B7" w:rsidRDefault="006F1782">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17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260"/>
        <w:gridCol w:w="1350"/>
        <w:gridCol w:w="1350"/>
        <w:gridCol w:w="1440"/>
        <w:gridCol w:w="1530"/>
      </w:tblGrid>
      <w:tr w:rsidR="008A42B7" w:rsidTr="006F1782">
        <w:tc>
          <w:tcPr>
            <w:tcW w:w="1530" w:type="dxa"/>
          </w:tcPr>
          <w:p w:rsidR="008A42B7" w:rsidRDefault="008A42B7">
            <w:pPr>
              <w:pStyle w:val="BodyText"/>
              <w:keepNext/>
              <w:keepLines/>
              <w:spacing w:before="0" w:line="280" w:lineRule="exact"/>
              <w:jc w:val="center"/>
              <w:rPr>
                <w:rFonts w:ascii="Arial" w:hAnsi="Arial"/>
                <w:b/>
                <w:sz w:val="20"/>
                <w:lang w:val="en-CA"/>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710" w:type="dxa"/>
          </w:tcPr>
          <w:p w:rsidR="008A42B7" w:rsidRDefault="008A42B7">
            <w:pPr>
              <w:pStyle w:val="BodyText"/>
              <w:keepNext/>
              <w:keepLines/>
              <w:spacing w:before="0" w:line="280" w:lineRule="exact"/>
              <w:jc w:val="center"/>
              <w:rPr>
                <w:rFonts w:ascii="Arial" w:hAnsi="Arial"/>
                <w:b/>
                <w:sz w:val="20"/>
                <w:lang w:val="en-CA"/>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8A42B7" w:rsidRDefault="008A42B7">
            <w:pPr>
              <w:pStyle w:val="BodyText"/>
              <w:keepNext/>
              <w:keepLines/>
              <w:spacing w:before="0" w:line="280" w:lineRule="exact"/>
              <w:jc w:val="center"/>
              <w:rPr>
                <w:rFonts w:ascii="Arial" w:hAnsi="Arial"/>
                <w:b/>
                <w:sz w:val="20"/>
                <w:lang w:val="en-CA"/>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rsidR="008A42B7" w:rsidRDefault="008A42B7">
            <w:pPr>
              <w:pStyle w:val="BodyText"/>
              <w:keepNext/>
              <w:keepLines/>
              <w:spacing w:before="0" w:line="280" w:lineRule="exact"/>
              <w:jc w:val="center"/>
              <w:rPr>
                <w:rFonts w:ascii="Arial" w:hAnsi="Arial"/>
                <w:b/>
                <w:sz w:val="20"/>
                <w:lang w:val="en-CA"/>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350" w:type="dxa"/>
          </w:tcPr>
          <w:p w:rsidR="008A42B7" w:rsidRDefault="008A42B7">
            <w:pPr>
              <w:pStyle w:val="BodyText"/>
              <w:keepNext/>
              <w:keepLines/>
              <w:spacing w:before="0" w:line="280" w:lineRule="exact"/>
              <w:jc w:val="center"/>
              <w:rPr>
                <w:rFonts w:ascii="Arial" w:hAnsi="Arial"/>
                <w:b/>
                <w:sz w:val="20"/>
                <w:lang w:val="en-CA"/>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rsidR="008A42B7" w:rsidRDefault="008A42B7">
            <w:pPr>
              <w:pStyle w:val="BodyText"/>
              <w:keepNext/>
              <w:keepLines/>
              <w:spacing w:before="0" w:line="280" w:lineRule="exact"/>
              <w:jc w:val="center"/>
              <w:rPr>
                <w:rFonts w:ascii="Arial" w:hAnsi="Arial"/>
                <w:b/>
                <w:sz w:val="20"/>
              </w:rPr>
            </w:pPr>
          </w:p>
          <w:p w:rsidR="008A42B7" w:rsidRDefault="006F1782">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8A42B7" w:rsidRDefault="008A42B7">
            <w:pPr>
              <w:pStyle w:val="BodyText"/>
              <w:keepNext/>
              <w:keepLines/>
              <w:spacing w:before="0" w:line="280" w:lineRule="exact"/>
              <w:jc w:val="center"/>
              <w:rPr>
                <w:rFonts w:ascii="Arial" w:hAnsi="Arial"/>
                <w:b/>
                <w:color w:val="000000"/>
                <w:sz w:val="20"/>
                <w:lang w:val="en-CA"/>
              </w:rPr>
            </w:pPr>
          </w:p>
          <w:p w:rsidR="008A42B7" w:rsidRDefault="006F1782">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8A42B7" w:rsidRDefault="006F1782">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8A42B7" w:rsidTr="006F1782">
        <w:trPr>
          <w:trHeight w:hRule="exact" w:val="6850"/>
        </w:trPr>
        <w:tc>
          <w:tcPr>
            <w:tcW w:w="1530" w:type="dxa"/>
          </w:tcPr>
          <w:p w:rsidR="008A42B7" w:rsidRDefault="006F1782">
            <w:pPr>
              <w:pStyle w:val="BodyText"/>
              <w:spacing w:before="0" w:line="280" w:lineRule="exact"/>
              <w:rPr>
                <w:rFonts w:ascii="Arial" w:hAnsi="Arial"/>
                <w:sz w:val="20"/>
                <w:lang w:val="en-CA"/>
              </w:rPr>
            </w:pPr>
            <w:r>
              <w:rPr>
                <w:rFonts w:ascii="Arial" w:hAnsi="Arial"/>
                <w:sz w:val="20"/>
                <w:lang w:val="en-CA"/>
              </w:rPr>
              <w:t>Shareholders’ names and addresses contain personal information – a copy will be provided to the CSE on a confidential basis.</w:t>
            </w:r>
          </w:p>
        </w:tc>
        <w:tc>
          <w:tcPr>
            <w:tcW w:w="1710" w:type="dxa"/>
          </w:tcPr>
          <w:p w:rsidR="008A42B7" w:rsidRPr="006F1782" w:rsidRDefault="003A288B" w:rsidP="006F1782">
            <w:pPr>
              <w:pStyle w:val="BodyText"/>
              <w:spacing w:before="0" w:line="280" w:lineRule="exact"/>
              <w:rPr>
                <w:rFonts w:ascii="Arial" w:hAnsi="Arial"/>
                <w:sz w:val="20"/>
                <w:lang w:val="en-CA"/>
              </w:rPr>
            </w:pPr>
            <w:r>
              <w:rPr>
                <w:rFonts w:ascii="Arial" w:hAnsi="Arial"/>
                <w:sz w:val="20"/>
                <w:lang w:val="en-CA"/>
              </w:rPr>
              <w:t xml:space="preserve">6,400,000 </w:t>
            </w:r>
            <w:r w:rsidR="006F1782">
              <w:rPr>
                <w:rFonts w:ascii="Arial" w:hAnsi="Arial"/>
                <w:sz w:val="20"/>
                <w:lang w:val="en-CA"/>
              </w:rPr>
              <w:t xml:space="preserve">Subordinate Voting Shares issuable immediately upon closing; </w:t>
            </w:r>
            <w:r w:rsidR="006F1782" w:rsidRPr="006F1782">
              <w:rPr>
                <w:rFonts w:ascii="Arial" w:hAnsi="Arial"/>
                <w:sz w:val="20"/>
                <w:lang w:val="en-CA"/>
              </w:rPr>
              <w:t>of which</w:t>
            </w:r>
            <w:r>
              <w:rPr>
                <w:rFonts w:ascii="Arial" w:hAnsi="Arial"/>
                <w:sz w:val="20"/>
                <w:lang w:val="en-CA"/>
              </w:rPr>
              <w:t xml:space="preserve"> 760,000</w:t>
            </w:r>
            <w:r w:rsidR="006F1782" w:rsidRPr="006F1782">
              <w:rPr>
                <w:rFonts w:ascii="Arial" w:hAnsi="Arial"/>
                <w:sz w:val="20"/>
                <w:lang w:val="en-CA"/>
              </w:rPr>
              <w:t xml:space="preserve"> Subordinate Voting Shares will be subject to a 2-year</w:t>
            </w:r>
            <w:r>
              <w:rPr>
                <w:rFonts w:ascii="Arial" w:hAnsi="Arial"/>
                <w:sz w:val="20"/>
                <w:lang w:val="en-CA"/>
              </w:rPr>
              <w:t xml:space="preserve"> escrow.</w:t>
            </w:r>
          </w:p>
        </w:tc>
        <w:tc>
          <w:tcPr>
            <w:tcW w:w="1260" w:type="dxa"/>
          </w:tcPr>
          <w:p w:rsidR="008A42B7" w:rsidRDefault="005E6365">
            <w:pPr>
              <w:pStyle w:val="BodyText"/>
              <w:spacing w:before="0" w:line="280" w:lineRule="exact"/>
              <w:rPr>
                <w:rFonts w:ascii="Arial" w:hAnsi="Arial"/>
                <w:sz w:val="20"/>
                <w:lang w:val="en-CA"/>
              </w:rPr>
            </w:pPr>
            <w:r>
              <w:rPr>
                <w:rFonts w:ascii="Arial" w:hAnsi="Arial"/>
                <w:sz w:val="20"/>
                <w:lang w:val="en-CA"/>
              </w:rPr>
              <w:t xml:space="preserve">A deemed price per share of </w:t>
            </w:r>
            <w:r w:rsidR="006F1782">
              <w:rPr>
                <w:rFonts w:ascii="Arial" w:hAnsi="Arial"/>
                <w:sz w:val="20"/>
                <w:lang w:val="en-CA"/>
              </w:rPr>
              <w:t>$</w:t>
            </w:r>
            <w:r>
              <w:rPr>
                <w:rFonts w:ascii="Arial" w:hAnsi="Arial"/>
                <w:sz w:val="20"/>
                <w:lang w:val="en-CA"/>
              </w:rPr>
              <w:t>33.</w:t>
            </w:r>
            <w:r w:rsidR="00B312D4">
              <w:rPr>
                <w:rFonts w:ascii="Arial" w:hAnsi="Arial"/>
                <w:sz w:val="20"/>
                <w:lang w:val="en-CA"/>
              </w:rPr>
              <w:t>38</w:t>
            </w:r>
          </w:p>
          <w:p w:rsidR="008A42B7" w:rsidRDefault="006F1782">
            <w:pPr>
              <w:pStyle w:val="BodyText"/>
              <w:spacing w:before="0" w:line="280" w:lineRule="exact"/>
              <w:rPr>
                <w:rFonts w:ascii="Arial" w:hAnsi="Arial"/>
                <w:sz w:val="20"/>
                <w:lang w:val="en-CA"/>
              </w:rPr>
            </w:pPr>
            <w:r>
              <w:rPr>
                <w:rFonts w:ascii="Arial" w:hAnsi="Arial"/>
                <w:sz w:val="20"/>
                <w:lang w:val="en-CA"/>
              </w:rPr>
              <w:t>(assuming the U.S. to Canadian dollar conversion rate of 1:1.3</w:t>
            </w:r>
            <w:r w:rsidR="00B312D4">
              <w:rPr>
                <w:rFonts w:ascii="Arial" w:hAnsi="Arial"/>
                <w:sz w:val="20"/>
                <w:lang w:val="en-CA"/>
              </w:rPr>
              <w:t>353</w:t>
            </w:r>
            <w:r>
              <w:rPr>
                <w:rFonts w:ascii="Arial" w:hAnsi="Arial"/>
                <w:sz w:val="20"/>
                <w:lang w:val="en-CA"/>
              </w:rPr>
              <w:t>)</w:t>
            </w:r>
          </w:p>
        </w:tc>
        <w:tc>
          <w:tcPr>
            <w:tcW w:w="1350" w:type="dxa"/>
          </w:tcPr>
          <w:p w:rsidR="008A42B7" w:rsidRDefault="006F1782">
            <w:pPr>
              <w:pStyle w:val="BodyText"/>
              <w:spacing w:before="0" w:line="280" w:lineRule="exact"/>
              <w:rPr>
                <w:rFonts w:ascii="Arial" w:hAnsi="Arial"/>
                <w:sz w:val="20"/>
                <w:lang w:val="en-CA"/>
              </w:rPr>
            </w:pPr>
            <w:r>
              <w:rPr>
                <w:rFonts w:ascii="Arial" w:hAnsi="Arial"/>
                <w:sz w:val="20"/>
                <w:lang w:val="en-CA"/>
              </w:rPr>
              <w:t>N/A</w:t>
            </w:r>
          </w:p>
        </w:tc>
        <w:tc>
          <w:tcPr>
            <w:tcW w:w="1350" w:type="dxa"/>
          </w:tcPr>
          <w:p w:rsidR="008A42B7" w:rsidRDefault="006F1782">
            <w:pPr>
              <w:pStyle w:val="BodyText"/>
              <w:spacing w:before="0" w:line="280" w:lineRule="exact"/>
              <w:rPr>
                <w:rFonts w:ascii="Arial" w:hAnsi="Arial"/>
                <w:sz w:val="20"/>
                <w:lang w:val="en-CA"/>
              </w:rPr>
            </w:pPr>
            <w:r>
              <w:rPr>
                <w:rFonts w:ascii="Arial" w:hAnsi="Arial"/>
                <w:sz w:val="20"/>
                <w:lang w:val="en-CA"/>
              </w:rPr>
              <w:t>Offering in Foreign Jurisdiction</w:t>
            </w:r>
          </w:p>
        </w:tc>
        <w:tc>
          <w:tcPr>
            <w:tcW w:w="1440" w:type="dxa"/>
          </w:tcPr>
          <w:p w:rsidR="008A42B7" w:rsidRDefault="006F1782">
            <w:pPr>
              <w:pStyle w:val="BodyText"/>
              <w:spacing w:before="0" w:line="280" w:lineRule="exact"/>
              <w:rPr>
                <w:rFonts w:ascii="Arial" w:hAnsi="Arial"/>
                <w:sz w:val="20"/>
              </w:rPr>
            </w:pPr>
            <w:r>
              <w:rPr>
                <w:rFonts w:ascii="Arial" w:hAnsi="Arial"/>
                <w:sz w:val="20"/>
              </w:rPr>
              <w:t>None</w:t>
            </w:r>
          </w:p>
        </w:tc>
        <w:tc>
          <w:tcPr>
            <w:tcW w:w="1530" w:type="dxa"/>
          </w:tcPr>
          <w:p w:rsidR="008A42B7" w:rsidRDefault="006F1782">
            <w:pPr>
              <w:pStyle w:val="BodyText"/>
              <w:spacing w:before="0" w:line="280" w:lineRule="exact"/>
              <w:rPr>
                <w:rFonts w:ascii="Arial" w:hAnsi="Arial"/>
                <w:sz w:val="20"/>
                <w:lang w:val="en-CA"/>
              </w:rPr>
            </w:pPr>
            <w:r>
              <w:rPr>
                <w:rFonts w:ascii="Arial" w:hAnsi="Arial"/>
                <w:sz w:val="20"/>
                <w:lang w:val="en-CA"/>
              </w:rPr>
              <w:t>Not a related person.</w:t>
            </w:r>
          </w:p>
        </w:tc>
      </w:tr>
    </w:tbl>
    <w:p w:rsidR="008A42B7" w:rsidRDefault="006F1782">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8A42B7" w:rsidRDefault="006F1782">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rsidR="008A42B7" w:rsidRDefault="006F1782">
      <w:pPr>
        <w:pStyle w:val="List"/>
        <w:tabs>
          <w:tab w:val="left" w:pos="9180"/>
        </w:tabs>
        <w:spacing w:before="0"/>
        <w:ind w:firstLine="0"/>
        <w:jc w:val="both"/>
        <w:rPr>
          <w:rFonts w:ascii="Arial" w:hAnsi="Arial"/>
          <w:color w:val="000000"/>
          <w:u w:val="single"/>
        </w:rPr>
      </w:pPr>
      <w:r>
        <w:rPr>
          <w:rFonts w:ascii="Arial" w:hAnsi="Arial" w:cs="Arial"/>
          <w:u w:val="single"/>
        </w:rPr>
        <w:t>The Issuer has obtained Representations and Warranties from Form Factory regarding the title to its assets and the assets of each of its subsidiaries and any restrictions on title.</w:t>
      </w:r>
      <w:r>
        <w:rPr>
          <w:rFonts w:ascii="Arial" w:hAnsi="Arial"/>
          <w:u w:val="single"/>
          <w:lang w:val="en-CA"/>
        </w:rPr>
        <w:t xml:space="preserve"> Further, the Issuer’s U.S. legal counsel conducted due diligence on the target business and the sellers, including customary legal searches.</w:t>
      </w:r>
    </w:p>
    <w:p w:rsidR="008A42B7" w:rsidRDefault="008A42B7">
      <w:pPr>
        <w:pStyle w:val="List"/>
        <w:tabs>
          <w:tab w:val="left" w:pos="1080"/>
          <w:tab w:val="left" w:pos="9180"/>
        </w:tabs>
        <w:spacing w:before="0"/>
        <w:ind w:left="0" w:firstLine="0"/>
        <w:jc w:val="both"/>
        <w:rPr>
          <w:rFonts w:ascii="Arial" w:hAnsi="Arial"/>
          <w:color w:val="000000"/>
        </w:rPr>
      </w:pPr>
    </w:p>
    <w:p w:rsidR="008A42B7" w:rsidRDefault="006F1782">
      <w:pPr>
        <w:pStyle w:val="List"/>
        <w:numPr>
          <w:ilvl w:val="0"/>
          <w:numId w:val="16"/>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acquisition (including warrants, options, etc.):</w:t>
      </w:r>
    </w:p>
    <w:p w:rsidR="008A42B7" w:rsidRDefault="006F1782">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b/>
          <w:u w:val="single"/>
        </w:rPr>
        <w:t>N/A</w:t>
      </w:r>
      <w:r>
        <w:rPr>
          <w:rFonts w:ascii="Arial" w:hAnsi="Arial"/>
          <w:u w:val="single"/>
        </w:rPr>
        <w:t>.</w:t>
      </w:r>
    </w:p>
    <w:p w:rsidR="008A42B7" w:rsidRDefault="006F1782">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b/>
          <w:u w:val="single"/>
        </w:rPr>
        <w:t>N/A</w:t>
      </w:r>
      <w:r>
        <w:rPr>
          <w:rFonts w:ascii="Arial" w:hAnsi="Arial"/>
          <w:u w:val="single"/>
        </w:rPr>
        <w:t>.</w:t>
      </w:r>
      <w:r>
        <w:rPr>
          <w:rFonts w:ascii="Arial" w:hAnsi="Arial"/>
          <w:u w:val="single"/>
        </w:rPr>
        <w:tab/>
      </w:r>
    </w:p>
    <w:p w:rsidR="008A42B7" w:rsidRDefault="006F1782">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b/>
        </w:rPr>
        <w:t xml:space="preserve"> </w:t>
      </w:r>
      <w:r>
        <w:rPr>
          <w:rFonts w:ascii="Arial" w:hAnsi="Arial"/>
          <w:b/>
          <w:u w:val="single"/>
        </w:rPr>
        <w:t>N/A</w:t>
      </w:r>
      <w:r>
        <w:rPr>
          <w:rFonts w:ascii="Arial" w:hAnsi="Arial"/>
          <w:u w:val="single"/>
        </w:rPr>
        <w:t>.</w:t>
      </w:r>
      <w:r>
        <w:rPr>
          <w:rFonts w:ascii="Arial" w:hAnsi="Arial"/>
          <w:u w:val="single"/>
        </w:rPr>
        <w:tab/>
      </w:r>
    </w:p>
    <w:p w:rsidR="008A42B7" w:rsidRDefault="006F1782">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Pr>
          <w:rFonts w:ascii="Arial" w:hAnsi="Arial"/>
          <w:b/>
          <w:u w:val="single"/>
        </w:rPr>
        <w:t>N/A</w:t>
      </w:r>
      <w:r>
        <w:rPr>
          <w:rFonts w:ascii="Arial" w:hAnsi="Arial"/>
          <w:u w:val="single"/>
        </w:rPr>
        <w:t>.</w:t>
      </w:r>
      <w:r>
        <w:rPr>
          <w:rFonts w:ascii="Arial" w:hAnsi="Arial"/>
          <w:u w:val="single"/>
        </w:rPr>
        <w:tab/>
      </w:r>
    </w:p>
    <w:p w:rsidR="008A42B7" w:rsidRDefault="006F1782">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 </w:t>
      </w:r>
      <w:r>
        <w:rPr>
          <w:rFonts w:ascii="Arial" w:hAnsi="Arial"/>
          <w:b/>
          <w:u w:val="single"/>
        </w:rPr>
        <w:t>N/A</w:t>
      </w:r>
      <w:r>
        <w:rPr>
          <w:rFonts w:ascii="Arial" w:hAnsi="Arial"/>
          <w:u w:val="single"/>
        </w:rPr>
        <w:t>.</w:t>
      </w:r>
      <w:r>
        <w:rPr>
          <w:rFonts w:ascii="Arial" w:hAnsi="Arial"/>
          <w:u w:val="single"/>
        </w:rPr>
        <w:tab/>
      </w:r>
    </w:p>
    <w:p w:rsidR="008A42B7" w:rsidRDefault="006F1782">
      <w:pPr>
        <w:pStyle w:val="List"/>
        <w:numPr>
          <w:ilvl w:val="0"/>
          <w:numId w:val="15"/>
        </w:numPr>
        <w:tabs>
          <w:tab w:val="left" w:pos="2160"/>
          <w:tab w:val="left" w:pos="9180"/>
        </w:tabs>
        <w:rPr>
          <w:rFonts w:ascii="Arial" w:hAnsi="Arial"/>
          <w:color w:val="000000"/>
        </w:rPr>
      </w:pPr>
      <w:proofErr w:type="gramStart"/>
      <w:r>
        <w:rPr>
          <w:rFonts w:ascii="Arial" w:hAnsi="Arial"/>
        </w:rPr>
        <w:t>Exercise price of any options,</w:t>
      </w:r>
      <w:proofErr w:type="gramEnd"/>
      <w:r>
        <w:rPr>
          <w:rFonts w:ascii="Arial" w:hAnsi="Arial"/>
        </w:rPr>
        <w:t xml:space="preserve"> warrants etc. </w:t>
      </w:r>
      <w:r>
        <w:rPr>
          <w:rFonts w:ascii="Arial" w:hAnsi="Arial"/>
          <w:b/>
          <w:u w:val="single"/>
        </w:rPr>
        <w:t>N/A</w:t>
      </w:r>
      <w:r>
        <w:rPr>
          <w:rFonts w:ascii="Arial" w:hAnsi="Arial"/>
          <w:u w:val="single"/>
        </w:rPr>
        <w:t>.</w:t>
      </w:r>
      <w:r>
        <w:rPr>
          <w:rFonts w:ascii="Arial" w:hAnsi="Arial"/>
          <w:u w:val="single"/>
        </w:rPr>
        <w:tab/>
      </w:r>
    </w:p>
    <w:p w:rsidR="008A42B7" w:rsidRDefault="008A42B7">
      <w:pPr>
        <w:pStyle w:val="List"/>
        <w:tabs>
          <w:tab w:val="left" w:pos="9180"/>
        </w:tabs>
        <w:ind w:left="0" w:firstLine="0"/>
        <w:rPr>
          <w:rFonts w:ascii="Arial" w:hAnsi="Arial"/>
          <w:color w:val="000000"/>
        </w:rPr>
      </w:pPr>
    </w:p>
    <w:p w:rsidR="008A42B7" w:rsidRDefault="006F1782">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b/>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p>
    <w:p w:rsidR="008A42B7" w:rsidRDefault="006F1782">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b/>
          <w:color w:val="000000"/>
          <w:u w:val="single"/>
        </w:rPr>
        <w:t>N/A</w:t>
      </w:r>
      <w:r>
        <w:rPr>
          <w:rFonts w:ascii="Arial" w:hAnsi="Arial"/>
          <w:color w:val="000000"/>
          <w:u w:val="single"/>
        </w:rPr>
        <w:tab/>
      </w:r>
    </w:p>
    <w:p w:rsidR="008A42B7" w:rsidRDefault="006F1782">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8A42B7" w:rsidRDefault="006F1782">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8A42B7" w:rsidRDefault="006F1782">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8A42B7" w:rsidRDefault="006F1782">
      <w:pPr>
        <w:pStyle w:val="BodyText"/>
        <w:rPr>
          <w:rFonts w:ascii="Arial" w:hAnsi="Arial"/>
        </w:rPr>
      </w:pPr>
      <w:r>
        <w:rPr>
          <w:rFonts w:ascii="Arial" w:hAnsi="Arial"/>
        </w:rPr>
        <w:t>The undersigned hereby certifies that:</w:t>
      </w:r>
    </w:p>
    <w:p w:rsidR="008A42B7" w:rsidRDefault="006F1782">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8A42B7" w:rsidRDefault="006F1782">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8A42B7" w:rsidRDefault="006F1782">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rsidR="008A42B7" w:rsidRDefault="006F1782">
      <w:pPr>
        <w:pStyle w:val="List"/>
        <w:keepNext/>
        <w:keepLines/>
        <w:numPr>
          <w:ilvl w:val="0"/>
          <w:numId w:val="7"/>
        </w:numPr>
        <w:jc w:val="both"/>
        <w:rPr>
          <w:rFonts w:ascii="Arial" w:hAnsi="Arial"/>
        </w:rPr>
      </w:pPr>
      <w:r>
        <w:rPr>
          <w:rFonts w:ascii="Arial" w:hAnsi="Arial"/>
        </w:rPr>
        <w:lastRenderedPageBreak/>
        <w:t>All of the information in this Form 9 Notice of Issuance of Securities is true.</w:t>
      </w:r>
    </w:p>
    <w:p w:rsidR="008A42B7" w:rsidRDefault="006F1782">
      <w:pPr>
        <w:pStyle w:val="BodyText"/>
        <w:keepNext/>
        <w:keepLines/>
        <w:tabs>
          <w:tab w:val="left" w:pos="4680"/>
          <w:tab w:val="left" w:pos="7200"/>
        </w:tabs>
        <w:spacing w:before="480"/>
        <w:jc w:val="both"/>
        <w:rPr>
          <w:rFonts w:ascii="Arial" w:hAnsi="Arial"/>
        </w:rPr>
      </w:pPr>
      <w:r>
        <w:rPr>
          <w:rFonts w:ascii="Arial" w:hAnsi="Arial"/>
        </w:rPr>
        <w:t xml:space="preserve">Dated </w:t>
      </w:r>
      <w:r w:rsidR="003A288B">
        <w:rPr>
          <w:rFonts w:ascii="Arial" w:hAnsi="Arial"/>
          <w:u w:val="single"/>
        </w:rPr>
        <w:t xml:space="preserve">December </w:t>
      </w:r>
      <w:r w:rsidR="00A86F55">
        <w:rPr>
          <w:rFonts w:ascii="Arial" w:hAnsi="Arial"/>
          <w:u w:val="single"/>
        </w:rPr>
        <w:t>6</w:t>
      </w:r>
      <w:r>
        <w:rPr>
          <w:rFonts w:ascii="Arial" w:hAnsi="Arial"/>
          <w:u w:val="single"/>
        </w:rPr>
        <w:t>, 2018</w:t>
      </w:r>
      <w:r>
        <w:rPr>
          <w:rFonts w:ascii="Arial" w:hAnsi="Arial"/>
          <w:u w:val="single"/>
        </w:rPr>
        <w:tab/>
      </w:r>
      <w:r>
        <w:rPr>
          <w:rFonts w:ascii="Arial" w:hAnsi="Arial"/>
        </w:rPr>
        <w:t>.</w:t>
      </w:r>
    </w:p>
    <w:p w:rsidR="008A42B7" w:rsidRDefault="006F1782">
      <w:pPr>
        <w:pStyle w:val="List"/>
        <w:keepNext/>
        <w:keepLines/>
        <w:tabs>
          <w:tab w:val="left" w:pos="9180"/>
        </w:tabs>
        <w:ind w:left="5760" w:hanging="5760"/>
        <w:rPr>
          <w:rFonts w:ascii="Arial" w:hAnsi="Arial"/>
        </w:rPr>
      </w:pPr>
      <w:r>
        <w:rPr>
          <w:rFonts w:ascii="Arial" w:hAnsi="Arial"/>
        </w:rPr>
        <w:tab/>
      </w:r>
      <w:r>
        <w:rPr>
          <w:rFonts w:ascii="Arial" w:hAnsi="Arial"/>
          <w:u w:val="single"/>
        </w:rPr>
        <w:t>Kevin Murphy</w:t>
      </w:r>
      <w:r>
        <w:rPr>
          <w:rFonts w:ascii="Arial" w:hAnsi="Arial"/>
          <w:u w:val="single"/>
        </w:rPr>
        <w:tab/>
      </w:r>
      <w:r>
        <w:rPr>
          <w:rFonts w:ascii="Arial" w:hAnsi="Arial"/>
          <w:u w:val="single"/>
        </w:rPr>
        <w:br/>
      </w:r>
      <w:r>
        <w:rPr>
          <w:rFonts w:ascii="Arial" w:hAnsi="Arial"/>
        </w:rPr>
        <w:t>Name of Director or Senior Officer</w:t>
      </w:r>
    </w:p>
    <w:p w:rsidR="008A42B7" w:rsidRDefault="006F1782">
      <w:pPr>
        <w:pStyle w:val="List"/>
        <w:keepNext/>
        <w:keepLines/>
        <w:tabs>
          <w:tab w:val="left" w:pos="9180"/>
          <w:tab w:val="left" w:pos="9360"/>
        </w:tabs>
        <w:ind w:left="5760" w:hanging="5760"/>
        <w:rPr>
          <w:rFonts w:ascii="Arial" w:hAnsi="Arial"/>
        </w:rPr>
      </w:pPr>
      <w:r>
        <w:rPr>
          <w:rFonts w:ascii="Arial" w:hAnsi="Arial"/>
        </w:rPr>
        <w:tab/>
      </w:r>
      <w:r>
        <w:rPr>
          <w:rFonts w:ascii="Arial" w:hAnsi="Arial"/>
          <w:u w:val="single"/>
        </w:rPr>
        <w:t>/s/ Kevin Murphy</w:t>
      </w:r>
      <w:r>
        <w:rPr>
          <w:rFonts w:ascii="Arial" w:hAnsi="Arial"/>
          <w:u w:val="single"/>
        </w:rPr>
        <w:tab/>
      </w:r>
      <w:r>
        <w:rPr>
          <w:rFonts w:ascii="Arial" w:hAnsi="Arial"/>
        </w:rPr>
        <w:br/>
        <w:t>Signature</w:t>
      </w:r>
    </w:p>
    <w:p w:rsidR="008A42B7" w:rsidRDefault="006F1782">
      <w:pPr>
        <w:pStyle w:val="List"/>
        <w:tabs>
          <w:tab w:val="left" w:pos="9180"/>
          <w:tab w:val="left" w:pos="9360"/>
        </w:tabs>
        <w:ind w:left="5760" w:hanging="5760"/>
        <w:rPr>
          <w:rFonts w:ascii="Arial" w:hAnsi="Arial"/>
        </w:rPr>
      </w:pPr>
      <w:r>
        <w:rPr>
          <w:rFonts w:ascii="Arial" w:hAnsi="Arial"/>
        </w:rPr>
        <w:tab/>
      </w:r>
      <w:r>
        <w:rPr>
          <w:rFonts w:ascii="Arial" w:hAnsi="Arial"/>
          <w:u w:val="single"/>
        </w:rPr>
        <w:t>Chief Executive Officer</w:t>
      </w:r>
      <w:r>
        <w:rPr>
          <w:rFonts w:ascii="Arial" w:hAnsi="Arial"/>
          <w:u w:val="single"/>
        </w:rPr>
        <w:tab/>
      </w:r>
      <w:r>
        <w:rPr>
          <w:rFonts w:ascii="Arial" w:hAnsi="Arial"/>
        </w:rPr>
        <w:br/>
        <w:t>Official Capacity</w:t>
      </w:r>
    </w:p>
    <w:sectPr w:rsidR="008A42B7">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3E" w:rsidRDefault="0015193E">
      <w:r>
        <w:separator/>
      </w:r>
    </w:p>
  </w:endnote>
  <w:endnote w:type="continuationSeparator" w:id="0">
    <w:p w:rsidR="0015193E" w:rsidRDefault="0015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B7" w:rsidRDefault="006F1782">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DE44"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"/>
          </w:pict>
        </mc:Fallback>
      </mc:AlternateContent>
    </w:r>
    <w:r>
      <w:rPr>
        <w:rFonts w:ascii="Arial" w:hAnsi="Arial" w:cs="Arial"/>
        <w:b/>
      </w:rPr>
      <w:t>FORM 9 – NOTICE OF PROPOSED ISSUANCE OF</w:t>
    </w:r>
  </w:p>
  <w:p w:rsidR="008A42B7" w:rsidRDefault="006F1782">
    <w:pPr>
      <w:tabs>
        <w:tab w:val="center" w:pos="4674"/>
        <w:tab w:val="left" w:pos="8460"/>
      </w:tabs>
      <w:jc w:val="center"/>
      <w:rPr>
        <w:rStyle w:val="PageNumber"/>
        <w:rFonts w:ascii="Arial" w:hAnsi="Arial" w:cs="Arial"/>
        <w:b/>
      </w:rPr>
    </w:pPr>
    <w:r>
      <w:rPr>
        <w:rFonts w:ascii="Arial" w:hAnsi="Arial" w:cs="Arial"/>
        <w:b/>
      </w:rPr>
      <w:t>LISTED SECURITIES</w:t>
    </w:r>
  </w:p>
  <w:p w:rsidR="008A42B7" w:rsidRDefault="006F178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A42B7" w:rsidRDefault="006F1782">
    <w:pPr>
      <w:pStyle w:val="Footer"/>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p w:rsidR="008A42B7" w:rsidRDefault="008A42B7">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B7" w:rsidRDefault="006F1782">
    <w:pPr>
      <w:pStyle w:val="Footer"/>
    </w:pPr>
    <w:r>
      <w:rPr>
        <w:b/>
      </w:rPr>
      <w:t>Error! Unknown document property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3E" w:rsidRDefault="0015193E">
      <w:r>
        <w:separator/>
      </w:r>
    </w:p>
  </w:footnote>
  <w:footnote w:type="continuationSeparator" w:id="0">
    <w:p w:rsidR="0015193E" w:rsidRDefault="0015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2C368138">
      <w:start w:val="1"/>
      <w:numFmt w:val="decimal"/>
      <w:lvlText w:val="(%1)"/>
      <w:lvlJc w:val="left"/>
      <w:pPr>
        <w:tabs>
          <w:tab w:val="num" w:pos="720"/>
        </w:tabs>
        <w:ind w:left="720" w:hanging="360"/>
      </w:pPr>
      <w:rPr>
        <w:rFonts w:hint="default"/>
      </w:rPr>
    </w:lvl>
    <w:lvl w:ilvl="1" w:tplc="CD1431FC" w:tentative="1">
      <w:start w:val="1"/>
      <w:numFmt w:val="lowerLetter"/>
      <w:lvlText w:val="%2."/>
      <w:lvlJc w:val="left"/>
      <w:pPr>
        <w:tabs>
          <w:tab w:val="num" w:pos="1440"/>
        </w:tabs>
        <w:ind w:left="1440" w:hanging="360"/>
      </w:pPr>
    </w:lvl>
    <w:lvl w:ilvl="2" w:tplc="1E4836AE" w:tentative="1">
      <w:start w:val="1"/>
      <w:numFmt w:val="lowerRoman"/>
      <w:lvlText w:val="%3."/>
      <w:lvlJc w:val="right"/>
      <w:pPr>
        <w:tabs>
          <w:tab w:val="num" w:pos="2160"/>
        </w:tabs>
        <w:ind w:left="2160" w:hanging="180"/>
      </w:pPr>
    </w:lvl>
    <w:lvl w:ilvl="3" w:tplc="428A3798" w:tentative="1">
      <w:start w:val="1"/>
      <w:numFmt w:val="decimal"/>
      <w:lvlText w:val="%4."/>
      <w:lvlJc w:val="left"/>
      <w:pPr>
        <w:tabs>
          <w:tab w:val="num" w:pos="2880"/>
        </w:tabs>
        <w:ind w:left="2880" w:hanging="360"/>
      </w:pPr>
    </w:lvl>
    <w:lvl w:ilvl="4" w:tplc="342E51CE" w:tentative="1">
      <w:start w:val="1"/>
      <w:numFmt w:val="lowerLetter"/>
      <w:lvlText w:val="%5."/>
      <w:lvlJc w:val="left"/>
      <w:pPr>
        <w:tabs>
          <w:tab w:val="num" w:pos="3600"/>
        </w:tabs>
        <w:ind w:left="3600" w:hanging="360"/>
      </w:pPr>
    </w:lvl>
    <w:lvl w:ilvl="5" w:tplc="ABBA7B98" w:tentative="1">
      <w:start w:val="1"/>
      <w:numFmt w:val="lowerRoman"/>
      <w:lvlText w:val="%6."/>
      <w:lvlJc w:val="right"/>
      <w:pPr>
        <w:tabs>
          <w:tab w:val="num" w:pos="4320"/>
        </w:tabs>
        <w:ind w:left="4320" w:hanging="180"/>
      </w:pPr>
    </w:lvl>
    <w:lvl w:ilvl="6" w:tplc="E92E5234" w:tentative="1">
      <w:start w:val="1"/>
      <w:numFmt w:val="decimal"/>
      <w:lvlText w:val="%7."/>
      <w:lvlJc w:val="left"/>
      <w:pPr>
        <w:tabs>
          <w:tab w:val="num" w:pos="5040"/>
        </w:tabs>
        <w:ind w:left="5040" w:hanging="360"/>
      </w:pPr>
    </w:lvl>
    <w:lvl w:ilvl="7" w:tplc="000406CC" w:tentative="1">
      <w:start w:val="1"/>
      <w:numFmt w:val="lowerLetter"/>
      <w:lvlText w:val="%8."/>
      <w:lvlJc w:val="left"/>
      <w:pPr>
        <w:tabs>
          <w:tab w:val="num" w:pos="5760"/>
        </w:tabs>
        <w:ind w:left="5760" w:hanging="360"/>
      </w:pPr>
    </w:lvl>
    <w:lvl w:ilvl="8" w:tplc="1FA2D670"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83B05EF6">
      <w:start w:val="3"/>
      <w:numFmt w:val="decimal"/>
      <w:lvlText w:val="%1."/>
      <w:lvlJc w:val="left"/>
      <w:pPr>
        <w:tabs>
          <w:tab w:val="num" w:pos="1080"/>
        </w:tabs>
        <w:ind w:left="1080" w:hanging="1080"/>
      </w:pPr>
      <w:rPr>
        <w:rFonts w:hint="default"/>
        <w:u w:val="none"/>
      </w:rPr>
    </w:lvl>
    <w:lvl w:ilvl="1" w:tplc="84E2460E" w:tentative="1">
      <w:start w:val="1"/>
      <w:numFmt w:val="lowerLetter"/>
      <w:lvlText w:val="%2."/>
      <w:lvlJc w:val="left"/>
      <w:pPr>
        <w:tabs>
          <w:tab w:val="num" w:pos="2520"/>
        </w:tabs>
        <w:ind w:left="2520" w:hanging="360"/>
      </w:pPr>
    </w:lvl>
    <w:lvl w:ilvl="2" w:tplc="FB9AD93A" w:tentative="1">
      <w:start w:val="1"/>
      <w:numFmt w:val="lowerRoman"/>
      <w:lvlText w:val="%3."/>
      <w:lvlJc w:val="right"/>
      <w:pPr>
        <w:tabs>
          <w:tab w:val="num" w:pos="3240"/>
        </w:tabs>
        <w:ind w:left="3240" w:hanging="180"/>
      </w:pPr>
    </w:lvl>
    <w:lvl w:ilvl="3" w:tplc="49E8DB28" w:tentative="1">
      <w:start w:val="1"/>
      <w:numFmt w:val="decimal"/>
      <w:lvlText w:val="%4."/>
      <w:lvlJc w:val="left"/>
      <w:pPr>
        <w:tabs>
          <w:tab w:val="num" w:pos="3960"/>
        </w:tabs>
        <w:ind w:left="3960" w:hanging="360"/>
      </w:pPr>
    </w:lvl>
    <w:lvl w:ilvl="4" w:tplc="39E470E0" w:tentative="1">
      <w:start w:val="1"/>
      <w:numFmt w:val="lowerLetter"/>
      <w:lvlText w:val="%5."/>
      <w:lvlJc w:val="left"/>
      <w:pPr>
        <w:tabs>
          <w:tab w:val="num" w:pos="4680"/>
        </w:tabs>
        <w:ind w:left="4680" w:hanging="360"/>
      </w:pPr>
    </w:lvl>
    <w:lvl w:ilvl="5" w:tplc="DB501322" w:tentative="1">
      <w:start w:val="1"/>
      <w:numFmt w:val="lowerRoman"/>
      <w:lvlText w:val="%6."/>
      <w:lvlJc w:val="right"/>
      <w:pPr>
        <w:tabs>
          <w:tab w:val="num" w:pos="5400"/>
        </w:tabs>
        <w:ind w:left="5400" w:hanging="180"/>
      </w:pPr>
    </w:lvl>
    <w:lvl w:ilvl="6" w:tplc="7C3437A8" w:tentative="1">
      <w:start w:val="1"/>
      <w:numFmt w:val="decimal"/>
      <w:lvlText w:val="%7."/>
      <w:lvlJc w:val="left"/>
      <w:pPr>
        <w:tabs>
          <w:tab w:val="num" w:pos="6120"/>
        </w:tabs>
        <w:ind w:left="6120" w:hanging="360"/>
      </w:pPr>
    </w:lvl>
    <w:lvl w:ilvl="7" w:tplc="7456A336" w:tentative="1">
      <w:start w:val="1"/>
      <w:numFmt w:val="lowerLetter"/>
      <w:lvlText w:val="%8."/>
      <w:lvlJc w:val="left"/>
      <w:pPr>
        <w:tabs>
          <w:tab w:val="num" w:pos="6840"/>
        </w:tabs>
        <w:ind w:left="6840" w:hanging="360"/>
      </w:pPr>
    </w:lvl>
    <w:lvl w:ilvl="8" w:tplc="D4B241BC"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8A42B7"/>
    <w:rsid w:val="000109ED"/>
    <w:rsid w:val="000A1716"/>
    <w:rsid w:val="0015193E"/>
    <w:rsid w:val="001565FC"/>
    <w:rsid w:val="001E28E1"/>
    <w:rsid w:val="0029562F"/>
    <w:rsid w:val="002F17B8"/>
    <w:rsid w:val="003A288B"/>
    <w:rsid w:val="004906D6"/>
    <w:rsid w:val="004C33DF"/>
    <w:rsid w:val="004C43F4"/>
    <w:rsid w:val="005E6365"/>
    <w:rsid w:val="006F1782"/>
    <w:rsid w:val="007F347B"/>
    <w:rsid w:val="00854E1B"/>
    <w:rsid w:val="008A42B7"/>
    <w:rsid w:val="008A7D70"/>
    <w:rsid w:val="00A13310"/>
    <w:rsid w:val="00A86F55"/>
    <w:rsid w:val="00B312D4"/>
    <w:rsid w:val="00B43C61"/>
    <w:rsid w:val="00C4116E"/>
    <w:rsid w:val="00D157C0"/>
    <w:rsid w:val="00D61ACD"/>
    <w:rsid w:val="00E34061"/>
    <w:rsid w:val="00EE3D3F"/>
    <w:rsid w:val="00F2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DocID">
    <w:name w:val="DocID"/>
    <w:basedOn w:val="DefaultParagraphFont"/>
    <w:rPr>
      <w:rFonts w:ascii="Arial" w:hAnsi="Arial" w:cs="Arial"/>
      <w:b w:val="0"/>
      <w:i w:val="0"/>
      <w:caps w:val="0"/>
      <w:vanish w:val="0"/>
      <w:color w:val="000000"/>
      <w:sz w:val="14"/>
      <w:u w:val="non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DBE2-47BA-CD4F-8ACA-260C204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2018-12-04T23:39:00Z</dcterms:created>
  <dcterms:modified xsi:type="dcterms:W3CDTF">2018-12-05T22:01:00Z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28936902.2</vt:lpwstr>
  </property>
  <property fmtid="{D5CDD505-2E9C-101B-9397-08002B2CF9AE}" pid="3" name="WS_TRACKING_ID">
    <vt:lpwstr>83e57e6f-bb37-4481-a9f2-c868a82de966</vt:lpwstr>
  </property>
</Properties>
</file>