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rsidTr="00840B45">
        <w:tc>
          <w:tcPr>
            <w:tcW w:w="6487" w:type="dxa"/>
          </w:tcPr>
          <w:p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rsidR="00840B45" w:rsidRDefault="00B25A15">
            <w:pPr>
              <w:pStyle w:val="BodyText"/>
              <w:rPr>
                <w:rFonts w:ascii="Arial" w:hAnsi="Arial"/>
                <w:lang w:val="en-CA"/>
              </w:rPr>
            </w:pPr>
            <w:r>
              <w:rPr>
                <w:rFonts w:ascii="Arial" w:hAnsi="Arial"/>
                <w:lang w:val="en-CA"/>
              </w:rPr>
              <w:t>FE</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sidR="00694273">
        <w:rPr>
          <w:rFonts w:ascii="Arial" w:hAnsi="Arial"/>
          <w:u w:val="single"/>
          <w:lang w:val="en-CA"/>
        </w:rPr>
        <w:t>August 1</w:t>
      </w:r>
      <w:r w:rsidR="006B04DF">
        <w:rPr>
          <w:rFonts w:ascii="Arial" w:hAnsi="Arial"/>
          <w:u w:val="single"/>
          <w:lang w:val="en-CA"/>
        </w:rPr>
        <w:t>5</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20</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B25A15">
        <w:rPr>
          <w:rFonts w:ascii="Arial" w:hAnsi="Arial"/>
          <w:lang w:val="en-CA"/>
        </w:rPr>
        <w:sym w:font="Monotype Sorts" w:char="F07F"/>
      </w:r>
      <w:r>
        <w:rPr>
          <w:rFonts w:ascii="Arial" w:hAnsi="Arial"/>
          <w:lang w:val="en-CA"/>
        </w:rPr>
        <w:t>Yes</w:t>
      </w:r>
      <w:r>
        <w:rPr>
          <w:rFonts w:ascii="Arial" w:hAnsi="Arial"/>
          <w:lang w:val="en-CA"/>
        </w:rPr>
        <w:tab/>
      </w:r>
      <w:r w:rsidR="00B25A15">
        <w:rPr>
          <w:rFonts w:ascii="Arial" w:hAnsi="Arial"/>
          <w:lang w:val="en-CA"/>
        </w:rPr>
        <w:sym w:font="Wingdings" w:char="F0FE"/>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B25A15">
        <w:rPr>
          <w:rFonts w:ascii="Arial" w:hAnsi="Arial"/>
          <w:u w:val="single"/>
          <w:lang w:val="en-CA"/>
        </w:rPr>
        <w:t>N/A</w:t>
      </w:r>
      <w:r>
        <w:rPr>
          <w:rFonts w:ascii="Arial" w:hAnsi="Arial"/>
          <w:lang w:val="en-CA"/>
        </w:rPr>
        <w:t>.</w:t>
      </w:r>
    </w:p>
    <w:p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 xml:space="preserve">Issued and Outstanding Securities of Issuer Prior to Issuance:  </w:t>
      </w:r>
      <w:r w:rsidR="00821E4E" w:rsidRPr="00821E4E">
        <w:rPr>
          <w:rFonts w:ascii="Arial" w:hAnsi="Arial"/>
          <w:u w:val="single"/>
          <w:lang w:val="en-CA"/>
        </w:rPr>
        <w:t>3</w:t>
      </w:r>
      <w:r w:rsidR="005229B9">
        <w:rPr>
          <w:rFonts w:ascii="Arial" w:hAnsi="Arial"/>
          <w:u w:val="single"/>
          <w:lang w:val="en-CA"/>
        </w:rPr>
        <w:t>2</w:t>
      </w:r>
      <w:r w:rsidR="001B7E15" w:rsidRPr="00821E4E">
        <w:rPr>
          <w:rFonts w:ascii="Arial" w:hAnsi="Arial"/>
          <w:u w:val="single"/>
          <w:lang w:val="en-CA"/>
        </w:rPr>
        <w:t>,</w:t>
      </w:r>
      <w:r w:rsidR="005229B9">
        <w:rPr>
          <w:rFonts w:ascii="Arial" w:hAnsi="Arial"/>
          <w:u w:val="single"/>
          <w:lang w:val="en-CA"/>
        </w:rPr>
        <w:t>7</w:t>
      </w:r>
      <w:r w:rsidR="00821E4E" w:rsidRPr="00821E4E">
        <w:rPr>
          <w:rFonts w:ascii="Arial" w:hAnsi="Arial"/>
          <w:u w:val="single"/>
          <w:lang w:val="en-CA"/>
        </w:rPr>
        <w:t>00</w:t>
      </w:r>
      <w:r w:rsidR="001B7E15" w:rsidRPr="00821E4E">
        <w:rPr>
          <w:rFonts w:ascii="Arial" w:hAnsi="Arial"/>
          <w:u w:val="single"/>
          <w:lang w:val="en-CA"/>
        </w:rPr>
        <w:t>,</w:t>
      </w:r>
      <w:r w:rsidR="00B25A15" w:rsidRPr="00821E4E">
        <w:rPr>
          <w:rFonts w:ascii="Arial" w:hAnsi="Arial"/>
          <w:u w:val="single"/>
          <w:lang w:val="en-CA"/>
        </w:rPr>
        <w:t>003</w:t>
      </w:r>
      <w:r w:rsidRPr="00821E4E">
        <w:rPr>
          <w:rFonts w:ascii="Arial" w:hAnsi="Arial"/>
          <w:lang w:val="en-CA"/>
        </w:rPr>
        <w:t>.</w:t>
      </w:r>
    </w:p>
    <w:p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proposed issuance</w:t>
      </w:r>
      <w:r w:rsidRPr="001B7E15">
        <w:rPr>
          <w:rFonts w:ascii="Arial" w:hAnsi="Arial"/>
          <w:lang w:val="en-CA"/>
        </w:rPr>
        <w:t xml:space="preserve">:  </w:t>
      </w:r>
      <w:r w:rsidR="00840B45" w:rsidRPr="001B7E15">
        <w:rPr>
          <w:rFonts w:ascii="Arial" w:hAnsi="Arial"/>
          <w:u w:val="single"/>
          <w:lang w:val="en-CA"/>
        </w:rPr>
        <w:softHyphen/>
      </w:r>
      <w:r w:rsidR="00694273">
        <w:rPr>
          <w:rFonts w:ascii="Arial" w:hAnsi="Arial"/>
          <w:u w:val="single"/>
          <w:lang w:val="en-CA"/>
        </w:rPr>
        <w:t>August 10</w:t>
      </w:r>
      <w:r w:rsidR="003A0B6B" w:rsidRPr="001B7E15">
        <w:rPr>
          <w:rFonts w:ascii="Arial" w:hAnsi="Arial"/>
          <w:u w:val="single"/>
          <w:lang w:val="en-CA"/>
        </w:rPr>
        <w:t>, 20</w:t>
      </w:r>
      <w:r w:rsidR="00B25A15">
        <w:rPr>
          <w:rFonts w:ascii="Arial" w:hAnsi="Arial"/>
          <w:u w:val="single"/>
          <w:lang w:val="en-CA"/>
        </w:rPr>
        <w:t>20</w:t>
      </w:r>
      <w:r w:rsidR="00840B45" w:rsidRPr="001B7E15">
        <w:rPr>
          <w:rFonts w:ascii="Arial" w:hAnsi="Arial"/>
          <w:lang w:val="en-CA"/>
        </w:rPr>
        <w:t xml:space="preserve"> or</w:t>
      </w:r>
    </w:p>
    <w:p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3A0B6B" w:rsidRPr="00821E4E">
        <w:rPr>
          <w:rFonts w:ascii="Arial" w:hAnsi="Arial"/>
          <w:u w:val="single"/>
          <w:lang w:val="en-CA"/>
        </w:rPr>
        <w:t>$0.</w:t>
      </w:r>
      <w:r w:rsidR="00694273">
        <w:rPr>
          <w:rFonts w:ascii="Arial" w:hAnsi="Arial"/>
          <w:u w:val="single"/>
          <w:lang w:val="en-CA"/>
        </w:rPr>
        <w:t>165</w:t>
      </w:r>
      <w:r w:rsidR="00840B45" w:rsidRPr="001B7E15">
        <w:rPr>
          <w:rFonts w:ascii="Arial" w:hAnsi="Arial"/>
          <w:lang w:val="en-CA"/>
        </w:rPr>
        <w:t xml:space="preserve"> or</w:t>
      </w:r>
    </w:p>
    <w:p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rsidR="00840B45" w:rsidRPr="00821E4E" w:rsidRDefault="00840B45" w:rsidP="00C10A32">
      <w:pPr>
        <w:pStyle w:val="BodyText"/>
        <w:tabs>
          <w:tab w:val="left" w:pos="9180"/>
        </w:tabs>
        <w:spacing w:before="0" w:after="120"/>
        <w:rPr>
          <w:rFonts w:ascii="Arial" w:hAnsi="Arial"/>
          <w:lang w:val="en-CA"/>
        </w:rPr>
      </w:pPr>
      <w:r w:rsidRPr="00821E4E">
        <w:rPr>
          <w:rFonts w:ascii="Arial" w:hAnsi="Arial"/>
          <w:lang w:val="en-CA"/>
        </w:rPr>
        <w:t xml:space="preserve">Number of securities to be issued: </w:t>
      </w:r>
      <w:r w:rsidR="00694273">
        <w:rPr>
          <w:rFonts w:ascii="Arial" w:hAnsi="Arial"/>
          <w:u w:val="single"/>
          <w:lang w:val="en-CA"/>
        </w:rPr>
        <w:t>550</w:t>
      </w:r>
      <w:r w:rsidR="00821E4E" w:rsidRPr="00821E4E">
        <w:rPr>
          <w:rFonts w:ascii="Arial" w:hAnsi="Arial"/>
          <w:u w:val="single"/>
          <w:lang w:val="en-CA"/>
        </w:rPr>
        <w:t xml:space="preserve">,000 </w:t>
      </w:r>
      <w:r w:rsidR="001325F5" w:rsidRPr="00821E4E">
        <w:rPr>
          <w:rFonts w:ascii="Arial" w:hAnsi="Arial"/>
          <w:u w:val="single"/>
          <w:lang w:val="en-CA"/>
        </w:rPr>
        <w:t>common share</w:t>
      </w:r>
      <w:r w:rsidR="00821E4E" w:rsidRPr="00821E4E">
        <w:rPr>
          <w:rFonts w:ascii="Arial" w:hAnsi="Arial"/>
          <w:u w:val="single"/>
          <w:lang w:val="en-CA"/>
        </w:rPr>
        <w:t>s</w:t>
      </w:r>
      <w:r w:rsidR="00821E4E" w:rsidRPr="00821E4E">
        <w:rPr>
          <w:rFonts w:ascii="Arial" w:hAnsi="Arial"/>
          <w:lang w:val="en-CA"/>
        </w:rPr>
        <w:t>.</w:t>
      </w:r>
    </w:p>
    <w:p w:rsidR="00840B45" w:rsidRPr="00821E4E" w:rsidRDefault="00840B45" w:rsidP="00C10A32">
      <w:pPr>
        <w:pStyle w:val="BodyText"/>
        <w:tabs>
          <w:tab w:val="left" w:pos="9180"/>
        </w:tabs>
        <w:spacing w:before="0" w:after="120"/>
        <w:rPr>
          <w:rFonts w:ascii="Arial" w:hAnsi="Arial"/>
          <w:lang w:val="en-CA"/>
        </w:rPr>
      </w:pPr>
      <w:r w:rsidRPr="00821E4E">
        <w:rPr>
          <w:rFonts w:ascii="Arial" w:hAnsi="Arial"/>
          <w:lang w:val="en-CA"/>
        </w:rPr>
        <w:t>Issued and outstanding securities following issuance:</w:t>
      </w:r>
      <w:r w:rsidR="001325F5" w:rsidRPr="00821E4E">
        <w:rPr>
          <w:rFonts w:ascii="Arial" w:hAnsi="Arial"/>
          <w:lang w:val="en-CA"/>
        </w:rPr>
        <w:t xml:space="preserve"> </w:t>
      </w:r>
      <w:r w:rsidR="00821E4E" w:rsidRPr="003C6A54">
        <w:rPr>
          <w:rFonts w:ascii="Arial" w:hAnsi="Arial"/>
          <w:u w:val="single"/>
          <w:lang w:val="en-CA"/>
        </w:rPr>
        <w:t>3</w:t>
      </w:r>
      <w:r w:rsidR="005229B9">
        <w:rPr>
          <w:rFonts w:ascii="Arial" w:hAnsi="Arial"/>
          <w:u w:val="single"/>
          <w:lang w:val="en-CA"/>
        </w:rPr>
        <w:t>3</w:t>
      </w:r>
      <w:r w:rsidR="00C53781" w:rsidRPr="00821E4E">
        <w:rPr>
          <w:rFonts w:ascii="Arial" w:hAnsi="Arial"/>
          <w:u w:val="single"/>
          <w:lang w:val="en-CA"/>
        </w:rPr>
        <w:t>,</w:t>
      </w:r>
      <w:r w:rsidR="005229B9">
        <w:rPr>
          <w:rFonts w:ascii="Arial" w:hAnsi="Arial"/>
          <w:u w:val="single"/>
          <w:lang w:val="en-CA"/>
        </w:rPr>
        <w:t>2</w:t>
      </w:r>
      <w:r w:rsidR="00694273">
        <w:rPr>
          <w:rFonts w:ascii="Arial" w:hAnsi="Arial"/>
          <w:u w:val="single"/>
          <w:lang w:val="en-CA"/>
        </w:rPr>
        <w:t>50</w:t>
      </w:r>
      <w:r w:rsidR="00C53781" w:rsidRPr="00821E4E">
        <w:rPr>
          <w:rFonts w:ascii="Arial" w:hAnsi="Arial"/>
          <w:u w:val="single"/>
          <w:lang w:val="en-CA"/>
        </w:rPr>
        <w:t>,</w:t>
      </w:r>
      <w:r w:rsidR="00821E4E" w:rsidRPr="00821E4E">
        <w:rPr>
          <w:rFonts w:ascii="Arial" w:hAnsi="Arial"/>
          <w:u w:val="single"/>
          <w:lang w:val="en-CA"/>
        </w:rPr>
        <w:t>003</w:t>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00821E4E" w:rsidRPr="00821E4E">
        <w:rPr>
          <w:rFonts w:ascii="Arial" w:hAnsi="Arial"/>
          <w:lang w:val="en-CA"/>
        </w:rPr>
        <w:t>.</w:t>
      </w:r>
    </w:p>
    <w:p w:rsidR="00C10A32" w:rsidRDefault="00C10A32" w:rsidP="00905E2D">
      <w:pPr>
        <w:pStyle w:val="BodyText"/>
        <w:tabs>
          <w:tab w:val="left" w:pos="9180"/>
        </w:tabs>
        <w:spacing w:before="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w:t>
      </w:r>
      <w:proofErr w:type="gramStart"/>
      <w:r w:rsidR="00EA4133">
        <w:rPr>
          <w:rFonts w:ascii="Arial" w:hAnsi="Arial"/>
          <w:b/>
          <w:lang w:val="en-CA"/>
        </w:rPr>
        <w:t xml:space="preserve">Placement </w:t>
      </w:r>
      <w:r w:rsidR="001D301B">
        <w:rPr>
          <w:rFonts w:ascii="Arial" w:hAnsi="Arial"/>
          <w:b/>
          <w:lang w:val="en-CA"/>
        </w:rPr>
        <w:t xml:space="preserve"> N</w:t>
      </w:r>
      <w:proofErr w:type="gramEnd"/>
      <w:r w:rsidR="001D301B">
        <w:rPr>
          <w:rFonts w:ascii="Arial" w:hAnsi="Arial"/>
          <w:b/>
          <w:lang w:val="en-CA"/>
        </w:rPr>
        <w:t>/A</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4200D">
            <w:pPr>
              <w:pStyle w:val="BodyText"/>
              <w:jc w:val="center"/>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4200D">
            <w:pPr>
              <w:pStyle w:val="BodyText"/>
              <w:jc w:val="center"/>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4200D">
            <w:pPr>
              <w:pStyle w:val="BodyText"/>
              <w:jc w:val="center"/>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4200D">
            <w:pPr>
              <w:pStyle w:val="BodyText"/>
              <w:jc w:val="center"/>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4200D">
            <w:pPr>
              <w:pStyle w:val="BodyText"/>
              <w:jc w:val="center"/>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4200D">
            <w:pPr>
              <w:pStyle w:val="BodyText"/>
              <w:jc w:val="center"/>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4200D">
            <w:pPr>
              <w:pStyle w:val="BodyText"/>
              <w:jc w:val="center"/>
              <w:rPr>
                <w:rFonts w:ascii="Arial" w:hAnsi="Arial"/>
                <w:lang w:val="en-CA"/>
              </w:rPr>
            </w:pPr>
          </w:p>
        </w:tc>
      </w:tr>
    </w:tbl>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801F2D">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01F2D">
              <w:rPr>
                <w:rFonts w:ascii="Arial" w:hAnsi="Arial"/>
                <w:b/>
                <w:sz w:val="20"/>
              </w:rPr>
              <w:t xml:space="preserve"> </w:t>
            </w:r>
            <w:r>
              <w:rPr>
                <w:rFonts w:ascii="Arial" w:hAnsi="Arial"/>
                <w:b/>
                <w:sz w:val="20"/>
              </w:rPr>
              <w:t>Securities</w:t>
            </w:r>
            <w:r w:rsidR="00801F2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894990" w:rsidTr="00801F2D">
        <w:trPr>
          <w:trHeight w:val="864"/>
        </w:trPr>
        <w:tc>
          <w:tcPr>
            <w:tcW w:w="1394" w:type="dxa"/>
          </w:tcPr>
          <w:p w:rsidR="00894990" w:rsidRDefault="00894990" w:rsidP="00894990">
            <w:pPr>
              <w:pStyle w:val="BodyText"/>
              <w:spacing w:before="0" w:line="280" w:lineRule="exact"/>
              <w:jc w:val="center"/>
              <w:rPr>
                <w:rFonts w:ascii="Arial" w:hAnsi="Arial"/>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192"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742" w:type="dxa"/>
          </w:tcPr>
          <w:p w:rsidR="00894990" w:rsidRPr="00894990" w:rsidRDefault="00894990" w:rsidP="00894990">
            <w:pPr>
              <w:pStyle w:val="BodyText"/>
              <w:spacing w:before="0" w:line="280" w:lineRule="exact"/>
              <w:jc w:val="center"/>
              <w:rPr>
                <w:rFonts w:ascii="Arial" w:hAnsi="Arial"/>
                <w:bCs/>
                <w:sz w:val="20"/>
              </w:rPr>
            </w:pPr>
          </w:p>
        </w:tc>
        <w:tc>
          <w:tcPr>
            <w:tcW w:w="1100" w:type="dxa"/>
          </w:tcPr>
          <w:p w:rsidR="00894990" w:rsidRPr="00894990" w:rsidRDefault="00894990" w:rsidP="00894990">
            <w:pPr>
              <w:pStyle w:val="BodyText"/>
              <w:spacing w:before="0" w:line="280" w:lineRule="exact"/>
              <w:jc w:val="center"/>
              <w:rPr>
                <w:rFonts w:ascii="Arial" w:hAnsi="Arial"/>
                <w:bCs/>
                <w:sz w:val="20"/>
                <w:lang w:val="en-CA"/>
              </w:rPr>
            </w:pPr>
          </w:p>
        </w:tc>
        <w:tc>
          <w:tcPr>
            <w:tcW w:w="1100" w:type="dxa"/>
          </w:tcPr>
          <w:p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rsidTr="00801F2D">
        <w:trPr>
          <w:trHeight w:val="864"/>
        </w:trPr>
        <w:tc>
          <w:tcPr>
            <w:tcW w:w="1394" w:type="dxa"/>
          </w:tcPr>
          <w:p w:rsidR="00894990" w:rsidRPr="00A90670" w:rsidRDefault="00894990" w:rsidP="00894990">
            <w:pPr>
              <w:pStyle w:val="BodyText"/>
              <w:spacing w:before="0" w:line="280" w:lineRule="exact"/>
              <w:jc w:val="center"/>
              <w:rPr>
                <w:rFonts w:ascii="Arial" w:hAnsi="Arial"/>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192"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742" w:type="dxa"/>
          </w:tcPr>
          <w:p w:rsidR="00894990" w:rsidRPr="00894990" w:rsidRDefault="00894990" w:rsidP="00894990">
            <w:pPr>
              <w:pStyle w:val="BodyText"/>
              <w:spacing w:before="0" w:line="280" w:lineRule="exact"/>
              <w:jc w:val="center"/>
              <w:rPr>
                <w:rFonts w:ascii="Arial" w:hAnsi="Arial"/>
                <w:bCs/>
                <w:sz w:val="20"/>
              </w:rPr>
            </w:pPr>
          </w:p>
        </w:tc>
        <w:tc>
          <w:tcPr>
            <w:tcW w:w="1100" w:type="dxa"/>
          </w:tcPr>
          <w:p w:rsidR="00894990" w:rsidRPr="00894990" w:rsidRDefault="00894990" w:rsidP="00894990">
            <w:pPr>
              <w:pStyle w:val="BodyText"/>
              <w:spacing w:before="0" w:line="280" w:lineRule="exact"/>
              <w:jc w:val="center"/>
              <w:rPr>
                <w:rFonts w:ascii="Arial" w:hAnsi="Arial"/>
                <w:bCs/>
                <w:sz w:val="20"/>
                <w:lang w:val="en-CA"/>
              </w:rPr>
            </w:pPr>
          </w:p>
        </w:tc>
        <w:tc>
          <w:tcPr>
            <w:tcW w:w="1100" w:type="dxa"/>
          </w:tcPr>
          <w:p w:rsidR="00894990" w:rsidRPr="00894990" w:rsidRDefault="00894990" w:rsidP="00894990">
            <w:pPr>
              <w:pStyle w:val="BodyText"/>
              <w:spacing w:before="0" w:line="280" w:lineRule="exact"/>
              <w:jc w:val="center"/>
              <w:rPr>
                <w:rFonts w:ascii="Arial" w:hAnsi="Arial"/>
                <w:bCs/>
                <w:color w:val="000000"/>
                <w:sz w:val="20"/>
                <w:lang w:val="en-CA"/>
              </w:rPr>
            </w:pPr>
          </w:p>
        </w:tc>
      </w:tr>
    </w:tbl>
    <w:p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801F2D" w:rsidRDefault="00801F2D" w:rsidP="00795AB3">
      <w:pPr>
        <w:pStyle w:val="Default"/>
        <w:numPr>
          <w:ilvl w:val="0"/>
          <w:numId w:val="20"/>
        </w:numPr>
        <w:ind w:left="450" w:hanging="360"/>
        <w:rPr>
          <w:sz w:val="20"/>
          <w:szCs w:val="20"/>
        </w:rPr>
      </w:pPr>
      <w:r>
        <w:rPr>
          <w:sz w:val="20"/>
          <w:szCs w:val="20"/>
        </w:rPr>
        <w:t xml:space="preserve">Indicate if Related Person. </w:t>
      </w:r>
    </w:p>
    <w:p w:rsidR="00801F2D" w:rsidRDefault="00801F2D">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1D301B">
        <w:rPr>
          <w:rFonts w:ascii="Arial" w:hAnsi="Arial"/>
          <w:u w:val="single"/>
        </w:rPr>
        <w:tab/>
      </w:r>
      <w:r>
        <w:rPr>
          <w:rFonts w:ascii="Arial" w:hAnsi="Arial"/>
        </w:rPr>
        <w:t>.</w:t>
      </w:r>
    </w:p>
    <w:p w:rsidR="00795AB3" w:rsidRPr="00795AB3"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w:t>
      </w:r>
      <w:proofErr w:type="gramStart"/>
      <w:r>
        <w:rPr>
          <w:rFonts w:ascii="Arial" w:hAnsi="Arial"/>
        </w:rPr>
        <w:t xml:space="preserve">material.  </w:t>
      </w:r>
      <w:r w:rsidR="001D301B">
        <w:rPr>
          <w:rFonts w:ascii="Arial" w:hAnsi="Arial"/>
          <w:u w:val="single"/>
        </w:rPr>
        <w:tab/>
      </w:r>
      <w:proofErr w:type="gramEnd"/>
      <w:r w:rsidR="00795AB3">
        <w:rPr>
          <w:rFonts w:ascii="Arial" w:hAnsi="Arial" w:cs="Arial"/>
          <w:color w:val="000000"/>
          <w:szCs w:val="24"/>
          <w:u w:val="single"/>
          <w:lang w:val="en-CA"/>
        </w:rPr>
        <w:t>.</w:t>
      </w:r>
    </w:p>
    <w:p w:rsidR="00EA4133" w:rsidRDefault="00EA4133">
      <w:pPr>
        <w:pStyle w:val="BodyText"/>
        <w:numPr>
          <w:ilvl w:val="0"/>
          <w:numId w:val="10"/>
        </w:numPr>
        <w:tabs>
          <w:tab w:val="left" w:pos="9180"/>
        </w:tabs>
        <w:rPr>
          <w:rFonts w:ascii="Arial" w:hAnsi="Arial"/>
        </w:rPr>
      </w:pPr>
      <w:r w:rsidRPr="002727D6">
        <w:rPr>
          <w:rFonts w:ascii="Arial" w:hAnsi="Arial"/>
        </w:rPr>
        <w:t>Provide particulars of any proceeds which are to be paid to Related Persons of the Issuer:</w:t>
      </w:r>
      <w:r w:rsidR="00B25A15">
        <w:rPr>
          <w:rFonts w:ascii="Arial" w:hAnsi="Arial"/>
        </w:rPr>
        <w:t xml:space="preserve"> </w:t>
      </w:r>
      <w:r w:rsidR="00B25A15">
        <w:rPr>
          <w:rFonts w:ascii="Arial" w:hAnsi="Arial"/>
          <w:u w:val="single"/>
        </w:rPr>
        <w:tab/>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1D301B">
        <w:rPr>
          <w:rFonts w:ascii="Arial" w:hAnsi="Arial"/>
          <w:u w:val="single"/>
        </w:rPr>
        <w:tab/>
      </w:r>
      <w:r w:rsidR="00795AB3">
        <w:rPr>
          <w:rFonts w:ascii="Arial" w:hAnsi="Arial"/>
          <w:u w:val="single"/>
        </w:rPr>
        <w:t>.</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rsidR="00EA4133" w:rsidRPr="004A7D49" w:rsidRDefault="00EA4133" w:rsidP="00687115">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ab/>
        <w:t>(a)</w:t>
      </w:r>
      <w:r>
        <w:rPr>
          <w:rFonts w:ascii="Arial" w:hAnsi="Arial"/>
        </w:rPr>
        <w:tab/>
      </w:r>
      <w:r>
        <w:rPr>
          <w:rFonts w:ascii="Arial" w:hAnsi="Arial"/>
        </w:rPr>
        <w:tab/>
        <w:t xml:space="preserve">Class </w:t>
      </w:r>
      <w:r w:rsidR="001D301B">
        <w:rPr>
          <w:rFonts w:ascii="Arial" w:hAnsi="Arial"/>
          <w:u w:val="single"/>
        </w:rPr>
        <w:tab/>
      </w:r>
      <w:r w:rsidR="00F867FB">
        <w:rPr>
          <w:rFonts w:ascii="Arial" w:hAnsi="Arial"/>
        </w:rPr>
        <w:t>.</w:t>
      </w:r>
      <w:r w:rsidR="00F867FB">
        <w:rPr>
          <w:rFonts w:ascii="Arial" w:hAnsi="Arial"/>
        </w:rPr>
        <w:tab/>
      </w:r>
      <w:r>
        <w:rPr>
          <w:rFonts w:ascii="Arial" w:hAnsi="Arial"/>
        </w:rPr>
        <w:t xml:space="preserve"> </w:t>
      </w:r>
    </w:p>
    <w:p w:rsidR="00F867FB"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001325F5">
        <w:rPr>
          <w:rFonts w:ascii="Arial" w:hAnsi="Arial"/>
        </w:rPr>
        <w:t xml:space="preserve"> </w:t>
      </w:r>
      <w:r w:rsidR="001D301B">
        <w:rPr>
          <w:rFonts w:ascii="Arial" w:hAnsi="Arial"/>
          <w:u w:val="single"/>
        </w:rPr>
        <w:tab/>
      </w:r>
      <w:proofErr w:type="gramEnd"/>
      <w:r w:rsidR="00F867FB">
        <w:rPr>
          <w:rFonts w:ascii="Arial" w:hAnsi="Arial"/>
        </w:rPr>
        <w:t>.</w:t>
      </w:r>
      <w:r w:rsidR="00F867FB">
        <w:rPr>
          <w:rFonts w:ascii="Arial" w:hAnsi="Arial"/>
        </w:rPr>
        <w:tab/>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1D301B">
        <w:rPr>
          <w:rFonts w:ascii="Arial" w:hAnsi="Arial"/>
          <w:u w:val="single"/>
        </w:rPr>
        <w:tab/>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1D301B">
        <w:rPr>
          <w:rFonts w:ascii="Arial" w:hAnsi="Arial"/>
          <w:u w:val="single"/>
        </w:rPr>
        <w:tab/>
      </w:r>
      <w:r w:rsidR="00692260">
        <w:rPr>
          <w:rFonts w:ascii="Arial" w:hAnsi="Arial"/>
        </w:rPr>
        <w:t>.</w:t>
      </w:r>
    </w:p>
    <w:p w:rsidR="00EA4133" w:rsidRPr="00687115" w:rsidRDefault="00EA4133">
      <w:pPr>
        <w:pStyle w:val="BodyText"/>
        <w:numPr>
          <w:ilvl w:val="0"/>
          <w:numId w:val="10"/>
        </w:numPr>
        <w:tabs>
          <w:tab w:val="left" w:pos="1440"/>
          <w:tab w:val="left" w:pos="2160"/>
          <w:tab w:val="left" w:pos="9180"/>
        </w:tabs>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rsidR="00692260" w:rsidRDefault="00EA4133" w:rsidP="00692260">
      <w:pPr>
        <w:pStyle w:val="BodyText"/>
        <w:numPr>
          <w:ilvl w:val="0"/>
          <w:numId w:val="11"/>
        </w:numPr>
        <w:tabs>
          <w:tab w:val="left" w:pos="1080"/>
          <w:tab w:val="left" w:pos="2160"/>
          <w:tab w:val="left" w:pos="9180"/>
        </w:tabs>
        <w:rPr>
          <w:rFonts w:ascii="Arial" w:hAnsi="Arial"/>
        </w:rPr>
      </w:pPr>
      <w:r>
        <w:rPr>
          <w:rFonts w:ascii="Arial" w:hAnsi="Arial"/>
        </w:rPr>
        <w:t xml:space="preserve">Number </w:t>
      </w:r>
      <w:r w:rsidR="001D301B">
        <w:rPr>
          <w:rFonts w:ascii="Arial" w:hAnsi="Arial"/>
          <w:u w:val="single"/>
        </w:rPr>
        <w:tab/>
      </w:r>
      <w:r w:rsidR="00692260">
        <w:rPr>
          <w:rFonts w:ascii="Arial" w:hAnsi="Arial"/>
        </w:rPr>
        <w:t>.</w:t>
      </w:r>
    </w:p>
    <w:p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 xml:space="preserve">arrants (or options) </w:t>
      </w:r>
      <w:r w:rsidR="001D301B">
        <w:rPr>
          <w:rFonts w:ascii="Arial" w:hAnsi="Arial"/>
          <w:u w:val="single"/>
        </w:rPr>
        <w:tab/>
      </w:r>
      <w:r w:rsidR="00F867FB">
        <w:rPr>
          <w:rFonts w:ascii="Arial" w:hAnsi="Arial"/>
        </w:rPr>
        <w:t>.</w:t>
      </w:r>
    </w:p>
    <w:p w:rsidR="00EA4133" w:rsidRDefault="00EA4133" w:rsidP="00692260">
      <w:pPr>
        <w:pStyle w:val="List"/>
        <w:tabs>
          <w:tab w:val="left" w:pos="1440"/>
          <w:tab w:val="left" w:pos="2160"/>
          <w:tab w:val="left" w:pos="9270"/>
        </w:tabs>
        <w:rPr>
          <w:rFonts w:ascii="Arial" w:hAnsi="Arial"/>
        </w:rPr>
      </w:pPr>
      <w:r>
        <w:rPr>
          <w:rFonts w:ascii="Arial" w:hAnsi="Arial"/>
        </w:rPr>
        <w:tab/>
        <w:t>(c)</w:t>
      </w:r>
      <w:r>
        <w:rPr>
          <w:rFonts w:ascii="Arial" w:hAnsi="Arial"/>
        </w:rPr>
        <w:tab/>
      </w:r>
      <w:r>
        <w:rPr>
          <w:rFonts w:ascii="Arial" w:hAnsi="Arial"/>
        </w:rPr>
        <w:tab/>
        <w:t>Exercise price</w:t>
      </w:r>
      <w:r w:rsidR="005F4DF9">
        <w:rPr>
          <w:rFonts w:ascii="Arial" w:hAnsi="Arial"/>
        </w:rPr>
        <w:t xml:space="preserve"> </w:t>
      </w:r>
      <w:r w:rsidR="001D301B">
        <w:rPr>
          <w:rFonts w:ascii="Arial" w:hAnsi="Arial"/>
          <w:u w:val="single"/>
        </w:rPr>
        <w:tab/>
      </w:r>
      <w:r>
        <w:rPr>
          <w:rFonts w:ascii="Arial" w:hAnsi="Arial"/>
        </w:rPr>
        <w:t>.</w:t>
      </w:r>
    </w:p>
    <w:p w:rsidR="00EA4133" w:rsidRDefault="00EA4133" w:rsidP="00692260">
      <w:pPr>
        <w:pStyle w:val="List"/>
        <w:tabs>
          <w:tab w:val="left" w:pos="1440"/>
          <w:tab w:val="left" w:pos="2160"/>
          <w:tab w:val="left" w:pos="9270"/>
        </w:tabs>
        <w:rPr>
          <w:rFonts w:ascii="Arial" w:hAnsi="Arial"/>
        </w:rPr>
      </w:pPr>
      <w:r>
        <w:rPr>
          <w:rFonts w:ascii="Arial" w:hAnsi="Arial"/>
        </w:rPr>
        <w:tab/>
        <w:t xml:space="preserve">(d) </w:t>
      </w:r>
      <w:r>
        <w:rPr>
          <w:rFonts w:ascii="Arial" w:hAnsi="Arial"/>
        </w:rPr>
        <w:tab/>
        <w:t xml:space="preserve">Expiry date </w:t>
      </w:r>
      <w:r w:rsidR="001D301B">
        <w:rPr>
          <w:rFonts w:ascii="Arial" w:hAnsi="Arial"/>
          <w:u w:val="single"/>
        </w:rPr>
        <w:tab/>
      </w:r>
      <w:r>
        <w:rPr>
          <w:rFonts w:ascii="Arial" w:hAnsi="Arial"/>
        </w:rPr>
        <w:t>.</w:t>
      </w:r>
    </w:p>
    <w:p w:rsidR="00EA4133" w:rsidRPr="001325F5" w:rsidRDefault="00EA4133" w:rsidP="001D301B">
      <w:pPr>
        <w:pStyle w:val="Heading2"/>
        <w:numPr>
          <w:ilvl w:val="0"/>
          <w:numId w:val="10"/>
        </w:numPr>
        <w:tabs>
          <w:tab w:val="left" w:pos="1440"/>
          <w:tab w:val="left" w:pos="2160"/>
          <w:tab w:val="left" w:pos="927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1D301B">
        <w:rPr>
          <w:b w:val="0"/>
          <w:sz w:val="24"/>
          <w:u w:val="single"/>
        </w:rPr>
        <w:tab/>
      </w:r>
      <w:r w:rsidR="001D301B">
        <w:rPr>
          <w:rFonts w:cs="Arial"/>
          <w:b w:val="0"/>
          <w:bCs/>
          <w:sz w:val="24"/>
          <w:szCs w:val="24"/>
        </w:rPr>
        <w:t>.</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rsidR="00EA4133"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rsidR="0004554A" w:rsidRPr="0004554A" w:rsidRDefault="0004554A" w:rsidP="0004554A">
      <w:pPr>
        <w:pStyle w:val="List"/>
        <w:tabs>
          <w:tab w:val="left" w:pos="2160"/>
          <w:tab w:val="left" w:pos="9180"/>
        </w:tabs>
        <w:ind w:left="2160" w:firstLine="0"/>
        <w:jc w:val="both"/>
        <w:rPr>
          <w:rFonts w:ascii="Arial" w:hAnsi="Arial"/>
          <w:u w:val="single"/>
        </w:rPr>
      </w:pPr>
      <w:r>
        <w:rPr>
          <w:rFonts w:ascii="Arial" w:hAnsi="Arial"/>
          <w:u w:val="single"/>
        </w:rPr>
        <w:tab/>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04554A">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1D301B">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1D301B">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proofErr w:type="gramStart"/>
      <w:r>
        <w:rPr>
          <w:rFonts w:ascii="Arial" w:hAnsi="Arial"/>
        </w:rPr>
        <w:t>Expiry date of any options,</w:t>
      </w:r>
      <w:proofErr w:type="gramEnd"/>
      <w:r>
        <w:rPr>
          <w:rFonts w:ascii="Arial" w:hAnsi="Arial"/>
        </w:rPr>
        <w:t xml:space="preserve"> warrants etc. </w:t>
      </w:r>
      <w:r w:rsidR="001D301B">
        <w:rPr>
          <w:rFonts w:ascii="Arial" w:hAnsi="Arial"/>
          <w:u w:val="single"/>
        </w:rPr>
        <w:tab/>
      </w:r>
      <w:r>
        <w:rPr>
          <w:rFonts w:ascii="Arial" w:hAnsi="Arial"/>
        </w:rPr>
        <w:t>.</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r>
      <w:proofErr w:type="gramStart"/>
      <w:r>
        <w:rPr>
          <w:rFonts w:ascii="Arial" w:hAnsi="Arial"/>
        </w:rPr>
        <w:t>Exercise price of any options,</w:t>
      </w:r>
      <w:proofErr w:type="gramEnd"/>
      <w:r>
        <w:rPr>
          <w:rFonts w:ascii="Arial" w:hAnsi="Arial"/>
        </w:rPr>
        <w:t xml:space="preserve"> warrants etc. </w:t>
      </w:r>
      <w:r w:rsidR="001D301B">
        <w:rPr>
          <w:rFonts w:ascii="Arial" w:hAnsi="Arial"/>
          <w:u w:val="single"/>
        </w:rPr>
        <w:tab/>
      </w:r>
      <w:r>
        <w:rPr>
          <w:rFonts w:ascii="Arial" w:hAnsi="Arial"/>
        </w:rPr>
        <w:t>.</w:t>
      </w:r>
    </w:p>
    <w:p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rsidR="00EA4133" w:rsidRDefault="0004554A" w:rsidP="005F4DF9">
      <w:pPr>
        <w:pStyle w:val="List"/>
        <w:tabs>
          <w:tab w:val="left" w:pos="1080"/>
          <w:tab w:val="left" w:pos="9180"/>
        </w:tabs>
        <w:ind w:firstLine="0"/>
        <w:jc w:val="both"/>
        <w:rPr>
          <w:rFonts w:ascii="Arial" w:hAnsi="Arial"/>
        </w:rPr>
      </w:pPr>
      <w:r>
        <w:rPr>
          <w:rFonts w:ascii="Arial" w:hAnsi="Arial"/>
          <w:u w:val="single"/>
        </w:rPr>
        <w:tab/>
      </w:r>
      <w:r w:rsidR="00D87164" w:rsidRPr="00D87164">
        <w:rPr>
          <w:rFonts w:ascii="Arial" w:hAnsi="Arial"/>
          <w:u w:val="single"/>
        </w:rPr>
        <w:t>.</w:t>
      </w:r>
      <w:r w:rsidR="00D87164">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1D301B" w:rsidP="005F4DF9">
      <w:pPr>
        <w:pStyle w:val="List"/>
        <w:tabs>
          <w:tab w:val="left" w:pos="1080"/>
          <w:tab w:val="left" w:pos="9180"/>
        </w:tabs>
        <w:ind w:firstLine="0"/>
        <w:jc w:val="both"/>
        <w:rPr>
          <w:rFonts w:ascii="Arial" w:hAnsi="Arial"/>
        </w:rPr>
      </w:pPr>
      <w:r>
        <w:rPr>
          <w:rFonts w:ascii="Arial" w:hAnsi="Arial"/>
          <w:u w:val="single"/>
        </w:rPr>
        <w:tab/>
      </w:r>
      <w:r>
        <w:rPr>
          <w:rFonts w:ascii="Arial" w:hAnsi="Arial"/>
        </w:rPr>
        <w:t>.</w:t>
      </w:r>
      <w:r w:rsidR="0004554A">
        <w:rPr>
          <w:rFonts w:ascii="Arial" w:hAnsi="Arial"/>
          <w:u w:val="single"/>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1D301B" w:rsidP="00C4200D">
      <w:pPr>
        <w:pStyle w:val="List"/>
        <w:tabs>
          <w:tab w:val="left" w:pos="1080"/>
          <w:tab w:val="left" w:pos="9180"/>
        </w:tabs>
        <w:ind w:firstLine="0"/>
        <w:jc w:val="both"/>
        <w:rPr>
          <w:rFonts w:ascii="Arial" w:hAnsi="Arial"/>
        </w:rPr>
      </w:pPr>
      <w:r>
        <w:rPr>
          <w:rFonts w:ascii="Arial" w:hAnsi="Arial"/>
          <w:u w:val="single"/>
        </w:rPr>
        <w:tab/>
      </w:r>
      <w:r w:rsidR="00EA4133">
        <w:rPr>
          <w:rFonts w:ascii="Arial" w:hAnsi="Arial"/>
        </w:rPr>
        <w:t>.</w:t>
      </w:r>
    </w:p>
    <w:p w:rsidR="00EA4133" w:rsidRDefault="00EA4133">
      <w:pPr>
        <w:pStyle w:val="List"/>
        <w:tabs>
          <w:tab w:val="left" w:pos="9180"/>
        </w:tabs>
        <w:spacing w:before="0"/>
        <w:jc w:val="both"/>
        <w:rPr>
          <w:rFonts w:ascii="Arial" w:hAnsi="Arial"/>
        </w:rPr>
      </w:pPr>
    </w:p>
    <w:p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w:t>
      </w:r>
      <w:proofErr w:type="gramStart"/>
      <w:r w:rsidRPr="00C4200D">
        <w:rPr>
          <w:rFonts w:ascii="Arial" w:hAnsi="Arial"/>
        </w:rPr>
        <w:t xml:space="preserve">shareholders.  </w:t>
      </w:r>
      <w:r w:rsidR="001D301B">
        <w:rPr>
          <w:rFonts w:ascii="Arial" w:hAnsi="Arial"/>
          <w:u w:val="single"/>
        </w:rPr>
        <w:tab/>
      </w:r>
      <w:proofErr w:type="gramEnd"/>
      <w:r w:rsidRPr="00C4200D">
        <w:rPr>
          <w:rFonts w:ascii="Arial" w:hAnsi="Arial"/>
        </w:rPr>
        <w:t>.</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rsidR="00EA4133" w:rsidRDefault="00EA4133">
      <w:pPr>
        <w:pStyle w:val="List"/>
        <w:tabs>
          <w:tab w:val="left" w:pos="9180"/>
        </w:tabs>
        <w:spacing w:before="0"/>
        <w:ind w:left="0" w:firstLine="0"/>
        <w:jc w:val="both"/>
        <w:rPr>
          <w:rFonts w:ascii="Arial" w:hAnsi="Arial"/>
          <w:color w:val="000000"/>
        </w:rPr>
      </w:pPr>
    </w:p>
    <w:p w:rsidR="0073202F" w:rsidRDefault="00EA4133" w:rsidP="0073202F">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rsidR="00FB1992" w:rsidRDefault="00FB1992" w:rsidP="00FB1992">
      <w:pPr>
        <w:pStyle w:val="List"/>
        <w:tabs>
          <w:tab w:val="left" w:pos="9180"/>
        </w:tabs>
        <w:spacing w:before="0"/>
        <w:ind w:firstLine="0"/>
        <w:jc w:val="both"/>
        <w:rPr>
          <w:rFonts w:ascii="Arial" w:hAnsi="Arial"/>
          <w:color w:val="000000"/>
        </w:rPr>
      </w:pPr>
    </w:p>
    <w:p w:rsidR="00EA4133" w:rsidRPr="0073202F" w:rsidRDefault="0073202F" w:rsidP="00FB1992">
      <w:pPr>
        <w:pStyle w:val="List"/>
        <w:tabs>
          <w:tab w:val="left" w:pos="1080"/>
          <w:tab w:val="left" w:pos="9180"/>
        </w:tabs>
        <w:spacing w:before="0"/>
        <w:ind w:firstLine="0"/>
        <w:jc w:val="both"/>
        <w:rPr>
          <w:rFonts w:ascii="Arial" w:hAnsi="Arial"/>
          <w:color w:val="000000"/>
        </w:rPr>
      </w:pPr>
      <w:r w:rsidRPr="0073202F">
        <w:rPr>
          <w:rFonts w:ascii="Arial" w:hAnsi="Arial"/>
          <w:color w:val="000000"/>
          <w:u w:val="single"/>
        </w:rPr>
        <w:t xml:space="preserve">The Issuer </w:t>
      </w:r>
      <w:r w:rsidR="00FB1992">
        <w:rPr>
          <w:rFonts w:ascii="Arial" w:hAnsi="Arial"/>
          <w:color w:val="000000"/>
          <w:u w:val="single"/>
        </w:rPr>
        <w:t xml:space="preserve">proposes to </w:t>
      </w:r>
      <w:r w:rsidRPr="0073202F">
        <w:rPr>
          <w:rFonts w:ascii="Arial" w:hAnsi="Arial"/>
          <w:color w:val="000000"/>
          <w:u w:val="single"/>
        </w:rPr>
        <w:t xml:space="preserve">acquire a 100% right, title and interest in and to the </w:t>
      </w:r>
      <w:r w:rsidR="00694273">
        <w:rPr>
          <w:rFonts w:ascii="Arial" w:hAnsi="Arial"/>
          <w:color w:val="000000"/>
          <w:u w:val="single"/>
        </w:rPr>
        <w:t xml:space="preserve">Bald Eagle silver </w:t>
      </w:r>
      <w:r w:rsidRPr="0073202F">
        <w:rPr>
          <w:rFonts w:ascii="Arial" w:hAnsi="Arial"/>
          <w:color w:val="000000"/>
          <w:u w:val="single"/>
        </w:rPr>
        <w:t xml:space="preserve">property (the “Property”) located in </w:t>
      </w:r>
      <w:r w:rsidR="00694273">
        <w:rPr>
          <w:rFonts w:ascii="Arial" w:hAnsi="Arial"/>
          <w:color w:val="000000"/>
          <w:u w:val="single"/>
        </w:rPr>
        <w:t>the Alberni Mining Division</w:t>
      </w:r>
      <w:r w:rsidRPr="0073202F">
        <w:rPr>
          <w:rFonts w:ascii="Arial" w:hAnsi="Arial"/>
          <w:color w:val="000000"/>
          <w:u w:val="single"/>
        </w:rPr>
        <w:t xml:space="preserve">, </w:t>
      </w:r>
      <w:r w:rsidR="00694273">
        <w:rPr>
          <w:rFonts w:ascii="Arial" w:hAnsi="Arial"/>
          <w:color w:val="000000"/>
          <w:u w:val="single"/>
        </w:rPr>
        <w:t>British Columbia</w:t>
      </w:r>
      <w:r w:rsidRPr="0073202F">
        <w:rPr>
          <w:rFonts w:ascii="Arial" w:hAnsi="Arial"/>
          <w:color w:val="000000"/>
          <w:u w:val="single"/>
        </w:rPr>
        <w:t xml:space="preserve">, Canada. The Property is comprised of </w:t>
      </w:r>
      <w:r w:rsidR="00D665B7">
        <w:rPr>
          <w:rFonts w:ascii="Arial" w:hAnsi="Arial"/>
          <w:color w:val="000000"/>
          <w:u w:val="single"/>
        </w:rPr>
        <w:t>three</w:t>
      </w:r>
      <w:r w:rsidRPr="0073202F">
        <w:rPr>
          <w:rFonts w:ascii="Arial" w:hAnsi="Arial"/>
          <w:color w:val="000000"/>
          <w:u w:val="single"/>
        </w:rPr>
        <w:t xml:space="preserve"> mining claims covering approximately </w:t>
      </w:r>
      <w:r w:rsidR="00D665B7">
        <w:rPr>
          <w:rFonts w:ascii="Arial" w:hAnsi="Arial"/>
          <w:color w:val="000000"/>
          <w:u w:val="single"/>
        </w:rPr>
        <w:t xml:space="preserve">1,013.58 </w:t>
      </w:r>
      <w:r w:rsidRPr="0073202F">
        <w:rPr>
          <w:rFonts w:ascii="Arial" w:hAnsi="Arial"/>
          <w:color w:val="000000"/>
          <w:u w:val="single"/>
        </w:rPr>
        <w:t>hectares.</w:t>
      </w:r>
      <w:r w:rsidR="00EA4133" w:rsidRPr="0073202F">
        <w:rPr>
          <w:rFonts w:ascii="Arial" w:hAnsi="Arial"/>
          <w:color w:val="000000"/>
        </w:rPr>
        <w:tab/>
      </w:r>
    </w:p>
    <w:p w:rsidR="00FB1992" w:rsidRPr="00FB1992"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rsidR="00EA4133" w:rsidRDefault="00FB1992" w:rsidP="00FB1992">
      <w:pPr>
        <w:pStyle w:val="List"/>
        <w:tabs>
          <w:tab w:val="left" w:pos="9180"/>
        </w:tabs>
        <w:ind w:firstLine="0"/>
        <w:jc w:val="both"/>
        <w:rPr>
          <w:rFonts w:ascii="Arial" w:hAnsi="Arial"/>
          <w:color w:val="000000"/>
        </w:rPr>
      </w:pPr>
      <w:r>
        <w:rPr>
          <w:rFonts w:ascii="Arial" w:hAnsi="Arial"/>
          <w:color w:val="000000"/>
          <w:u w:val="single"/>
        </w:rPr>
        <w:t xml:space="preserve">Effective </w:t>
      </w:r>
      <w:r w:rsidR="00D665B7">
        <w:rPr>
          <w:rFonts w:ascii="Arial" w:hAnsi="Arial"/>
          <w:color w:val="000000"/>
          <w:u w:val="single"/>
        </w:rPr>
        <w:t>August 11</w:t>
      </w:r>
      <w:r>
        <w:rPr>
          <w:rFonts w:ascii="Arial" w:hAnsi="Arial"/>
          <w:color w:val="000000"/>
          <w:u w:val="single"/>
        </w:rPr>
        <w:t xml:space="preserve">, 2020, the Issuer entered into a property </w:t>
      </w:r>
      <w:r w:rsidR="003C6A54">
        <w:rPr>
          <w:rFonts w:ascii="Arial" w:hAnsi="Arial"/>
          <w:color w:val="000000"/>
          <w:u w:val="single"/>
        </w:rPr>
        <w:t xml:space="preserve">option </w:t>
      </w:r>
      <w:r>
        <w:rPr>
          <w:rFonts w:ascii="Arial" w:hAnsi="Arial"/>
          <w:color w:val="000000"/>
          <w:u w:val="single"/>
        </w:rPr>
        <w:t xml:space="preserve">agreement (the “Agreement”) with </w:t>
      </w:r>
      <w:proofErr w:type="spellStart"/>
      <w:r w:rsidR="00D665B7">
        <w:rPr>
          <w:rFonts w:ascii="Arial" w:hAnsi="Arial"/>
          <w:color w:val="000000"/>
          <w:u w:val="single"/>
        </w:rPr>
        <w:t>Geomap</w:t>
      </w:r>
      <w:proofErr w:type="spellEnd"/>
      <w:r w:rsidR="00D665B7">
        <w:rPr>
          <w:rFonts w:ascii="Arial" w:hAnsi="Arial"/>
          <w:color w:val="000000"/>
          <w:u w:val="single"/>
        </w:rPr>
        <w:t xml:space="preserve"> Exploration Inc.</w:t>
      </w:r>
      <w:r>
        <w:rPr>
          <w:rFonts w:ascii="Arial" w:hAnsi="Arial"/>
          <w:color w:val="000000"/>
          <w:u w:val="single"/>
        </w:rPr>
        <w:t xml:space="preserve"> (the “</w:t>
      </w:r>
      <w:proofErr w:type="spellStart"/>
      <w:r w:rsidR="00D665B7">
        <w:rPr>
          <w:rFonts w:ascii="Arial" w:hAnsi="Arial"/>
          <w:color w:val="000000"/>
          <w:u w:val="single"/>
        </w:rPr>
        <w:t>Optionor</w:t>
      </w:r>
      <w:proofErr w:type="spellEnd"/>
      <w:r>
        <w:rPr>
          <w:rFonts w:ascii="Arial" w:hAnsi="Arial"/>
          <w:color w:val="000000"/>
          <w:u w:val="single"/>
        </w:rPr>
        <w:t xml:space="preserve">”).  Pursuant to the terms of the Agreement, the Issuer can acquire a 100% right, title and interest in and to the Property, subject to </w:t>
      </w:r>
      <w:r w:rsidRPr="003C6A54">
        <w:rPr>
          <w:rFonts w:ascii="Arial" w:hAnsi="Arial"/>
          <w:color w:val="000000"/>
          <w:u w:val="single"/>
        </w:rPr>
        <w:t xml:space="preserve">a </w:t>
      </w:r>
      <w:r w:rsidR="00D665B7">
        <w:rPr>
          <w:rFonts w:ascii="Arial" w:hAnsi="Arial"/>
          <w:color w:val="000000"/>
          <w:u w:val="single"/>
        </w:rPr>
        <w:t>two</w:t>
      </w:r>
      <w:r w:rsidRPr="003C6A54">
        <w:rPr>
          <w:rFonts w:ascii="Arial" w:hAnsi="Arial"/>
          <w:color w:val="000000"/>
          <w:u w:val="single"/>
        </w:rPr>
        <w:t xml:space="preserve"> (</w:t>
      </w:r>
      <w:r w:rsidR="00D665B7">
        <w:rPr>
          <w:rFonts w:ascii="Arial" w:hAnsi="Arial"/>
          <w:color w:val="000000"/>
          <w:u w:val="single"/>
        </w:rPr>
        <w:t>2</w:t>
      </w:r>
      <w:r w:rsidRPr="003C6A54">
        <w:rPr>
          <w:rFonts w:ascii="Arial" w:hAnsi="Arial"/>
          <w:color w:val="000000"/>
          <w:u w:val="single"/>
        </w:rPr>
        <w:t>) percent</w:t>
      </w:r>
      <w:r>
        <w:rPr>
          <w:rFonts w:ascii="Arial" w:hAnsi="Arial"/>
          <w:color w:val="000000"/>
          <w:u w:val="single"/>
        </w:rPr>
        <w:t xml:space="preserve"> net smelter returns royalty in favour of the </w:t>
      </w:r>
      <w:proofErr w:type="spellStart"/>
      <w:r w:rsidR="003C6A54">
        <w:rPr>
          <w:rFonts w:ascii="Arial" w:hAnsi="Arial"/>
          <w:color w:val="000000"/>
          <w:u w:val="single"/>
        </w:rPr>
        <w:t>Optionor</w:t>
      </w:r>
      <w:proofErr w:type="spellEnd"/>
      <w:r>
        <w:rPr>
          <w:rFonts w:ascii="Arial" w:hAnsi="Arial"/>
          <w:color w:val="000000"/>
          <w:u w:val="single"/>
        </w:rPr>
        <w:t xml:space="preserve">.  The </w:t>
      </w:r>
      <w:proofErr w:type="spellStart"/>
      <w:r w:rsidR="003C6A54">
        <w:rPr>
          <w:rFonts w:ascii="Arial" w:hAnsi="Arial"/>
          <w:color w:val="000000"/>
          <w:u w:val="single"/>
        </w:rPr>
        <w:t>Optionor</w:t>
      </w:r>
      <w:proofErr w:type="spellEnd"/>
      <w:r>
        <w:rPr>
          <w:rFonts w:ascii="Arial" w:hAnsi="Arial"/>
          <w:color w:val="000000"/>
          <w:u w:val="single"/>
        </w:rPr>
        <w:t xml:space="preserve"> is at arm’s length to the Issuer.</w:t>
      </w:r>
    </w:p>
    <w:p w:rsidR="00785BCA" w:rsidRDefault="00EA4133" w:rsidP="002E5E28">
      <w:pPr>
        <w:pStyle w:val="List"/>
        <w:numPr>
          <w:ilvl w:val="0"/>
          <w:numId w:val="16"/>
        </w:numPr>
        <w:jc w:val="both"/>
        <w:rPr>
          <w:rFonts w:ascii="Arial" w:hAnsi="Arial"/>
          <w:color w:val="000000"/>
        </w:rPr>
      </w:pPr>
      <w:r w:rsidRPr="00785BCA">
        <w:rPr>
          <w:rFonts w:ascii="Arial" w:hAnsi="Arial"/>
          <w:color w:val="000000"/>
        </w:rPr>
        <w:t>Provide the following information in relation to the total consideration for the acquisition (including details of all cash, securities or other consideration) and any required work commitments:</w:t>
      </w:r>
    </w:p>
    <w:p w:rsidR="00785BCA" w:rsidRDefault="00785BCA" w:rsidP="00785BCA">
      <w:pPr>
        <w:pStyle w:val="List"/>
        <w:tabs>
          <w:tab w:val="left" w:pos="9180"/>
        </w:tabs>
        <w:spacing w:before="0"/>
        <w:ind w:left="2160" w:firstLine="0"/>
        <w:rPr>
          <w:rFonts w:ascii="Arial" w:hAnsi="Arial"/>
          <w:color w:val="000000"/>
        </w:rPr>
      </w:pPr>
    </w:p>
    <w:p w:rsidR="00F3105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p>
    <w:p w:rsidR="00F3105D" w:rsidRDefault="00F3105D" w:rsidP="00F3105D">
      <w:pPr>
        <w:pStyle w:val="List"/>
        <w:tabs>
          <w:tab w:val="left" w:pos="9180"/>
        </w:tabs>
        <w:spacing w:before="0"/>
        <w:ind w:left="2160" w:firstLine="0"/>
        <w:rPr>
          <w:rFonts w:ascii="Arial" w:hAnsi="Arial"/>
          <w:color w:val="000000"/>
        </w:rPr>
      </w:pPr>
    </w:p>
    <w:p w:rsidR="00785BCA" w:rsidRPr="00D9766D" w:rsidRDefault="00D665B7" w:rsidP="00F3105D">
      <w:pPr>
        <w:pStyle w:val="List"/>
        <w:tabs>
          <w:tab w:val="left" w:pos="9180"/>
        </w:tabs>
        <w:spacing w:before="0"/>
        <w:ind w:left="2160" w:firstLine="0"/>
        <w:rPr>
          <w:rFonts w:ascii="Arial" w:hAnsi="Arial"/>
          <w:color w:val="000000"/>
        </w:rPr>
      </w:pPr>
      <w:r>
        <w:rPr>
          <w:rFonts w:ascii="Arial" w:hAnsi="Arial"/>
          <w:color w:val="000000"/>
          <w:u w:val="single"/>
        </w:rPr>
        <w:t>T</w:t>
      </w:r>
      <w:r w:rsidR="00785BCA" w:rsidRPr="00785BCA">
        <w:rPr>
          <w:rFonts w:ascii="Arial" w:hAnsi="Arial"/>
          <w:color w:val="000000"/>
          <w:u w:val="single"/>
        </w:rPr>
        <w:t xml:space="preserve">he deemed value of the </w:t>
      </w:r>
      <w:r>
        <w:rPr>
          <w:rFonts w:ascii="Arial" w:hAnsi="Arial"/>
          <w:color w:val="000000"/>
          <w:u w:val="single"/>
        </w:rPr>
        <w:t>550,000</w:t>
      </w:r>
      <w:r w:rsidR="00785BCA" w:rsidRPr="00785BCA">
        <w:rPr>
          <w:rFonts w:ascii="Arial" w:hAnsi="Arial"/>
          <w:color w:val="000000"/>
          <w:u w:val="single"/>
        </w:rPr>
        <w:t xml:space="preserve"> shares. The d</w:t>
      </w:r>
      <w:r w:rsidR="003C6A54">
        <w:rPr>
          <w:rFonts w:ascii="Arial" w:hAnsi="Arial"/>
          <w:color w:val="000000"/>
          <w:u w:val="single"/>
        </w:rPr>
        <w:t xml:space="preserve">eemed </w:t>
      </w:r>
      <w:r w:rsidR="00785BCA">
        <w:rPr>
          <w:rFonts w:ascii="Arial" w:hAnsi="Arial"/>
          <w:color w:val="000000"/>
          <w:u w:val="single"/>
        </w:rPr>
        <w:t xml:space="preserve">value of the shares will depend on the </w:t>
      </w:r>
      <w:r w:rsidR="003C6A54">
        <w:rPr>
          <w:rFonts w:ascii="Arial" w:hAnsi="Arial"/>
          <w:color w:val="000000"/>
          <w:u w:val="single"/>
        </w:rPr>
        <w:t xml:space="preserve">market </w:t>
      </w:r>
      <w:r w:rsidR="00785BCA">
        <w:rPr>
          <w:rFonts w:ascii="Arial" w:hAnsi="Arial"/>
          <w:color w:val="000000"/>
          <w:u w:val="single"/>
        </w:rPr>
        <w:t>price of the Issuer</w:t>
      </w:r>
      <w:r w:rsidR="003C6A54">
        <w:rPr>
          <w:rFonts w:ascii="Arial" w:hAnsi="Arial"/>
          <w:color w:val="000000"/>
          <w:u w:val="single"/>
        </w:rPr>
        <w:t>’s shares</w:t>
      </w:r>
      <w:r w:rsidR="00785BCA">
        <w:rPr>
          <w:rFonts w:ascii="Arial" w:hAnsi="Arial"/>
          <w:color w:val="000000"/>
          <w:u w:val="single"/>
        </w:rPr>
        <w:t xml:space="preserve"> at the time of issuance of the shares</w:t>
      </w:r>
      <w:r w:rsidR="00785BCA">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D665B7">
        <w:rPr>
          <w:rFonts w:ascii="Arial" w:hAnsi="Arial"/>
          <w:color w:val="000000"/>
          <w:u w:val="single"/>
        </w:rPr>
        <w:t>N/A</w:t>
      </w:r>
      <w:r>
        <w:rPr>
          <w:rFonts w:ascii="Arial" w:hAnsi="Arial"/>
          <w:color w:val="000000"/>
        </w:rPr>
        <w:t>.</w:t>
      </w:r>
    </w:p>
    <w:p w:rsidR="006655EF" w:rsidRDefault="006655EF" w:rsidP="006655EF">
      <w:pPr>
        <w:pStyle w:val="List"/>
        <w:tabs>
          <w:tab w:val="left" w:pos="9180"/>
        </w:tabs>
        <w:spacing w:before="0"/>
        <w:ind w:left="2160" w:firstLine="0"/>
        <w:rPr>
          <w:rFonts w:ascii="Arial" w:hAnsi="Arial"/>
          <w:color w:val="000000"/>
        </w:rPr>
      </w:pPr>
    </w:p>
    <w:p w:rsidR="00F3105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p>
    <w:p w:rsidR="00F3105D" w:rsidRDefault="00F3105D" w:rsidP="00F3105D">
      <w:pPr>
        <w:pStyle w:val="ListParagraph"/>
        <w:rPr>
          <w:rFonts w:ascii="Arial" w:hAnsi="Arial"/>
          <w:color w:val="000000"/>
          <w:u w:val="single"/>
        </w:rPr>
      </w:pPr>
    </w:p>
    <w:p w:rsidR="00D9766D" w:rsidRPr="00D9766D" w:rsidRDefault="00D665B7" w:rsidP="00F3105D">
      <w:pPr>
        <w:pStyle w:val="List"/>
        <w:tabs>
          <w:tab w:val="left" w:pos="9180"/>
        </w:tabs>
        <w:spacing w:before="0"/>
        <w:ind w:left="2160" w:firstLine="0"/>
        <w:rPr>
          <w:rFonts w:ascii="Arial" w:hAnsi="Arial"/>
          <w:color w:val="000000"/>
        </w:rPr>
      </w:pPr>
      <w:r w:rsidRPr="00D665B7">
        <w:rPr>
          <w:rFonts w:ascii="Arial" w:hAnsi="Arial"/>
          <w:color w:val="000000"/>
          <w:u w:val="single"/>
        </w:rPr>
        <w:t>5</w:t>
      </w:r>
      <w:r>
        <w:rPr>
          <w:rFonts w:ascii="Arial" w:hAnsi="Arial"/>
          <w:color w:val="000000"/>
          <w:u w:val="single"/>
        </w:rPr>
        <w:t>50</w:t>
      </w:r>
      <w:r w:rsidR="00FB1992" w:rsidRPr="006655EF">
        <w:rPr>
          <w:rFonts w:ascii="Arial" w:hAnsi="Arial"/>
          <w:color w:val="000000"/>
          <w:u w:val="single"/>
        </w:rPr>
        <w:t>,000 common shares in the capital of the Issuer</w:t>
      </w:r>
      <w:r w:rsidR="00AB4E25">
        <w:rPr>
          <w:rFonts w:ascii="Arial" w:hAnsi="Arial"/>
          <w:color w:val="000000"/>
          <w:u w:val="single"/>
        </w:rPr>
        <w:t xml:space="preserve"> </w:t>
      </w:r>
      <w:r w:rsidR="00D9766D">
        <w:rPr>
          <w:rFonts w:ascii="Arial" w:hAnsi="Arial"/>
          <w:color w:val="000000"/>
          <w:u w:val="single"/>
        </w:rPr>
        <w:t xml:space="preserve">which are </w:t>
      </w:r>
      <w:r w:rsidR="000B7D18" w:rsidRPr="006655EF">
        <w:rPr>
          <w:rFonts w:ascii="Arial" w:hAnsi="Arial"/>
          <w:color w:val="000000"/>
          <w:u w:val="single"/>
        </w:rPr>
        <w:t>to be issued</w:t>
      </w:r>
      <w:r w:rsidR="00D9766D">
        <w:rPr>
          <w:rFonts w:ascii="Arial" w:hAnsi="Arial"/>
          <w:color w:val="000000"/>
          <w:u w:val="single"/>
        </w:rPr>
        <w:t xml:space="preserve"> within </w:t>
      </w:r>
      <w:r>
        <w:rPr>
          <w:rFonts w:ascii="Arial" w:hAnsi="Arial"/>
          <w:color w:val="000000"/>
          <w:u w:val="single"/>
        </w:rPr>
        <w:t>10</w:t>
      </w:r>
      <w:r w:rsidR="00D9766D">
        <w:rPr>
          <w:rFonts w:ascii="Arial" w:hAnsi="Arial"/>
          <w:color w:val="000000"/>
          <w:u w:val="single"/>
        </w:rPr>
        <w:t xml:space="preserve"> </w:t>
      </w:r>
      <w:r>
        <w:rPr>
          <w:rFonts w:ascii="Arial" w:hAnsi="Arial"/>
          <w:color w:val="000000"/>
          <w:u w:val="single"/>
        </w:rPr>
        <w:t xml:space="preserve">business </w:t>
      </w:r>
      <w:r w:rsidR="00D9766D">
        <w:rPr>
          <w:rFonts w:ascii="Arial" w:hAnsi="Arial"/>
          <w:color w:val="000000"/>
          <w:u w:val="single"/>
        </w:rPr>
        <w:t xml:space="preserve">days of </w:t>
      </w:r>
      <w:r>
        <w:rPr>
          <w:rFonts w:ascii="Arial" w:hAnsi="Arial"/>
          <w:color w:val="000000"/>
          <w:u w:val="single"/>
        </w:rPr>
        <w:t xml:space="preserve">Canadian Securities Exchange approval and any other required regulatory approval.  </w:t>
      </w:r>
      <w:r w:rsidR="00785BCA">
        <w:rPr>
          <w:rFonts w:ascii="Arial" w:hAnsi="Arial"/>
          <w:color w:val="000000"/>
          <w:u w:val="single"/>
        </w:rPr>
        <w:t xml:space="preserve">The dollar value of the shares will depend on the </w:t>
      </w:r>
      <w:r w:rsidR="003C6A54">
        <w:rPr>
          <w:rFonts w:ascii="Arial" w:hAnsi="Arial"/>
          <w:color w:val="000000"/>
          <w:u w:val="single"/>
        </w:rPr>
        <w:t xml:space="preserve">market </w:t>
      </w:r>
      <w:r w:rsidR="00785BCA">
        <w:rPr>
          <w:rFonts w:ascii="Arial" w:hAnsi="Arial"/>
          <w:color w:val="000000"/>
          <w:u w:val="single"/>
        </w:rPr>
        <w:t>price of the Issuer</w:t>
      </w:r>
      <w:r w:rsidR="003C6A54">
        <w:rPr>
          <w:rFonts w:ascii="Arial" w:hAnsi="Arial"/>
          <w:color w:val="000000"/>
          <w:u w:val="single"/>
        </w:rPr>
        <w:t>’s</w:t>
      </w:r>
      <w:r w:rsidR="00785BCA">
        <w:rPr>
          <w:rFonts w:ascii="Arial" w:hAnsi="Arial"/>
          <w:color w:val="000000"/>
          <w:u w:val="single"/>
        </w:rPr>
        <w:t xml:space="preserve"> at the time of issuance of the shares</w:t>
      </w:r>
      <w:r w:rsidR="00785BCA">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Work commitments: </w:t>
      </w:r>
      <w:r w:rsidR="006A1FF1">
        <w:rPr>
          <w:rFonts w:ascii="Arial" w:hAnsi="Arial"/>
          <w:color w:val="000000"/>
          <w:u w:val="single"/>
        </w:rPr>
        <w:t>N/A</w:t>
      </w:r>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6A1FF1" w:rsidRDefault="006A1FF1" w:rsidP="00A37C1D">
      <w:pPr>
        <w:pStyle w:val="List"/>
        <w:tabs>
          <w:tab w:val="left" w:pos="1080"/>
          <w:tab w:val="left" w:pos="9180"/>
        </w:tabs>
        <w:spacing w:before="0"/>
        <w:ind w:firstLine="0"/>
        <w:jc w:val="both"/>
        <w:rPr>
          <w:rFonts w:ascii="Arial" w:hAnsi="Arial"/>
          <w:color w:val="000000"/>
          <w:u w:val="single"/>
        </w:rPr>
      </w:pPr>
    </w:p>
    <w:p w:rsidR="00AB4E25" w:rsidRDefault="00AB4E25" w:rsidP="00A37C1D">
      <w:pPr>
        <w:pStyle w:val="List"/>
        <w:tabs>
          <w:tab w:val="left" w:pos="1080"/>
          <w:tab w:val="left" w:pos="9180"/>
        </w:tabs>
        <w:spacing w:before="0"/>
        <w:ind w:firstLine="0"/>
        <w:jc w:val="both"/>
        <w:rPr>
          <w:rFonts w:ascii="Arial" w:hAnsi="Arial"/>
          <w:color w:val="000000"/>
        </w:rPr>
      </w:pPr>
      <w:r w:rsidRPr="000B7D18">
        <w:rPr>
          <w:rFonts w:ascii="Arial" w:hAnsi="Arial"/>
          <w:color w:val="000000"/>
          <w:u w:val="single"/>
        </w:rPr>
        <w:t xml:space="preserve">The terms of the acquisition including the consideration were determined by arm’s length negotiation between the Issuer and the </w:t>
      </w:r>
      <w:proofErr w:type="spellStart"/>
      <w:r w:rsidR="003C6A54">
        <w:rPr>
          <w:rFonts w:ascii="Arial" w:hAnsi="Arial"/>
          <w:color w:val="000000"/>
          <w:u w:val="single"/>
        </w:rPr>
        <w:t>Optionor</w:t>
      </w:r>
      <w:proofErr w:type="spellEnd"/>
      <w:r w:rsidRPr="000B7D18">
        <w:rPr>
          <w:rFonts w:ascii="Arial" w:hAnsi="Arial"/>
          <w:color w:val="000000"/>
        </w:rPr>
        <w:t>.</w:t>
      </w:r>
    </w:p>
    <w:p w:rsidR="00AB4E25" w:rsidRDefault="00AB4E25" w:rsidP="00AB4E25">
      <w:pPr>
        <w:pStyle w:val="List"/>
        <w:tabs>
          <w:tab w:val="left" w:pos="1080"/>
          <w:tab w:val="left" w:pos="9180"/>
        </w:tabs>
        <w:spacing w:before="0"/>
        <w:ind w:firstLine="0"/>
        <w:rPr>
          <w:rFonts w:ascii="Arial" w:hAnsi="Arial"/>
          <w:color w:val="000000"/>
        </w:rPr>
      </w:pPr>
      <w:r>
        <w:rPr>
          <w:rFonts w:ascii="Arial" w:hAnsi="Arial"/>
          <w:color w:val="000000"/>
          <w:u w:val="single"/>
        </w:rPr>
        <w:t xml:space="preserve">  </w:t>
      </w:r>
    </w:p>
    <w:p w:rsidR="00A37C1D" w:rsidRPr="006A1FF1" w:rsidRDefault="00EA4133" w:rsidP="000B7D18">
      <w:pPr>
        <w:pStyle w:val="List"/>
        <w:numPr>
          <w:ilvl w:val="0"/>
          <w:numId w:val="16"/>
        </w:numPr>
        <w:tabs>
          <w:tab w:val="left" w:pos="1080"/>
          <w:tab w:val="left" w:pos="9180"/>
        </w:tabs>
        <w:spacing w:before="0"/>
        <w:rPr>
          <w:rFonts w:ascii="Arial" w:hAnsi="Arial"/>
          <w:color w:val="000000"/>
        </w:rPr>
      </w:pPr>
      <w:r w:rsidRPr="006A1FF1">
        <w:rPr>
          <w:rFonts w:ascii="Arial" w:hAnsi="Arial"/>
          <w:color w:val="000000"/>
        </w:rPr>
        <w:t>Provide details of any appraisal or valuation of the subject of the acquisition known to management of the Issuer:</w:t>
      </w:r>
      <w:r w:rsidR="000B7D18" w:rsidRPr="006A1FF1">
        <w:rPr>
          <w:rFonts w:ascii="Arial" w:hAnsi="Arial"/>
          <w:color w:val="000000"/>
        </w:rPr>
        <w:t xml:space="preserve"> </w:t>
      </w:r>
    </w:p>
    <w:p w:rsidR="00A37C1D" w:rsidRPr="006A1FF1" w:rsidRDefault="00A37C1D" w:rsidP="00A37C1D">
      <w:pPr>
        <w:pStyle w:val="List"/>
        <w:tabs>
          <w:tab w:val="left" w:pos="9180"/>
        </w:tabs>
        <w:spacing w:before="0"/>
        <w:ind w:firstLine="0"/>
        <w:rPr>
          <w:rFonts w:ascii="Arial" w:hAnsi="Arial"/>
          <w:color w:val="000000"/>
        </w:rPr>
      </w:pPr>
    </w:p>
    <w:p w:rsidR="00EA4133" w:rsidRPr="006A1FF1" w:rsidRDefault="00AB4E25" w:rsidP="00A37C1D">
      <w:pPr>
        <w:pStyle w:val="List"/>
        <w:tabs>
          <w:tab w:val="left" w:pos="1080"/>
          <w:tab w:val="left" w:pos="9180"/>
        </w:tabs>
        <w:spacing w:before="0"/>
        <w:ind w:firstLine="0"/>
        <w:jc w:val="both"/>
        <w:rPr>
          <w:rFonts w:ascii="Arial" w:hAnsi="Arial"/>
          <w:color w:val="000000"/>
        </w:rPr>
      </w:pPr>
      <w:r w:rsidRPr="006A1FF1">
        <w:rPr>
          <w:rFonts w:ascii="Arial" w:hAnsi="Arial"/>
          <w:color w:val="000000"/>
          <w:u w:val="single"/>
        </w:rPr>
        <w:t>Management of th</w:t>
      </w:r>
      <w:r w:rsidR="000B7D18" w:rsidRPr="006A1FF1">
        <w:rPr>
          <w:rFonts w:ascii="Arial" w:hAnsi="Arial"/>
          <w:color w:val="000000"/>
          <w:u w:val="single"/>
        </w:rPr>
        <w:t xml:space="preserve">e </w:t>
      </w:r>
      <w:r w:rsidRPr="006A1FF1">
        <w:rPr>
          <w:rFonts w:ascii="Arial" w:hAnsi="Arial"/>
          <w:color w:val="000000"/>
          <w:u w:val="single"/>
        </w:rPr>
        <w:t>Issuer is not aware of any appraisal or valuation with respect to the Property</w:t>
      </w:r>
      <w:r w:rsidRPr="006A1FF1">
        <w:rPr>
          <w:rFonts w:ascii="Arial" w:hAnsi="Arial"/>
          <w:color w:val="000000"/>
        </w:rPr>
        <w:t>.</w:t>
      </w:r>
    </w:p>
    <w:p w:rsidR="00EA4133" w:rsidRDefault="00EA4133">
      <w:pPr>
        <w:pStyle w:val="List"/>
        <w:numPr>
          <w:ilvl w:val="0"/>
          <w:numId w:val="16"/>
        </w:numPr>
        <w:jc w:val="both"/>
        <w:rPr>
          <w:rFonts w:ascii="Arial" w:hAnsi="Arial"/>
          <w:color w:val="000000"/>
        </w:rPr>
      </w:pPr>
      <w:r w:rsidRPr="006A1FF1">
        <w:rPr>
          <w:rFonts w:ascii="Arial" w:hAnsi="Arial"/>
          <w:color w:val="000000"/>
        </w:rPr>
        <w:t>The names of parties receiving securities of the Issuer pursuant to the</w:t>
      </w:r>
      <w:r>
        <w:rPr>
          <w:rFonts w:ascii="Arial" w:hAnsi="Arial"/>
          <w:color w:val="000000"/>
        </w:rPr>
        <w:t xml:space="preserv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rsidTr="00526202">
        <w:tc>
          <w:tcPr>
            <w:tcW w:w="1440" w:type="dxa"/>
          </w:tcPr>
          <w:p w:rsidR="00EA4133" w:rsidRDefault="006A1FF1" w:rsidP="00526202">
            <w:pPr>
              <w:pStyle w:val="BodyText"/>
              <w:keepNext/>
              <w:keepLines/>
              <w:spacing w:before="0"/>
              <w:jc w:val="center"/>
              <w:rPr>
                <w:rFonts w:ascii="Arial" w:hAnsi="Arial"/>
                <w:sz w:val="20"/>
                <w:lang w:val="en-CA"/>
              </w:rPr>
            </w:pPr>
            <w:proofErr w:type="spellStart"/>
            <w:r>
              <w:rPr>
                <w:rFonts w:ascii="Arial" w:hAnsi="Arial"/>
                <w:sz w:val="20"/>
                <w:lang w:val="en-CA"/>
              </w:rPr>
              <w:t>Geomap</w:t>
            </w:r>
            <w:proofErr w:type="spellEnd"/>
            <w:r>
              <w:rPr>
                <w:rFonts w:ascii="Arial" w:hAnsi="Arial"/>
                <w:sz w:val="20"/>
                <w:lang w:val="en-CA"/>
              </w:rPr>
              <w:t xml:space="preserve"> Exploration Inc.</w:t>
            </w:r>
          </w:p>
          <w:p w:rsidR="006A1FF1" w:rsidRPr="00526202" w:rsidRDefault="006A1FF1" w:rsidP="00526202">
            <w:pPr>
              <w:pStyle w:val="BodyText"/>
              <w:keepNext/>
              <w:keepLines/>
              <w:spacing w:before="0"/>
              <w:jc w:val="center"/>
              <w:rPr>
                <w:rFonts w:ascii="Arial" w:hAnsi="Arial"/>
                <w:sz w:val="20"/>
                <w:lang w:val="en-CA"/>
              </w:rPr>
            </w:pPr>
            <w:r>
              <w:rPr>
                <w:rFonts w:ascii="Arial" w:hAnsi="Arial"/>
                <w:sz w:val="20"/>
                <w:lang w:val="en-CA"/>
              </w:rPr>
              <w:t>(</w:t>
            </w:r>
            <w:proofErr w:type="spellStart"/>
            <w:r>
              <w:rPr>
                <w:rFonts w:ascii="Arial" w:hAnsi="Arial"/>
                <w:sz w:val="20"/>
                <w:lang w:val="en-CA"/>
              </w:rPr>
              <w:t>Afzaal</w:t>
            </w:r>
            <w:proofErr w:type="spellEnd"/>
            <w:r>
              <w:rPr>
                <w:rFonts w:ascii="Arial" w:hAnsi="Arial"/>
                <w:sz w:val="20"/>
                <w:lang w:val="en-CA"/>
              </w:rPr>
              <w:t xml:space="preserve"> Pirzada)</w:t>
            </w:r>
          </w:p>
        </w:tc>
        <w:tc>
          <w:tcPr>
            <w:tcW w:w="1260" w:type="dxa"/>
          </w:tcPr>
          <w:p w:rsidR="00EA4133" w:rsidRPr="003C6A54" w:rsidRDefault="006A1FF1" w:rsidP="00526202">
            <w:pPr>
              <w:pStyle w:val="BodyText"/>
              <w:keepNext/>
              <w:keepLines/>
              <w:spacing w:before="0"/>
              <w:jc w:val="center"/>
              <w:rPr>
                <w:rFonts w:ascii="Arial" w:hAnsi="Arial"/>
                <w:sz w:val="20"/>
                <w:vertAlign w:val="superscript"/>
                <w:lang w:val="en-CA"/>
              </w:rPr>
            </w:pPr>
            <w:r>
              <w:rPr>
                <w:rFonts w:ascii="Arial" w:hAnsi="Arial"/>
                <w:sz w:val="20"/>
                <w:lang w:val="en-CA"/>
              </w:rPr>
              <w:t>550</w:t>
            </w:r>
            <w:r w:rsidR="00526202" w:rsidRPr="00526202">
              <w:rPr>
                <w:rFonts w:ascii="Arial" w:hAnsi="Arial"/>
                <w:sz w:val="20"/>
                <w:lang w:val="en-CA"/>
              </w:rPr>
              <w:t>,000 common shares</w:t>
            </w:r>
          </w:p>
        </w:tc>
        <w:tc>
          <w:tcPr>
            <w:tcW w:w="1260" w:type="dxa"/>
          </w:tcPr>
          <w:p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3C6A54" w:rsidRPr="003C6A54">
              <w:rPr>
                <w:rFonts w:ascii="Arial" w:hAnsi="Arial"/>
                <w:sz w:val="20"/>
                <w:vertAlign w:val="superscript"/>
                <w:lang w:val="en-CA"/>
              </w:rPr>
              <w:t>(</w:t>
            </w:r>
            <w:r w:rsidR="006A1FF1">
              <w:rPr>
                <w:rFonts w:ascii="Arial" w:hAnsi="Arial"/>
                <w:sz w:val="20"/>
                <w:vertAlign w:val="superscript"/>
                <w:lang w:val="en-CA"/>
              </w:rPr>
              <w:t>2</w:t>
            </w:r>
            <w:r w:rsidR="003C6A54" w:rsidRPr="003C6A54">
              <w:rPr>
                <w:rFonts w:ascii="Arial" w:hAnsi="Arial"/>
                <w:sz w:val="20"/>
                <w:vertAlign w:val="superscript"/>
                <w:lang w:val="en-CA"/>
              </w:rPr>
              <w:t>)</w:t>
            </w:r>
          </w:p>
        </w:tc>
        <w:tc>
          <w:tcPr>
            <w:tcW w:w="1440" w:type="dxa"/>
          </w:tcPr>
          <w:p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N/A</w:t>
            </w:r>
          </w:p>
        </w:tc>
        <w:tc>
          <w:tcPr>
            <w:tcW w:w="1440" w:type="dxa"/>
          </w:tcPr>
          <w:p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S</w:t>
            </w:r>
            <w:r>
              <w:rPr>
                <w:rFonts w:ascii="Arial" w:hAnsi="Arial"/>
                <w:sz w:val="20"/>
                <w:lang w:val="en-CA"/>
              </w:rPr>
              <w:t xml:space="preserve">ection </w:t>
            </w:r>
            <w:r w:rsidRPr="00526202">
              <w:rPr>
                <w:rFonts w:ascii="Arial" w:hAnsi="Arial"/>
                <w:sz w:val="20"/>
                <w:lang w:val="en-CA"/>
              </w:rPr>
              <w:t>2.13 of NI 45-106</w:t>
            </w:r>
          </w:p>
        </w:tc>
        <w:tc>
          <w:tcPr>
            <w:tcW w:w="1620" w:type="dxa"/>
          </w:tcPr>
          <w:p w:rsidR="00EA4133" w:rsidRPr="00526202" w:rsidRDefault="00775D96" w:rsidP="00526202">
            <w:pPr>
              <w:pStyle w:val="BodyText"/>
              <w:keepNext/>
              <w:keepLines/>
              <w:spacing w:before="0"/>
              <w:jc w:val="center"/>
              <w:rPr>
                <w:rFonts w:ascii="Arial" w:hAnsi="Arial"/>
                <w:sz w:val="20"/>
                <w:lang w:val="en-CA"/>
              </w:rPr>
            </w:pPr>
            <w:r>
              <w:rPr>
                <w:rFonts w:ascii="Arial" w:hAnsi="Arial"/>
                <w:sz w:val="20"/>
                <w:lang w:val="en-CA"/>
              </w:rPr>
              <w:t>2,450,000</w:t>
            </w:r>
          </w:p>
        </w:tc>
        <w:tc>
          <w:tcPr>
            <w:tcW w:w="1530" w:type="dxa"/>
          </w:tcPr>
          <w:p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Arm’s length</w:t>
            </w:r>
          </w:p>
        </w:tc>
      </w:tr>
    </w:tbl>
    <w:p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w:t>
      </w:r>
      <w:r w:rsidR="00992120">
        <w:rPr>
          <w:rFonts w:ascii="Arial" w:hAnsi="Arial"/>
          <w:color w:val="000000"/>
          <w:sz w:val="20"/>
          <w:u w:val="single"/>
        </w:rPr>
        <w:t>per s</w:t>
      </w:r>
      <w:r w:rsidRPr="003C6A54">
        <w:rPr>
          <w:rFonts w:ascii="Arial" w:hAnsi="Arial"/>
          <w:color w:val="000000"/>
          <w:sz w:val="20"/>
          <w:u w:val="single"/>
        </w:rPr>
        <w:t xml:space="preserve">hare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rsidR="00A37C1D" w:rsidRDefault="00A37C1D" w:rsidP="00A37C1D">
      <w:pPr>
        <w:pStyle w:val="List"/>
        <w:tabs>
          <w:tab w:val="left" w:pos="9180"/>
        </w:tabs>
        <w:spacing w:before="0"/>
        <w:ind w:left="0" w:firstLine="0"/>
        <w:jc w:val="both"/>
        <w:rPr>
          <w:rFonts w:ascii="Arial" w:hAnsi="Arial"/>
          <w:color w:val="000000"/>
        </w:rPr>
      </w:pPr>
    </w:p>
    <w:p w:rsidR="00A37C1D" w:rsidRDefault="00EA4133" w:rsidP="00A37C1D">
      <w:pPr>
        <w:pStyle w:val="List"/>
        <w:numPr>
          <w:ilvl w:val="0"/>
          <w:numId w:val="16"/>
        </w:numPr>
        <w:tabs>
          <w:tab w:val="left" w:pos="1080"/>
          <w:tab w:val="left" w:pos="9180"/>
        </w:tabs>
        <w:spacing w:before="0"/>
        <w:jc w:val="both"/>
        <w:rPr>
          <w:rFonts w:ascii="Arial" w:hAnsi="Arial"/>
          <w:color w:val="000000"/>
        </w:rPr>
      </w:pPr>
      <w:r w:rsidRPr="00A37C1D">
        <w:rPr>
          <w:rFonts w:ascii="Arial" w:hAnsi="Arial"/>
          <w:color w:val="000000"/>
        </w:rPr>
        <w:t xml:space="preserve">Details of the steps taken by the Issuer to ensure that the </w:t>
      </w:r>
      <w:proofErr w:type="spellStart"/>
      <w:r w:rsidR="003C6A54">
        <w:rPr>
          <w:rFonts w:ascii="Arial" w:hAnsi="Arial"/>
          <w:color w:val="000000"/>
        </w:rPr>
        <w:t>Optionor</w:t>
      </w:r>
      <w:proofErr w:type="spellEnd"/>
      <w:r w:rsidRPr="00A37C1D">
        <w:rPr>
          <w:rFonts w:ascii="Arial" w:hAnsi="Arial"/>
          <w:color w:val="000000"/>
        </w:rPr>
        <w:t xml:space="preserve"> has good title to the assets being acquired: </w:t>
      </w:r>
    </w:p>
    <w:p w:rsidR="00A37C1D" w:rsidRDefault="00A37C1D" w:rsidP="00A37C1D">
      <w:pPr>
        <w:pStyle w:val="List"/>
        <w:tabs>
          <w:tab w:val="left" w:pos="9180"/>
        </w:tabs>
        <w:spacing w:before="0"/>
        <w:ind w:firstLine="0"/>
        <w:jc w:val="both"/>
        <w:rPr>
          <w:rFonts w:ascii="Arial" w:hAnsi="Arial"/>
          <w:color w:val="000000"/>
        </w:rPr>
      </w:pPr>
    </w:p>
    <w:p w:rsidR="00EA4133" w:rsidRPr="00A37C1D" w:rsidRDefault="00AB4E25" w:rsidP="003C6A54">
      <w:pPr>
        <w:pStyle w:val="List"/>
        <w:keepNext/>
        <w:keepLines/>
        <w:tabs>
          <w:tab w:val="left" w:pos="1080"/>
          <w:tab w:val="left" w:pos="9180"/>
        </w:tabs>
        <w:spacing w:before="0"/>
        <w:ind w:firstLine="0"/>
        <w:jc w:val="both"/>
        <w:rPr>
          <w:rFonts w:ascii="Arial" w:hAnsi="Arial"/>
          <w:color w:val="000000"/>
        </w:rPr>
      </w:pPr>
      <w:r w:rsidRPr="006A1FF1">
        <w:rPr>
          <w:rFonts w:ascii="Arial" w:hAnsi="Arial"/>
          <w:color w:val="000000"/>
          <w:u w:val="single"/>
        </w:rPr>
        <w:t xml:space="preserve">The Issuer </w:t>
      </w:r>
      <w:r w:rsidR="00A37C1D" w:rsidRPr="006A1FF1">
        <w:rPr>
          <w:rFonts w:ascii="Arial" w:hAnsi="Arial"/>
          <w:color w:val="000000"/>
          <w:u w:val="single"/>
        </w:rPr>
        <w:t xml:space="preserve">conducted due diligence including </w:t>
      </w:r>
      <w:r w:rsidRPr="006A1FF1">
        <w:rPr>
          <w:rFonts w:ascii="Arial" w:hAnsi="Arial"/>
          <w:color w:val="000000"/>
          <w:u w:val="single"/>
        </w:rPr>
        <w:t>review</w:t>
      </w:r>
      <w:r w:rsidR="00A37C1D" w:rsidRPr="006A1FF1">
        <w:rPr>
          <w:rFonts w:ascii="Arial" w:hAnsi="Arial"/>
          <w:color w:val="000000"/>
          <w:u w:val="single"/>
        </w:rPr>
        <w:t xml:space="preserve"> of claim holder information as shown on the </w:t>
      </w:r>
      <w:r w:rsidR="006A1FF1" w:rsidRPr="006A1FF1">
        <w:rPr>
          <w:rFonts w:ascii="Arial" w:hAnsi="Arial"/>
          <w:color w:val="000000"/>
          <w:u w:val="single"/>
        </w:rPr>
        <w:t>British Columbia Mineral Title</w:t>
      </w:r>
      <w:r w:rsidR="006A1FF1">
        <w:rPr>
          <w:rFonts w:ascii="Arial" w:hAnsi="Arial"/>
          <w:color w:val="000000"/>
          <w:u w:val="single"/>
        </w:rPr>
        <w:t>s</w:t>
      </w:r>
      <w:r w:rsidR="006A1FF1" w:rsidRPr="006A1FF1">
        <w:rPr>
          <w:rFonts w:ascii="Arial" w:hAnsi="Arial"/>
          <w:color w:val="000000"/>
          <w:u w:val="single"/>
        </w:rPr>
        <w:t xml:space="preserve"> Online </w:t>
      </w:r>
      <w:r w:rsidR="00A37C1D" w:rsidRPr="006A1FF1">
        <w:rPr>
          <w:rFonts w:ascii="Arial" w:hAnsi="Arial"/>
          <w:color w:val="000000"/>
          <w:u w:val="single"/>
        </w:rPr>
        <w:t xml:space="preserve">website and obtained contractual representations from the </w:t>
      </w:r>
      <w:proofErr w:type="spellStart"/>
      <w:r w:rsidR="003C6A54" w:rsidRPr="006A1FF1">
        <w:rPr>
          <w:rFonts w:ascii="Arial" w:hAnsi="Arial"/>
          <w:color w:val="000000"/>
          <w:u w:val="single"/>
        </w:rPr>
        <w:t>Optionor</w:t>
      </w:r>
      <w:proofErr w:type="spellEnd"/>
      <w:r w:rsidR="00A37C1D" w:rsidRPr="006A1FF1">
        <w:rPr>
          <w:rFonts w:ascii="Arial" w:hAnsi="Arial"/>
          <w:color w:val="000000"/>
          <w:u w:val="single"/>
        </w:rPr>
        <w:t xml:space="preserve"> with respect to ownership of and title to the Property</w:t>
      </w:r>
      <w:r w:rsidR="00EA4133" w:rsidRPr="006A1FF1">
        <w:rPr>
          <w:rFonts w:ascii="Arial" w:hAnsi="Arial"/>
          <w:color w:val="000000"/>
        </w:rPr>
        <w:t>.</w:t>
      </w:r>
      <w:r w:rsidR="00EA4133" w:rsidRPr="00A37C1D">
        <w:rPr>
          <w:rFonts w:ascii="Arial" w:hAnsi="Arial"/>
          <w:color w:val="000000"/>
        </w:rPr>
        <w:t xml:space="preserve">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w:t>
      </w:r>
      <w:r>
        <w:rPr>
          <w:rFonts w:ascii="Arial" w:hAnsi="Arial"/>
        </w:rPr>
        <w:lastRenderedPageBreak/>
        <w:t xml:space="preserve">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rsidR="00821E4E" w:rsidRDefault="00821E4E" w:rsidP="00821E4E">
      <w:pPr>
        <w:pStyle w:val="List"/>
        <w:tabs>
          <w:tab w:val="left" w:pos="9180"/>
        </w:tabs>
        <w:spacing w:before="0"/>
        <w:ind w:firstLine="0"/>
        <w:jc w:val="both"/>
        <w:rPr>
          <w:rFonts w:ascii="Arial" w:hAnsi="Arial"/>
          <w:color w:val="000000"/>
        </w:rPr>
      </w:pPr>
    </w:p>
    <w:p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w:t>
      </w:r>
      <w:proofErr w:type="gramStart"/>
      <w:r w:rsidR="00B81093" w:rsidRPr="00B81093">
        <w:rPr>
          <w:rFonts w:ascii="Arial" w:hAnsi="Arial"/>
          <w:color w:val="000000"/>
          <w:u w:val="single"/>
        </w:rPr>
        <w:t>A</w:t>
      </w:r>
      <w:r w:rsidRPr="00B81093">
        <w:rPr>
          <w:rFonts w:ascii="Arial" w:hAnsi="Arial"/>
          <w:color w:val="000000"/>
        </w:rPr>
        <w:t xml:space="preserve"> .</w:t>
      </w:r>
      <w:proofErr w:type="gramEnd"/>
    </w:p>
    <w:p w:rsidR="00821E4E" w:rsidRDefault="00821E4E">
      <w:pPr>
        <w:pStyle w:val="List"/>
        <w:tabs>
          <w:tab w:val="left" w:pos="1080"/>
        </w:tabs>
        <w:ind w:left="0" w:firstLine="0"/>
        <w:rPr>
          <w:rFonts w:ascii="Arial" w:hAnsi="Arial"/>
          <w: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rsidR="00C500F0" w:rsidRDefault="00C500F0" w:rsidP="00C4200D">
      <w:pPr>
        <w:pStyle w:val="List"/>
        <w:spacing w:before="0"/>
        <w:ind w:firstLine="0"/>
        <w:jc w:val="both"/>
        <w:rPr>
          <w:rFonts w:ascii="Arial" w:hAnsi="Arial"/>
        </w:rPr>
      </w:pPr>
    </w:p>
    <w:p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A1FF1">
        <w:rPr>
          <w:rFonts w:ascii="Arial" w:hAnsi="Arial"/>
          <w:u w:val="single"/>
        </w:rPr>
        <w:t>August 1</w:t>
      </w:r>
      <w:r w:rsidR="006B04DF">
        <w:rPr>
          <w:rFonts w:ascii="Arial" w:hAnsi="Arial"/>
          <w:u w:val="single"/>
        </w:rPr>
        <w:t>5</w:t>
      </w:r>
      <w:r w:rsidR="00D87164">
        <w:rPr>
          <w:rFonts w:ascii="Arial" w:hAnsi="Arial"/>
          <w:u w:val="single"/>
        </w:rPr>
        <w:t>,</w:t>
      </w:r>
      <w:r w:rsidR="00C4200D">
        <w:rPr>
          <w:rFonts w:ascii="Arial" w:hAnsi="Arial"/>
          <w:u w:val="single"/>
        </w:rPr>
        <w:t xml:space="preserve"> 20</w:t>
      </w:r>
      <w:r w:rsidR="00972721">
        <w:rPr>
          <w:rFonts w:ascii="Arial" w:hAnsi="Arial"/>
          <w:u w:val="single"/>
        </w:rPr>
        <w:t>20</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04554A">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6A1FF1">
        <w:rPr>
          <w:rFonts w:ascii="Arial" w:hAnsi="Arial"/>
          <w:i/>
          <w:iCs/>
          <w:u w:val="single"/>
        </w:rPr>
        <w:t>“Gurminder Sangha”</w:t>
      </w:r>
      <w:r>
        <w:rPr>
          <w:rFonts w:ascii="Arial" w:hAnsi="Arial"/>
          <w:u w:val="single"/>
        </w:rPr>
        <w:tab/>
      </w:r>
      <w:r>
        <w:rPr>
          <w:rFonts w:ascii="Arial" w:hAnsi="Arial"/>
        </w:rPr>
        <w:br/>
        <w:t>Signature</w:t>
      </w:r>
    </w:p>
    <w:p w:rsidR="00C500F0" w:rsidRDefault="00EA4133">
      <w:pPr>
        <w:pStyle w:val="List"/>
        <w:tabs>
          <w:tab w:val="left" w:pos="9180"/>
          <w:tab w:val="left" w:pos="9360"/>
        </w:tabs>
        <w:ind w:left="5760" w:hanging="5760"/>
        <w:rPr>
          <w:rFonts w:ascii="Arial" w:hAnsi="Arial"/>
        </w:rPr>
      </w:pPr>
      <w:r>
        <w:rPr>
          <w:rFonts w:ascii="Arial" w:hAnsi="Arial"/>
        </w:rPr>
        <w:tab/>
      </w:r>
      <w:r w:rsidR="001A4CC9" w:rsidRPr="00C01CF9">
        <w:rPr>
          <w:rFonts w:ascii="Arial" w:hAnsi="Arial"/>
          <w:u w:val="single"/>
        </w:rPr>
        <w:t>President</w:t>
      </w:r>
      <w:r w:rsidR="001A4CC9" w:rsidRPr="001A4CC9">
        <w:rPr>
          <w:rFonts w:ascii="Arial" w:hAnsi="Arial"/>
          <w:u w:val="single"/>
        </w:rPr>
        <w:t xml:space="preserve"> &amp; </w:t>
      </w:r>
      <w:r w:rsidR="0004554A">
        <w:rPr>
          <w:rFonts w:ascii="Arial" w:hAnsi="Arial"/>
          <w:u w:val="single"/>
        </w:rPr>
        <w:t>CEO</w:t>
      </w:r>
      <w:r>
        <w:rPr>
          <w:rFonts w:ascii="Arial" w:hAnsi="Arial"/>
          <w:u w:val="single"/>
        </w:rPr>
        <w:tab/>
      </w:r>
      <w:r>
        <w:rPr>
          <w:rFonts w:ascii="Arial" w:hAnsi="Arial"/>
        </w:rPr>
        <w:br/>
        <w:t>Official Capacity</w:t>
      </w:r>
    </w:p>
    <w:p w:rsidR="00C4200D" w:rsidRDefault="00C4200D">
      <w:pPr>
        <w:rPr>
          <w:rFonts w:ascii="Arial" w:eastAsia="Calibri" w:hAnsi="Arial" w:cs="Arial"/>
          <w:b/>
          <w:sz w:val="24"/>
          <w:szCs w:val="24"/>
        </w:rPr>
      </w:pPr>
      <w:r>
        <w:rPr>
          <w:rFonts w:ascii="Arial" w:eastAsia="Calibri" w:hAnsi="Arial" w:cs="Arial"/>
          <w:b/>
          <w:sz w:val="24"/>
          <w:szCs w:val="24"/>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00E3" w:rsidRDefault="005D00E3">
      <w:r>
        <w:separator/>
      </w:r>
    </w:p>
  </w:endnote>
  <w:endnote w:type="continuationSeparator" w:id="0">
    <w:p w:rsidR="005D00E3" w:rsidRDefault="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133" w:rsidRDefault="0030578D"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113047A7">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2A3F4"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133" w:rsidRDefault="00A60DA8">
    <w:pPr>
      <w:pStyle w:val="Footer"/>
    </w:pPr>
    <w:fldSimple w:instr=" DOCPROPERTY FOOTERPATH \* MERGEFORMAT ">
      <w:r w:rsidR="005A17C3">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00E3" w:rsidRDefault="005D00E3">
      <w:r>
        <w:separator/>
      </w:r>
    </w:p>
  </w:footnote>
  <w:footnote w:type="continuationSeparator" w:id="0">
    <w:p w:rsidR="005D00E3" w:rsidRDefault="005D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2"/>
  </w:num>
  <w:num w:numId="4">
    <w:abstractNumId w:val="16"/>
  </w:num>
  <w:num w:numId="5">
    <w:abstractNumId w:val="14"/>
  </w:num>
  <w:num w:numId="6">
    <w:abstractNumId w:val="0"/>
  </w:num>
  <w:num w:numId="7">
    <w:abstractNumId w:val="13"/>
  </w:num>
  <w:num w:numId="8">
    <w:abstractNumId w:val="6"/>
  </w:num>
  <w:num w:numId="9">
    <w:abstractNumId w:val="9"/>
  </w:num>
  <w:num w:numId="10">
    <w:abstractNumId w:val="5"/>
  </w:num>
  <w:num w:numId="11">
    <w:abstractNumId w:val="17"/>
  </w:num>
  <w:num w:numId="12">
    <w:abstractNumId w:val="20"/>
  </w:num>
  <w:num w:numId="13">
    <w:abstractNumId w:val="4"/>
  </w:num>
  <w:num w:numId="14">
    <w:abstractNumId w:val="11"/>
  </w:num>
  <w:num w:numId="15">
    <w:abstractNumId w:val="1"/>
  </w:num>
  <w:num w:numId="16">
    <w:abstractNumId w:val="18"/>
  </w:num>
  <w:num w:numId="17">
    <w:abstractNumId w:val="7"/>
  </w:num>
  <w:num w:numId="18">
    <w:abstractNumId w:val="19"/>
  </w:num>
  <w:num w:numId="19">
    <w:abstractNumId w:val="13"/>
    <w:lvlOverride w:ilvl="0">
      <w:startOverride w:val="2"/>
    </w:lvlOverride>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554A"/>
    <w:rsid w:val="000B64EF"/>
    <w:rsid w:val="000B7D18"/>
    <w:rsid w:val="000C7CEC"/>
    <w:rsid w:val="0010782D"/>
    <w:rsid w:val="00116314"/>
    <w:rsid w:val="00122D6D"/>
    <w:rsid w:val="001325F5"/>
    <w:rsid w:val="0017239B"/>
    <w:rsid w:val="00173F0B"/>
    <w:rsid w:val="00186DA5"/>
    <w:rsid w:val="001A4CC9"/>
    <w:rsid w:val="001B7E15"/>
    <w:rsid w:val="001D301B"/>
    <w:rsid w:val="00211C8C"/>
    <w:rsid w:val="002413CF"/>
    <w:rsid w:val="00241623"/>
    <w:rsid w:val="002557FD"/>
    <w:rsid w:val="002560F1"/>
    <w:rsid w:val="002727D6"/>
    <w:rsid w:val="002C02C3"/>
    <w:rsid w:val="002F0416"/>
    <w:rsid w:val="0030578D"/>
    <w:rsid w:val="00305EB6"/>
    <w:rsid w:val="00326D55"/>
    <w:rsid w:val="003431FD"/>
    <w:rsid w:val="0035331C"/>
    <w:rsid w:val="00360098"/>
    <w:rsid w:val="003A0B6B"/>
    <w:rsid w:val="003A3A51"/>
    <w:rsid w:val="003C6A54"/>
    <w:rsid w:val="003C6D7E"/>
    <w:rsid w:val="003E2D88"/>
    <w:rsid w:val="00456624"/>
    <w:rsid w:val="004A1403"/>
    <w:rsid w:val="004A3859"/>
    <w:rsid w:val="004A7D49"/>
    <w:rsid w:val="004B214D"/>
    <w:rsid w:val="005229B9"/>
    <w:rsid w:val="00526202"/>
    <w:rsid w:val="00544BCF"/>
    <w:rsid w:val="00546B2F"/>
    <w:rsid w:val="00565076"/>
    <w:rsid w:val="005A17C3"/>
    <w:rsid w:val="005B3AFE"/>
    <w:rsid w:val="005D00E3"/>
    <w:rsid w:val="005F4DF9"/>
    <w:rsid w:val="00617A0E"/>
    <w:rsid w:val="0062717F"/>
    <w:rsid w:val="00632FE7"/>
    <w:rsid w:val="006655EF"/>
    <w:rsid w:val="00687115"/>
    <w:rsid w:val="00692260"/>
    <w:rsid w:val="00694273"/>
    <w:rsid w:val="006A1FF1"/>
    <w:rsid w:val="006B0128"/>
    <w:rsid w:val="006B04DF"/>
    <w:rsid w:val="006D399D"/>
    <w:rsid w:val="00727353"/>
    <w:rsid w:val="0073202F"/>
    <w:rsid w:val="007568B3"/>
    <w:rsid w:val="00775D96"/>
    <w:rsid w:val="00785BCA"/>
    <w:rsid w:val="00795AB3"/>
    <w:rsid w:val="007B0425"/>
    <w:rsid w:val="007C4F86"/>
    <w:rsid w:val="007D0E02"/>
    <w:rsid w:val="008003B9"/>
    <w:rsid w:val="00801F2D"/>
    <w:rsid w:val="00821E4E"/>
    <w:rsid w:val="00830CDB"/>
    <w:rsid w:val="00840B45"/>
    <w:rsid w:val="008923E8"/>
    <w:rsid w:val="00894990"/>
    <w:rsid w:val="008B6312"/>
    <w:rsid w:val="008C577F"/>
    <w:rsid w:val="008F27FF"/>
    <w:rsid w:val="00905E2D"/>
    <w:rsid w:val="009136E7"/>
    <w:rsid w:val="009466F0"/>
    <w:rsid w:val="00972721"/>
    <w:rsid w:val="0097763E"/>
    <w:rsid w:val="00992120"/>
    <w:rsid w:val="009C1EC2"/>
    <w:rsid w:val="009D2B46"/>
    <w:rsid w:val="009F6014"/>
    <w:rsid w:val="00A00C54"/>
    <w:rsid w:val="00A10285"/>
    <w:rsid w:val="00A37C1D"/>
    <w:rsid w:val="00A60DA8"/>
    <w:rsid w:val="00A90670"/>
    <w:rsid w:val="00A93530"/>
    <w:rsid w:val="00A9392C"/>
    <w:rsid w:val="00AB03F7"/>
    <w:rsid w:val="00AB4E25"/>
    <w:rsid w:val="00B25A15"/>
    <w:rsid w:val="00B81093"/>
    <w:rsid w:val="00B923F6"/>
    <w:rsid w:val="00BE2894"/>
    <w:rsid w:val="00C01CF9"/>
    <w:rsid w:val="00C10A32"/>
    <w:rsid w:val="00C41E30"/>
    <w:rsid w:val="00C4200D"/>
    <w:rsid w:val="00C500F0"/>
    <w:rsid w:val="00C536D3"/>
    <w:rsid w:val="00C53781"/>
    <w:rsid w:val="00CC2519"/>
    <w:rsid w:val="00CF076A"/>
    <w:rsid w:val="00CF2A90"/>
    <w:rsid w:val="00CF5580"/>
    <w:rsid w:val="00CF72A4"/>
    <w:rsid w:val="00D056D2"/>
    <w:rsid w:val="00D665B7"/>
    <w:rsid w:val="00D87164"/>
    <w:rsid w:val="00D9766D"/>
    <w:rsid w:val="00DA6830"/>
    <w:rsid w:val="00DB2617"/>
    <w:rsid w:val="00DB640C"/>
    <w:rsid w:val="00E05921"/>
    <w:rsid w:val="00E55E58"/>
    <w:rsid w:val="00E644FB"/>
    <w:rsid w:val="00E83A64"/>
    <w:rsid w:val="00E97C13"/>
    <w:rsid w:val="00EA4133"/>
    <w:rsid w:val="00F16FBE"/>
    <w:rsid w:val="00F3105D"/>
    <w:rsid w:val="00F33BBE"/>
    <w:rsid w:val="00F45227"/>
    <w:rsid w:val="00F80968"/>
    <w:rsid w:val="00F867FB"/>
    <w:rsid w:val="00FB1992"/>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ED869"/>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2020-01-23T20:34:00Z</cp:lastPrinted>
  <dcterms:created xsi:type="dcterms:W3CDTF">2020-08-16T03:21:00Z</dcterms:created>
  <dcterms:modified xsi:type="dcterms:W3CDTF">2020-08-16T03:21:00Z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