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AAC" w14:textId="77777777" w:rsidR="00EA4133" w:rsidRPr="0001060A" w:rsidRDefault="00EA4133">
      <w:pPr>
        <w:pStyle w:val="Title"/>
        <w:spacing w:before="0"/>
        <w:rPr>
          <w:sz w:val="28"/>
          <w:lang w:val="en-CA"/>
        </w:rPr>
      </w:pPr>
      <w:r w:rsidRPr="0001060A">
        <w:rPr>
          <w:sz w:val="28"/>
          <w:lang w:val="en-CA"/>
        </w:rPr>
        <w:t>FORM 9</w:t>
      </w:r>
    </w:p>
    <w:p w14:paraId="13AC48A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6C3C82"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5A1B2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2C3E48DC" w14:textId="77777777" w:rsidTr="00840B45">
        <w:tc>
          <w:tcPr>
            <w:tcW w:w="6487" w:type="dxa"/>
          </w:tcPr>
          <w:p w14:paraId="6DD04510"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69F662EF" w14:textId="77777777" w:rsidR="00840B45" w:rsidRDefault="00B25A15">
            <w:pPr>
              <w:pStyle w:val="BodyText"/>
              <w:rPr>
                <w:rFonts w:ascii="Arial" w:hAnsi="Arial"/>
                <w:lang w:val="en-CA"/>
              </w:rPr>
            </w:pPr>
            <w:r>
              <w:rPr>
                <w:rFonts w:ascii="Arial" w:hAnsi="Arial"/>
                <w:lang w:val="en-CA"/>
              </w:rPr>
              <w:t>FE</w:t>
            </w:r>
          </w:p>
        </w:tc>
      </w:tr>
    </w:tbl>
    <w:p w14:paraId="6C7DF82F" w14:textId="4AC6991F" w:rsidR="00EA4133" w:rsidRDefault="00EA4133" w:rsidP="00840B45">
      <w:pPr>
        <w:pStyle w:val="BodyText"/>
        <w:spacing w:after="240"/>
        <w:rPr>
          <w:rFonts w:ascii="Arial" w:hAnsi="Arial"/>
          <w:sz w:val="32"/>
          <w:lang w:val="en-CA"/>
        </w:rPr>
      </w:pPr>
      <w:r>
        <w:rPr>
          <w:rFonts w:ascii="Arial" w:hAnsi="Arial"/>
          <w:lang w:val="en-CA"/>
        </w:rPr>
        <w:t xml:space="preserve">Date: </w:t>
      </w:r>
      <w:r w:rsidR="00C96105">
        <w:rPr>
          <w:rFonts w:ascii="Arial" w:hAnsi="Arial"/>
          <w:u w:val="single"/>
          <w:lang w:val="en-CA"/>
        </w:rPr>
        <w:t>June 21</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w:t>
      </w:r>
      <w:r w:rsidR="00907C4F">
        <w:rPr>
          <w:rFonts w:ascii="Arial" w:hAnsi="Arial"/>
          <w:u w:val="single"/>
          <w:lang w:val="en-CA"/>
        </w:rPr>
        <w:t>1</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276924">
        <w:rPr>
          <w:rFonts w:ascii="Arial" w:hAnsi="Arial"/>
          <w:lang w:val="en-CA"/>
        </w:rPr>
        <w:t xml:space="preserve"> </w:t>
      </w:r>
      <w:r w:rsidR="001325F5">
        <w:rPr>
          <w:rFonts w:ascii="Arial" w:hAnsi="Arial"/>
          <w:lang w:val="en-CA"/>
        </w:rPr>
        <w:t xml:space="preserve"> </w:t>
      </w:r>
      <w:r w:rsidR="00C96105">
        <w:rPr>
          <w:rFonts w:ascii="Arial" w:hAnsi="Arial"/>
          <w:lang w:val="en-CA"/>
        </w:rPr>
        <w:sym w:font="Wingdings" w:char="F0FC"/>
      </w:r>
      <w:r>
        <w:rPr>
          <w:rFonts w:ascii="Arial" w:hAnsi="Arial"/>
          <w:lang w:val="en-CA"/>
        </w:rPr>
        <w:t>Yes</w:t>
      </w:r>
      <w:r>
        <w:rPr>
          <w:rFonts w:ascii="Arial" w:hAnsi="Arial"/>
          <w:lang w:val="en-CA"/>
        </w:rPr>
        <w:tab/>
      </w:r>
      <w:r w:rsidR="00C96105">
        <w:rPr>
          <w:rFonts w:ascii="Arial" w:hAnsi="Arial"/>
          <w:lang w:val="en-CA"/>
        </w:rPr>
        <w:sym w:font="Wingdings 2" w:char="F0A3"/>
      </w:r>
      <w:r>
        <w:rPr>
          <w:rFonts w:ascii="Arial" w:hAnsi="Arial"/>
          <w:lang w:val="en-CA"/>
        </w:rPr>
        <w:t>No</w:t>
      </w:r>
      <w:r>
        <w:rPr>
          <w:rFonts w:ascii="Arial" w:hAnsi="Arial"/>
          <w:sz w:val="32"/>
          <w:lang w:val="en-CA"/>
        </w:rPr>
        <w:tab/>
      </w:r>
    </w:p>
    <w:p w14:paraId="37A7223A" w14:textId="0D7D7EB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C96105" w:rsidRPr="00C96105">
        <w:rPr>
          <w:rFonts w:ascii="Arial" w:hAnsi="Arial"/>
          <w:u w:val="single"/>
          <w:lang w:val="en-CA"/>
        </w:rPr>
        <w:t>A</w:t>
      </w:r>
      <w:r w:rsidR="00C96105" w:rsidRPr="006D54A6">
        <w:rPr>
          <w:rFonts w:ascii="Arial" w:hAnsi="Arial"/>
          <w:u w:val="single"/>
          <w:lang w:val="en-CA"/>
        </w:rPr>
        <w:t>pril 13, 2021</w:t>
      </w:r>
      <w:r w:rsidRPr="006D54A6">
        <w:rPr>
          <w:rFonts w:ascii="Arial" w:hAnsi="Arial"/>
          <w:u w:val="single"/>
          <w:lang w:val="en-CA"/>
        </w:rPr>
        <w:t>.</w:t>
      </w:r>
    </w:p>
    <w:p w14:paraId="21D8EE5A" w14:textId="70752450"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Issued and Outstanding Securities of Issuer Prior to Issuance</w:t>
      </w:r>
      <w:r w:rsidRPr="00235A7B">
        <w:rPr>
          <w:rFonts w:ascii="Arial" w:hAnsi="Arial"/>
          <w:lang w:val="en-CA"/>
        </w:rPr>
        <w:t xml:space="preserve">:  </w:t>
      </w:r>
      <w:r w:rsidR="00C96105">
        <w:rPr>
          <w:rFonts w:ascii="Arial" w:hAnsi="Arial"/>
          <w:u w:val="single"/>
          <w:lang w:val="en-CA"/>
        </w:rPr>
        <w:t>5</w:t>
      </w:r>
      <w:r w:rsidR="005070FC">
        <w:rPr>
          <w:rFonts w:ascii="Arial" w:hAnsi="Arial"/>
          <w:u w:val="single"/>
          <w:lang w:val="en-CA"/>
        </w:rPr>
        <w:t>4</w:t>
      </w:r>
      <w:r w:rsidR="001B7E15" w:rsidRPr="00235A7B">
        <w:rPr>
          <w:rFonts w:ascii="Arial" w:hAnsi="Arial"/>
          <w:u w:val="single"/>
          <w:lang w:val="en-CA"/>
        </w:rPr>
        <w:t>,</w:t>
      </w:r>
      <w:r w:rsidR="005070FC">
        <w:rPr>
          <w:rFonts w:ascii="Arial" w:hAnsi="Arial"/>
          <w:u w:val="single"/>
          <w:lang w:val="en-CA"/>
        </w:rPr>
        <w:t>426</w:t>
      </w:r>
      <w:r w:rsidR="001B7E15" w:rsidRPr="00235A7B">
        <w:rPr>
          <w:rFonts w:ascii="Arial" w:hAnsi="Arial"/>
          <w:u w:val="single"/>
          <w:lang w:val="en-CA"/>
        </w:rPr>
        <w:t>,</w:t>
      </w:r>
      <w:r w:rsidR="005070FC">
        <w:rPr>
          <w:rFonts w:ascii="Arial" w:hAnsi="Arial"/>
          <w:u w:val="single"/>
          <w:lang w:val="en-CA"/>
        </w:rPr>
        <w:t>831</w:t>
      </w:r>
      <w:r w:rsidRPr="00235A7B">
        <w:rPr>
          <w:rFonts w:ascii="Arial" w:hAnsi="Arial"/>
          <w:lang w:val="en-CA"/>
        </w:rPr>
        <w:t>.</w:t>
      </w:r>
    </w:p>
    <w:p w14:paraId="1A3CC00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279F6B0A" w14:textId="32535B79"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 xml:space="preserve">proposed </w:t>
      </w:r>
      <w:r w:rsidR="00744170" w:rsidRPr="001B7E15">
        <w:rPr>
          <w:rFonts w:ascii="Arial" w:hAnsi="Arial"/>
          <w:lang w:val="en-CA"/>
        </w:rPr>
        <w:t>issuance</w:t>
      </w:r>
      <w:r w:rsidR="00744170">
        <w:rPr>
          <w:rFonts w:ascii="Arial" w:hAnsi="Arial"/>
          <w:lang w:val="en-CA"/>
        </w:rPr>
        <w:t xml:space="preserve"> </w:t>
      </w:r>
      <w:r w:rsidR="00744170">
        <w:rPr>
          <w:rFonts w:ascii="Arial" w:hAnsi="Arial"/>
          <w:u w:val="single"/>
          <w:lang w:val="en-CA"/>
        </w:rPr>
        <w:t>N/A</w:t>
      </w:r>
      <w:r w:rsidRPr="001B7E15">
        <w:rPr>
          <w:rFonts w:ascii="Arial" w:hAnsi="Arial"/>
          <w:lang w:val="en-CA"/>
        </w:rPr>
        <w:t xml:space="preserve">  </w:t>
      </w:r>
      <w:r w:rsidR="00840B45" w:rsidRPr="001B7E15">
        <w:rPr>
          <w:rFonts w:ascii="Arial" w:hAnsi="Arial"/>
          <w:u w:val="single"/>
          <w:lang w:val="en-CA"/>
        </w:rPr>
        <w:softHyphen/>
      </w:r>
      <w:r w:rsidR="00840B45" w:rsidRPr="001B7E15">
        <w:rPr>
          <w:rFonts w:ascii="Arial" w:hAnsi="Arial"/>
          <w:lang w:val="en-CA"/>
        </w:rPr>
        <w:t xml:space="preserve"> or</w:t>
      </w:r>
    </w:p>
    <w:p w14:paraId="29DA35B3" w14:textId="1BDFA6B2"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00E55486">
        <w:rPr>
          <w:rFonts w:ascii="Arial" w:hAnsi="Arial"/>
          <w:u w:val="single"/>
          <w:lang w:val="en-CA"/>
        </w:rPr>
        <w:t>April 1</w:t>
      </w:r>
      <w:r w:rsidR="00B03DBF">
        <w:rPr>
          <w:rFonts w:ascii="Arial" w:hAnsi="Arial"/>
          <w:u w:val="single"/>
          <w:lang w:val="en-CA"/>
        </w:rPr>
        <w:t>3</w:t>
      </w:r>
      <w:r w:rsidR="00322F54">
        <w:rPr>
          <w:rFonts w:ascii="Arial" w:hAnsi="Arial"/>
          <w:u w:val="single"/>
          <w:lang w:val="en-CA"/>
        </w:rPr>
        <w:t xml:space="preserve">, </w:t>
      </w:r>
      <w:r w:rsidR="00322F54" w:rsidRPr="003A0B6B">
        <w:rPr>
          <w:rFonts w:ascii="Arial" w:hAnsi="Arial"/>
          <w:u w:val="single"/>
          <w:lang w:val="en-CA"/>
        </w:rPr>
        <w:t>20</w:t>
      </w:r>
      <w:r w:rsidR="00322F54">
        <w:rPr>
          <w:rFonts w:ascii="Arial" w:hAnsi="Arial"/>
          <w:u w:val="single"/>
          <w:lang w:val="en-CA"/>
        </w:rPr>
        <w:t>21</w:t>
      </w:r>
    </w:p>
    <w:p w14:paraId="334AF06A" w14:textId="5CB1FD35"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821E4E">
        <w:rPr>
          <w:rFonts w:ascii="Arial" w:hAnsi="Arial"/>
          <w:u w:val="single"/>
          <w:lang w:val="en-CA"/>
        </w:rPr>
        <w:t>$0.</w:t>
      </w:r>
      <w:r w:rsidR="00322F54">
        <w:rPr>
          <w:rFonts w:ascii="Arial" w:hAnsi="Arial"/>
          <w:u w:val="single"/>
          <w:lang w:val="en-CA"/>
        </w:rPr>
        <w:t>3</w:t>
      </w:r>
      <w:r w:rsidR="00B03DBF">
        <w:rPr>
          <w:rFonts w:ascii="Arial" w:hAnsi="Arial"/>
          <w:u w:val="single"/>
          <w:lang w:val="en-CA"/>
        </w:rPr>
        <w:t>8</w:t>
      </w:r>
      <w:r w:rsidR="00840B45" w:rsidRPr="001B7E15">
        <w:rPr>
          <w:rFonts w:ascii="Arial" w:hAnsi="Arial"/>
          <w:lang w:val="en-CA"/>
        </w:rPr>
        <w:t xml:space="preserve"> or</w:t>
      </w:r>
    </w:p>
    <w:p w14:paraId="5CF5EAEC"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6142467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4AB220DA" w14:textId="40DCC93C" w:rsidR="00DD3DC1" w:rsidRDefault="00840B45" w:rsidP="00C10A32">
      <w:pPr>
        <w:pStyle w:val="BodyText"/>
        <w:tabs>
          <w:tab w:val="left" w:pos="9180"/>
        </w:tabs>
        <w:spacing w:before="0" w:after="120"/>
        <w:rPr>
          <w:rFonts w:ascii="Arial" w:hAnsi="Arial"/>
          <w:u w:val="single"/>
          <w:lang w:val="en-CA"/>
        </w:rPr>
      </w:pPr>
      <w:r w:rsidRPr="00821E4E">
        <w:rPr>
          <w:rFonts w:ascii="Arial" w:hAnsi="Arial"/>
          <w:lang w:val="en-CA"/>
        </w:rPr>
        <w:t>Number of securities to be issued</w:t>
      </w:r>
      <w:r w:rsidRPr="00E859D0">
        <w:rPr>
          <w:rFonts w:ascii="Arial" w:hAnsi="Arial"/>
          <w:u w:val="single"/>
          <w:lang w:val="en-CA"/>
        </w:rPr>
        <w:t xml:space="preserve">: </w:t>
      </w:r>
      <w:r w:rsidR="00C96105">
        <w:rPr>
          <w:rFonts w:ascii="Arial" w:hAnsi="Arial"/>
          <w:u w:val="single"/>
          <w:lang w:val="en-CA"/>
        </w:rPr>
        <w:t>2,686,064</w:t>
      </w:r>
      <w:r w:rsidR="00E55486">
        <w:rPr>
          <w:rFonts w:ascii="Arial" w:hAnsi="Arial"/>
        </w:rPr>
        <w:t xml:space="preserve"> </w:t>
      </w:r>
      <w:r w:rsidR="00E859D0">
        <w:rPr>
          <w:rFonts w:ascii="Arial" w:hAnsi="Arial"/>
          <w:u w:val="single"/>
          <w:lang w:val="en-CA"/>
        </w:rPr>
        <w:t xml:space="preserve">Common Shares </w:t>
      </w:r>
    </w:p>
    <w:p w14:paraId="02516D7D" w14:textId="7A8AFE5E" w:rsidR="00840B45" w:rsidRPr="00821E4E" w:rsidRDefault="00840B45" w:rsidP="00C10A32">
      <w:pPr>
        <w:pStyle w:val="BodyText"/>
        <w:tabs>
          <w:tab w:val="left" w:pos="9180"/>
        </w:tabs>
        <w:spacing w:before="0" w:after="120"/>
        <w:rPr>
          <w:rFonts w:ascii="Arial" w:hAnsi="Arial"/>
          <w:lang w:val="en-CA"/>
        </w:rPr>
      </w:pPr>
      <w:r w:rsidRPr="00E859D0">
        <w:rPr>
          <w:rFonts w:ascii="Arial" w:hAnsi="Arial"/>
          <w:lang w:val="en-CA"/>
        </w:rPr>
        <w:t>Issued and outstanding securities following issuance:</w:t>
      </w:r>
      <w:r w:rsidR="001325F5" w:rsidRPr="00E859D0">
        <w:rPr>
          <w:rFonts w:ascii="Arial" w:hAnsi="Arial"/>
          <w:lang w:val="en-CA"/>
        </w:rPr>
        <w:t xml:space="preserve"> </w:t>
      </w:r>
      <w:r w:rsidR="00235A7B" w:rsidRPr="00235A7B">
        <w:rPr>
          <w:rFonts w:ascii="Arial" w:hAnsi="Arial"/>
          <w:u w:val="single"/>
          <w:lang w:val="en-CA"/>
        </w:rPr>
        <w:t>5</w:t>
      </w:r>
      <w:r w:rsidR="005070FC">
        <w:rPr>
          <w:rFonts w:ascii="Arial" w:hAnsi="Arial"/>
          <w:u w:val="single"/>
          <w:lang w:val="en-CA"/>
        </w:rPr>
        <w:t>7,112,895</w:t>
      </w:r>
      <w:r w:rsidR="00235A7B">
        <w:rPr>
          <w:rFonts w:ascii="Arial" w:hAnsi="Arial"/>
          <w:u w:val="single"/>
          <w:lang w:val="en-CA"/>
        </w:rPr>
        <w:t xml:space="preserve"> Common</w:t>
      </w:r>
      <w:r w:rsidR="00E859D0">
        <w:rPr>
          <w:rFonts w:ascii="Arial" w:hAnsi="Arial"/>
          <w:u w:val="single"/>
          <w:lang w:val="en-CA"/>
        </w:rPr>
        <w:t xml:space="preserve"> Shares</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14:paraId="08E2165A" w14:textId="77777777" w:rsidR="00C10A32" w:rsidRDefault="00C10A32" w:rsidP="00905E2D">
      <w:pPr>
        <w:pStyle w:val="BodyText"/>
        <w:tabs>
          <w:tab w:val="left" w:pos="9180"/>
        </w:tabs>
        <w:spacing w:before="0"/>
        <w:rPr>
          <w:rFonts w:ascii="Arial" w:hAnsi="Arial"/>
          <w:b/>
          <w:lang w:val="en-CA"/>
        </w:rPr>
      </w:pPr>
    </w:p>
    <w:p w14:paraId="6480282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39240F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CD44E74"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37D28D7C"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238AA39E"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8B3A883"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F5461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2326FF7A"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r w:rsidR="001D301B">
        <w:rPr>
          <w:rFonts w:ascii="Arial" w:hAnsi="Arial"/>
          <w:b/>
          <w:lang w:val="en-CA"/>
        </w:rPr>
        <w:t xml:space="preserve"> N/A</w:t>
      </w:r>
    </w:p>
    <w:p w14:paraId="2A23BFF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0C91A66C" w14:textId="77777777" w:rsidTr="0064019D">
        <w:tc>
          <w:tcPr>
            <w:tcW w:w="3652" w:type="dxa"/>
          </w:tcPr>
          <w:p w14:paraId="3889307E"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216149D"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4217F6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3421B7B7"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3A985E02" w14:textId="77777777" w:rsidTr="0064019D">
        <w:tc>
          <w:tcPr>
            <w:tcW w:w="3652" w:type="dxa"/>
          </w:tcPr>
          <w:p w14:paraId="4AAA46E3" w14:textId="4D6DD1CF" w:rsidR="00C96105" w:rsidRPr="00C536D3" w:rsidRDefault="00C96105" w:rsidP="00C536D3">
            <w:pPr>
              <w:pStyle w:val="BodyText"/>
              <w:rPr>
                <w:rFonts w:ascii="Arial" w:hAnsi="Arial"/>
                <w:lang w:val="en-CA"/>
              </w:rPr>
            </w:pPr>
            <w:r>
              <w:rPr>
                <w:rFonts w:ascii="Arial" w:hAnsi="Arial"/>
                <w:lang w:val="en-CA"/>
              </w:rPr>
              <w:t>British Columbia</w:t>
            </w:r>
          </w:p>
        </w:tc>
        <w:tc>
          <w:tcPr>
            <w:tcW w:w="1701" w:type="dxa"/>
          </w:tcPr>
          <w:p w14:paraId="016E6183" w14:textId="4BB820A1" w:rsidR="00C536D3" w:rsidRPr="00C536D3" w:rsidRDefault="00C96105" w:rsidP="00C4200D">
            <w:pPr>
              <w:pStyle w:val="BodyText"/>
              <w:jc w:val="center"/>
              <w:rPr>
                <w:rFonts w:ascii="Arial" w:hAnsi="Arial"/>
                <w:lang w:val="en-CA"/>
              </w:rPr>
            </w:pPr>
            <w:r>
              <w:rPr>
                <w:rFonts w:ascii="Arial" w:hAnsi="Arial"/>
                <w:lang w:val="en-CA"/>
              </w:rPr>
              <w:t>2</w:t>
            </w:r>
          </w:p>
        </w:tc>
        <w:tc>
          <w:tcPr>
            <w:tcW w:w="1829" w:type="dxa"/>
          </w:tcPr>
          <w:p w14:paraId="029F996A" w14:textId="035ED32D" w:rsidR="00C536D3" w:rsidRPr="00C536D3" w:rsidRDefault="00C96105" w:rsidP="00C536D3">
            <w:pPr>
              <w:pStyle w:val="BodyText"/>
              <w:rPr>
                <w:rFonts w:ascii="Arial" w:hAnsi="Arial"/>
                <w:lang w:val="en-CA"/>
              </w:rPr>
            </w:pPr>
            <w:r>
              <w:rPr>
                <w:rFonts w:ascii="Arial" w:hAnsi="Arial"/>
                <w:lang w:val="en-CA"/>
              </w:rPr>
              <w:t>0.335</w:t>
            </w:r>
          </w:p>
        </w:tc>
        <w:tc>
          <w:tcPr>
            <w:tcW w:w="2394" w:type="dxa"/>
          </w:tcPr>
          <w:p w14:paraId="3FCD1B2D" w14:textId="6F911E4A" w:rsidR="00C536D3" w:rsidRPr="00C536D3" w:rsidRDefault="00C96105" w:rsidP="00C4200D">
            <w:pPr>
              <w:pStyle w:val="BodyText"/>
              <w:jc w:val="center"/>
              <w:rPr>
                <w:rFonts w:ascii="Arial" w:hAnsi="Arial"/>
                <w:lang w:val="en-CA"/>
              </w:rPr>
            </w:pPr>
            <w:r>
              <w:rPr>
                <w:rFonts w:ascii="Arial" w:hAnsi="Arial"/>
                <w:lang w:val="en-CA"/>
              </w:rPr>
              <w:t>95,200.00</w:t>
            </w:r>
          </w:p>
        </w:tc>
      </w:tr>
      <w:tr w:rsidR="00C536D3" w:rsidRPr="00C536D3" w14:paraId="49CC1FA1" w14:textId="77777777" w:rsidTr="0064019D">
        <w:tc>
          <w:tcPr>
            <w:tcW w:w="3652" w:type="dxa"/>
          </w:tcPr>
          <w:p w14:paraId="025B36FE" w14:textId="0C03237D" w:rsidR="00C536D3" w:rsidRPr="00C536D3" w:rsidRDefault="00C96105" w:rsidP="00C536D3">
            <w:pPr>
              <w:pStyle w:val="BodyText"/>
              <w:rPr>
                <w:rFonts w:ascii="Arial" w:hAnsi="Arial"/>
                <w:lang w:val="en-CA"/>
              </w:rPr>
            </w:pPr>
            <w:r>
              <w:rPr>
                <w:rFonts w:ascii="Arial" w:hAnsi="Arial"/>
                <w:lang w:val="en-CA"/>
              </w:rPr>
              <w:t>Ontario</w:t>
            </w:r>
          </w:p>
        </w:tc>
        <w:tc>
          <w:tcPr>
            <w:tcW w:w="1701" w:type="dxa"/>
          </w:tcPr>
          <w:p w14:paraId="00594D99" w14:textId="6F7524AF" w:rsidR="00C536D3" w:rsidRPr="00C536D3" w:rsidRDefault="00C96105" w:rsidP="00C4200D">
            <w:pPr>
              <w:pStyle w:val="BodyText"/>
              <w:jc w:val="center"/>
              <w:rPr>
                <w:rFonts w:ascii="Arial" w:hAnsi="Arial"/>
                <w:lang w:val="en-CA"/>
              </w:rPr>
            </w:pPr>
            <w:r>
              <w:rPr>
                <w:rFonts w:ascii="Arial" w:hAnsi="Arial"/>
                <w:lang w:val="en-CA"/>
              </w:rPr>
              <w:t>1</w:t>
            </w:r>
          </w:p>
        </w:tc>
        <w:tc>
          <w:tcPr>
            <w:tcW w:w="1829" w:type="dxa"/>
          </w:tcPr>
          <w:p w14:paraId="7D029736" w14:textId="4B9FACA3" w:rsidR="00C536D3" w:rsidRPr="00C536D3" w:rsidRDefault="00C96105" w:rsidP="00C536D3">
            <w:pPr>
              <w:pStyle w:val="BodyText"/>
              <w:rPr>
                <w:rFonts w:ascii="Arial" w:hAnsi="Arial"/>
                <w:lang w:val="en-CA"/>
              </w:rPr>
            </w:pPr>
            <w:r>
              <w:rPr>
                <w:rFonts w:ascii="Arial" w:hAnsi="Arial"/>
                <w:lang w:val="en-CA"/>
              </w:rPr>
              <w:t>0.335</w:t>
            </w:r>
          </w:p>
        </w:tc>
        <w:tc>
          <w:tcPr>
            <w:tcW w:w="2394" w:type="dxa"/>
          </w:tcPr>
          <w:p w14:paraId="676FDF08" w14:textId="07FA258D" w:rsidR="00C536D3" w:rsidRPr="00C536D3" w:rsidRDefault="00C96105" w:rsidP="00C4200D">
            <w:pPr>
              <w:pStyle w:val="BodyText"/>
              <w:jc w:val="center"/>
              <w:rPr>
                <w:rFonts w:ascii="Arial" w:hAnsi="Arial"/>
                <w:lang w:val="en-CA"/>
              </w:rPr>
            </w:pPr>
            <w:r>
              <w:rPr>
                <w:rFonts w:ascii="Arial" w:hAnsi="Arial"/>
                <w:lang w:val="en-CA"/>
              </w:rPr>
              <w:t>100,000.18</w:t>
            </w:r>
          </w:p>
        </w:tc>
      </w:tr>
      <w:tr w:rsidR="00C96105" w:rsidRPr="00C536D3" w14:paraId="37D57A6C" w14:textId="77777777" w:rsidTr="0064019D">
        <w:tc>
          <w:tcPr>
            <w:tcW w:w="3652" w:type="dxa"/>
          </w:tcPr>
          <w:p w14:paraId="0706E384" w14:textId="3B9B99AF" w:rsidR="00C96105" w:rsidRPr="00C536D3" w:rsidRDefault="00C96105" w:rsidP="00C536D3">
            <w:pPr>
              <w:pStyle w:val="BodyText"/>
              <w:rPr>
                <w:rFonts w:ascii="Arial" w:hAnsi="Arial"/>
                <w:lang w:val="en-CA"/>
              </w:rPr>
            </w:pPr>
            <w:r>
              <w:rPr>
                <w:rFonts w:ascii="Arial" w:hAnsi="Arial"/>
                <w:lang w:val="en-CA"/>
              </w:rPr>
              <w:t>Monaco</w:t>
            </w:r>
          </w:p>
        </w:tc>
        <w:tc>
          <w:tcPr>
            <w:tcW w:w="1701" w:type="dxa"/>
          </w:tcPr>
          <w:p w14:paraId="2E52FF3E" w14:textId="5B639814" w:rsidR="00C96105" w:rsidRPr="00C536D3" w:rsidRDefault="00C96105" w:rsidP="00C4200D">
            <w:pPr>
              <w:pStyle w:val="BodyText"/>
              <w:jc w:val="center"/>
              <w:rPr>
                <w:rFonts w:ascii="Arial" w:hAnsi="Arial"/>
                <w:lang w:val="en-CA"/>
              </w:rPr>
            </w:pPr>
            <w:r>
              <w:rPr>
                <w:rFonts w:ascii="Arial" w:hAnsi="Arial"/>
                <w:lang w:val="en-CA"/>
              </w:rPr>
              <w:t>1</w:t>
            </w:r>
          </w:p>
        </w:tc>
        <w:tc>
          <w:tcPr>
            <w:tcW w:w="1829" w:type="dxa"/>
          </w:tcPr>
          <w:p w14:paraId="4116C185" w14:textId="63497D59" w:rsidR="00C96105" w:rsidRPr="00C536D3" w:rsidRDefault="00C96105" w:rsidP="00C536D3">
            <w:pPr>
              <w:pStyle w:val="BodyText"/>
              <w:rPr>
                <w:rFonts w:ascii="Arial" w:hAnsi="Arial"/>
                <w:lang w:val="en-CA"/>
              </w:rPr>
            </w:pPr>
            <w:r>
              <w:rPr>
                <w:rFonts w:ascii="Arial" w:hAnsi="Arial"/>
                <w:lang w:val="en-CA"/>
              </w:rPr>
              <w:t>0.335</w:t>
            </w:r>
          </w:p>
        </w:tc>
        <w:tc>
          <w:tcPr>
            <w:tcW w:w="2394" w:type="dxa"/>
          </w:tcPr>
          <w:p w14:paraId="210AD68C" w14:textId="53D6D878" w:rsidR="00C96105" w:rsidRPr="00C536D3" w:rsidRDefault="00C96105" w:rsidP="00C4200D">
            <w:pPr>
              <w:pStyle w:val="BodyText"/>
              <w:jc w:val="center"/>
              <w:rPr>
                <w:rFonts w:ascii="Arial" w:hAnsi="Arial"/>
                <w:lang w:val="en-CA"/>
              </w:rPr>
            </w:pPr>
            <w:r>
              <w:rPr>
                <w:rFonts w:ascii="Arial" w:hAnsi="Arial"/>
                <w:lang w:val="en-CA"/>
              </w:rPr>
              <w:t>33,500.00</w:t>
            </w:r>
          </w:p>
        </w:tc>
      </w:tr>
      <w:tr w:rsidR="00C96105" w:rsidRPr="00C536D3" w14:paraId="56CBF8D0" w14:textId="77777777" w:rsidTr="0064019D">
        <w:tc>
          <w:tcPr>
            <w:tcW w:w="3652" w:type="dxa"/>
          </w:tcPr>
          <w:p w14:paraId="6FAD0234" w14:textId="5225E947" w:rsidR="00C96105" w:rsidRDefault="00C93C2F" w:rsidP="00C536D3">
            <w:pPr>
              <w:pStyle w:val="BodyText"/>
              <w:rPr>
                <w:rFonts w:ascii="Arial" w:hAnsi="Arial"/>
                <w:lang w:val="en-CA"/>
              </w:rPr>
            </w:pPr>
            <w:r>
              <w:rPr>
                <w:rFonts w:ascii="Arial" w:hAnsi="Arial"/>
                <w:lang w:val="en-CA"/>
              </w:rPr>
              <w:t>Quebec</w:t>
            </w:r>
          </w:p>
        </w:tc>
        <w:tc>
          <w:tcPr>
            <w:tcW w:w="1701" w:type="dxa"/>
          </w:tcPr>
          <w:p w14:paraId="5B3A74AF" w14:textId="4271D91F" w:rsidR="00C96105" w:rsidRDefault="00C93C2F" w:rsidP="00C4200D">
            <w:pPr>
              <w:pStyle w:val="BodyText"/>
              <w:jc w:val="center"/>
              <w:rPr>
                <w:rFonts w:ascii="Arial" w:hAnsi="Arial"/>
                <w:lang w:val="en-CA"/>
              </w:rPr>
            </w:pPr>
            <w:r>
              <w:rPr>
                <w:rFonts w:ascii="Arial" w:hAnsi="Arial"/>
                <w:lang w:val="en-CA"/>
              </w:rPr>
              <w:t>11</w:t>
            </w:r>
          </w:p>
        </w:tc>
        <w:tc>
          <w:tcPr>
            <w:tcW w:w="1829" w:type="dxa"/>
          </w:tcPr>
          <w:p w14:paraId="6C9B37B6" w14:textId="2F3CC231" w:rsidR="00C96105" w:rsidRDefault="00C93C2F" w:rsidP="00C536D3">
            <w:pPr>
              <w:pStyle w:val="BodyText"/>
              <w:rPr>
                <w:rFonts w:ascii="Arial" w:hAnsi="Arial"/>
                <w:lang w:val="en-CA"/>
              </w:rPr>
            </w:pPr>
            <w:r>
              <w:rPr>
                <w:rFonts w:ascii="Arial" w:hAnsi="Arial"/>
                <w:lang w:val="en-CA"/>
              </w:rPr>
              <w:t>0.385</w:t>
            </w:r>
          </w:p>
        </w:tc>
        <w:tc>
          <w:tcPr>
            <w:tcW w:w="2394" w:type="dxa"/>
          </w:tcPr>
          <w:p w14:paraId="19B52EAA" w14:textId="2F414FC4" w:rsidR="00C96105" w:rsidRDefault="00C93C2F" w:rsidP="00C4200D">
            <w:pPr>
              <w:pStyle w:val="BodyText"/>
              <w:jc w:val="center"/>
              <w:rPr>
                <w:rFonts w:ascii="Arial" w:hAnsi="Arial"/>
                <w:lang w:val="en-CA"/>
              </w:rPr>
            </w:pPr>
            <w:r>
              <w:rPr>
                <w:rFonts w:ascii="Arial" w:hAnsi="Arial"/>
                <w:lang w:val="en-CA"/>
              </w:rPr>
              <w:t>163,399.78</w:t>
            </w:r>
          </w:p>
        </w:tc>
      </w:tr>
      <w:tr w:rsidR="00C96105" w:rsidRPr="00C536D3" w14:paraId="14D0A89C" w14:textId="77777777" w:rsidTr="0064019D">
        <w:tc>
          <w:tcPr>
            <w:tcW w:w="3652" w:type="dxa"/>
          </w:tcPr>
          <w:p w14:paraId="6A152138" w14:textId="37C8EE5D" w:rsidR="00C96105" w:rsidRDefault="00C93C2F" w:rsidP="00C536D3">
            <w:pPr>
              <w:pStyle w:val="BodyText"/>
              <w:rPr>
                <w:rFonts w:ascii="Arial" w:hAnsi="Arial"/>
                <w:lang w:val="en-CA"/>
              </w:rPr>
            </w:pPr>
            <w:r>
              <w:rPr>
                <w:rFonts w:ascii="Arial" w:hAnsi="Arial"/>
                <w:lang w:val="en-CA"/>
              </w:rPr>
              <w:t>British Columbia</w:t>
            </w:r>
          </w:p>
        </w:tc>
        <w:tc>
          <w:tcPr>
            <w:tcW w:w="1701" w:type="dxa"/>
          </w:tcPr>
          <w:p w14:paraId="47A8637E" w14:textId="326D3476" w:rsidR="00C96105" w:rsidRDefault="00C93C2F" w:rsidP="00C4200D">
            <w:pPr>
              <w:pStyle w:val="BodyText"/>
              <w:jc w:val="center"/>
              <w:rPr>
                <w:rFonts w:ascii="Arial" w:hAnsi="Arial"/>
                <w:lang w:val="en-CA"/>
              </w:rPr>
            </w:pPr>
            <w:r>
              <w:rPr>
                <w:rFonts w:ascii="Arial" w:hAnsi="Arial"/>
                <w:lang w:val="en-CA"/>
              </w:rPr>
              <w:t>1</w:t>
            </w:r>
          </w:p>
        </w:tc>
        <w:tc>
          <w:tcPr>
            <w:tcW w:w="1829" w:type="dxa"/>
          </w:tcPr>
          <w:p w14:paraId="21FDC62C" w14:textId="015D5426" w:rsidR="00C93C2F" w:rsidRDefault="00C93C2F" w:rsidP="00C536D3">
            <w:pPr>
              <w:pStyle w:val="BodyText"/>
              <w:rPr>
                <w:rFonts w:ascii="Arial" w:hAnsi="Arial"/>
                <w:lang w:val="en-CA"/>
              </w:rPr>
            </w:pPr>
            <w:r>
              <w:rPr>
                <w:rFonts w:ascii="Arial" w:hAnsi="Arial"/>
                <w:lang w:val="en-CA"/>
              </w:rPr>
              <w:t>0.385</w:t>
            </w:r>
          </w:p>
        </w:tc>
        <w:tc>
          <w:tcPr>
            <w:tcW w:w="2394" w:type="dxa"/>
          </w:tcPr>
          <w:p w14:paraId="1FA840F5" w14:textId="09BB6087" w:rsidR="00C96105" w:rsidRDefault="00C93C2F" w:rsidP="00C4200D">
            <w:pPr>
              <w:pStyle w:val="BodyText"/>
              <w:jc w:val="center"/>
              <w:rPr>
                <w:rFonts w:ascii="Arial" w:hAnsi="Arial"/>
                <w:lang w:val="en-CA"/>
              </w:rPr>
            </w:pPr>
            <w:r>
              <w:rPr>
                <w:rFonts w:ascii="Arial" w:hAnsi="Arial"/>
                <w:lang w:val="en-CA"/>
              </w:rPr>
              <w:t>399,999.99</w:t>
            </w:r>
          </w:p>
        </w:tc>
      </w:tr>
      <w:tr w:rsidR="00C96105" w:rsidRPr="00C536D3" w14:paraId="68599436" w14:textId="77777777" w:rsidTr="0064019D">
        <w:tc>
          <w:tcPr>
            <w:tcW w:w="3652" w:type="dxa"/>
          </w:tcPr>
          <w:p w14:paraId="23E12597" w14:textId="10DC4F94" w:rsidR="00C96105" w:rsidRDefault="00C93C2F" w:rsidP="00C93C2F">
            <w:pPr>
              <w:pStyle w:val="BodyText"/>
              <w:rPr>
                <w:rFonts w:ascii="Arial" w:hAnsi="Arial"/>
                <w:lang w:val="en-CA"/>
              </w:rPr>
            </w:pPr>
            <w:r>
              <w:rPr>
                <w:rFonts w:ascii="Arial" w:hAnsi="Arial"/>
                <w:lang w:val="en-CA"/>
              </w:rPr>
              <w:t>Ontario</w:t>
            </w:r>
          </w:p>
        </w:tc>
        <w:tc>
          <w:tcPr>
            <w:tcW w:w="1701" w:type="dxa"/>
          </w:tcPr>
          <w:p w14:paraId="0F6BDF2F" w14:textId="6EE5A207" w:rsidR="00C96105" w:rsidRDefault="00C93C2F" w:rsidP="00C4200D">
            <w:pPr>
              <w:pStyle w:val="BodyText"/>
              <w:jc w:val="center"/>
              <w:rPr>
                <w:rFonts w:ascii="Arial" w:hAnsi="Arial"/>
                <w:lang w:val="en-CA"/>
              </w:rPr>
            </w:pPr>
            <w:r>
              <w:rPr>
                <w:rFonts w:ascii="Arial" w:hAnsi="Arial"/>
                <w:lang w:val="en-CA"/>
              </w:rPr>
              <w:t>4</w:t>
            </w:r>
          </w:p>
        </w:tc>
        <w:tc>
          <w:tcPr>
            <w:tcW w:w="1829" w:type="dxa"/>
          </w:tcPr>
          <w:p w14:paraId="385DD2EF" w14:textId="1F49BB5B" w:rsidR="00C96105" w:rsidRDefault="00C93C2F" w:rsidP="00C536D3">
            <w:pPr>
              <w:pStyle w:val="BodyText"/>
              <w:rPr>
                <w:rFonts w:ascii="Arial" w:hAnsi="Arial"/>
                <w:lang w:val="en-CA"/>
              </w:rPr>
            </w:pPr>
            <w:r>
              <w:rPr>
                <w:rFonts w:ascii="Arial" w:hAnsi="Arial"/>
                <w:lang w:val="en-CA"/>
              </w:rPr>
              <w:t>0.385</w:t>
            </w:r>
          </w:p>
        </w:tc>
        <w:tc>
          <w:tcPr>
            <w:tcW w:w="2394" w:type="dxa"/>
          </w:tcPr>
          <w:p w14:paraId="0271F1E5" w14:textId="1E90003A" w:rsidR="00C96105" w:rsidRDefault="00C93C2F" w:rsidP="00C4200D">
            <w:pPr>
              <w:pStyle w:val="BodyText"/>
              <w:jc w:val="center"/>
              <w:rPr>
                <w:rFonts w:ascii="Arial" w:hAnsi="Arial"/>
                <w:lang w:val="en-CA"/>
              </w:rPr>
            </w:pPr>
            <w:r>
              <w:rPr>
                <w:rFonts w:ascii="Arial" w:hAnsi="Arial"/>
                <w:lang w:val="en-CA"/>
              </w:rPr>
              <w:t>207,900.00</w:t>
            </w:r>
          </w:p>
        </w:tc>
      </w:tr>
      <w:tr w:rsidR="00C536D3" w:rsidRPr="00C536D3" w14:paraId="325834FF" w14:textId="77777777" w:rsidTr="0064019D">
        <w:tc>
          <w:tcPr>
            <w:tcW w:w="3652" w:type="dxa"/>
          </w:tcPr>
          <w:p w14:paraId="36E648A4"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3B7D9DA9" w14:textId="6E421B5B" w:rsidR="00C536D3" w:rsidRPr="00C536D3" w:rsidRDefault="00C93C2F" w:rsidP="00C4200D">
            <w:pPr>
              <w:pStyle w:val="BodyText"/>
              <w:jc w:val="center"/>
              <w:rPr>
                <w:rFonts w:ascii="Arial" w:hAnsi="Arial"/>
                <w:lang w:val="en-CA"/>
              </w:rPr>
            </w:pPr>
            <w:r>
              <w:rPr>
                <w:rFonts w:ascii="Arial" w:hAnsi="Arial"/>
                <w:lang w:val="en-CA"/>
              </w:rPr>
              <w:t>20</w:t>
            </w:r>
          </w:p>
        </w:tc>
        <w:tc>
          <w:tcPr>
            <w:tcW w:w="1829" w:type="dxa"/>
          </w:tcPr>
          <w:p w14:paraId="5D162D51" w14:textId="77777777" w:rsidR="00C536D3" w:rsidRPr="00C536D3" w:rsidRDefault="00C536D3" w:rsidP="00C536D3">
            <w:pPr>
              <w:pStyle w:val="BodyText"/>
              <w:rPr>
                <w:rFonts w:ascii="Arial" w:hAnsi="Arial"/>
                <w:lang w:val="en-CA"/>
              </w:rPr>
            </w:pPr>
          </w:p>
        </w:tc>
        <w:tc>
          <w:tcPr>
            <w:tcW w:w="2394" w:type="dxa"/>
          </w:tcPr>
          <w:p w14:paraId="36D55CDC" w14:textId="77777777" w:rsidR="00C536D3" w:rsidRPr="00C536D3" w:rsidRDefault="00C536D3" w:rsidP="00C4200D">
            <w:pPr>
              <w:pStyle w:val="BodyText"/>
              <w:jc w:val="center"/>
              <w:rPr>
                <w:rFonts w:ascii="Arial" w:hAnsi="Arial"/>
                <w:lang w:val="en-CA"/>
              </w:rPr>
            </w:pPr>
          </w:p>
        </w:tc>
      </w:tr>
      <w:tr w:rsidR="00C536D3" w:rsidRPr="00C536D3" w14:paraId="4BFF20AF" w14:textId="77777777" w:rsidTr="0064019D">
        <w:tc>
          <w:tcPr>
            <w:tcW w:w="7182" w:type="dxa"/>
            <w:gridSpan w:val="3"/>
          </w:tcPr>
          <w:p w14:paraId="7CF5E2A4"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0049CC7" w14:textId="7D64D2EA" w:rsidR="00C536D3" w:rsidRPr="00C536D3" w:rsidRDefault="00C93C2F" w:rsidP="00C4200D">
            <w:pPr>
              <w:pStyle w:val="BodyText"/>
              <w:jc w:val="center"/>
              <w:rPr>
                <w:rFonts w:ascii="Arial" w:hAnsi="Arial"/>
                <w:lang w:val="en-CA"/>
              </w:rPr>
            </w:pPr>
            <w:r>
              <w:rPr>
                <w:rFonts w:ascii="Arial" w:hAnsi="Arial"/>
                <w:lang w:val="en-CA"/>
              </w:rPr>
              <w:t>1,000,000.2</w:t>
            </w:r>
            <w:r w:rsidR="00F6594F">
              <w:rPr>
                <w:rFonts w:ascii="Arial" w:hAnsi="Arial"/>
                <w:lang w:val="en-CA"/>
              </w:rPr>
              <w:t>5</w:t>
            </w:r>
          </w:p>
        </w:tc>
      </w:tr>
    </w:tbl>
    <w:p w14:paraId="1595C1B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66DCA6F" w14:textId="77777777" w:rsidTr="00801F2D">
        <w:trPr>
          <w:trHeight w:val="1965"/>
        </w:trPr>
        <w:tc>
          <w:tcPr>
            <w:tcW w:w="1394" w:type="dxa"/>
          </w:tcPr>
          <w:p w14:paraId="2D35D057" w14:textId="77777777" w:rsidR="00EA4133" w:rsidRDefault="00EA4133">
            <w:pPr>
              <w:pStyle w:val="BodyText"/>
              <w:spacing w:before="0" w:line="280" w:lineRule="exact"/>
              <w:jc w:val="center"/>
              <w:rPr>
                <w:rFonts w:ascii="Arial" w:hAnsi="Arial"/>
                <w:b/>
                <w:sz w:val="20"/>
                <w:lang w:val="en-CA"/>
              </w:rPr>
            </w:pPr>
          </w:p>
          <w:p w14:paraId="04867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3574E92C" w14:textId="77777777" w:rsidR="00EA4133" w:rsidRDefault="00EA4133">
            <w:pPr>
              <w:pStyle w:val="BodyText"/>
              <w:spacing w:before="0" w:line="280" w:lineRule="exact"/>
              <w:jc w:val="center"/>
              <w:rPr>
                <w:rFonts w:ascii="Arial" w:hAnsi="Arial"/>
                <w:b/>
                <w:sz w:val="20"/>
                <w:lang w:val="en-CA"/>
              </w:rPr>
            </w:pPr>
          </w:p>
          <w:p w14:paraId="6122133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3487487" w14:textId="77777777" w:rsidR="00EA4133" w:rsidRDefault="00EA4133">
            <w:pPr>
              <w:pStyle w:val="BodyText"/>
              <w:spacing w:before="0" w:line="280" w:lineRule="exact"/>
              <w:jc w:val="center"/>
              <w:rPr>
                <w:rFonts w:ascii="Arial" w:hAnsi="Arial"/>
                <w:b/>
                <w:sz w:val="20"/>
                <w:lang w:val="en-CA"/>
              </w:rPr>
            </w:pPr>
          </w:p>
          <w:p w14:paraId="3DAB64C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3467C10" w14:textId="77777777" w:rsidR="00EA4133" w:rsidRDefault="00EA4133">
            <w:pPr>
              <w:pStyle w:val="BodyText"/>
              <w:spacing w:before="0" w:line="280" w:lineRule="exact"/>
              <w:jc w:val="center"/>
              <w:rPr>
                <w:rFonts w:ascii="Arial" w:hAnsi="Arial"/>
                <w:b/>
                <w:sz w:val="20"/>
                <w:lang w:val="en-CA"/>
              </w:rPr>
            </w:pPr>
          </w:p>
          <w:p w14:paraId="721254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431E8B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9B9FBB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EFA74A4"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959BD9F" w14:textId="77777777" w:rsidR="00EA4133" w:rsidRDefault="00EA4133">
            <w:pPr>
              <w:pStyle w:val="BodyText"/>
              <w:spacing w:before="0" w:line="280" w:lineRule="exact"/>
              <w:jc w:val="center"/>
              <w:rPr>
                <w:rFonts w:ascii="Arial" w:hAnsi="Arial"/>
                <w:b/>
                <w:sz w:val="20"/>
                <w:lang w:val="en-CA"/>
              </w:rPr>
            </w:pPr>
          </w:p>
          <w:p w14:paraId="32CC7B5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69A3A43F" w14:textId="77777777" w:rsidR="00C536D3" w:rsidRDefault="00C536D3" w:rsidP="00C536D3">
            <w:pPr>
              <w:pStyle w:val="BodyText"/>
              <w:spacing w:before="0" w:line="280" w:lineRule="exact"/>
              <w:jc w:val="center"/>
              <w:rPr>
                <w:rFonts w:ascii="Arial" w:hAnsi="Arial"/>
                <w:b/>
                <w:sz w:val="20"/>
              </w:rPr>
            </w:pPr>
          </w:p>
          <w:p w14:paraId="45E0EC36"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60D2BFF6" w14:textId="77777777" w:rsidR="00EA4133" w:rsidRDefault="00EA4133">
            <w:pPr>
              <w:pStyle w:val="BodyText"/>
              <w:spacing w:before="0" w:line="280" w:lineRule="exact"/>
              <w:jc w:val="center"/>
              <w:rPr>
                <w:rFonts w:ascii="Arial" w:hAnsi="Arial"/>
                <w:b/>
                <w:sz w:val="20"/>
                <w:lang w:val="en-CA"/>
              </w:rPr>
            </w:pPr>
          </w:p>
          <w:p w14:paraId="101B333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7E8949BA" w14:textId="77777777" w:rsidR="00EA4133" w:rsidRDefault="00EA4133">
            <w:pPr>
              <w:pStyle w:val="BodyText"/>
              <w:spacing w:before="0" w:line="280" w:lineRule="exact"/>
              <w:jc w:val="center"/>
              <w:rPr>
                <w:rFonts w:ascii="Arial" w:hAnsi="Arial"/>
                <w:b/>
                <w:color w:val="000000"/>
                <w:sz w:val="20"/>
                <w:lang w:val="en-CA"/>
              </w:rPr>
            </w:pPr>
          </w:p>
          <w:p w14:paraId="73DE68F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CD17ED" w14:paraId="2B86BCAB" w14:textId="77777777" w:rsidTr="00801F2D">
        <w:trPr>
          <w:trHeight w:val="864"/>
        </w:trPr>
        <w:tc>
          <w:tcPr>
            <w:tcW w:w="1394" w:type="dxa"/>
          </w:tcPr>
          <w:p w14:paraId="2CFBE429" w14:textId="77DE1DC1" w:rsidR="00CD17ED" w:rsidRDefault="00CD17ED" w:rsidP="00CD17ED">
            <w:pPr>
              <w:pStyle w:val="BodyText"/>
              <w:spacing w:before="0" w:line="280" w:lineRule="exact"/>
              <w:jc w:val="center"/>
              <w:rPr>
                <w:rFonts w:ascii="Arial" w:hAnsi="Arial"/>
                <w:sz w:val="20"/>
                <w:lang w:val="en-CA"/>
              </w:rPr>
            </w:pPr>
            <w:r>
              <w:rPr>
                <w:rFonts w:ascii="Arial" w:hAnsi="Arial"/>
                <w:sz w:val="20"/>
                <w:lang w:val="en-CA"/>
              </w:rPr>
              <w:t xml:space="preserve">Jasjit (Jason) Grewal , British Columbia </w:t>
            </w:r>
          </w:p>
        </w:tc>
        <w:tc>
          <w:tcPr>
            <w:tcW w:w="1376" w:type="dxa"/>
          </w:tcPr>
          <w:p w14:paraId="566CB895" w14:textId="1F28686E" w:rsidR="00CD17ED" w:rsidRPr="00801F2D" w:rsidRDefault="00CD17ED" w:rsidP="00CD17ED">
            <w:pPr>
              <w:pStyle w:val="BodyText"/>
              <w:spacing w:before="0" w:line="280" w:lineRule="exact"/>
              <w:jc w:val="center"/>
              <w:rPr>
                <w:rFonts w:ascii="Arial" w:hAnsi="Arial"/>
                <w:bCs/>
                <w:sz w:val="20"/>
                <w:lang w:val="en-CA"/>
              </w:rPr>
            </w:pPr>
            <w:r>
              <w:rPr>
                <w:rFonts w:ascii="Arial" w:hAnsi="Arial"/>
                <w:bCs/>
                <w:sz w:val="20"/>
                <w:lang w:val="en-CA"/>
              </w:rPr>
              <w:t>220,000</w:t>
            </w:r>
          </w:p>
        </w:tc>
        <w:tc>
          <w:tcPr>
            <w:tcW w:w="1192" w:type="dxa"/>
          </w:tcPr>
          <w:p w14:paraId="23F2151B" w14:textId="6C3B0C6A" w:rsidR="00CD17ED" w:rsidRPr="00801F2D" w:rsidRDefault="00CD17ED" w:rsidP="00CD17ED">
            <w:pPr>
              <w:pStyle w:val="BodyText"/>
              <w:spacing w:before="0" w:line="280" w:lineRule="exact"/>
              <w:jc w:val="center"/>
              <w:rPr>
                <w:rFonts w:ascii="Arial" w:hAnsi="Arial"/>
                <w:bCs/>
                <w:sz w:val="20"/>
                <w:lang w:val="en-CA"/>
              </w:rPr>
            </w:pPr>
            <w:r>
              <w:rPr>
                <w:rFonts w:ascii="Arial" w:hAnsi="Arial"/>
                <w:bCs/>
                <w:sz w:val="20"/>
                <w:lang w:val="en-CA"/>
              </w:rPr>
              <w:t>$0.335 cents</w:t>
            </w:r>
          </w:p>
        </w:tc>
        <w:tc>
          <w:tcPr>
            <w:tcW w:w="1376" w:type="dxa"/>
          </w:tcPr>
          <w:p w14:paraId="192072A5" w14:textId="30583126" w:rsidR="00CD17ED" w:rsidRPr="00801F2D" w:rsidRDefault="00CD17ED" w:rsidP="00CD17ED">
            <w:pPr>
              <w:pStyle w:val="BodyText"/>
              <w:spacing w:before="0" w:line="280" w:lineRule="exact"/>
              <w:jc w:val="center"/>
              <w:rPr>
                <w:rFonts w:ascii="Arial" w:hAnsi="Arial"/>
                <w:bCs/>
                <w:sz w:val="20"/>
                <w:lang w:val="en-CA"/>
              </w:rPr>
            </w:pPr>
            <w:r>
              <w:rPr>
                <w:rFonts w:ascii="Arial" w:hAnsi="Arial"/>
                <w:bCs/>
                <w:sz w:val="20"/>
                <w:lang w:val="en-CA"/>
              </w:rPr>
              <w:t>N/A</w:t>
            </w:r>
          </w:p>
        </w:tc>
        <w:tc>
          <w:tcPr>
            <w:tcW w:w="1376" w:type="dxa"/>
          </w:tcPr>
          <w:p w14:paraId="3E44FFDD" w14:textId="77777777" w:rsidR="005070FC" w:rsidRDefault="005070FC" w:rsidP="005070FC">
            <w:pPr>
              <w:jc w:val="center"/>
              <w:rPr>
                <w:rFonts w:ascii="Arial" w:hAnsi="Arial" w:cs="Arial"/>
                <w:sz w:val="22"/>
                <w:szCs w:val="22"/>
              </w:rPr>
            </w:pPr>
            <w:r>
              <w:rPr>
                <w:rFonts w:ascii="Arial" w:hAnsi="Arial" w:cs="Arial"/>
                <w:sz w:val="22"/>
                <w:szCs w:val="22"/>
              </w:rPr>
              <w:t>NI 45-106 2.3 [Accredited investor]</w:t>
            </w:r>
          </w:p>
          <w:p w14:paraId="0CDAE283" w14:textId="77777777" w:rsidR="00CD17ED" w:rsidRPr="00801F2D" w:rsidRDefault="00CD17ED" w:rsidP="00CD17ED">
            <w:pPr>
              <w:pStyle w:val="BodyText"/>
              <w:spacing w:before="0" w:line="280" w:lineRule="exact"/>
              <w:jc w:val="center"/>
              <w:rPr>
                <w:rFonts w:ascii="Arial" w:hAnsi="Arial"/>
                <w:bCs/>
                <w:sz w:val="20"/>
                <w:lang w:val="en-CA"/>
              </w:rPr>
            </w:pPr>
          </w:p>
        </w:tc>
        <w:tc>
          <w:tcPr>
            <w:tcW w:w="1742" w:type="dxa"/>
          </w:tcPr>
          <w:p w14:paraId="44306267" w14:textId="2F9616AC" w:rsidR="00CD17ED" w:rsidRPr="00894990" w:rsidRDefault="005070FC" w:rsidP="00CD17ED">
            <w:pPr>
              <w:pStyle w:val="BodyText"/>
              <w:spacing w:before="0" w:line="280" w:lineRule="exact"/>
              <w:jc w:val="center"/>
              <w:rPr>
                <w:rFonts w:ascii="Arial" w:hAnsi="Arial"/>
                <w:bCs/>
                <w:sz w:val="20"/>
              </w:rPr>
            </w:pPr>
            <w:r>
              <w:rPr>
                <w:rFonts w:ascii="Arial" w:hAnsi="Arial"/>
                <w:bCs/>
                <w:sz w:val="20"/>
              </w:rPr>
              <w:t>Nil</w:t>
            </w:r>
          </w:p>
        </w:tc>
        <w:tc>
          <w:tcPr>
            <w:tcW w:w="1100" w:type="dxa"/>
          </w:tcPr>
          <w:p w14:paraId="0F3BE6B5" w14:textId="0CBF088A" w:rsidR="00CD17ED" w:rsidRPr="00894990" w:rsidRDefault="005070FC" w:rsidP="00CD17ED">
            <w:pPr>
              <w:pStyle w:val="BodyText"/>
              <w:spacing w:before="0" w:line="280" w:lineRule="exact"/>
              <w:jc w:val="center"/>
              <w:rPr>
                <w:rFonts w:ascii="Arial" w:hAnsi="Arial"/>
                <w:bCs/>
                <w:sz w:val="20"/>
                <w:lang w:val="en-CA"/>
              </w:rPr>
            </w:pPr>
            <w:r>
              <w:rPr>
                <w:rFonts w:ascii="Arial" w:hAnsi="Arial"/>
                <w:bCs/>
                <w:sz w:val="20"/>
                <w:lang w:val="en-CA"/>
              </w:rPr>
              <w:t>May 20, 2021</w:t>
            </w:r>
          </w:p>
        </w:tc>
        <w:tc>
          <w:tcPr>
            <w:tcW w:w="1100" w:type="dxa"/>
          </w:tcPr>
          <w:p w14:paraId="080E66B4" w14:textId="42625559" w:rsidR="00CD17ED" w:rsidRPr="00894990" w:rsidRDefault="00CD17ED" w:rsidP="00CD17ED">
            <w:pPr>
              <w:pStyle w:val="BodyText"/>
              <w:spacing w:before="0" w:line="280" w:lineRule="exact"/>
              <w:jc w:val="center"/>
              <w:rPr>
                <w:rFonts w:ascii="Arial" w:hAnsi="Arial"/>
                <w:bCs/>
                <w:color w:val="000000"/>
                <w:sz w:val="20"/>
                <w:lang w:val="en-CA"/>
              </w:rPr>
            </w:pPr>
            <w:r>
              <w:rPr>
                <w:rFonts w:ascii="Arial" w:hAnsi="Arial"/>
                <w:bCs/>
                <w:color w:val="000000"/>
                <w:sz w:val="20"/>
                <w:lang w:val="en-CA"/>
              </w:rPr>
              <w:t xml:space="preserve">Director </w:t>
            </w:r>
          </w:p>
        </w:tc>
      </w:tr>
    </w:tbl>
    <w:p w14:paraId="263D18DB" w14:textId="77777777" w:rsidR="00795AB3" w:rsidRDefault="00801F2D" w:rsidP="001A4CC9">
      <w:pPr>
        <w:pStyle w:val="Default"/>
        <w:numPr>
          <w:ilvl w:val="0"/>
          <w:numId w:val="20"/>
        </w:numPr>
        <w:spacing w:before="120"/>
        <w:ind w:left="446" w:hanging="360"/>
        <w:rPr>
          <w:sz w:val="20"/>
          <w:szCs w:val="20"/>
        </w:rPr>
      </w:pPr>
      <w:r>
        <w:rPr>
          <w:sz w:val="20"/>
          <w:szCs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14:paraId="10EF450E"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4638E61A" w14:textId="77777777" w:rsidR="00801F2D" w:rsidRDefault="00801F2D">
      <w:pPr>
        <w:pStyle w:val="FootnoteText"/>
        <w:rPr>
          <w:rFonts w:ascii="Arial" w:hAnsi="Arial" w:cs="Arial"/>
          <w:vertAlign w:val="superscript"/>
        </w:rPr>
      </w:pPr>
    </w:p>
    <w:p w14:paraId="0FE0603F"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1B5E648" w14:textId="77777777" w:rsidR="005070FC" w:rsidRDefault="005070FC">
      <w:pPr>
        <w:rPr>
          <w:rFonts w:ascii="Arial" w:hAnsi="Arial"/>
          <w:sz w:val="24"/>
          <w:lang w:val="en-GB"/>
        </w:rPr>
      </w:pPr>
      <w:r>
        <w:rPr>
          <w:rFonts w:ascii="Arial" w:hAnsi="Arial"/>
        </w:rPr>
        <w:br w:type="page"/>
      </w:r>
    </w:p>
    <w:p w14:paraId="2DD8FA79" w14:textId="6E0CE042" w:rsidR="00EA4133" w:rsidRDefault="00EA4133">
      <w:pPr>
        <w:pStyle w:val="List"/>
        <w:tabs>
          <w:tab w:val="left" w:pos="9162"/>
        </w:tabs>
        <w:rPr>
          <w:rFonts w:ascii="Arial" w:hAnsi="Arial"/>
        </w:rPr>
      </w:pPr>
      <w:r>
        <w:rPr>
          <w:rFonts w:ascii="Arial" w:hAnsi="Arial"/>
        </w:rPr>
        <w:lastRenderedPageBreak/>
        <w:t>1.</w:t>
      </w:r>
      <w:r>
        <w:rPr>
          <w:rFonts w:ascii="Arial" w:hAnsi="Arial"/>
        </w:rPr>
        <w:tab/>
        <w:t xml:space="preserve">Total amount of funds to be raised: </w:t>
      </w:r>
      <w:r w:rsidR="00E859D0" w:rsidRPr="00E859D0">
        <w:rPr>
          <w:rFonts w:ascii="Arial" w:hAnsi="Arial"/>
          <w:u w:val="single"/>
        </w:rPr>
        <w:t>$</w:t>
      </w:r>
      <w:r w:rsidR="00CD17ED">
        <w:rPr>
          <w:rFonts w:ascii="Arial" w:hAnsi="Arial"/>
          <w:u w:val="single"/>
        </w:rPr>
        <w:t>1</w:t>
      </w:r>
      <w:r w:rsidR="008D0DE7">
        <w:rPr>
          <w:rFonts w:ascii="Arial" w:hAnsi="Arial"/>
          <w:u w:val="single"/>
        </w:rPr>
        <w:t>,</w:t>
      </w:r>
      <w:r w:rsidR="00CD17ED">
        <w:rPr>
          <w:rFonts w:ascii="Arial" w:hAnsi="Arial"/>
          <w:u w:val="single"/>
        </w:rPr>
        <w:t>0</w:t>
      </w:r>
      <w:r w:rsidR="008D0DE7">
        <w:rPr>
          <w:rFonts w:ascii="Arial" w:hAnsi="Arial"/>
          <w:u w:val="single"/>
        </w:rPr>
        <w:t>00</w:t>
      </w:r>
      <w:r w:rsidR="00E859D0" w:rsidRPr="00E859D0">
        <w:rPr>
          <w:rFonts w:ascii="Arial" w:hAnsi="Arial"/>
          <w:u w:val="single"/>
        </w:rPr>
        <w:t>,000</w:t>
      </w:r>
      <w:r w:rsidR="00F6594F">
        <w:rPr>
          <w:rFonts w:ascii="Arial" w:hAnsi="Arial"/>
          <w:u w:val="single"/>
        </w:rPr>
        <w:t>.25</w:t>
      </w:r>
      <w:r w:rsidR="001D301B">
        <w:rPr>
          <w:rFonts w:ascii="Arial" w:hAnsi="Arial"/>
          <w:u w:val="single"/>
        </w:rPr>
        <w:tab/>
      </w:r>
      <w:r>
        <w:rPr>
          <w:rFonts w:ascii="Arial" w:hAnsi="Arial"/>
        </w:rPr>
        <w:t>.</w:t>
      </w:r>
    </w:p>
    <w:p w14:paraId="29F91175" w14:textId="77777777" w:rsidR="004574A9"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1C6D28EB" w14:textId="77777777" w:rsidR="00EB51F7" w:rsidRDefault="004574A9" w:rsidP="00EB51F7">
      <w:pPr>
        <w:spacing w:line="360" w:lineRule="auto"/>
        <w:rPr>
          <w:rFonts w:ascii="Arial" w:hAnsi="Arial"/>
        </w:rPr>
      </w:pPr>
      <w:r>
        <w:rPr>
          <w:rFonts w:ascii="Arial" w:hAnsi="Arial"/>
        </w:rPr>
        <w:tab/>
      </w:r>
    </w:p>
    <w:p w14:paraId="780DC686" w14:textId="2A50367E" w:rsidR="00795AB3" w:rsidRPr="00FB4F24" w:rsidRDefault="00EB51F7" w:rsidP="005070FC">
      <w:pPr>
        <w:spacing w:line="360" w:lineRule="auto"/>
        <w:jc w:val="both"/>
        <w:rPr>
          <w:rFonts w:asciiTheme="minorBidi" w:hAnsiTheme="minorBidi" w:cstheme="minorBidi"/>
          <w:color w:val="000000"/>
          <w:lang w:val="en-CA" w:eastAsia="zh-CN"/>
        </w:rPr>
      </w:pPr>
      <w:r w:rsidRPr="00142698">
        <w:rPr>
          <w:rFonts w:asciiTheme="minorBidi" w:hAnsiTheme="minorBidi" w:cstheme="minorBidi"/>
          <w:i/>
          <w:iCs/>
        </w:rPr>
        <w:t>The funds raised in connection with the private placement will be used for general</w:t>
      </w:r>
      <w:r w:rsidR="00CD17ED">
        <w:rPr>
          <w:rFonts w:asciiTheme="minorBidi" w:hAnsiTheme="minorBidi" w:cstheme="minorBidi"/>
          <w:i/>
          <w:iCs/>
        </w:rPr>
        <w:t xml:space="preserve"> </w:t>
      </w:r>
      <w:r w:rsidRPr="00142698">
        <w:rPr>
          <w:rFonts w:asciiTheme="minorBidi" w:hAnsiTheme="minorBidi" w:cstheme="minorBidi"/>
          <w:i/>
          <w:iCs/>
        </w:rPr>
        <w:t xml:space="preserve">working capital purposes and completing the </w:t>
      </w:r>
      <w:r w:rsidR="008D0DE7">
        <w:rPr>
          <w:rFonts w:asciiTheme="minorBidi" w:hAnsiTheme="minorBidi" w:cstheme="minorBidi"/>
          <w:i/>
          <w:iCs/>
        </w:rPr>
        <w:t>exploration</w:t>
      </w:r>
      <w:r w:rsidRPr="00142698">
        <w:rPr>
          <w:rFonts w:asciiTheme="minorBidi" w:hAnsiTheme="minorBidi" w:cstheme="minorBidi"/>
          <w:i/>
          <w:iCs/>
        </w:rPr>
        <w:t xml:space="preserve"> work pr</w:t>
      </w:r>
      <w:r>
        <w:rPr>
          <w:rFonts w:asciiTheme="minorBidi" w:hAnsiTheme="minorBidi" w:cstheme="minorBidi"/>
          <w:i/>
          <w:iCs/>
        </w:rPr>
        <w:t xml:space="preserve">ogram on </w:t>
      </w:r>
      <w:r w:rsidR="00322F54">
        <w:rPr>
          <w:rFonts w:asciiTheme="minorBidi" w:hAnsiTheme="minorBidi" w:cstheme="minorBidi"/>
          <w:i/>
          <w:iCs/>
        </w:rPr>
        <w:t>its Quebec</w:t>
      </w:r>
      <w:r w:rsidR="00CD17ED">
        <w:rPr>
          <w:rFonts w:asciiTheme="minorBidi" w:hAnsiTheme="minorBidi" w:cstheme="minorBidi"/>
          <w:i/>
          <w:iCs/>
        </w:rPr>
        <w:t xml:space="preserve"> </w:t>
      </w:r>
      <w:r w:rsidR="00322F54">
        <w:rPr>
          <w:rFonts w:asciiTheme="minorBidi" w:hAnsiTheme="minorBidi" w:cstheme="minorBidi"/>
          <w:i/>
          <w:iCs/>
        </w:rPr>
        <w:t>mining properties</w:t>
      </w:r>
      <w:r w:rsidR="00CD17ED">
        <w:rPr>
          <w:rFonts w:asciiTheme="minorBidi" w:hAnsiTheme="minorBidi" w:cstheme="minorBidi"/>
          <w:i/>
          <w:iCs/>
        </w:rPr>
        <w:t>.</w:t>
      </w:r>
      <w:r w:rsidR="00322F54">
        <w:rPr>
          <w:rFonts w:asciiTheme="minorBidi" w:hAnsiTheme="minorBidi" w:cstheme="minorBidi"/>
          <w:i/>
          <w:iCs/>
        </w:rPr>
        <w:t xml:space="preserve"> </w:t>
      </w:r>
      <w:r w:rsidRPr="00142698">
        <w:rPr>
          <w:rFonts w:asciiTheme="minorBidi" w:hAnsiTheme="minorBidi" w:cstheme="minorBidi"/>
          <w:i/>
          <w:iCs/>
          <w:color w:val="000000"/>
          <w:lang w:val="en-CA" w:eastAsia="zh-CN"/>
        </w:rPr>
        <w:t xml:space="preserve">First </w:t>
      </w:r>
      <w:r w:rsidR="00CD17ED">
        <w:rPr>
          <w:rFonts w:asciiTheme="minorBidi" w:hAnsiTheme="minorBidi" w:cstheme="minorBidi"/>
          <w:i/>
          <w:iCs/>
          <w:color w:val="000000"/>
          <w:lang w:val="en-CA" w:eastAsia="zh-CN"/>
        </w:rPr>
        <w:t>E</w:t>
      </w:r>
      <w:r w:rsidRPr="00142698">
        <w:rPr>
          <w:rFonts w:asciiTheme="minorBidi" w:hAnsiTheme="minorBidi" w:cstheme="minorBidi"/>
          <w:i/>
          <w:iCs/>
          <w:color w:val="000000"/>
          <w:lang w:val="en-CA" w:eastAsia="zh-CN"/>
        </w:rPr>
        <w:t xml:space="preserve">nergy intends to allocate </w:t>
      </w:r>
      <w:r w:rsidR="008D0DE7">
        <w:rPr>
          <w:rFonts w:asciiTheme="minorBidi" w:hAnsiTheme="minorBidi" w:cstheme="minorBidi"/>
          <w:i/>
          <w:iCs/>
          <w:color w:val="000000"/>
          <w:lang w:val="en-CA" w:eastAsia="zh-CN"/>
        </w:rPr>
        <w:t xml:space="preserve">the hard-dollar </w:t>
      </w:r>
      <w:r w:rsidRPr="00142698">
        <w:rPr>
          <w:rFonts w:asciiTheme="minorBidi" w:hAnsiTheme="minorBidi" w:cstheme="minorBidi"/>
          <w:i/>
          <w:iCs/>
          <w:color w:val="000000"/>
          <w:lang w:val="en-CA" w:eastAsia="zh-CN"/>
        </w:rPr>
        <w:t>portion of the money raised</w:t>
      </w:r>
      <w:r w:rsidR="008D0DE7">
        <w:rPr>
          <w:rFonts w:asciiTheme="minorBidi" w:hAnsiTheme="minorBidi" w:cstheme="minorBidi"/>
          <w:i/>
          <w:iCs/>
          <w:color w:val="000000"/>
          <w:lang w:val="en-CA" w:eastAsia="zh-CN"/>
        </w:rPr>
        <w:t xml:space="preserve"> to general working capital.</w:t>
      </w:r>
      <w:r w:rsidRPr="00142698">
        <w:rPr>
          <w:rFonts w:asciiTheme="minorBidi" w:hAnsiTheme="minorBidi" w:cstheme="minorBidi"/>
          <w:i/>
          <w:iCs/>
          <w:color w:val="000000"/>
          <w:lang w:val="en-CA" w:eastAsia="zh-CN"/>
        </w:rPr>
        <w:t xml:space="preserve"> </w:t>
      </w:r>
      <w:r w:rsidR="00B03DBF">
        <w:rPr>
          <w:rFonts w:asciiTheme="minorBidi" w:hAnsiTheme="minorBidi" w:cstheme="minorBidi"/>
          <w:i/>
          <w:iCs/>
          <w:color w:val="000000"/>
          <w:lang w:val="en-CA" w:eastAsia="zh-CN"/>
        </w:rPr>
        <w:t>Further</w:t>
      </w:r>
      <w:r w:rsidR="00CD17ED">
        <w:rPr>
          <w:rFonts w:asciiTheme="minorBidi" w:hAnsiTheme="minorBidi" w:cstheme="minorBidi"/>
          <w:i/>
          <w:iCs/>
          <w:color w:val="000000"/>
          <w:lang w:val="en-CA" w:eastAsia="zh-CN"/>
        </w:rPr>
        <w:t xml:space="preserve"> </w:t>
      </w:r>
      <w:r w:rsidR="00B03DBF">
        <w:rPr>
          <w:rFonts w:asciiTheme="minorBidi" w:hAnsiTheme="minorBidi" w:cstheme="minorBidi"/>
          <w:i/>
          <w:iCs/>
          <w:color w:val="000000"/>
          <w:lang w:val="en-CA" w:eastAsia="zh-CN"/>
        </w:rPr>
        <w:t>d</w:t>
      </w:r>
      <w:r w:rsidRPr="00142698">
        <w:rPr>
          <w:rFonts w:asciiTheme="minorBidi" w:hAnsiTheme="minorBidi" w:cstheme="minorBidi"/>
          <w:i/>
          <w:iCs/>
          <w:color w:val="000000"/>
          <w:lang w:val="en-CA" w:eastAsia="zh-CN"/>
        </w:rPr>
        <w:t>etails of the proposed exploration programs will be outlined in future news releases</w:t>
      </w:r>
      <w:r w:rsidR="00FB4F24">
        <w:rPr>
          <w:rFonts w:asciiTheme="minorBidi" w:hAnsiTheme="minorBidi" w:cstheme="minorBidi"/>
          <w:color w:val="000000"/>
          <w:lang w:val="en-CA" w:eastAsia="zh-CN"/>
        </w:rPr>
        <w:t>.</w:t>
      </w:r>
    </w:p>
    <w:p w14:paraId="43860953" w14:textId="74297D3A"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4574A9" w:rsidRPr="004574A9">
        <w:rPr>
          <w:rFonts w:ascii="Arial" w:hAnsi="Arial"/>
          <w:u w:val="single"/>
        </w:rPr>
        <w:t>N/A</w:t>
      </w:r>
      <w:r w:rsidR="00B25A15">
        <w:rPr>
          <w:rFonts w:ascii="Arial" w:hAnsi="Arial"/>
          <w:u w:val="single"/>
        </w:rPr>
        <w:tab/>
      </w:r>
      <w:r>
        <w:rPr>
          <w:rFonts w:ascii="Arial" w:hAnsi="Arial"/>
        </w:rPr>
        <w:t>.</w:t>
      </w:r>
    </w:p>
    <w:p w14:paraId="08209EBB" w14:textId="1BB2B021"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4574A9" w:rsidRPr="004574A9">
        <w:rPr>
          <w:rFonts w:ascii="Arial" w:hAnsi="Arial"/>
          <w:u w:val="single"/>
        </w:rPr>
        <w:t>N/A</w:t>
      </w:r>
      <w:r w:rsidR="001D301B">
        <w:rPr>
          <w:rFonts w:ascii="Arial" w:hAnsi="Arial"/>
          <w:u w:val="single"/>
        </w:rPr>
        <w:tab/>
      </w:r>
      <w:r w:rsidR="00795AB3">
        <w:rPr>
          <w:rFonts w:ascii="Arial" w:hAnsi="Arial"/>
          <w:u w:val="single"/>
        </w:rPr>
        <w:t>.</w:t>
      </w:r>
    </w:p>
    <w:p w14:paraId="66761CC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75082769" w14:textId="5A00B907" w:rsidR="00E859D0" w:rsidRDefault="00EA4133" w:rsidP="00E859D0">
      <w:pPr>
        <w:pStyle w:val="BodyText"/>
        <w:keepNext/>
        <w:keepLines/>
        <w:tabs>
          <w:tab w:val="left" w:pos="1080"/>
          <w:tab w:val="left" w:pos="1440"/>
          <w:tab w:val="left" w:pos="2160"/>
          <w:tab w:val="left" w:pos="9180"/>
        </w:tabs>
        <w:rPr>
          <w:rFonts w:ascii="Arial" w:hAnsi="Arial"/>
        </w:rPr>
      </w:pPr>
      <w:r>
        <w:rPr>
          <w:rFonts w:ascii="Arial" w:hAnsi="Arial"/>
        </w:rPr>
        <w:tab/>
      </w:r>
      <w:r w:rsidR="00E859D0">
        <w:rPr>
          <w:rFonts w:ascii="Arial" w:hAnsi="Arial"/>
        </w:rPr>
        <w:t>(a)</w:t>
      </w:r>
      <w:r w:rsidR="00E859D0">
        <w:rPr>
          <w:rFonts w:ascii="Arial" w:hAnsi="Arial"/>
        </w:rPr>
        <w:tab/>
      </w:r>
      <w:r w:rsidR="00E859D0">
        <w:rPr>
          <w:rFonts w:ascii="Arial" w:hAnsi="Arial"/>
        </w:rPr>
        <w:tab/>
        <w:t>Class</w:t>
      </w:r>
      <w:r w:rsidR="006744A0">
        <w:rPr>
          <w:rFonts w:ascii="Arial" w:hAnsi="Arial"/>
        </w:rPr>
        <w:t>:</w:t>
      </w:r>
      <w:r w:rsidR="00E859D0">
        <w:rPr>
          <w:rFonts w:ascii="Arial" w:hAnsi="Arial"/>
        </w:rPr>
        <w:t xml:space="preserve">  </w:t>
      </w:r>
      <w:r w:rsidR="00E859D0">
        <w:rPr>
          <w:rFonts w:ascii="Arial" w:hAnsi="Arial"/>
          <w:u w:val="single"/>
        </w:rPr>
        <w:t>Common shares</w:t>
      </w:r>
      <w:r w:rsidR="00E859D0">
        <w:rPr>
          <w:rFonts w:ascii="Arial" w:hAnsi="Arial"/>
        </w:rPr>
        <w:t xml:space="preserve"> .</w:t>
      </w:r>
    </w:p>
    <w:p w14:paraId="34410694" w14:textId="5172D850" w:rsidR="00CD17ED"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t>(b)</w:t>
      </w:r>
      <w:r>
        <w:rPr>
          <w:rFonts w:ascii="Arial" w:hAnsi="Arial"/>
        </w:rPr>
        <w:tab/>
      </w:r>
      <w:r>
        <w:rPr>
          <w:rFonts w:ascii="Arial" w:hAnsi="Arial"/>
        </w:rPr>
        <w:tab/>
        <w:t>Number</w:t>
      </w:r>
      <w:r w:rsidR="006744A0">
        <w:rPr>
          <w:rFonts w:ascii="Arial" w:hAnsi="Arial"/>
        </w:rPr>
        <w:t>:</w:t>
      </w:r>
      <w:r>
        <w:rPr>
          <w:rFonts w:ascii="Arial" w:hAnsi="Arial"/>
        </w:rPr>
        <w:t xml:space="preserve"> </w:t>
      </w:r>
      <w:r w:rsidR="00CD17ED">
        <w:rPr>
          <w:rFonts w:ascii="Arial" w:hAnsi="Arial"/>
          <w:u w:val="single"/>
        </w:rPr>
        <w:t xml:space="preserve">682,688 </w:t>
      </w:r>
      <w:r w:rsidR="004368D8">
        <w:rPr>
          <w:rFonts w:ascii="Arial" w:hAnsi="Arial"/>
          <w:u w:val="single"/>
        </w:rPr>
        <w:t xml:space="preserve">Hard Dollar </w:t>
      </w:r>
      <w:r w:rsidR="00CD17ED">
        <w:rPr>
          <w:rFonts w:ascii="Arial" w:hAnsi="Arial"/>
          <w:u w:val="single"/>
        </w:rPr>
        <w:t xml:space="preserve">Units </w:t>
      </w:r>
      <w:r w:rsidR="00F6594F">
        <w:rPr>
          <w:rFonts w:ascii="Arial" w:hAnsi="Arial"/>
          <w:u w:val="single"/>
        </w:rPr>
        <w:t xml:space="preserve">at </w:t>
      </w:r>
      <w:r w:rsidR="00CD17ED">
        <w:rPr>
          <w:rFonts w:ascii="Arial" w:hAnsi="Arial"/>
          <w:u w:val="single"/>
        </w:rPr>
        <w:t>$0.335</w:t>
      </w:r>
    </w:p>
    <w:p w14:paraId="2D4E5E0D" w14:textId="6F2848EA" w:rsidR="00CD17ED" w:rsidRDefault="00CD17ED" w:rsidP="00CD17ED">
      <w:pPr>
        <w:pStyle w:val="BodyText"/>
        <w:tabs>
          <w:tab w:val="left" w:pos="3228"/>
        </w:tabs>
        <w:rPr>
          <w:rFonts w:ascii="Arial" w:hAnsi="Arial"/>
          <w:u w:val="single"/>
        </w:rPr>
      </w:pPr>
      <w:r w:rsidRPr="00CD17ED">
        <w:rPr>
          <w:rFonts w:ascii="Arial" w:hAnsi="Arial"/>
        </w:rPr>
        <w:tab/>
      </w:r>
      <w:r>
        <w:rPr>
          <w:rFonts w:ascii="Arial" w:hAnsi="Arial"/>
          <w:u w:val="single"/>
        </w:rPr>
        <w:t xml:space="preserve">2,003,376 Flow-through Units </w:t>
      </w:r>
      <w:r w:rsidR="00F6594F">
        <w:rPr>
          <w:rFonts w:ascii="Arial" w:hAnsi="Arial"/>
          <w:u w:val="single"/>
        </w:rPr>
        <w:t xml:space="preserve">at </w:t>
      </w:r>
      <w:r>
        <w:rPr>
          <w:rFonts w:ascii="Arial" w:hAnsi="Arial"/>
          <w:u w:val="single"/>
        </w:rPr>
        <w:t>$0.385</w:t>
      </w:r>
    </w:p>
    <w:p w14:paraId="54DCD045" w14:textId="04D036B5" w:rsidR="00E859D0" w:rsidRDefault="00E859D0" w:rsidP="00E859D0">
      <w:pPr>
        <w:pStyle w:val="BodyText"/>
        <w:tabs>
          <w:tab w:val="left" w:pos="1080"/>
          <w:tab w:val="left" w:pos="1440"/>
          <w:tab w:val="left" w:pos="2160"/>
          <w:tab w:val="left" w:pos="9180"/>
        </w:tabs>
        <w:rPr>
          <w:rFonts w:ascii="Arial" w:hAnsi="Arial"/>
        </w:rPr>
      </w:pPr>
    </w:p>
    <w:p w14:paraId="2FEBF97B" w14:textId="2CFF5230" w:rsidR="006744A0" w:rsidRDefault="00E859D0" w:rsidP="00E859D0">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6744A0">
        <w:rPr>
          <w:rFonts w:ascii="Arial" w:hAnsi="Arial"/>
        </w:rPr>
        <w:t>:</w:t>
      </w:r>
      <w:r>
        <w:rPr>
          <w:rFonts w:ascii="Arial" w:hAnsi="Arial"/>
        </w:rPr>
        <w:t xml:space="preserve"> </w:t>
      </w:r>
    </w:p>
    <w:p w14:paraId="234B984A" w14:textId="0ADAA94A" w:rsidR="00E859D0" w:rsidRPr="006744A0" w:rsidRDefault="006744A0" w:rsidP="005070FC">
      <w:pPr>
        <w:pStyle w:val="BodyText"/>
        <w:tabs>
          <w:tab w:val="left" w:pos="1080"/>
          <w:tab w:val="left" w:pos="1440"/>
          <w:tab w:val="left" w:pos="2160"/>
          <w:tab w:val="left" w:pos="9180"/>
        </w:tabs>
        <w:ind w:left="1440"/>
        <w:rPr>
          <w:rFonts w:ascii="Arial" w:hAnsi="Arial"/>
          <w:sz w:val="22"/>
          <w:szCs w:val="22"/>
          <w:u w:val="single"/>
        </w:rPr>
      </w:pPr>
      <w:r>
        <w:rPr>
          <w:rFonts w:ascii="Arial" w:hAnsi="Arial"/>
        </w:rPr>
        <w:tab/>
      </w:r>
      <w:r w:rsidR="00E859D0" w:rsidRPr="006744A0">
        <w:rPr>
          <w:rFonts w:ascii="Arial" w:hAnsi="Arial"/>
          <w:sz w:val="22"/>
          <w:szCs w:val="22"/>
          <w:u w:val="single"/>
        </w:rPr>
        <w:t>$0.</w:t>
      </w:r>
      <w:r w:rsidR="001700C0" w:rsidRPr="006744A0">
        <w:rPr>
          <w:rFonts w:ascii="Arial" w:hAnsi="Arial"/>
          <w:sz w:val="22"/>
          <w:szCs w:val="22"/>
          <w:u w:val="single"/>
        </w:rPr>
        <w:t>3</w:t>
      </w:r>
      <w:r w:rsidR="00E55486" w:rsidRPr="006744A0">
        <w:rPr>
          <w:rFonts w:ascii="Arial" w:hAnsi="Arial"/>
          <w:sz w:val="22"/>
          <w:szCs w:val="22"/>
          <w:u w:val="single"/>
        </w:rPr>
        <w:t>35</w:t>
      </w:r>
      <w:r w:rsidR="00E859D0" w:rsidRPr="006744A0">
        <w:rPr>
          <w:rFonts w:ascii="Arial" w:hAnsi="Arial"/>
          <w:sz w:val="22"/>
          <w:szCs w:val="22"/>
          <w:u w:val="single"/>
        </w:rPr>
        <w:t xml:space="preserve"> per Hard Dollar</w:t>
      </w:r>
      <w:r w:rsidRPr="006744A0">
        <w:rPr>
          <w:rFonts w:ascii="Arial" w:hAnsi="Arial"/>
          <w:sz w:val="22"/>
          <w:szCs w:val="22"/>
          <w:u w:val="single"/>
        </w:rPr>
        <w:t xml:space="preserve"> Unit</w:t>
      </w:r>
      <w:r w:rsidR="00E859D0" w:rsidRPr="006744A0">
        <w:rPr>
          <w:rFonts w:ascii="Arial" w:hAnsi="Arial"/>
          <w:sz w:val="22"/>
          <w:szCs w:val="22"/>
          <w:u w:val="single"/>
        </w:rPr>
        <w:t xml:space="preserve"> (HD)</w:t>
      </w:r>
      <w:r w:rsidRPr="006744A0">
        <w:rPr>
          <w:rFonts w:ascii="Arial" w:hAnsi="Arial"/>
          <w:sz w:val="22"/>
          <w:szCs w:val="22"/>
          <w:u w:val="single"/>
        </w:rPr>
        <w:t xml:space="preserve"> w</w:t>
      </w:r>
      <w:r w:rsidR="00F6594F">
        <w:rPr>
          <w:rFonts w:ascii="Arial" w:hAnsi="Arial"/>
          <w:sz w:val="22"/>
          <w:szCs w:val="22"/>
          <w:u w:val="single"/>
        </w:rPr>
        <w:t xml:space="preserve">hich one common share and </w:t>
      </w:r>
      <w:r w:rsidR="004368D8">
        <w:rPr>
          <w:rFonts w:ascii="Arial" w:hAnsi="Arial"/>
          <w:sz w:val="22"/>
          <w:szCs w:val="22"/>
          <w:u w:val="single"/>
        </w:rPr>
        <w:t>one</w:t>
      </w:r>
      <w:r w:rsidRPr="006744A0">
        <w:rPr>
          <w:rFonts w:ascii="Arial" w:hAnsi="Arial"/>
          <w:sz w:val="22"/>
          <w:szCs w:val="22"/>
          <w:u w:val="single"/>
        </w:rPr>
        <w:t xml:space="preserve"> full </w:t>
      </w:r>
      <w:r w:rsidR="004368D8">
        <w:rPr>
          <w:rFonts w:ascii="Arial" w:hAnsi="Arial"/>
          <w:sz w:val="22"/>
          <w:szCs w:val="22"/>
          <w:u w:val="single"/>
        </w:rPr>
        <w:t xml:space="preserve">common share purchase </w:t>
      </w:r>
      <w:r w:rsidRPr="006744A0">
        <w:rPr>
          <w:rFonts w:ascii="Arial" w:hAnsi="Arial"/>
          <w:sz w:val="22"/>
          <w:szCs w:val="22"/>
          <w:u w:val="single"/>
        </w:rPr>
        <w:t>warrant</w:t>
      </w:r>
      <w:r w:rsidRPr="006744A0">
        <w:rPr>
          <w:rFonts w:ascii="Arial" w:hAnsi="Arial"/>
          <w:sz w:val="22"/>
          <w:szCs w:val="22"/>
        </w:rPr>
        <w:tab/>
      </w:r>
      <w:r w:rsidRPr="006744A0">
        <w:rPr>
          <w:rFonts w:ascii="Arial" w:hAnsi="Arial"/>
          <w:sz w:val="22"/>
          <w:szCs w:val="22"/>
        </w:rPr>
        <w:tab/>
      </w:r>
      <w:r w:rsidRPr="006744A0">
        <w:rPr>
          <w:rFonts w:ascii="Arial" w:hAnsi="Arial"/>
          <w:sz w:val="22"/>
          <w:szCs w:val="22"/>
        </w:rPr>
        <w:tab/>
      </w:r>
      <w:r w:rsidRPr="006744A0">
        <w:rPr>
          <w:rFonts w:ascii="Arial" w:hAnsi="Arial"/>
          <w:sz w:val="22"/>
          <w:szCs w:val="22"/>
        </w:rPr>
        <w:tab/>
      </w:r>
      <w:r w:rsidRPr="006744A0">
        <w:rPr>
          <w:rFonts w:ascii="Arial" w:hAnsi="Arial"/>
          <w:sz w:val="22"/>
          <w:szCs w:val="22"/>
        </w:rPr>
        <w:tab/>
      </w:r>
    </w:p>
    <w:p w14:paraId="5BE921E7" w14:textId="4F9B7212" w:rsidR="006744A0" w:rsidRPr="006744A0" w:rsidRDefault="005070FC" w:rsidP="005070FC">
      <w:pPr>
        <w:pStyle w:val="BodyText"/>
        <w:tabs>
          <w:tab w:val="left" w:pos="1080"/>
          <w:tab w:val="left" w:pos="1440"/>
          <w:tab w:val="left" w:pos="2160"/>
          <w:tab w:val="left" w:pos="9180"/>
        </w:tabs>
        <w:ind w:left="1080"/>
        <w:rPr>
          <w:rFonts w:ascii="Arial" w:hAnsi="Arial"/>
          <w:sz w:val="22"/>
          <w:szCs w:val="22"/>
          <w:u w:val="single"/>
        </w:rPr>
      </w:pPr>
      <w:r w:rsidRPr="005070FC">
        <w:rPr>
          <w:rFonts w:ascii="Arial" w:hAnsi="Arial"/>
          <w:sz w:val="22"/>
          <w:szCs w:val="22"/>
        </w:rPr>
        <w:tab/>
      </w:r>
      <w:r w:rsidRPr="005070FC">
        <w:rPr>
          <w:rFonts w:ascii="Arial" w:hAnsi="Arial"/>
          <w:sz w:val="22"/>
          <w:szCs w:val="22"/>
        </w:rPr>
        <w:tab/>
      </w:r>
      <w:r w:rsidR="00E859D0" w:rsidRPr="006744A0">
        <w:rPr>
          <w:rFonts w:ascii="Arial" w:hAnsi="Arial"/>
          <w:sz w:val="22"/>
          <w:szCs w:val="22"/>
          <w:u w:val="single"/>
        </w:rPr>
        <w:t xml:space="preserve"> $0.</w:t>
      </w:r>
      <w:r w:rsidR="001700C0" w:rsidRPr="006744A0">
        <w:rPr>
          <w:rFonts w:ascii="Arial" w:hAnsi="Arial"/>
          <w:sz w:val="22"/>
          <w:szCs w:val="22"/>
          <w:u w:val="single"/>
        </w:rPr>
        <w:t>3</w:t>
      </w:r>
      <w:r w:rsidR="00E55486" w:rsidRPr="006744A0">
        <w:rPr>
          <w:rFonts w:ascii="Arial" w:hAnsi="Arial"/>
          <w:sz w:val="22"/>
          <w:szCs w:val="22"/>
          <w:u w:val="single"/>
        </w:rPr>
        <w:t>85</w:t>
      </w:r>
      <w:r w:rsidR="00E859D0" w:rsidRPr="006744A0">
        <w:rPr>
          <w:rFonts w:ascii="Arial" w:hAnsi="Arial"/>
          <w:sz w:val="22"/>
          <w:szCs w:val="22"/>
          <w:u w:val="single"/>
        </w:rPr>
        <w:t xml:space="preserve"> per Flow- through</w:t>
      </w:r>
      <w:r w:rsidR="00C62FC7" w:rsidRPr="006744A0">
        <w:rPr>
          <w:rFonts w:ascii="Arial" w:hAnsi="Arial"/>
          <w:sz w:val="22"/>
          <w:szCs w:val="22"/>
          <w:u w:val="single"/>
        </w:rPr>
        <w:t xml:space="preserve"> Unit</w:t>
      </w:r>
      <w:r w:rsidR="00E859D0" w:rsidRPr="006744A0">
        <w:rPr>
          <w:rFonts w:ascii="Arial" w:hAnsi="Arial"/>
          <w:sz w:val="22"/>
          <w:szCs w:val="22"/>
          <w:u w:val="single"/>
        </w:rPr>
        <w:t xml:space="preserve"> (FT) </w:t>
      </w:r>
      <w:r w:rsidR="00F6594F">
        <w:rPr>
          <w:rFonts w:ascii="Arial" w:hAnsi="Arial"/>
          <w:sz w:val="22"/>
          <w:szCs w:val="22"/>
          <w:u w:val="single"/>
        </w:rPr>
        <w:t xml:space="preserve">which include one flow-through share </w:t>
      </w:r>
      <w:r w:rsidR="006744A0" w:rsidRPr="006744A0">
        <w:rPr>
          <w:rFonts w:ascii="Arial" w:hAnsi="Arial"/>
          <w:sz w:val="22"/>
          <w:szCs w:val="22"/>
          <w:u w:val="single"/>
        </w:rPr>
        <w:t>with one-half of one</w:t>
      </w:r>
      <w:r w:rsidR="006744A0">
        <w:rPr>
          <w:rFonts w:ascii="Arial" w:hAnsi="Arial"/>
          <w:sz w:val="22"/>
          <w:szCs w:val="22"/>
          <w:u w:val="single"/>
        </w:rPr>
        <w:t xml:space="preserve"> </w:t>
      </w:r>
      <w:r w:rsidR="004368D8">
        <w:rPr>
          <w:rFonts w:ascii="Arial" w:hAnsi="Arial"/>
          <w:sz w:val="22"/>
          <w:szCs w:val="22"/>
          <w:u w:val="single"/>
        </w:rPr>
        <w:t xml:space="preserve">common share purchase </w:t>
      </w:r>
      <w:r w:rsidR="006744A0">
        <w:rPr>
          <w:rFonts w:ascii="Arial" w:hAnsi="Arial"/>
          <w:sz w:val="22"/>
          <w:szCs w:val="22"/>
          <w:u w:val="single"/>
        </w:rPr>
        <w:t>warrant</w:t>
      </w:r>
      <w:r w:rsidR="006744A0" w:rsidRPr="006744A0">
        <w:rPr>
          <w:rFonts w:ascii="Arial" w:hAnsi="Arial"/>
          <w:sz w:val="22"/>
          <w:szCs w:val="22"/>
          <w:u w:val="single"/>
        </w:rPr>
        <w:t xml:space="preserve">  </w:t>
      </w:r>
    </w:p>
    <w:p w14:paraId="362EBAE9" w14:textId="062539FF" w:rsidR="00E859D0" w:rsidRPr="00E859D0" w:rsidRDefault="00E859D0" w:rsidP="006744A0">
      <w:pPr>
        <w:pStyle w:val="BodyText"/>
        <w:tabs>
          <w:tab w:val="left" w:pos="1080"/>
          <w:tab w:val="left" w:pos="1440"/>
          <w:tab w:val="left" w:pos="2160"/>
          <w:tab w:val="left" w:pos="9180"/>
        </w:tabs>
        <w:rPr>
          <w:rFonts w:ascii="Arial" w:hAnsi="Arial"/>
          <w:u w:val="single"/>
        </w:rPr>
      </w:pPr>
    </w:p>
    <w:p w14:paraId="39C5604D" w14:textId="3B387BD7" w:rsidR="00E859D0" w:rsidRPr="00EE05EF" w:rsidRDefault="00E859D0" w:rsidP="00E859D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6744A0">
        <w:rPr>
          <w:rFonts w:ascii="Arial" w:hAnsi="Arial"/>
        </w:rPr>
        <w:t>:</w:t>
      </w:r>
      <w:r>
        <w:rPr>
          <w:rFonts w:ascii="Arial" w:hAnsi="Arial"/>
        </w:rPr>
        <w:t xml:space="preserve"> </w:t>
      </w:r>
      <w:r>
        <w:rPr>
          <w:rFonts w:ascii="Arial" w:hAnsi="Arial"/>
          <w:u w:val="single"/>
        </w:rPr>
        <w:t>One vote per share</w:t>
      </w:r>
      <w:r>
        <w:rPr>
          <w:rFonts w:ascii="Arial" w:hAnsi="Arial"/>
        </w:rPr>
        <w:t>.</w:t>
      </w:r>
    </w:p>
    <w:p w14:paraId="142AFF7D" w14:textId="640C33C6" w:rsidR="00EA4133" w:rsidRPr="00687115" w:rsidRDefault="00EA4133" w:rsidP="00E859D0">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50982418" w14:textId="27028A17" w:rsidR="00692260" w:rsidRDefault="00EA4133" w:rsidP="00692260">
      <w:pPr>
        <w:pStyle w:val="BodyText"/>
        <w:numPr>
          <w:ilvl w:val="0"/>
          <w:numId w:val="11"/>
        </w:numPr>
        <w:tabs>
          <w:tab w:val="left" w:pos="1080"/>
          <w:tab w:val="left" w:pos="2160"/>
          <w:tab w:val="left" w:pos="9180"/>
        </w:tabs>
        <w:rPr>
          <w:rFonts w:ascii="Arial" w:hAnsi="Arial"/>
        </w:rPr>
      </w:pPr>
      <w:r>
        <w:rPr>
          <w:rFonts w:ascii="Arial" w:hAnsi="Arial"/>
        </w:rPr>
        <w:t xml:space="preserve">Number </w:t>
      </w:r>
      <w:r w:rsidR="004574A9">
        <w:rPr>
          <w:rFonts w:ascii="Arial" w:hAnsi="Arial"/>
        </w:rPr>
        <w:t xml:space="preserve"> </w:t>
      </w:r>
      <w:r w:rsidR="004368D8">
        <w:rPr>
          <w:rFonts w:ascii="Arial" w:hAnsi="Arial"/>
          <w:u w:val="single"/>
        </w:rPr>
        <w:t>2,686,064</w:t>
      </w:r>
      <w:r w:rsidR="00E859D0">
        <w:rPr>
          <w:rFonts w:ascii="Arial" w:hAnsi="Arial"/>
          <w:u w:val="single"/>
        </w:rPr>
        <w:t xml:space="preserve"> share purchase warrants</w:t>
      </w:r>
      <w:r w:rsidR="004368D8">
        <w:rPr>
          <w:rFonts w:ascii="Arial" w:hAnsi="Arial"/>
          <w:u w:val="single"/>
        </w:rPr>
        <w:t>, consisting of 682,686 one full common share purchase warrant and 2,003,376 one half</w:t>
      </w:r>
      <w:r w:rsidR="005070FC">
        <w:rPr>
          <w:rFonts w:ascii="Arial" w:hAnsi="Arial"/>
          <w:u w:val="single"/>
        </w:rPr>
        <w:t xml:space="preserve"> </w:t>
      </w:r>
      <w:r w:rsidR="004368D8">
        <w:rPr>
          <w:rFonts w:ascii="Arial" w:hAnsi="Arial"/>
          <w:u w:val="single"/>
        </w:rPr>
        <w:t xml:space="preserve"> common share </w:t>
      </w:r>
      <w:r w:rsidR="005070FC">
        <w:rPr>
          <w:rFonts w:ascii="Arial" w:hAnsi="Arial"/>
          <w:u w:val="single"/>
        </w:rPr>
        <w:t>purchase warrant,</w:t>
      </w:r>
      <w:r w:rsidR="005070FC">
        <w:rPr>
          <w:rFonts w:ascii="Arial" w:hAnsi="Arial"/>
          <w:u w:val="single"/>
        </w:rPr>
        <w:tab/>
      </w:r>
    </w:p>
    <w:p w14:paraId="77AD83B5" w14:textId="1EB504D7"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lastRenderedPageBreak/>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4368D8">
        <w:rPr>
          <w:rFonts w:ascii="Arial" w:hAnsi="Arial"/>
          <w:u w:val="single"/>
        </w:rPr>
        <w:t>1,684,376</w:t>
      </w:r>
      <w:r w:rsidR="00E859D0">
        <w:rPr>
          <w:rFonts w:ascii="Arial" w:hAnsi="Arial"/>
          <w:u w:val="single"/>
        </w:rPr>
        <w:t xml:space="preserve"> </w:t>
      </w:r>
      <w:r w:rsidR="00F6594F">
        <w:rPr>
          <w:rFonts w:ascii="Arial" w:hAnsi="Arial"/>
          <w:u w:val="single"/>
        </w:rPr>
        <w:t xml:space="preserve">common </w:t>
      </w:r>
      <w:r w:rsidR="00E859D0">
        <w:rPr>
          <w:rFonts w:ascii="Arial" w:hAnsi="Arial"/>
          <w:u w:val="single"/>
        </w:rPr>
        <w:t>share</w:t>
      </w:r>
      <w:r w:rsidR="00F6594F">
        <w:rPr>
          <w:rFonts w:ascii="Arial" w:hAnsi="Arial"/>
          <w:u w:val="single"/>
        </w:rPr>
        <w:t>s</w:t>
      </w:r>
      <w:r w:rsidR="001D301B">
        <w:rPr>
          <w:rFonts w:ascii="Arial" w:hAnsi="Arial"/>
          <w:u w:val="single"/>
        </w:rPr>
        <w:tab/>
      </w:r>
      <w:r w:rsidR="00F867FB">
        <w:rPr>
          <w:rFonts w:ascii="Arial" w:hAnsi="Arial"/>
        </w:rPr>
        <w:t>.</w:t>
      </w:r>
    </w:p>
    <w:p w14:paraId="56A2B289" w14:textId="272E30A2" w:rsidR="00EA4133" w:rsidRPr="006744A0" w:rsidRDefault="00EA4133" w:rsidP="00692260">
      <w:pPr>
        <w:pStyle w:val="List"/>
        <w:tabs>
          <w:tab w:val="left" w:pos="1440"/>
          <w:tab w:val="left" w:pos="2160"/>
          <w:tab w:val="left" w:pos="9270"/>
        </w:tabs>
        <w:rPr>
          <w:rFonts w:ascii="Arial" w:hAnsi="Arial"/>
          <w:lang w:val="fr-CA"/>
        </w:rPr>
      </w:pPr>
      <w:r>
        <w:rPr>
          <w:rFonts w:ascii="Arial" w:hAnsi="Arial"/>
        </w:rPr>
        <w:tab/>
      </w:r>
      <w:r w:rsidRPr="006744A0">
        <w:rPr>
          <w:rFonts w:ascii="Arial" w:hAnsi="Arial"/>
          <w:lang w:val="fr-CA"/>
        </w:rPr>
        <w:t>(c)</w:t>
      </w:r>
      <w:r w:rsidRPr="006744A0">
        <w:rPr>
          <w:rFonts w:ascii="Arial" w:hAnsi="Arial"/>
          <w:lang w:val="fr-CA"/>
        </w:rPr>
        <w:tab/>
      </w:r>
      <w:r w:rsidRPr="006744A0">
        <w:rPr>
          <w:rFonts w:ascii="Arial" w:hAnsi="Arial"/>
          <w:lang w:val="fr-CA"/>
        </w:rPr>
        <w:tab/>
        <w:t>Exercise price</w:t>
      </w:r>
      <w:r w:rsidR="006744A0">
        <w:rPr>
          <w:rFonts w:ascii="Arial" w:hAnsi="Arial"/>
          <w:lang w:val="fr-CA"/>
        </w:rPr>
        <w:t xml:space="preserve"> $</w:t>
      </w:r>
      <w:r w:rsidR="004574A9" w:rsidRPr="006744A0">
        <w:rPr>
          <w:rFonts w:ascii="Arial" w:hAnsi="Arial"/>
          <w:u w:val="single"/>
          <w:lang w:val="fr-CA"/>
        </w:rPr>
        <w:t>0.40 cents</w:t>
      </w:r>
      <w:r w:rsidR="006744A0">
        <w:rPr>
          <w:rFonts w:ascii="Arial" w:hAnsi="Arial"/>
          <w:u w:val="single"/>
          <w:lang w:val="fr-CA"/>
        </w:rPr>
        <w:t xml:space="preserve"> HD</w:t>
      </w:r>
      <w:r w:rsidR="005070FC">
        <w:rPr>
          <w:rFonts w:ascii="Arial" w:hAnsi="Arial"/>
          <w:u w:val="single"/>
          <w:lang w:val="fr-CA"/>
        </w:rPr>
        <w:t xml:space="preserve"> warrants</w:t>
      </w:r>
      <w:r w:rsidR="006744A0">
        <w:rPr>
          <w:rFonts w:ascii="Arial" w:hAnsi="Arial"/>
          <w:u w:val="single"/>
          <w:lang w:val="fr-CA"/>
        </w:rPr>
        <w:t xml:space="preserve"> &amp; $ 0.45 cents FT </w:t>
      </w:r>
      <w:r w:rsidR="005070FC">
        <w:rPr>
          <w:rFonts w:ascii="Arial" w:hAnsi="Arial"/>
          <w:u w:val="single"/>
          <w:lang w:val="fr-CA"/>
        </w:rPr>
        <w:t>warrant</w:t>
      </w:r>
      <w:r w:rsidR="001D301B" w:rsidRPr="006744A0">
        <w:rPr>
          <w:rFonts w:ascii="Arial" w:hAnsi="Arial"/>
          <w:u w:val="single"/>
          <w:lang w:val="fr-CA"/>
        </w:rPr>
        <w:tab/>
      </w:r>
      <w:r w:rsidRPr="006744A0">
        <w:rPr>
          <w:rFonts w:ascii="Arial" w:hAnsi="Arial"/>
          <w:lang w:val="fr-CA"/>
        </w:rPr>
        <w:t>.</w:t>
      </w:r>
    </w:p>
    <w:p w14:paraId="3AA80E4E" w14:textId="56501FAF" w:rsidR="00EA4133" w:rsidRDefault="00EA4133" w:rsidP="00692260">
      <w:pPr>
        <w:pStyle w:val="List"/>
        <w:tabs>
          <w:tab w:val="left" w:pos="1440"/>
          <w:tab w:val="left" w:pos="2160"/>
          <w:tab w:val="left" w:pos="9270"/>
        </w:tabs>
        <w:rPr>
          <w:rFonts w:ascii="Arial" w:hAnsi="Arial"/>
        </w:rPr>
      </w:pPr>
      <w:r w:rsidRPr="006744A0">
        <w:rPr>
          <w:rFonts w:ascii="Arial" w:hAnsi="Arial"/>
          <w:lang w:val="fr-CA"/>
        </w:rPr>
        <w:tab/>
      </w:r>
      <w:r>
        <w:rPr>
          <w:rFonts w:ascii="Arial" w:hAnsi="Arial"/>
        </w:rPr>
        <w:t xml:space="preserve">(d) </w:t>
      </w:r>
      <w:r>
        <w:rPr>
          <w:rFonts w:ascii="Arial" w:hAnsi="Arial"/>
        </w:rPr>
        <w:tab/>
        <w:t>Expiry</w:t>
      </w:r>
      <w:r w:rsidR="004574A9">
        <w:rPr>
          <w:rFonts w:ascii="Arial" w:hAnsi="Arial"/>
        </w:rPr>
        <w:t>:</w:t>
      </w:r>
      <w:r>
        <w:rPr>
          <w:rFonts w:ascii="Arial" w:hAnsi="Arial"/>
        </w:rPr>
        <w:t xml:space="preserve"> </w:t>
      </w:r>
      <w:r w:rsidRPr="004574A9">
        <w:rPr>
          <w:rFonts w:ascii="Arial" w:hAnsi="Arial"/>
          <w:u w:val="single"/>
        </w:rPr>
        <w:t xml:space="preserve">date </w:t>
      </w:r>
      <w:r w:rsidR="00F042B5">
        <w:rPr>
          <w:rFonts w:ascii="Arial" w:hAnsi="Arial"/>
          <w:u w:val="single"/>
        </w:rPr>
        <w:t>2</w:t>
      </w:r>
      <w:r w:rsidR="004574A9" w:rsidRPr="004574A9">
        <w:rPr>
          <w:rFonts w:ascii="Arial" w:hAnsi="Arial"/>
          <w:u w:val="single"/>
        </w:rPr>
        <w:t xml:space="preserve"> years from closing date of </w:t>
      </w:r>
      <w:r w:rsidR="00F6594F">
        <w:rPr>
          <w:rFonts w:ascii="Arial" w:hAnsi="Arial"/>
          <w:u w:val="single"/>
        </w:rPr>
        <w:t>issue</w:t>
      </w:r>
      <w:r w:rsidR="001D301B">
        <w:rPr>
          <w:rFonts w:ascii="Arial" w:hAnsi="Arial"/>
          <w:u w:val="single"/>
        </w:rPr>
        <w:tab/>
      </w:r>
      <w:r>
        <w:rPr>
          <w:rFonts w:ascii="Arial" w:hAnsi="Arial"/>
        </w:rPr>
        <w:t>.</w:t>
      </w:r>
    </w:p>
    <w:p w14:paraId="5C39ACB0" w14:textId="77777777"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D301B">
        <w:rPr>
          <w:b w:val="0"/>
          <w:sz w:val="24"/>
          <w:u w:val="single"/>
        </w:rPr>
        <w:tab/>
      </w:r>
      <w:r w:rsidR="001D301B">
        <w:rPr>
          <w:rFonts w:cs="Arial"/>
          <w:b w:val="0"/>
          <w:bCs/>
          <w:sz w:val="24"/>
          <w:szCs w:val="24"/>
        </w:rPr>
        <w:t>.</w:t>
      </w:r>
    </w:p>
    <w:p w14:paraId="2BA2BA6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1CD69CF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704FD6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41DEAD0F"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16A1F03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D88562D"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525ED609" w14:textId="77777777"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1B46015F" w14:textId="18471A74" w:rsidR="0004554A" w:rsidRPr="0004554A" w:rsidRDefault="005070FC" w:rsidP="0004554A">
      <w:pPr>
        <w:pStyle w:val="List"/>
        <w:tabs>
          <w:tab w:val="left" w:pos="2160"/>
          <w:tab w:val="left" w:pos="9180"/>
        </w:tabs>
        <w:ind w:left="2160" w:firstLine="0"/>
        <w:jc w:val="both"/>
        <w:rPr>
          <w:rFonts w:ascii="Arial" w:hAnsi="Arial"/>
          <w:u w:val="single"/>
        </w:rPr>
      </w:pPr>
      <w:r>
        <w:rPr>
          <w:rFonts w:ascii="Arial" w:hAnsi="Arial"/>
          <w:u w:val="single"/>
        </w:rPr>
        <w:t xml:space="preserve">EMD Financial Inc. </w:t>
      </w:r>
      <w:r w:rsidR="0004554A">
        <w:rPr>
          <w:rFonts w:ascii="Arial" w:hAnsi="Arial"/>
          <w:u w:val="single"/>
        </w:rPr>
        <w:tab/>
        <w:t>.</w:t>
      </w:r>
    </w:p>
    <w:p w14:paraId="67AF54C7" w14:textId="349C82EF"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6D54A6">
        <w:rPr>
          <w:rFonts w:ascii="Arial" w:hAnsi="Arial"/>
        </w:rPr>
        <w:t>:</w:t>
      </w:r>
      <w:r>
        <w:rPr>
          <w:rFonts w:ascii="Arial" w:hAnsi="Arial"/>
        </w:rPr>
        <w:t xml:space="preserve"> </w:t>
      </w:r>
      <w:r w:rsidR="004574A9">
        <w:rPr>
          <w:rFonts w:ascii="Arial" w:hAnsi="Arial"/>
        </w:rPr>
        <w:t xml:space="preserve"> </w:t>
      </w:r>
      <w:r w:rsidR="006D54A6">
        <w:rPr>
          <w:rFonts w:ascii="Arial" w:hAnsi="Arial"/>
        </w:rPr>
        <w:t>$</w:t>
      </w:r>
      <w:r w:rsidR="005070FC">
        <w:rPr>
          <w:rFonts w:ascii="Arial" w:hAnsi="Arial"/>
          <w:u w:val="single"/>
        </w:rPr>
        <w:t>64,383.98</w:t>
      </w:r>
      <w:r w:rsidR="0004554A">
        <w:rPr>
          <w:rFonts w:ascii="Arial" w:hAnsi="Arial"/>
          <w:u w:val="single"/>
        </w:rPr>
        <w:tab/>
      </w:r>
      <w:r>
        <w:rPr>
          <w:rFonts w:ascii="Arial" w:hAnsi="Arial"/>
        </w:rPr>
        <w:t>.</w:t>
      </w:r>
    </w:p>
    <w:p w14:paraId="4C544A22" w14:textId="1BFA260D"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5070FC">
        <w:rPr>
          <w:rFonts w:ascii="Arial" w:hAnsi="Arial"/>
        </w:rPr>
        <w:t>:</w:t>
      </w:r>
      <w:r w:rsidR="005070FC" w:rsidRPr="005070FC">
        <w:rPr>
          <w:rFonts w:ascii="Arial" w:hAnsi="Arial"/>
          <w:u w:val="single"/>
        </w:rPr>
        <w:t xml:space="preserve"> </w:t>
      </w:r>
      <w:r w:rsidR="006D54A6">
        <w:rPr>
          <w:rFonts w:ascii="Arial" w:hAnsi="Arial"/>
          <w:u w:val="single"/>
        </w:rPr>
        <w:t xml:space="preserve">105,169 finder units with each unit including one common share and one share purchase warrant </w:t>
      </w:r>
      <w:r w:rsidR="001D301B">
        <w:rPr>
          <w:rFonts w:ascii="Arial" w:hAnsi="Arial"/>
          <w:u w:val="single"/>
        </w:rPr>
        <w:tab/>
      </w:r>
      <w:r>
        <w:rPr>
          <w:rFonts w:ascii="Arial" w:hAnsi="Arial"/>
        </w:rPr>
        <w:t>.</w:t>
      </w:r>
    </w:p>
    <w:p w14:paraId="58ACCD25" w14:textId="79255575"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574A9" w:rsidRPr="004574A9">
        <w:rPr>
          <w:rFonts w:ascii="Arial" w:hAnsi="Arial"/>
          <w:u w:val="single"/>
        </w:rPr>
        <w:t>N/A</w:t>
      </w:r>
      <w:r w:rsidR="001D301B">
        <w:rPr>
          <w:rFonts w:ascii="Arial" w:hAnsi="Arial"/>
          <w:u w:val="single"/>
        </w:rPr>
        <w:tab/>
      </w:r>
      <w:r>
        <w:rPr>
          <w:rFonts w:ascii="Arial" w:hAnsi="Arial"/>
        </w:rPr>
        <w:t>.</w:t>
      </w:r>
    </w:p>
    <w:p w14:paraId="7846F9A0" w14:textId="10132AE9"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r w:rsidR="0019678A">
        <w:rPr>
          <w:rFonts w:ascii="Arial" w:hAnsi="Arial"/>
        </w:rPr>
        <w:t>Expiry date of any options</w:t>
      </w:r>
      <w:r>
        <w:rPr>
          <w:rFonts w:ascii="Arial" w:hAnsi="Arial"/>
        </w:rPr>
        <w:t xml:space="preserve"> warrants etc. </w:t>
      </w:r>
      <w:r w:rsidR="00DF0F7A">
        <w:rPr>
          <w:rFonts w:ascii="Arial" w:hAnsi="Arial"/>
          <w:u w:val="single"/>
        </w:rPr>
        <w:t>2</w:t>
      </w:r>
      <w:r w:rsidR="0019678A">
        <w:rPr>
          <w:rFonts w:ascii="Arial" w:hAnsi="Arial"/>
          <w:u w:val="single"/>
        </w:rPr>
        <w:t xml:space="preserve"> year</w:t>
      </w:r>
      <w:r w:rsidR="001D301B">
        <w:rPr>
          <w:rFonts w:ascii="Arial" w:hAnsi="Arial"/>
          <w:u w:val="single"/>
        </w:rPr>
        <w:tab/>
      </w:r>
      <w:r>
        <w:rPr>
          <w:rFonts w:ascii="Arial" w:hAnsi="Arial"/>
        </w:rPr>
        <w:t>.</w:t>
      </w:r>
    </w:p>
    <w:p w14:paraId="55E372A0" w14:textId="4EDFCAB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19678A">
        <w:rPr>
          <w:rFonts w:ascii="Arial" w:hAnsi="Arial"/>
          <w:u w:val="single"/>
        </w:rPr>
        <w:t>0.40 cents</w:t>
      </w:r>
      <w:r w:rsidR="001D301B">
        <w:rPr>
          <w:rFonts w:ascii="Arial" w:hAnsi="Arial"/>
          <w:u w:val="single"/>
        </w:rPr>
        <w:tab/>
      </w:r>
      <w:r>
        <w:rPr>
          <w:rFonts w:ascii="Arial" w:hAnsi="Arial"/>
        </w:rPr>
        <w:t>.</w:t>
      </w:r>
    </w:p>
    <w:p w14:paraId="11B13593"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56610CE3" w14:textId="72735683" w:rsidR="00EA4133" w:rsidRDefault="004574A9" w:rsidP="005F4DF9">
      <w:pPr>
        <w:pStyle w:val="List"/>
        <w:tabs>
          <w:tab w:val="left" w:pos="1080"/>
          <w:tab w:val="left" w:pos="9180"/>
        </w:tabs>
        <w:ind w:firstLine="0"/>
        <w:jc w:val="both"/>
        <w:rPr>
          <w:rFonts w:ascii="Arial" w:hAnsi="Arial"/>
        </w:rPr>
      </w:pPr>
      <w:r>
        <w:rPr>
          <w:rFonts w:ascii="Arial" w:hAnsi="Arial"/>
          <w:u w:val="single"/>
        </w:rPr>
        <w:t>N/A</w:t>
      </w:r>
      <w:r w:rsidR="0004554A">
        <w:rPr>
          <w:rFonts w:ascii="Arial" w:hAnsi="Arial"/>
          <w:u w:val="single"/>
        </w:rPr>
        <w:tab/>
      </w:r>
      <w:r w:rsidR="00D87164" w:rsidRPr="00D87164">
        <w:rPr>
          <w:rFonts w:ascii="Arial" w:hAnsi="Arial"/>
          <w:u w:val="single"/>
        </w:rPr>
        <w:t>.</w:t>
      </w:r>
      <w:r w:rsidR="00D87164">
        <w:rPr>
          <w:rFonts w:ascii="Arial" w:hAnsi="Arial"/>
        </w:rPr>
        <w:t xml:space="preserve"> </w:t>
      </w:r>
    </w:p>
    <w:p w14:paraId="0F916A12" w14:textId="1409E560" w:rsidR="00E859D0" w:rsidRPr="00E859D0" w:rsidRDefault="00EA4133" w:rsidP="00E859D0">
      <w:pPr>
        <w:pStyle w:val="List"/>
        <w:numPr>
          <w:ilvl w:val="0"/>
          <w:numId w:val="10"/>
        </w:numPr>
        <w:rPr>
          <w:rFonts w:ascii="Arial" w:hAnsi="Arial"/>
        </w:rPr>
      </w:pPr>
      <w:r>
        <w:rPr>
          <w:rFonts w:ascii="Arial" w:hAnsi="Arial"/>
        </w:rPr>
        <w:t>Describe any unusual particulars of the transaction (i.e. tax “flow through” shares, etc.).</w:t>
      </w:r>
    </w:p>
    <w:p w14:paraId="6CE5DAB0" w14:textId="3CDA581F" w:rsidR="00E859D0" w:rsidRPr="0070428A" w:rsidRDefault="006D54A6" w:rsidP="00E859D0">
      <w:pPr>
        <w:pStyle w:val="List"/>
        <w:tabs>
          <w:tab w:val="left" w:pos="1080"/>
          <w:tab w:val="left" w:pos="9180"/>
        </w:tabs>
        <w:ind w:firstLine="0"/>
        <w:jc w:val="both"/>
        <w:rPr>
          <w:rFonts w:ascii="Arial" w:hAnsi="Arial"/>
          <w:u w:val="single"/>
        </w:rPr>
      </w:pPr>
      <w:r>
        <w:rPr>
          <w:rFonts w:ascii="Arial" w:hAnsi="Arial"/>
          <w:u w:val="single"/>
        </w:rPr>
        <w:lastRenderedPageBreak/>
        <w:t>2,003,376</w:t>
      </w:r>
      <w:r w:rsidR="00E859D0" w:rsidRPr="0070428A">
        <w:rPr>
          <w:rFonts w:ascii="Arial" w:hAnsi="Arial"/>
          <w:u w:val="single"/>
        </w:rPr>
        <w:t xml:space="preserve"> common shares will be issued on a flow-through basis</w:t>
      </w:r>
      <w:r w:rsidR="00E859D0">
        <w:rPr>
          <w:rFonts w:ascii="Arial" w:hAnsi="Arial"/>
          <w:u w:val="single"/>
        </w:rPr>
        <w:t xml:space="preserve"> for total flow-through proceeds of $</w:t>
      </w:r>
      <w:r>
        <w:rPr>
          <w:rFonts w:ascii="Arial" w:hAnsi="Arial"/>
          <w:u w:val="single"/>
        </w:rPr>
        <w:t>771,299.76</w:t>
      </w:r>
      <w:r w:rsidR="00E859D0" w:rsidRPr="0070428A">
        <w:rPr>
          <w:rFonts w:ascii="Arial" w:hAnsi="Arial"/>
          <w:u w:val="single"/>
        </w:rPr>
        <w:t xml:space="preserve">.  </w:t>
      </w:r>
    </w:p>
    <w:p w14:paraId="5C3E52B7" w14:textId="4903919D" w:rsidR="00EA4133" w:rsidRDefault="001D301B" w:rsidP="005F4DF9">
      <w:pPr>
        <w:pStyle w:val="List"/>
        <w:tabs>
          <w:tab w:val="left" w:pos="1080"/>
          <w:tab w:val="left" w:pos="9180"/>
        </w:tabs>
        <w:ind w:firstLine="0"/>
        <w:jc w:val="both"/>
        <w:rPr>
          <w:rFonts w:ascii="Arial" w:hAnsi="Arial"/>
        </w:rPr>
      </w:pPr>
      <w:r>
        <w:rPr>
          <w:rFonts w:ascii="Arial" w:hAnsi="Arial"/>
          <w:u w:val="single"/>
        </w:rPr>
        <w:tab/>
      </w:r>
      <w:r>
        <w:rPr>
          <w:rFonts w:ascii="Arial" w:hAnsi="Arial"/>
        </w:rPr>
        <w:t>.</w:t>
      </w:r>
      <w:r w:rsidR="0004554A">
        <w:rPr>
          <w:rFonts w:ascii="Arial" w:hAnsi="Arial"/>
          <w:u w:val="single"/>
        </w:rPr>
        <w:t xml:space="preserve">   </w:t>
      </w:r>
    </w:p>
    <w:p w14:paraId="5DF80D0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0187128" w14:textId="30CD47C7" w:rsidR="00EA4133" w:rsidRDefault="004574A9" w:rsidP="00C4200D">
      <w:pPr>
        <w:pStyle w:val="List"/>
        <w:tabs>
          <w:tab w:val="left" w:pos="1080"/>
          <w:tab w:val="left" w:pos="9180"/>
        </w:tabs>
        <w:ind w:firstLine="0"/>
        <w:jc w:val="both"/>
        <w:rPr>
          <w:rFonts w:ascii="Arial" w:hAnsi="Arial"/>
        </w:rPr>
      </w:pPr>
      <w:r>
        <w:rPr>
          <w:rFonts w:ascii="Arial" w:hAnsi="Arial"/>
          <w:u w:val="single"/>
        </w:rPr>
        <w:t>N/A</w:t>
      </w:r>
      <w:r w:rsidR="001D301B">
        <w:rPr>
          <w:rFonts w:ascii="Arial" w:hAnsi="Arial"/>
          <w:u w:val="single"/>
        </w:rPr>
        <w:tab/>
      </w:r>
      <w:r w:rsidR="00EA4133">
        <w:rPr>
          <w:rFonts w:ascii="Arial" w:hAnsi="Arial"/>
        </w:rPr>
        <w:t>.</w:t>
      </w:r>
    </w:p>
    <w:p w14:paraId="14B9B412" w14:textId="77777777" w:rsidR="00EA4133" w:rsidRDefault="00EA4133">
      <w:pPr>
        <w:pStyle w:val="List"/>
        <w:tabs>
          <w:tab w:val="left" w:pos="9180"/>
        </w:tabs>
        <w:spacing w:before="0"/>
        <w:jc w:val="both"/>
        <w:rPr>
          <w:rFonts w:ascii="Arial" w:hAnsi="Arial"/>
        </w:rPr>
      </w:pPr>
    </w:p>
    <w:p w14:paraId="333DD448" w14:textId="60229B28"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shareholders.  </w:t>
      </w:r>
      <w:r w:rsidR="008D0DE7" w:rsidRPr="006D54A6">
        <w:rPr>
          <w:rFonts w:ascii="Arial" w:hAnsi="Arial"/>
          <w:u w:val="single"/>
        </w:rPr>
        <w:t>N/A</w:t>
      </w:r>
      <w:r w:rsidR="001D301B">
        <w:rPr>
          <w:rFonts w:ascii="Arial" w:hAnsi="Arial"/>
          <w:u w:val="single"/>
        </w:rPr>
        <w:tab/>
      </w:r>
      <w:r w:rsidRPr="00C4200D">
        <w:rPr>
          <w:rFonts w:ascii="Arial" w:hAnsi="Arial"/>
        </w:rPr>
        <w:t>.</w:t>
      </w:r>
    </w:p>
    <w:p w14:paraId="66059B6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027C90A"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1583976" w14:textId="77777777" w:rsidR="003C6D7E" w:rsidRDefault="003C6D7E">
      <w:pPr>
        <w:rPr>
          <w:rFonts w:ascii="Arial" w:hAnsi="Arial"/>
          <w:b/>
          <w:color w:val="000000"/>
          <w:sz w:val="24"/>
          <w:lang w:val="en-GB"/>
        </w:rPr>
      </w:pPr>
      <w:r>
        <w:rPr>
          <w:rFonts w:ascii="Arial" w:hAnsi="Arial"/>
          <w:b/>
          <w:color w:val="000000"/>
        </w:rPr>
        <w:br w:type="page"/>
      </w:r>
    </w:p>
    <w:p w14:paraId="00A11986"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3F5CC742" w14:textId="77777777" w:rsidR="00EA4133" w:rsidRDefault="00EA4133">
      <w:pPr>
        <w:pStyle w:val="List"/>
        <w:tabs>
          <w:tab w:val="left" w:pos="9180"/>
        </w:tabs>
        <w:spacing w:before="0"/>
        <w:ind w:left="0" w:firstLine="0"/>
        <w:jc w:val="both"/>
        <w:rPr>
          <w:rFonts w:ascii="Arial" w:hAnsi="Arial"/>
          <w:color w:val="000000"/>
        </w:rPr>
      </w:pPr>
    </w:p>
    <w:p w14:paraId="655506FF" w14:textId="77777777" w:rsidR="0073202F"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596C24D" w14:textId="2E03C07C" w:rsidR="00EA4133" w:rsidRPr="0073202F" w:rsidRDefault="00EA4133"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rPr>
        <w:tab/>
      </w:r>
    </w:p>
    <w:p w14:paraId="63A8FA82" w14:textId="77777777" w:rsidR="00FB1992" w:rsidRPr="00FB199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4AB5B14F" w14:textId="77777777"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14:paraId="37600E53" w14:textId="77777777" w:rsidR="00785BCA" w:rsidRDefault="00785BCA" w:rsidP="00785BCA">
      <w:pPr>
        <w:pStyle w:val="List"/>
        <w:tabs>
          <w:tab w:val="left" w:pos="9180"/>
        </w:tabs>
        <w:spacing w:before="0"/>
        <w:ind w:left="2160" w:firstLine="0"/>
        <w:rPr>
          <w:rFonts w:ascii="Arial" w:hAnsi="Arial"/>
          <w:color w:val="000000"/>
        </w:rPr>
      </w:pPr>
    </w:p>
    <w:p w14:paraId="7B124BD5" w14:textId="77777777"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07F427BD" w14:textId="77777777" w:rsidR="00F3105D" w:rsidRDefault="00F3105D" w:rsidP="00F3105D">
      <w:pPr>
        <w:pStyle w:val="List"/>
        <w:tabs>
          <w:tab w:val="left" w:pos="9180"/>
        </w:tabs>
        <w:spacing w:before="0"/>
        <w:ind w:left="2160" w:firstLine="0"/>
        <w:rPr>
          <w:rFonts w:ascii="Arial" w:hAnsi="Arial"/>
          <w:color w:val="000000"/>
        </w:rPr>
      </w:pPr>
    </w:p>
    <w:p w14:paraId="27B424E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665B7">
        <w:rPr>
          <w:rFonts w:ascii="Arial" w:hAnsi="Arial"/>
          <w:color w:val="000000"/>
          <w:u w:val="single"/>
        </w:rPr>
        <w:t>N/A</w:t>
      </w:r>
      <w:r>
        <w:rPr>
          <w:rFonts w:ascii="Arial" w:hAnsi="Arial"/>
          <w:color w:val="000000"/>
        </w:rPr>
        <w:t>.</w:t>
      </w:r>
    </w:p>
    <w:p w14:paraId="44F7FAB2" w14:textId="77777777" w:rsidR="006655EF" w:rsidRDefault="006655EF" w:rsidP="006655EF">
      <w:pPr>
        <w:pStyle w:val="List"/>
        <w:tabs>
          <w:tab w:val="left" w:pos="9180"/>
        </w:tabs>
        <w:spacing w:before="0"/>
        <w:ind w:left="2160" w:firstLine="0"/>
        <w:rPr>
          <w:rFonts w:ascii="Arial" w:hAnsi="Arial"/>
          <w:color w:val="000000"/>
        </w:rPr>
      </w:pPr>
    </w:p>
    <w:p w14:paraId="78595D85"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85F9B9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N/A</w:t>
      </w:r>
      <w:r>
        <w:rPr>
          <w:rFonts w:ascii="Arial" w:hAnsi="Arial"/>
          <w:color w:val="000000"/>
        </w:rPr>
        <w:t xml:space="preserve"> .</w:t>
      </w:r>
    </w:p>
    <w:p w14:paraId="66E03EA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3CF73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N/A</w:t>
      </w:r>
      <w:r>
        <w:rPr>
          <w:rFonts w:ascii="Arial" w:hAnsi="Arial"/>
          <w:color w:val="000000"/>
        </w:rPr>
        <w:t xml:space="preserve"> .</w:t>
      </w:r>
    </w:p>
    <w:p w14:paraId="08899E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2294C3B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0262A2A" w14:textId="77777777" w:rsidR="006A1FF1" w:rsidRDefault="006A1FF1" w:rsidP="00A37C1D">
      <w:pPr>
        <w:pStyle w:val="List"/>
        <w:tabs>
          <w:tab w:val="left" w:pos="1080"/>
          <w:tab w:val="left" w:pos="9180"/>
        </w:tabs>
        <w:spacing w:before="0"/>
        <w:ind w:firstLine="0"/>
        <w:jc w:val="both"/>
        <w:rPr>
          <w:rFonts w:ascii="Arial" w:hAnsi="Arial"/>
          <w:color w:val="000000"/>
          <w:u w:val="single"/>
        </w:rPr>
      </w:pPr>
    </w:p>
    <w:p w14:paraId="26B03BF5" w14:textId="77777777"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14:paraId="51F8F5BA" w14:textId="77777777" w:rsidR="00A37C1D" w:rsidRPr="006A1FF1"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14:paraId="39B4AF7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C724B02" w14:textId="77777777">
        <w:tc>
          <w:tcPr>
            <w:tcW w:w="1440" w:type="dxa"/>
          </w:tcPr>
          <w:p w14:paraId="63BB834D" w14:textId="77777777" w:rsidR="00EA4133" w:rsidRDefault="00EA4133">
            <w:pPr>
              <w:pStyle w:val="BodyText"/>
              <w:keepNext/>
              <w:keepLines/>
              <w:spacing w:before="0" w:line="280" w:lineRule="exact"/>
              <w:jc w:val="center"/>
              <w:rPr>
                <w:rFonts w:ascii="Arial" w:hAnsi="Arial"/>
                <w:b/>
                <w:sz w:val="20"/>
                <w:lang w:val="en-CA"/>
              </w:rPr>
            </w:pPr>
          </w:p>
          <w:p w14:paraId="2BA907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E909962" w14:textId="77777777" w:rsidR="00EA4133" w:rsidRDefault="00EA4133">
            <w:pPr>
              <w:pStyle w:val="BodyText"/>
              <w:keepNext/>
              <w:keepLines/>
              <w:spacing w:before="0" w:line="280" w:lineRule="exact"/>
              <w:jc w:val="center"/>
              <w:rPr>
                <w:rFonts w:ascii="Arial" w:hAnsi="Arial"/>
                <w:b/>
                <w:sz w:val="20"/>
                <w:lang w:val="en-CA"/>
              </w:rPr>
            </w:pPr>
          </w:p>
          <w:p w14:paraId="5C58F1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B3D93EE" w14:textId="77777777" w:rsidR="00EA4133" w:rsidRDefault="00EA4133">
            <w:pPr>
              <w:pStyle w:val="BodyText"/>
              <w:keepNext/>
              <w:keepLines/>
              <w:spacing w:before="0" w:line="280" w:lineRule="exact"/>
              <w:jc w:val="center"/>
              <w:rPr>
                <w:rFonts w:ascii="Arial" w:hAnsi="Arial"/>
                <w:b/>
                <w:sz w:val="20"/>
                <w:lang w:val="en-CA"/>
              </w:rPr>
            </w:pPr>
          </w:p>
          <w:p w14:paraId="6460EFD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5DF12C1" w14:textId="77777777" w:rsidR="00EA4133" w:rsidRDefault="00EA4133">
            <w:pPr>
              <w:pStyle w:val="BodyText"/>
              <w:keepNext/>
              <w:keepLines/>
              <w:spacing w:before="0" w:line="280" w:lineRule="exact"/>
              <w:jc w:val="center"/>
              <w:rPr>
                <w:rFonts w:ascii="Arial" w:hAnsi="Arial"/>
                <w:b/>
                <w:sz w:val="20"/>
                <w:lang w:val="en-CA"/>
              </w:rPr>
            </w:pPr>
          </w:p>
          <w:p w14:paraId="09DF60A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98C189F" w14:textId="77777777" w:rsidR="00EA4133" w:rsidRDefault="00EA4133">
            <w:pPr>
              <w:pStyle w:val="BodyText"/>
              <w:keepNext/>
              <w:keepLines/>
              <w:spacing w:before="0" w:line="280" w:lineRule="exact"/>
              <w:jc w:val="center"/>
              <w:rPr>
                <w:rFonts w:ascii="Arial" w:hAnsi="Arial"/>
                <w:b/>
                <w:sz w:val="20"/>
                <w:lang w:val="en-CA"/>
              </w:rPr>
            </w:pPr>
          </w:p>
          <w:p w14:paraId="6E9974C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231C5E" w14:textId="77777777" w:rsidR="00EA4133" w:rsidRDefault="00EA4133">
            <w:pPr>
              <w:pStyle w:val="BodyText"/>
              <w:keepNext/>
              <w:keepLines/>
              <w:spacing w:before="0" w:line="280" w:lineRule="exact"/>
              <w:jc w:val="center"/>
              <w:rPr>
                <w:rFonts w:ascii="Arial" w:hAnsi="Arial"/>
                <w:b/>
                <w:sz w:val="20"/>
              </w:rPr>
            </w:pPr>
          </w:p>
          <w:p w14:paraId="2E03FCAB"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A0100A3" w14:textId="77777777" w:rsidR="00EA4133" w:rsidRDefault="00EA4133">
            <w:pPr>
              <w:pStyle w:val="BodyText"/>
              <w:keepNext/>
              <w:keepLines/>
              <w:spacing w:before="0" w:line="280" w:lineRule="exact"/>
              <w:jc w:val="center"/>
              <w:rPr>
                <w:rFonts w:ascii="Arial" w:hAnsi="Arial"/>
                <w:b/>
                <w:color w:val="000000"/>
                <w:sz w:val="20"/>
                <w:lang w:val="en-CA"/>
              </w:rPr>
            </w:pPr>
          </w:p>
          <w:p w14:paraId="4382693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D0B7A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4A34510C" w14:textId="77777777" w:rsidTr="00526202">
        <w:tc>
          <w:tcPr>
            <w:tcW w:w="1440" w:type="dxa"/>
          </w:tcPr>
          <w:p w14:paraId="2F897343" w14:textId="60FC2F1C" w:rsidR="006A1FF1" w:rsidRPr="00526202" w:rsidRDefault="006A1FF1" w:rsidP="00526202">
            <w:pPr>
              <w:pStyle w:val="BodyText"/>
              <w:keepNext/>
              <w:keepLines/>
              <w:spacing w:before="0"/>
              <w:jc w:val="center"/>
              <w:rPr>
                <w:rFonts w:ascii="Arial" w:hAnsi="Arial"/>
                <w:sz w:val="20"/>
                <w:lang w:val="en-CA"/>
              </w:rPr>
            </w:pPr>
          </w:p>
        </w:tc>
        <w:tc>
          <w:tcPr>
            <w:tcW w:w="1260" w:type="dxa"/>
          </w:tcPr>
          <w:p w14:paraId="47179C31" w14:textId="45A82BC0" w:rsidR="00EA4133" w:rsidRPr="003C6A54" w:rsidRDefault="00EA4133" w:rsidP="00526202">
            <w:pPr>
              <w:pStyle w:val="BodyText"/>
              <w:keepNext/>
              <w:keepLines/>
              <w:spacing w:before="0"/>
              <w:jc w:val="center"/>
              <w:rPr>
                <w:rFonts w:ascii="Arial" w:hAnsi="Arial"/>
                <w:sz w:val="20"/>
                <w:vertAlign w:val="superscript"/>
                <w:lang w:val="en-CA"/>
              </w:rPr>
            </w:pPr>
          </w:p>
        </w:tc>
        <w:tc>
          <w:tcPr>
            <w:tcW w:w="1260" w:type="dxa"/>
          </w:tcPr>
          <w:p w14:paraId="6FCFEF3F" w14:textId="77777777"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14:paraId="171A2FDC"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14:paraId="62AADB05" w14:textId="5FA331C6" w:rsidR="00EA4133" w:rsidRPr="00526202" w:rsidRDefault="00EA4133" w:rsidP="00526202">
            <w:pPr>
              <w:pStyle w:val="BodyText"/>
              <w:keepNext/>
              <w:keepLines/>
              <w:spacing w:before="0"/>
              <w:jc w:val="center"/>
              <w:rPr>
                <w:rFonts w:ascii="Arial" w:hAnsi="Arial"/>
                <w:sz w:val="20"/>
                <w:lang w:val="en-CA"/>
              </w:rPr>
            </w:pPr>
          </w:p>
        </w:tc>
        <w:tc>
          <w:tcPr>
            <w:tcW w:w="1620" w:type="dxa"/>
          </w:tcPr>
          <w:p w14:paraId="4FA12F53" w14:textId="12B96EA5" w:rsidR="00EA4133" w:rsidRPr="00526202" w:rsidRDefault="00EA4133" w:rsidP="00526202">
            <w:pPr>
              <w:pStyle w:val="BodyText"/>
              <w:keepNext/>
              <w:keepLines/>
              <w:spacing w:before="0"/>
              <w:jc w:val="center"/>
              <w:rPr>
                <w:rFonts w:ascii="Arial" w:hAnsi="Arial"/>
                <w:sz w:val="20"/>
                <w:lang w:val="en-CA"/>
              </w:rPr>
            </w:pPr>
          </w:p>
        </w:tc>
        <w:tc>
          <w:tcPr>
            <w:tcW w:w="1530" w:type="dxa"/>
          </w:tcPr>
          <w:p w14:paraId="75A15B31" w14:textId="6ED67120" w:rsidR="00EA4133" w:rsidRPr="00526202" w:rsidRDefault="00EA4133" w:rsidP="00526202">
            <w:pPr>
              <w:pStyle w:val="BodyText"/>
              <w:keepNext/>
              <w:keepLines/>
              <w:spacing w:before="0"/>
              <w:jc w:val="center"/>
              <w:rPr>
                <w:rFonts w:ascii="Arial" w:hAnsi="Arial"/>
                <w:sz w:val="20"/>
                <w:lang w:val="en-CA"/>
              </w:rPr>
            </w:pPr>
          </w:p>
        </w:tc>
      </w:tr>
    </w:tbl>
    <w:p w14:paraId="54162914"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7132B76F"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41B40EFE" w14:textId="77777777" w:rsidR="00A37C1D" w:rsidRDefault="00A37C1D" w:rsidP="00A37C1D">
      <w:pPr>
        <w:pStyle w:val="List"/>
        <w:tabs>
          <w:tab w:val="left" w:pos="9180"/>
        </w:tabs>
        <w:spacing w:before="0"/>
        <w:ind w:left="0" w:firstLine="0"/>
        <w:jc w:val="both"/>
        <w:rPr>
          <w:rFonts w:ascii="Arial" w:hAnsi="Arial"/>
          <w:color w:val="000000"/>
        </w:rPr>
      </w:pPr>
    </w:p>
    <w:p w14:paraId="33AFEEE1" w14:textId="77777777"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t xml:space="preserve">Details of the steps taken by the Issuer to ensure that the </w:t>
      </w:r>
      <w:r w:rsidR="003C6A54">
        <w:rPr>
          <w:rFonts w:ascii="Arial" w:hAnsi="Arial"/>
          <w:color w:val="000000"/>
        </w:rPr>
        <w:t>Optionor</w:t>
      </w:r>
      <w:r w:rsidRPr="00A37C1D">
        <w:rPr>
          <w:rFonts w:ascii="Arial" w:hAnsi="Arial"/>
          <w:color w:val="000000"/>
        </w:rPr>
        <w:t xml:space="preserve"> has good title to the assets being acquired: </w:t>
      </w:r>
    </w:p>
    <w:p w14:paraId="7F6C07F3" w14:textId="77777777" w:rsidR="00A37C1D" w:rsidRDefault="00A37C1D" w:rsidP="00A37C1D">
      <w:pPr>
        <w:pStyle w:val="List"/>
        <w:tabs>
          <w:tab w:val="left" w:pos="9180"/>
        </w:tabs>
        <w:spacing w:before="0"/>
        <w:ind w:firstLine="0"/>
        <w:jc w:val="both"/>
        <w:rPr>
          <w:rFonts w:ascii="Arial" w:hAnsi="Arial"/>
          <w:color w:val="000000"/>
        </w:rPr>
      </w:pPr>
    </w:p>
    <w:p w14:paraId="6E79E9CA" w14:textId="33BED9E1" w:rsidR="00EA4133" w:rsidRPr="00A37C1D" w:rsidRDefault="00EA4133" w:rsidP="003C6A54">
      <w:pPr>
        <w:pStyle w:val="List"/>
        <w:keepNext/>
        <w:keepLines/>
        <w:tabs>
          <w:tab w:val="left" w:pos="1080"/>
          <w:tab w:val="left" w:pos="9180"/>
        </w:tabs>
        <w:spacing w:before="0"/>
        <w:ind w:firstLine="0"/>
        <w:jc w:val="both"/>
        <w:rPr>
          <w:rFonts w:ascii="Arial" w:hAnsi="Arial"/>
          <w:color w:val="000000"/>
        </w:rPr>
      </w:pPr>
      <w:r w:rsidRPr="006A1FF1">
        <w:rPr>
          <w:rFonts w:ascii="Arial" w:hAnsi="Arial"/>
          <w:color w:val="000000"/>
        </w:rPr>
        <w:t>.</w:t>
      </w:r>
      <w:r w:rsidRPr="00A37C1D">
        <w:rPr>
          <w:rFonts w:ascii="Arial" w:hAnsi="Arial"/>
          <w:color w:val="000000"/>
        </w:rPr>
        <w:t xml:space="preserve"> </w:t>
      </w:r>
    </w:p>
    <w:p w14:paraId="560AD59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8B1727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4A808922"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4019B1C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34C6ADC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4505C73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9B888F6"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076B022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2F3DB81B" w14:textId="77777777" w:rsidR="00821E4E" w:rsidRDefault="00821E4E" w:rsidP="00821E4E">
      <w:pPr>
        <w:pStyle w:val="List"/>
        <w:tabs>
          <w:tab w:val="left" w:pos="9180"/>
        </w:tabs>
        <w:spacing w:before="0"/>
        <w:ind w:firstLine="0"/>
        <w:jc w:val="both"/>
        <w:rPr>
          <w:rFonts w:ascii="Arial" w:hAnsi="Arial"/>
          <w:color w:val="000000"/>
        </w:rPr>
      </w:pPr>
    </w:p>
    <w:p w14:paraId="6DCCB0E8"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N/A</w:t>
      </w:r>
      <w:r w:rsidRPr="00B81093">
        <w:rPr>
          <w:rFonts w:ascii="Arial" w:hAnsi="Arial"/>
          <w:color w:val="000000"/>
        </w:rPr>
        <w:t xml:space="preserve"> .</w:t>
      </w:r>
    </w:p>
    <w:p w14:paraId="60ABB0F6" w14:textId="77777777" w:rsidR="00821E4E" w:rsidRDefault="00821E4E">
      <w:pPr>
        <w:pStyle w:val="List"/>
        <w:tabs>
          <w:tab w:val="left" w:pos="1080"/>
        </w:tabs>
        <w:ind w:left="0" w:firstLine="0"/>
        <w:rPr>
          <w:rFonts w:ascii="Arial" w:hAnsi="Arial"/>
          <w:b/>
        </w:rPr>
      </w:pPr>
      <w:r>
        <w:rPr>
          <w:rFonts w:ascii="Arial" w:hAnsi="Arial"/>
          <w:b/>
        </w:rPr>
        <w:br w:type="page"/>
      </w:r>
    </w:p>
    <w:p w14:paraId="35B0B0CC" w14:textId="77777777"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567B5D5F" w14:textId="77777777" w:rsidR="00EA4133" w:rsidRDefault="00EA4133">
      <w:pPr>
        <w:pStyle w:val="BodyText"/>
        <w:rPr>
          <w:rFonts w:ascii="Arial" w:hAnsi="Arial"/>
        </w:rPr>
      </w:pPr>
      <w:r>
        <w:rPr>
          <w:rFonts w:ascii="Arial" w:hAnsi="Arial"/>
        </w:rPr>
        <w:t>The undersigned hereby certifies that:</w:t>
      </w:r>
    </w:p>
    <w:p w14:paraId="55B9E87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8190197"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525ED333" w14:textId="77777777" w:rsidR="00C500F0" w:rsidRDefault="00C500F0" w:rsidP="00C4200D">
      <w:pPr>
        <w:pStyle w:val="List"/>
        <w:spacing w:before="0"/>
        <w:ind w:firstLine="0"/>
        <w:jc w:val="both"/>
        <w:rPr>
          <w:rFonts w:ascii="Arial" w:hAnsi="Arial"/>
        </w:rPr>
      </w:pPr>
    </w:p>
    <w:p w14:paraId="1AD92119" w14:textId="77777777"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14:paraId="16D78032" w14:textId="77777777" w:rsidR="00C500F0" w:rsidRPr="00C500F0" w:rsidRDefault="00C500F0" w:rsidP="00C500F0">
      <w:pPr>
        <w:pStyle w:val="ListParagraph"/>
        <w:rPr>
          <w:rFonts w:ascii="Arial" w:hAnsi="Arial" w:cs="Arial"/>
          <w:sz w:val="24"/>
          <w:szCs w:val="24"/>
        </w:rPr>
      </w:pPr>
    </w:p>
    <w:p w14:paraId="645DB5E9"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A188AE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A94AE6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4F3AF83"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23A1055D" w14:textId="24637B14"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D54A6">
        <w:rPr>
          <w:rFonts w:ascii="Arial" w:hAnsi="Arial"/>
          <w:u w:val="single"/>
        </w:rPr>
        <w:t>June 21</w:t>
      </w:r>
      <w:r w:rsidR="00D87164">
        <w:rPr>
          <w:rFonts w:ascii="Arial" w:hAnsi="Arial"/>
          <w:u w:val="single"/>
        </w:rPr>
        <w:t>,</w:t>
      </w:r>
      <w:r w:rsidR="00C4200D">
        <w:rPr>
          <w:rFonts w:ascii="Arial" w:hAnsi="Arial"/>
          <w:u w:val="single"/>
        </w:rPr>
        <w:t xml:space="preserve"> 20</w:t>
      </w:r>
      <w:r w:rsidR="00972721">
        <w:rPr>
          <w:rFonts w:ascii="Arial" w:hAnsi="Arial"/>
          <w:u w:val="single"/>
        </w:rPr>
        <w:t>2</w:t>
      </w:r>
      <w:r w:rsidR="008D0DE7">
        <w:rPr>
          <w:rFonts w:ascii="Arial" w:hAnsi="Arial"/>
          <w:u w:val="single"/>
        </w:rPr>
        <w:t>1</w:t>
      </w:r>
      <w:r>
        <w:rPr>
          <w:rFonts w:ascii="Arial" w:hAnsi="Arial"/>
        </w:rPr>
        <w:t>.</w:t>
      </w:r>
    </w:p>
    <w:p w14:paraId="73579347" w14:textId="77777777"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0A7A" w14:textId="77777777" w:rsidR="00EA4133" w:rsidRDefault="00EA4133">
      <w:pPr>
        <w:pStyle w:val="List"/>
        <w:tabs>
          <w:tab w:val="left" w:pos="9180"/>
          <w:tab w:val="left" w:pos="9360"/>
        </w:tabs>
        <w:ind w:left="5760" w:hanging="5760"/>
        <w:rPr>
          <w:rFonts w:ascii="Arial" w:hAnsi="Arial"/>
        </w:rPr>
      </w:pPr>
      <w:r>
        <w:rPr>
          <w:rFonts w:ascii="Arial" w:hAnsi="Arial"/>
        </w:rPr>
        <w:tab/>
      </w:r>
      <w:r w:rsidR="006A1FF1">
        <w:rPr>
          <w:rFonts w:ascii="Arial" w:hAnsi="Arial"/>
          <w:i/>
          <w:iCs/>
          <w:u w:val="single"/>
        </w:rPr>
        <w:t>“Gurminder Sangha”</w:t>
      </w:r>
      <w:r>
        <w:rPr>
          <w:rFonts w:ascii="Arial" w:hAnsi="Arial"/>
          <w:u w:val="single"/>
        </w:rPr>
        <w:tab/>
      </w:r>
      <w:r>
        <w:rPr>
          <w:rFonts w:ascii="Arial" w:hAnsi="Arial"/>
        </w:rPr>
        <w:br/>
        <w:t>Signature</w:t>
      </w:r>
    </w:p>
    <w:p w14:paraId="59308B36" w14:textId="77777777"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14:paraId="36598CDB" w14:textId="77777777" w:rsidR="00C4200D" w:rsidRDefault="00C4200D">
      <w:pPr>
        <w:rPr>
          <w:rFonts w:ascii="Arial" w:eastAsia="Calibri" w:hAnsi="Arial" w:cs="Arial"/>
          <w:b/>
          <w:sz w:val="24"/>
          <w:szCs w:val="24"/>
        </w:rPr>
      </w:pPr>
      <w:r>
        <w:rPr>
          <w:rFonts w:ascii="Arial" w:eastAsia="Calibri" w:hAnsi="Arial" w:cs="Arial"/>
          <w:b/>
          <w:sz w:val="24"/>
          <w:szCs w:val="24"/>
        </w:rPr>
        <w:br w:type="page"/>
      </w:r>
    </w:p>
    <w:p w14:paraId="247D902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010769A"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2A28F2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15B385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38C5EC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5B1DAAE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C32E15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6FB67D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5CCC8B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C3D64E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A55E4B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C34FE2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807E42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1C99EC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EDC87F8" w14:textId="77777777"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B3BA" w14:textId="77777777" w:rsidR="00CF3B76" w:rsidRDefault="00CF3B76">
      <w:r>
        <w:separator/>
      </w:r>
    </w:p>
  </w:endnote>
  <w:endnote w:type="continuationSeparator" w:id="0">
    <w:p w14:paraId="2725030B" w14:textId="77777777" w:rsidR="00CF3B76" w:rsidRDefault="00CF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8CEB" w14:textId="77777777" w:rsidR="00EA4133" w:rsidRDefault="0030578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3D1FAADB" wp14:editId="02EA6DDA">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A3F4"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&#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266E06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FBB786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606EEF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D5AF" w14:textId="77777777" w:rsidR="00EA4133" w:rsidRDefault="00D31E6C">
    <w:pPr>
      <w:pStyle w:val="Footer"/>
    </w:pPr>
    <w:fldSimple w:instr=" DOCPROPERTY FOOTERPATH \* MERGEFORMAT ">
      <w:r w:rsidR="005A17C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7B2C" w14:textId="77777777" w:rsidR="00CF3B76" w:rsidRDefault="00CF3B76">
      <w:r>
        <w:separator/>
      </w:r>
    </w:p>
  </w:footnote>
  <w:footnote w:type="continuationSeparator" w:id="0">
    <w:p w14:paraId="502ED443" w14:textId="77777777" w:rsidR="00CF3B76" w:rsidRDefault="00CF3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B7D18"/>
    <w:rsid w:val="000C7CEC"/>
    <w:rsid w:val="000F4592"/>
    <w:rsid w:val="0010609B"/>
    <w:rsid w:val="0010782D"/>
    <w:rsid w:val="00116314"/>
    <w:rsid w:val="00122D6D"/>
    <w:rsid w:val="001325F5"/>
    <w:rsid w:val="00165EEE"/>
    <w:rsid w:val="001700C0"/>
    <w:rsid w:val="0017239B"/>
    <w:rsid w:val="00173F0B"/>
    <w:rsid w:val="00186DA5"/>
    <w:rsid w:val="0019678A"/>
    <w:rsid w:val="001A4CC9"/>
    <w:rsid w:val="001B7E15"/>
    <w:rsid w:val="001D301B"/>
    <w:rsid w:val="00211C8C"/>
    <w:rsid w:val="00235A7B"/>
    <w:rsid w:val="002413CF"/>
    <w:rsid w:val="00241623"/>
    <w:rsid w:val="002557FD"/>
    <w:rsid w:val="002560F1"/>
    <w:rsid w:val="002727D6"/>
    <w:rsid w:val="00276924"/>
    <w:rsid w:val="00280221"/>
    <w:rsid w:val="00284EBF"/>
    <w:rsid w:val="002C02C3"/>
    <w:rsid w:val="002F0416"/>
    <w:rsid w:val="00303B5A"/>
    <w:rsid w:val="0030578D"/>
    <w:rsid w:val="00305EB6"/>
    <w:rsid w:val="00322F54"/>
    <w:rsid w:val="00326D55"/>
    <w:rsid w:val="003431FD"/>
    <w:rsid w:val="0035331C"/>
    <w:rsid w:val="00360098"/>
    <w:rsid w:val="003A0B6B"/>
    <w:rsid w:val="003A3A51"/>
    <w:rsid w:val="003C6A54"/>
    <w:rsid w:val="003C6D7E"/>
    <w:rsid w:val="003E2D88"/>
    <w:rsid w:val="004368D8"/>
    <w:rsid w:val="00456624"/>
    <w:rsid w:val="004574A9"/>
    <w:rsid w:val="004A1403"/>
    <w:rsid w:val="004A3859"/>
    <w:rsid w:val="004A7D49"/>
    <w:rsid w:val="004B214D"/>
    <w:rsid w:val="005070FC"/>
    <w:rsid w:val="005229B9"/>
    <w:rsid w:val="00526202"/>
    <w:rsid w:val="00544BCF"/>
    <w:rsid w:val="00546B2F"/>
    <w:rsid w:val="00565076"/>
    <w:rsid w:val="005A17C3"/>
    <w:rsid w:val="005B3AFE"/>
    <w:rsid w:val="005D00E3"/>
    <w:rsid w:val="005F4DF9"/>
    <w:rsid w:val="00617A0E"/>
    <w:rsid w:val="0062717F"/>
    <w:rsid w:val="00632FE7"/>
    <w:rsid w:val="00634C82"/>
    <w:rsid w:val="0064771D"/>
    <w:rsid w:val="006655EF"/>
    <w:rsid w:val="006744A0"/>
    <w:rsid w:val="00687115"/>
    <w:rsid w:val="00692260"/>
    <w:rsid w:val="00694273"/>
    <w:rsid w:val="006A1FF1"/>
    <w:rsid w:val="006B0128"/>
    <w:rsid w:val="006B04DF"/>
    <w:rsid w:val="006D399D"/>
    <w:rsid w:val="006D54A6"/>
    <w:rsid w:val="00727353"/>
    <w:rsid w:val="0073202F"/>
    <w:rsid w:val="00744170"/>
    <w:rsid w:val="0075347B"/>
    <w:rsid w:val="007568B3"/>
    <w:rsid w:val="00775D96"/>
    <w:rsid w:val="00785BCA"/>
    <w:rsid w:val="00795AB3"/>
    <w:rsid w:val="007B0425"/>
    <w:rsid w:val="007C4F86"/>
    <w:rsid w:val="007D0E02"/>
    <w:rsid w:val="008003B9"/>
    <w:rsid w:val="00801F2D"/>
    <w:rsid w:val="00821E4E"/>
    <w:rsid w:val="00830CDB"/>
    <w:rsid w:val="00840B45"/>
    <w:rsid w:val="008923E8"/>
    <w:rsid w:val="00894990"/>
    <w:rsid w:val="008B6312"/>
    <w:rsid w:val="008C577F"/>
    <w:rsid w:val="008D0DE7"/>
    <w:rsid w:val="008F27FF"/>
    <w:rsid w:val="00905E2D"/>
    <w:rsid w:val="00907C4F"/>
    <w:rsid w:val="009136E7"/>
    <w:rsid w:val="009466F0"/>
    <w:rsid w:val="00972721"/>
    <w:rsid w:val="0097763E"/>
    <w:rsid w:val="00992120"/>
    <w:rsid w:val="009C1EC2"/>
    <w:rsid w:val="009D2B46"/>
    <w:rsid w:val="009F6014"/>
    <w:rsid w:val="00A00C54"/>
    <w:rsid w:val="00A10285"/>
    <w:rsid w:val="00A37C1D"/>
    <w:rsid w:val="00A60DA8"/>
    <w:rsid w:val="00A90670"/>
    <w:rsid w:val="00A93530"/>
    <w:rsid w:val="00A9392C"/>
    <w:rsid w:val="00AB03F7"/>
    <w:rsid w:val="00AB4E25"/>
    <w:rsid w:val="00B03DBF"/>
    <w:rsid w:val="00B25A15"/>
    <w:rsid w:val="00B75199"/>
    <w:rsid w:val="00B81093"/>
    <w:rsid w:val="00B923F6"/>
    <w:rsid w:val="00BE2894"/>
    <w:rsid w:val="00C01CF9"/>
    <w:rsid w:val="00C107E3"/>
    <w:rsid w:val="00C10A32"/>
    <w:rsid w:val="00C41E30"/>
    <w:rsid w:val="00C4200D"/>
    <w:rsid w:val="00C500F0"/>
    <w:rsid w:val="00C536D3"/>
    <w:rsid w:val="00C53781"/>
    <w:rsid w:val="00C62FC7"/>
    <w:rsid w:val="00C93C2F"/>
    <w:rsid w:val="00C96105"/>
    <w:rsid w:val="00CC2519"/>
    <w:rsid w:val="00CD17ED"/>
    <w:rsid w:val="00CF076A"/>
    <w:rsid w:val="00CF2A90"/>
    <w:rsid w:val="00CF3B76"/>
    <w:rsid w:val="00CF5580"/>
    <w:rsid w:val="00CF72A4"/>
    <w:rsid w:val="00D056D2"/>
    <w:rsid w:val="00D31E6C"/>
    <w:rsid w:val="00D367FA"/>
    <w:rsid w:val="00D53F43"/>
    <w:rsid w:val="00D665B7"/>
    <w:rsid w:val="00D87164"/>
    <w:rsid w:val="00D9766D"/>
    <w:rsid w:val="00DA6830"/>
    <w:rsid w:val="00DB2617"/>
    <w:rsid w:val="00DB640C"/>
    <w:rsid w:val="00DD3DC1"/>
    <w:rsid w:val="00DF0F7A"/>
    <w:rsid w:val="00E0004C"/>
    <w:rsid w:val="00E05921"/>
    <w:rsid w:val="00E55486"/>
    <w:rsid w:val="00E55E58"/>
    <w:rsid w:val="00E644FB"/>
    <w:rsid w:val="00E83A64"/>
    <w:rsid w:val="00E83FE1"/>
    <w:rsid w:val="00E859D0"/>
    <w:rsid w:val="00E97C13"/>
    <w:rsid w:val="00EA4133"/>
    <w:rsid w:val="00EB51F7"/>
    <w:rsid w:val="00F042B5"/>
    <w:rsid w:val="00F16FBE"/>
    <w:rsid w:val="00F26A96"/>
    <w:rsid w:val="00F3105D"/>
    <w:rsid w:val="00F33BBE"/>
    <w:rsid w:val="00F45227"/>
    <w:rsid w:val="00F6594F"/>
    <w:rsid w:val="00F80968"/>
    <w:rsid w:val="00F867FB"/>
    <w:rsid w:val="00FB1992"/>
    <w:rsid w:val="00FB4F24"/>
    <w:rsid w:val="00FC748F"/>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3B4E"/>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 w:id="20101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James Mackie</cp:lastModifiedBy>
  <cp:revision>3</cp:revision>
  <cp:lastPrinted>2020-01-23T20:34:00Z</cp:lastPrinted>
  <dcterms:created xsi:type="dcterms:W3CDTF">2021-06-21T18:29:00Z</dcterms:created>
  <dcterms:modified xsi:type="dcterms:W3CDTF">2021-06-21T19:44:00Z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