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D5AAC" w14:textId="77777777" w:rsidR="00EA4133" w:rsidRPr="0001060A" w:rsidRDefault="00EA4133">
      <w:pPr>
        <w:pStyle w:val="Title"/>
        <w:spacing w:before="0"/>
        <w:rPr>
          <w:sz w:val="28"/>
          <w:lang w:val="en-CA"/>
        </w:rPr>
      </w:pPr>
      <w:r w:rsidRPr="0001060A">
        <w:rPr>
          <w:sz w:val="28"/>
          <w:lang w:val="en-CA"/>
        </w:rPr>
        <w:t>FORM 9</w:t>
      </w:r>
    </w:p>
    <w:p w14:paraId="13AC48A9" w14:textId="77777777"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14:paraId="536C3C82" w14:textId="77777777"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14:paraId="7A5A1B25" w14:textId="77777777"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335"/>
        <w:gridCol w:w="3015"/>
      </w:tblGrid>
      <w:tr w:rsidR="00840B45" w14:paraId="2C3E48DC" w14:textId="77777777" w:rsidTr="00840B45">
        <w:tc>
          <w:tcPr>
            <w:tcW w:w="6487" w:type="dxa"/>
          </w:tcPr>
          <w:p w14:paraId="6DD04510" w14:textId="77777777" w:rsidR="00840B45" w:rsidRDefault="00B25A15" w:rsidP="003A0B6B">
            <w:pPr>
              <w:pStyle w:val="BodyText"/>
              <w:rPr>
                <w:rFonts w:ascii="Arial" w:hAnsi="Arial"/>
                <w:lang w:val="en-CA"/>
              </w:rPr>
            </w:pPr>
            <w:r>
              <w:rPr>
                <w:rFonts w:ascii="Arial" w:hAnsi="Arial"/>
                <w:lang w:val="en-CA"/>
              </w:rPr>
              <w:t>First Energy Metals Limited</w:t>
            </w:r>
            <w:r w:rsidR="003A0B6B">
              <w:rPr>
                <w:rFonts w:ascii="Arial" w:hAnsi="Arial"/>
                <w:lang w:val="en-CA"/>
              </w:rPr>
              <w:t xml:space="preserve"> </w:t>
            </w:r>
            <w:r w:rsidR="00840B45">
              <w:rPr>
                <w:rFonts w:ascii="Arial" w:hAnsi="Arial"/>
                <w:lang w:val="en-CA"/>
              </w:rPr>
              <w:t xml:space="preserve">(the “Issuer”).  </w:t>
            </w:r>
          </w:p>
        </w:tc>
        <w:tc>
          <w:tcPr>
            <w:tcW w:w="3089" w:type="dxa"/>
          </w:tcPr>
          <w:p w14:paraId="69F662EF" w14:textId="77777777" w:rsidR="00840B45" w:rsidRDefault="00B25A15">
            <w:pPr>
              <w:pStyle w:val="BodyText"/>
              <w:rPr>
                <w:rFonts w:ascii="Arial" w:hAnsi="Arial"/>
                <w:lang w:val="en-CA"/>
              </w:rPr>
            </w:pPr>
            <w:r>
              <w:rPr>
                <w:rFonts w:ascii="Arial" w:hAnsi="Arial"/>
                <w:lang w:val="en-CA"/>
              </w:rPr>
              <w:t>FE</w:t>
            </w:r>
          </w:p>
        </w:tc>
      </w:tr>
    </w:tbl>
    <w:p w14:paraId="6C7DF82F" w14:textId="5F75F7C7" w:rsidR="00EA4133" w:rsidRDefault="00EA4133" w:rsidP="00840B45">
      <w:pPr>
        <w:pStyle w:val="BodyText"/>
        <w:spacing w:after="240"/>
        <w:rPr>
          <w:rFonts w:ascii="Arial" w:hAnsi="Arial"/>
          <w:sz w:val="32"/>
          <w:lang w:val="en-CA"/>
        </w:rPr>
      </w:pPr>
      <w:r>
        <w:rPr>
          <w:rFonts w:ascii="Arial" w:hAnsi="Arial"/>
          <w:lang w:val="en-CA"/>
        </w:rPr>
        <w:t xml:space="preserve">Date: </w:t>
      </w:r>
      <w:r w:rsidR="00DB6945">
        <w:rPr>
          <w:rFonts w:ascii="Arial" w:hAnsi="Arial"/>
          <w:u w:val="single"/>
          <w:lang w:val="en-CA"/>
        </w:rPr>
        <w:t>March 1</w:t>
      </w:r>
      <w:r w:rsidR="00810AD3">
        <w:rPr>
          <w:rFonts w:ascii="Arial" w:hAnsi="Arial"/>
          <w:u w:val="single"/>
          <w:lang w:val="en-CA"/>
        </w:rPr>
        <w:t>5</w:t>
      </w:r>
      <w:r w:rsidR="004A3859">
        <w:rPr>
          <w:rFonts w:ascii="Arial" w:hAnsi="Arial"/>
          <w:u w:val="single"/>
          <w:lang w:val="en-CA"/>
        </w:rPr>
        <w:t>,</w:t>
      </w:r>
      <w:r w:rsidR="003A0B6B">
        <w:rPr>
          <w:rFonts w:ascii="Arial" w:hAnsi="Arial"/>
          <w:u w:val="single"/>
          <w:lang w:val="en-CA"/>
        </w:rPr>
        <w:t xml:space="preserve"> </w:t>
      </w:r>
      <w:r w:rsidR="003A0B6B" w:rsidRPr="003A0B6B">
        <w:rPr>
          <w:rFonts w:ascii="Arial" w:hAnsi="Arial"/>
          <w:u w:val="single"/>
          <w:lang w:val="en-CA"/>
        </w:rPr>
        <w:t>20</w:t>
      </w:r>
      <w:r w:rsidR="00972721">
        <w:rPr>
          <w:rFonts w:ascii="Arial" w:hAnsi="Arial"/>
          <w:u w:val="single"/>
          <w:lang w:val="en-CA"/>
        </w:rPr>
        <w:t>2</w:t>
      </w:r>
      <w:r w:rsidR="00907C4F">
        <w:rPr>
          <w:rFonts w:ascii="Arial" w:hAnsi="Arial"/>
          <w:u w:val="single"/>
          <w:lang w:val="en-CA"/>
        </w:rPr>
        <w:t>1</w:t>
      </w:r>
      <w:r w:rsidR="003A0B6B">
        <w:rPr>
          <w:rFonts w:ascii="Arial" w:hAnsi="Arial"/>
          <w:lang w:val="en-CA"/>
        </w:rPr>
        <w:t xml:space="preserve"> </w:t>
      </w:r>
      <w:r w:rsidRPr="003A0B6B">
        <w:rPr>
          <w:rFonts w:ascii="Arial" w:hAnsi="Arial"/>
          <w:lang w:val="en-CA"/>
        </w:rPr>
        <w:t>Is</w:t>
      </w:r>
      <w:r>
        <w:rPr>
          <w:rFonts w:ascii="Arial" w:hAnsi="Arial"/>
          <w:lang w:val="en-CA"/>
        </w:rPr>
        <w:t xml:space="preserve"> this an updating or amending Notice:</w:t>
      </w:r>
      <w:r w:rsidR="001325F5">
        <w:rPr>
          <w:rFonts w:ascii="Arial" w:hAnsi="Arial"/>
          <w:lang w:val="en-CA"/>
        </w:rPr>
        <w:t xml:space="preserve"> </w:t>
      </w:r>
      <w:r w:rsidR="00276924">
        <w:rPr>
          <w:rFonts w:ascii="Arial" w:hAnsi="Arial"/>
          <w:lang w:val="en-CA"/>
        </w:rPr>
        <w:t xml:space="preserve"> </w:t>
      </w:r>
      <w:r w:rsidR="001325F5">
        <w:rPr>
          <w:rFonts w:ascii="Arial" w:hAnsi="Arial"/>
          <w:lang w:val="en-CA"/>
        </w:rPr>
        <w:t xml:space="preserve"> </w:t>
      </w:r>
      <w:r w:rsidR="00810AD3">
        <w:rPr>
          <w:rFonts w:ascii="Arial" w:hAnsi="Arial"/>
          <w:lang w:val="en-CA"/>
        </w:rPr>
        <w:sym w:font="Monotype Sorts" w:char="F07F"/>
      </w:r>
      <w:r>
        <w:rPr>
          <w:rFonts w:ascii="Arial" w:hAnsi="Arial"/>
          <w:lang w:val="en-CA"/>
        </w:rPr>
        <w:t>Yes</w:t>
      </w:r>
      <w:r>
        <w:rPr>
          <w:rFonts w:ascii="Arial" w:hAnsi="Arial"/>
          <w:lang w:val="en-CA"/>
        </w:rPr>
        <w:tab/>
      </w:r>
      <w:r w:rsidR="00810AD3">
        <w:rPr>
          <w:rFonts w:ascii="Arial" w:hAnsi="Arial"/>
          <w:lang w:val="en-CA"/>
        </w:rPr>
        <w:sym w:font="Wingdings" w:char="F0FE"/>
      </w:r>
      <w:r>
        <w:rPr>
          <w:rFonts w:ascii="Arial" w:hAnsi="Arial"/>
          <w:lang w:val="en-CA"/>
        </w:rPr>
        <w:t>No</w:t>
      </w:r>
      <w:r>
        <w:rPr>
          <w:rFonts w:ascii="Arial" w:hAnsi="Arial"/>
          <w:sz w:val="32"/>
          <w:lang w:val="en-CA"/>
        </w:rPr>
        <w:tab/>
      </w:r>
    </w:p>
    <w:p w14:paraId="37A7223A" w14:textId="3EDCA412" w:rsidR="00EA4133" w:rsidRPr="00810AD3" w:rsidRDefault="00EA4133" w:rsidP="00C10A32">
      <w:pPr>
        <w:pStyle w:val="BodyText"/>
        <w:tabs>
          <w:tab w:val="left" w:pos="9180"/>
        </w:tabs>
        <w:spacing w:before="0" w:after="120"/>
        <w:rPr>
          <w:rFonts w:ascii="Arial" w:hAnsi="Arial"/>
          <w:lang w:val="en-CA"/>
        </w:rPr>
      </w:pPr>
      <w:r>
        <w:rPr>
          <w:rFonts w:ascii="Arial" w:hAnsi="Arial"/>
          <w:lang w:val="en-CA"/>
        </w:rPr>
        <w:t>If yes provide date(s) of prior Notices:</w:t>
      </w:r>
      <w:r w:rsidR="00810AD3" w:rsidRPr="00810AD3">
        <w:rPr>
          <w:rFonts w:ascii="Arial" w:hAnsi="Arial"/>
          <w:u w:val="single"/>
          <w:lang w:val="en-CA"/>
        </w:rPr>
        <w:t xml:space="preserve"> </w:t>
      </w:r>
      <w:r w:rsidRPr="00810AD3">
        <w:rPr>
          <w:rFonts w:ascii="Arial" w:hAnsi="Arial"/>
          <w:u w:val="single"/>
          <w:lang w:val="en-CA"/>
        </w:rPr>
        <w:t xml:space="preserve"> </w:t>
      </w:r>
      <w:r w:rsidRPr="00810AD3">
        <w:rPr>
          <w:rFonts w:ascii="Arial" w:hAnsi="Arial"/>
          <w:i/>
          <w:iCs/>
          <w:u w:val="single"/>
          <w:lang w:val="en-CA"/>
        </w:rPr>
        <w:t xml:space="preserve"> </w:t>
      </w:r>
      <w:r w:rsidR="00810AD3" w:rsidRPr="00810AD3">
        <w:rPr>
          <w:rFonts w:ascii="Arial" w:hAnsi="Arial"/>
          <w:i/>
          <w:iCs/>
          <w:lang w:val="en-CA"/>
        </w:rPr>
        <w:t>.</w:t>
      </w:r>
    </w:p>
    <w:p w14:paraId="21D8EE5A" w14:textId="0804A577" w:rsidR="00EA4133" w:rsidRPr="001B7E15" w:rsidRDefault="00EA4133" w:rsidP="00C10A32">
      <w:pPr>
        <w:pStyle w:val="BodyText"/>
        <w:tabs>
          <w:tab w:val="left" w:pos="9180"/>
        </w:tabs>
        <w:spacing w:before="0" w:after="120"/>
        <w:rPr>
          <w:rFonts w:ascii="Arial" w:hAnsi="Arial"/>
          <w:lang w:val="en-CA"/>
        </w:rPr>
      </w:pPr>
      <w:r w:rsidRPr="00821E4E">
        <w:rPr>
          <w:rFonts w:ascii="Arial" w:hAnsi="Arial"/>
          <w:lang w:val="en-CA"/>
        </w:rPr>
        <w:t xml:space="preserve">Issued and Outstanding Securities of Issuer Prior to Issuance:  </w:t>
      </w:r>
      <w:r w:rsidR="00810AD3" w:rsidRPr="00810AD3">
        <w:rPr>
          <w:rFonts w:ascii="Arial" w:hAnsi="Arial"/>
          <w:u w:val="single"/>
          <w:lang w:val="en-US"/>
        </w:rPr>
        <w:t>4</w:t>
      </w:r>
      <w:r w:rsidR="00810AD3">
        <w:rPr>
          <w:rFonts w:ascii="Arial" w:hAnsi="Arial"/>
          <w:u w:val="single"/>
          <w:lang w:val="en-US"/>
        </w:rPr>
        <w:t>9</w:t>
      </w:r>
      <w:r w:rsidR="00810AD3" w:rsidRPr="00810AD3">
        <w:rPr>
          <w:rFonts w:ascii="Arial" w:hAnsi="Arial"/>
          <w:u w:val="single"/>
          <w:lang w:val="en-US"/>
        </w:rPr>
        <w:t>,</w:t>
      </w:r>
      <w:r w:rsidR="00810AD3">
        <w:rPr>
          <w:rFonts w:ascii="Arial" w:hAnsi="Arial"/>
          <w:u w:val="single"/>
          <w:lang w:val="en-US"/>
        </w:rPr>
        <w:t>147</w:t>
      </w:r>
      <w:r w:rsidR="00810AD3" w:rsidRPr="00810AD3">
        <w:rPr>
          <w:rFonts w:ascii="Arial" w:hAnsi="Arial"/>
          <w:u w:val="single"/>
          <w:lang w:val="en-US"/>
        </w:rPr>
        <w:t>,</w:t>
      </w:r>
      <w:r w:rsidR="00810AD3">
        <w:rPr>
          <w:rFonts w:ascii="Arial" w:hAnsi="Arial"/>
          <w:u w:val="single"/>
          <w:lang w:val="en-US"/>
        </w:rPr>
        <w:t>6</w:t>
      </w:r>
      <w:r w:rsidR="00810AD3" w:rsidRPr="00810AD3">
        <w:rPr>
          <w:rFonts w:ascii="Arial" w:hAnsi="Arial"/>
          <w:u w:val="single"/>
          <w:lang w:val="en-US"/>
        </w:rPr>
        <w:t>70</w:t>
      </w:r>
      <w:r w:rsidRPr="00821E4E">
        <w:rPr>
          <w:rFonts w:ascii="Arial" w:hAnsi="Arial"/>
          <w:lang w:val="en-CA"/>
        </w:rPr>
        <w:t>.</w:t>
      </w:r>
    </w:p>
    <w:p w14:paraId="1A3CC006" w14:textId="77777777" w:rsidR="00840B45" w:rsidRPr="001B7E15" w:rsidRDefault="00840B45" w:rsidP="00C10A32">
      <w:pPr>
        <w:pStyle w:val="BodyText"/>
        <w:tabs>
          <w:tab w:val="left" w:pos="9180"/>
        </w:tabs>
        <w:spacing w:before="0" w:after="120"/>
        <w:rPr>
          <w:rFonts w:ascii="Arial" w:hAnsi="Arial"/>
          <w:b/>
          <w:lang w:val="en-CA"/>
        </w:rPr>
      </w:pPr>
      <w:r w:rsidRPr="001B7E15">
        <w:rPr>
          <w:rFonts w:ascii="Arial" w:hAnsi="Arial"/>
          <w:b/>
          <w:lang w:val="en-CA"/>
        </w:rPr>
        <w:t>Pricing</w:t>
      </w:r>
    </w:p>
    <w:p w14:paraId="279F6B0A" w14:textId="37316248" w:rsidR="00EA4133" w:rsidRPr="001B7E15" w:rsidRDefault="00EA4133" w:rsidP="00C10A32">
      <w:pPr>
        <w:pStyle w:val="BodyText"/>
        <w:tabs>
          <w:tab w:val="left" w:pos="9180"/>
        </w:tabs>
        <w:spacing w:before="0" w:after="120"/>
        <w:rPr>
          <w:rFonts w:ascii="Arial" w:hAnsi="Arial"/>
          <w:lang w:val="en-CA"/>
        </w:rPr>
      </w:pPr>
      <w:r w:rsidRPr="001B7E15">
        <w:rPr>
          <w:rFonts w:ascii="Arial" w:hAnsi="Arial"/>
          <w:lang w:val="en-CA"/>
        </w:rPr>
        <w:t xml:space="preserve">Date of </w:t>
      </w:r>
      <w:r w:rsidR="00840B45" w:rsidRPr="001B7E15">
        <w:rPr>
          <w:rFonts w:ascii="Arial" w:hAnsi="Arial"/>
          <w:lang w:val="en-CA"/>
        </w:rPr>
        <w:t>n</w:t>
      </w:r>
      <w:r w:rsidRPr="001B7E15">
        <w:rPr>
          <w:rFonts w:ascii="Arial" w:hAnsi="Arial"/>
          <w:lang w:val="en-CA"/>
        </w:rPr>
        <w:t xml:space="preserve">ews </w:t>
      </w:r>
      <w:r w:rsidR="00840B45" w:rsidRPr="001B7E15">
        <w:rPr>
          <w:rFonts w:ascii="Arial" w:hAnsi="Arial"/>
          <w:lang w:val="en-CA"/>
        </w:rPr>
        <w:t>r</w:t>
      </w:r>
      <w:r w:rsidRPr="001B7E15">
        <w:rPr>
          <w:rFonts w:ascii="Arial" w:hAnsi="Arial"/>
          <w:lang w:val="en-CA"/>
        </w:rPr>
        <w:t xml:space="preserve">elease </w:t>
      </w:r>
      <w:r w:rsidR="00840B45" w:rsidRPr="001B7E15">
        <w:rPr>
          <w:rFonts w:ascii="Arial" w:hAnsi="Arial"/>
          <w:lang w:val="en-CA"/>
        </w:rPr>
        <w:t>a</w:t>
      </w:r>
      <w:r w:rsidRPr="001B7E15">
        <w:rPr>
          <w:rFonts w:ascii="Arial" w:hAnsi="Arial"/>
          <w:lang w:val="en-CA"/>
        </w:rPr>
        <w:t xml:space="preserve">nnouncing </w:t>
      </w:r>
      <w:r w:rsidR="00840B45" w:rsidRPr="001B7E15">
        <w:rPr>
          <w:rFonts w:ascii="Arial" w:hAnsi="Arial"/>
          <w:lang w:val="en-CA"/>
        </w:rPr>
        <w:t xml:space="preserve">proposed </w:t>
      </w:r>
      <w:r w:rsidR="00744170" w:rsidRPr="001B7E15">
        <w:rPr>
          <w:rFonts w:ascii="Arial" w:hAnsi="Arial"/>
          <w:lang w:val="en-CA"/>
        </w:rPr>
        <w:t>issuance</w:t>
      </w:r>
      <w:r w:rsidR="00744170">
        <w:rPr>
          <w:rFonts w:ascii="Arial" w:hAnsi="Arial"/>
          <w:lang w:val="en-CA"/>
        </w:rPr>
        <w:t xml:space="preserve"> </w:t>
      </w:r>
      <w:r w:rsidR="00810AD3">
        <w:rPr>
          <w:rFonts w:ascii="Arial" w:hAnsi="Arial"/>
          <w:u w:val="single"/>
          <w:lang w:val="en-CA"/>
        </w:rPr>
        <w:t>March 12, 2021</w:t>
      </w:r>
      <w:r w:rsidRPr="001B7E15">
        <w:rPr>
          <w:rFonts w:ascii="Arial" w:hAnsi="Arial"/>
          <w:lang w:val="en-CA"/>
        </w:rPr>
        <w:t xml:space="preserve">  </w:t>
      </w:r>
      <w:r w:rsidR="00840B45" w:rsidRPr="001B7E15">
        <w:rPr>
          <w:rFonts w:ascii="Arial" w:hAnsi="Arial"/>
          <w:u w:val="single"/>
          <w:lang w:val="en-CA"/>
        </w:rPr>
        <w:softHyphen/>
      </w:r>
      <w:r w:rsidR="00840B45" w:rsidRPr="001B7E15">
        <w:rPr>
          <w:rFonts w:ascii="Arial" w:hAnsi="Arial"/>
          <w:lang w:val="en-CA"/>
        </w:rPr>
        <w:t xml:space="preserve"> or</w:t>
      </w:r>
    </w:p>
    <w:p w14:paraId="29DA35B3" w14:textId="50F3DF78" w:rsidR="003A0B6B" w:rsidRPr="001B7E15" w:rsidRDefault="00840B45" w:rsidP="00C10A32">
      <w:pPr>
        <w:pStyle w:val="BodyText"/>
        <w:tabs>
          <w:tab w:val="left" w:pos="9180"/>
        </w:tabs>
        <w:spacing w:before="0" w:after="120"/>
        <w:rPr>
          <w:rFonts w:ascii="Arial" w:hAnsi="Arial"/>
          <w:u w:val="single"/>
          <w:lang w:val="en-CA"/>
        </w:rPr>
      </w:pPr>
      <w:r w:rsidRPr="001B7E15">
        <w:rPr>
          <w:rFonts w:ascii="Arial" w:hAnsi="Arial"/>
          <w:lang w:val="en-CA"/>
        </w:rPr>
        <w:t xml:space="preserve">Date of confidential request for price protection: </w:t>
      </w:r>
      <w:r w:rsidR="00810AD3" w:rsidRPr="00810AD3">
        <w:rPr>
          <w:rFonts w:ascii="Arial" w:hAnsi="Arial"/>
          <w:u w:val="single"/>
          <w:lang w:val="en-CA"/>
        </w:rPr>
        <w:t>N/A</w:t>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003A0B6B" w:rsidRPr="001B7E15">
        <w:rPr>
          <w:rFonts w:ascii="Arial" w:hAnsi="Arial"/>
          <w:u w:val="single"/>
          <w:lang w:val="en-CA"/>
        </w:rPr>
        <w:t>.</w:t>
      </w:r>
    </w:p>
    <w:p w14:paraId="334AF06A" w14:textId="742C5470" w:rsidR="00EA4133" w:rsidRPr="001B7E15" w:rsidRDefault="00EA4133" w:rsidP="00C10A32">
      <w:pPr>
        <w:pStyle w:val="BodyText"/>
        <w:tabs>
          <w:tab w:val="left" w:pos="9180"/>
        </w:tabs>
        <w:spacing w:before="0" w:after="120"/>
        <w:rPr>
          <w:rFonts w:ascii="Arial" w:hAnsi="Arial"/>
          <w:lang w:val="en-CA"/>
        </w:rPr>
      </w:pPr>
      <w:r w:rsidRPr="001B7E15">
        <w:rPr>
          <w:rFonts w:ascii="Arial" w:hAnsi="Arial"/>
          <w:lang w:val="en-CA"/>
        </w:rPr>
        <w:t xml:space="preserve">Closing Market Price on Day Preceding the </w:t>
      </w:r>
      <w:r w:rsidR="00840B45" w:rsidRPr="001B7E15">
        <w:rPr>
          <w:rFonts w:ascii="Arial" w:hAnsi="Arial"/>
          <w:lang w:val="en-CA"/>
        </w:rPr>
        <w:t>n</w:t>
      </w:r>
      <w:r w:rsidRPr="001B7E15">
        <w:rPr>
          <w:rFonts w:ascii="Arial" w:hAnsi="Arial"/>
          <w:lang w:val="en-CA"/>
        </w:rPr>
        <w:t xml:space="preserve">ews </w:t>
      </w:r>
      <w:r w:rsidR="00840B45" w:rsidRPr="001B7E15">
        <w:rPr>
          <w:rFonts w:ascii="Arial" w:hAnsi="Arial"/>
          <w:lang w:val="en-CA"/>
        </w:rPr>
        <w:t>r</w:t>
      </w:r>
      <w:r w:rsidRPr="001B7E15">
        <w:rPr>
          <w:rFonts w:ascii="Arial" w:hAnsi="Arial"/>
          <w:lang w:val="en-CA"/>
        </w:rPr>
        <w:t xml:space="preserve">elease: </w:t>
      </w:r>
      <w:r w:rsidR="00DB6945">
        <w:rPr>
          <w:rFonts w:ascii="Arial" w:hAnsi="Arial"/>
          <w:u w:val="single"/>
          <w:lang w:val="en-CA"/>
        </w:rPr>
        <w:t>_</w:t>
      </w:r>
      <w:r w:rsidR="00810AD3">
        <w:rPr>
          <w:rFonts w:ascii="Arial" w:hAnsi="Arial"/>
          <w:u w:val="single"/>
          <w:lang w:val="en-CA"/>
        </w:rPr>
        <w:t>$0.49</w:t>
      </w:r>
      <w:r w:rsidR="00DB6945">
        <w:rPr>
          <w:rFonts w:ascii="Arial" w:hAnsi="Arial"/>
          <w:u w:val="single"/>
          <w:lang w:val="en-CA"/>
        </w:rPr>
        <w:t>_</w:t>
      </w:r>
      <w:r w:rsidR="00840B45" w:rsidRPr="001B7E15">
        <w:rPr>
          <w:rFonts w:ascii="Arial" w:hAnsi="Arial"/>
          <w:lang w:val="en-CA"/>
        </w:rPr>
        <w:t xml:space="preserve"> or</w:t>
      </w:r>
    </w:p>
    <w:p w14:paraId="5CF5EAEC" w14:textId="77777777" w:rsidR="00840B45" w:rsidRPr="001B7E15" w:rsidRDefault="00840B45" w:rsidP="003E2D88">
      <w:pPr>
        <w:pStyle w:val="BodyText"/>
        <w:tabs>
          <w:tab w:val="left" w:pos="9180"/>
        </w:tabs>
        <w:spacing w:before="0" w:after="120"/>
        <w:jc w:val="both"/>
        <w:rPr>
          <w:rFonts w:ascii="Arial" w:hAnsi="Arial"/>
          <w:lang w:val="en-CA"/>
        </w:rPr>
      </w:pPr>
      <w:r w:rsidRPr="001B7E15">
        <w:rPr>
          <w:rFonts w:ascii="Arial" w:hAnsi="Arial"/>
          <w:lang w:val="en-CA"/>
        </w:rPr>
        <w:t xml:space="preserve">Day preceding request for price protection: </w:t>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003A0B6B" w:rsidRPr="001B7E15">
        <w:rPr>
          <w:rFonts w:ascii="Arial" w:hAnsi="Arial"/>
          <w:u w:val="single"/>
          <w:lang w:val="en-CA"/>
        </w:rPr>
        <w:t>N/A.</w:t>
      </w:r>
    </w:p>
    <w:p w14:paraId="61424676" w14:textId="77777777" w:rsidR="00840B45" w:rsidRPr="001B7E15" w:rsidRDefault="00840B45" w:rsidP="00C10A32">
      <w:pPr>
        <w:pStyle w:val="BodyText"/>
        <w:tabs>
          <w:tab w:val="left" w:pos="9180"/>
        </w:tabs>
        <w:spacing w:before="0" w:after="120"/>
        <w:rPr>
          <w:rFonts w:ascii="Arial" w:hAnsi="Arial"/>
          <w:b/>
          <w:lang w:val="en-CA"/>
        </w:rPr>
      </w:pPr>
      <w:r w:rsidRPr="001B7E15">
        <w:rPr>
          <w:rFonts w:ascii="Arial" w:hAnsi="Arial"/>
          <w:b/>
          <w:lang w:val="en-CA"/>
        </w:rPr>
        <w:t>Closing</w:t>
      </w:r>
    </w:p>
    <w:p w14:paraId="4AB220DA" w14:textId="5CB77643" w:rsidR="00DD3DC1" w:rsidRDefault="00840B45" w:rsidP="00C10A32">
      <w:pPr>
        <w:pStyle w:val="BodyText"/>
        <w:tabs>
          <w:tab w:val="left" w:pos="9180"/>
        </w:tabs>
        <w:spacing w:before="0" w:after="120"/>
        <w:rPr>
          <w:rFonts w:ascii="Arial" w:hAnsi="Arial"/>
          <w:u w:val="single"/>
          <w:lang w:val="en-CA"/>
        </w:rPr>
      </w:pPr>
      <w:r w:rsidRPr="00821E4E">
        <w:rPr>
          <w:rFonts w:ascii="Arial" w:hAnsi="Arial"/>
          <w:lang w:val="en-CA"/>
        </w:rPr>
        <w:t>Number of securities to be issued</w:t>
      </w:r>
      <w:r w:rsidRPr="00E859D0">
        <w:rPr>
          <w:rFonts w:ascii="Arial" w:hAnsi="Arial"/>
          <w:u w:val="single"/>
          <w:lang w:val="en-CA"/>
        </w:rPr>
        <w:t xml:space="preserve">: </w:t>
      </w:r>
      <w:r w:rsidR="00810AD3">
        <w:rPr>
          <w:rFonts w:ascii="Arial" w:hAnsi="Arial"/>
          <w:u w:val="single"/>
          <w:lang w:val="en-CA"/>
        </w:rPr>
        <w:t>4</w:t>
      </w:r>
      <w:r w:rsidR="008D0DE7">
        <w:rPr>
          <w:rFonts w:ascii="Arial" w:hAnsi="Arial"/>
          <w:u w:val="single"/>
          <w:lang w:val="en-CA"/>
        </w:rPr>
        <w:t>,</w:t>
      </w:r>
      <w:r w:rsidR="00810AD3">
        <w:rPr>
          <w:rFonts w:ascii="Arial" w:hAnsi="Arial"/>
          <w:u w:val="single"/>
          <w:lang w:val="en-CA"/>
        </w:rPr>
        <w:t>10</w:t>
      </w:r>
      <w:r w:rsidR="00DB6945">
        <w:rPr>
          <w:rFonts w:ascii="Arial" w:hAnsi="Arial"/>
          <w:u w:val="single"/>
          <w:lang w:val="en-CA"/>
        </w:rPr>
        <w:t>0,000</w:t>
      </w:r>
      <w:r w:rsidR="00DD3DC1">
        <w:rPr>
          <w:rFonts w:ascii="Arial" w:hAnsi="Arial"/>
          <w:u w:val="single"/>
          <w:lang w:val="en-CA"/>
        </w:rPr>
        <w:t xml:space="preserve"> </w:t>
      </w:r>
      <w:r w:rsidR="00E859D0">
        <w:rPr>
          <w:rFonts w:ascii="Arial" w:hAnsi="Arial"/>
          <w:u w:val="single"/>
          <w:lang w:val="en-CA"/>
        </w:rPr>
        <w:t xml:space="preserve">Common Shares </w:t>
      </w:r>
    </w:p>
    <w:p w14:paraId="02516D7D" w14:textId="08A7CDCC" w:rsidR="00840B45" w:rsidRPr="00821E4E" w:rsidRDefault="00840B45" w:rsidP="00C10A32">
      <w:pPr>
        <w:pStyle w:val="BodyText"/>
        <w:tabs>
          <w:tab w:val="left" w:pos="9180"/>
        </w:tabs>
        <w:spacing w:before="0" w:after="120"/>
        <w:rPr>
          <w:rFonts w:ascii="Arial" w:hAnsi="Arial"/>
          <w:lang w:val="en-CA"/>
        </w:rPr>
      </w:pPr>
      <w:r w:rsidRPr="00E859D0">
        <w:rPr>
          <w:rFonts w:ascii="Arial" w:hAnsi="Arial"/>
          <w:lang w:val="en-CA"/>
        </w:rPr>
        <w:t>Issued and outstanding securities following issuance:</w:t>
      </w:r>
      <w:r w:rsidR="001325F5" w:rsidRPr="00E859D0">
        <w:rPr>
          <w:rFonts w:ascii="Arial" w:hAnsi="Arial"/>
          <w:lang w:val="en-CA"/>
        </w:rPr>
        <w:t xml:space="preserve"> </w:t>
      </w:r>
      <w:r w:rsidR="00810AD3">
        <w:rPr>
          <w:rFonts w:ascii="Arial" w:hAnsi="Arial"/>
          <w:u w:val="single"/>
          <w:lang w:val="en-CA"/>
        </w:rPr>
        <w:t xml:space="preserve">53,247,670 </w:t>
      </w:r>
      <w:r w:rsidR="00E859D0">
        <w:rPr>
          <w:rFonts w:ascii="Arial" w:hAnsi="Arial"/>
          <w:u w:val="single"/>
          <w:lang w:val="en-CA"/>
        </w:rPr>
        <w:t>Common Shares</w:t>
      </w:r>
      <w:r w:rsidRPr="00821E4E">
        <w:rPr>
          <w:rFonts w:ascii="Arial" w:hAnsi="Arial"/>
          <w:u w:val="single"/>
          <w:lang w:val="en-CA"/>
        </w:rPr>
        <w:softHyphen/>
      </w:r>
      <w:r w:rsidRPr="00821E4E">
        <w:rPr>
          <w:rFonts w:ascii="Arial" w:hAnsi="Arial"/>
          <w:u w:val="single"/>
          <w:lang w:val="en-CA"/>
        </w:rPr>
        <w:softHyphen/>
      </w:r>
      <w:r w:rsidRPr="00821E4E">
        <w:rPr>
          <w:rFonts w:ascii="Arial" w:hAnsi="Arial"/>
          <w:u w:val="single"/>
          <w:lang w:val="en-CA"/>
        </w:rPr>
        <w:softHyphen/>
      </w:r>
      <w:r w:rsidRPr="00821E4E">
        <w:rPr>
          <w:rFonts w:ascii="Arial" w:hAnsi="Arial"/>
          <w:u w:val="single"/>
          <w:lang w:val="en-CA"/>
        </w:rPr>
        <w:softHyphen/>
      </w:r>
      <w:r w:rsidRPr="00821E4E">
        <w:rPr>
          <w:rFonts w:ascii="Arial" w:hAnsi="Arial"/>
          <w:u w:val="single"/>
          <w:lang w:val="en-CA"/>
        </w:rPr>
        <w:softHyphen/>
      </w:r>
      <w:r w:rsidR="00821E4E" w:rsidRPr="00821E4E">
        <w:rPr>
          <w:rFonts w:ascii="Arial" w:hAnsi="Arial"/>
          <w:lang w:val="en-CA"/>
        </w:rPr>
        <w:t>.</w:t>
      </w:r>
    </w:p>
    <w:p w14:paraId="08E2165A" w14:textId="77777777" w:rsidR="00C10A32" w:rsidRDefault="00C10A32" w:rsidP="00905E2D">
      <w:pPr>
        <w:pStyle w:val="BodyText"/>
        <w:tabs>
          <w:tab w:val="left" w:pos="9180"/>
        </w:tabs>
        <w:spacing w:before="0"/>
        <w:rPr>
          <w:rFonts w:ascii="Arial" w:hAnsi="Arial"/>
          <w:b/>
          <w:lang w:val="en-CA"/>
        </w:rPr>
      </w:pPr>
    </w:p>
    <w:p w14:paraId="6480282D"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14:paraId="239240FF" w14:textId="77777777" w:rsidR="00840B45" w:rsidRDefault="00840B45" w:rsidP="00905E2D">
      <w:pPr>
        <w:pStyle w:val="BodyText"/>
        <w:numPr>
          <w:ilvl w:val="0"/>
          <w:numId w:val="18"/>
        </w:numPr>
        <w:tabs>
          <w:tab w:val="left" w:pos="9180"/>
        </w:tabs>
        <w:spacing w:before="0" w:after="40"/>
        <w:ind w:left="432"/>
        <w:rPr>
          <w:rFonts w:ascii="Arial" w:hAnsi="Arial"/>
          <w:lang w:val="en-CA"/>
        </w:rPr>
      </w:pPr>
      <w:r>
        <w:rPr>
          <w:rFonts w:ascii="Arial" w:hAnsi="Arial"/>
          <w:lang w:val="en-CA"/>
        </w:rPr>
        <w:t>For private placements (including debt settlement), complete tables 1A and 1B in Part 1 of this form.</w:t>
      </w:r>
    </w:p>
    <w:p w14:paraId="3CD44E74" w14:textId="77777777" w:rsidR="00840B45" w:rsidRDefault="00840B45" w:rsidP="00905E2D">
      <w:pPr>
        <w:pStyle w:val="BodyText"/>
        <w:numPr>
          <w:ilvl w:val="0"/>
          <w:numId w:val="18"/>
        </w:numPr>
        <w:tabs>
          <w:tab w:val="left" w:pos="9180"/>
        </w:tabs>
        <w:spacing w:before="0" w:after="40"/>
        <w:ind w:left="432"/>
        <w:rPr>
          <w:rFonts w:ascii="Arial" w:hAnsi="Arial"/>
          <w:lang w:val="en-CA"/>
        </w:rPr>
      </w:pPr>
      <w:r>
        <w:rPr>
          <w:rFonts w:ascii="Arial" w:hAnsi="Arial"/>
          <w:lang w:val="en-CA"/>
        </w:rPr>
        <w:t>Complete Table 1A – Summary for all purchasers, excluding those identified in Item 8.</w:t>
      </w:r>
    </w:p>
    <w:p w14:paraId="37D28D7C" w14:textId="77777777" w:rsidR="00840B45" w:rsidRDefault="00840B45" w:rsidP="00905E2D">
      <w:pPr>
        <w:pStyle w:val="BodyText"/>
        <w:numPr>
          <w:ilvl w:val="0"/>
          <w:numId w:val="18"/>
        </w:numPr>
        <w:tabs>
          <w:tab w:val="left" w:pos="9180"/>
        </w:tabs>
        <w:spacing w:before="0" w:after="40"/>
        <w:ind w:left="432"/>
        <w:rPr>
          <w:rFonts w:ascii="Arial" w:hAnsi="Arial"/>
          <w:lang w:val="en-CA"/>
        </w:rPr>
      </w:pPr>
      <w:r>
        <w:rPr>
          <w:rFonts w:ascii="Arial" w:hAnsi="Arial"/>
          <w:lang w:val="en-CA"/>
        </w:rPr>
        <w:t>Complete Table 1B – Related Persons only for Related Persons</w:t>
      </w:r>
    </w:p>
    <w:p w14:paraId="238AA39E" w14:textId="77777777" w:rsidR="00840B45" w:rsidRDefault="00840B45" w:rsidP="00905E2D">
      <w:pPr>
        <w:pStyle w:val="BodyText"/>
        <w:numPr>
          <w:ilvl w:val="0"/>
          <w:numId w:val="18"/>
        </w:numPr>
        <w:tabs>
          <w:tab w:val="left" w:pos="9180"/>
        </w:tabs>
        <w:spacing w:before="0" w:after="40"/>
        <w:ind w:left="432"/>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14:paraId="18B3A883" w14:textId="77777777" w:rsidR="00544BCF" w:rsidRDefault="00544BCF" w:rsidP="00905E2D">
      <w:pPr>
        <w:pStyle w:val="BodyText"/>
        <w:numPr>
          <w:ilvl w:val="0"/>
          <w:numId w:val="18"/>
        </w:numPr>
        <w:tabs>
          <w:tab w:val="left" w:pos="9180"/>
        </w:tabs>
        <w:spacing w:before="0" w:after="40"/>
        <w:ind w:left="432"/>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14:paraId="3F546156" w14:textId="77777777"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7"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 xml:space="preserve">information in Table 1B for ALL </w:t>
      </w:r>
      <w:proofErr w:type="spellStart"/>
      <w:r w:rsidR="00F33BBE" w:rsidRPr="00BE2894">
        <w:rPr>
          <w:rFonts w:ascii="Arial" w:hAnsi="Arial"/>
          <w:lang w:val="en-CA"/>
        </w:rPr>
        <w:t>placees</w:t>
      </w:r>
      <w:proofErr w:type="spellEnd"/>
      <w:r w:rsidR="00F33BBE" w:rsidRPr="00BE2894">
        <w:rPr>
          <w:rFonts w:ascii="Arial" w:hAnsi="Arial"/>
          <w:lang w:val="en-CA"/>
        </w:rPr>
        <w:t>.</w:t>
      </w:r>
      <w:r w:rsidRPr="00BE2894">
        <w:rPr>
          <w:rFonts w:ascii="Arial" w:hAnsi="Arial"/>
          <w:b/>
          <w:lang w:val="en-CA"/>
        </w:rPr>
        <w:br w:type="page"/>
      </w:r>
    </w:p>
    <w:p w14:paraId="2326FF7A" w14:textId="0540CD7F" w:rsidR="00A90670" w:rsidRDefault="00544BCF">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Private Placement</w:t>
      </w:r>
      <w:r w:rsidR="00410710">
        <w:rPr>
          <w:rFonts w:ascii="Arial" w:hAnsi="Arial"/>
          <w:b/>
          <w:lang w:val="en-CA"/>
        </w:rPr>
        <w:t>:</w:t>
      </w:r>
      <w:r w:rsidR="00EA4133">
        <w:rPr>
          <w:rFonts w:ascii="Arial" w:hAnsi="Arial"/>
          <w:b/>
          <w:lang w:val="en-CA"/>
        </w:rPr>
        <w:t xml:space="preserve"> </w:t>
      </w:r>
      <w:r w:rsidR="001D301B">
        <w:rPr>
          <w:rFonts w:ascii="Arial" w:hAnsi="Arial"/>
          <w:b/>
          <w:lang w:val="en-CA"/>
        </w:rPr>
        <w:t xml:space="preserve"> N/A</w:t>
      </w:r>
    </w:p>
    <w:p w14:paraId="2A23BFFE"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9576" w:type="dxa"/>
        <w:tblLayout w:type="fixed"/>
        <w:tblLook w:val="04A0" w:firstRow="1" w:lastRow="0" w:firstColumn="1" w:lastColumn="0" w:noHBand="0" w:noVBand="1"/>
      </w:tblPr>
      <w:tblGrid>
        <w:gridCol w:w="2689"/>
        <w:gridCol w:w="1417"/>
        <w:gridCol w:w="3260"/>
        <w:gridCol w:w="2210"/>
      </w:tblGrid>
      <w:tr w:rsidR="00C536D3" w:rsidRPr="00C536D3" w14:paraId="0C91A66C" w14:textId="77777777" w:rsidTr="005C3032">
        <w:tc>
          <w:tcPr>
            <w:tcW w:w="2689" w:type="dxa"/>
          </w:tcPr>
          <w:p w14:paraId="3889307E" w14:textId="77777777" w:rsidR="00C536D3" w:rsidRPr="00C8431B" w:rsidRDefault="00C536D3" w:rsidP="00C536D3">
            <w:pPr>
              <w:pStyle w:val="BodyText"/>
              <w:rPr>
                <w:rFonts w:ascii="Arial" w:hAnsi="Arial"/>
                <w:sz w:val="22"/>
                <w:szCs w:val="22"/>
                <w:lang w:val="en-CA"/>
              </w:rPr>
            </w:pPr>
            <w:r w:rsidRPr="00C8431B">
              <w:rPr>
                <w:rFonts w:ascii="Arial" w:hAnsi="Arial"/>
                <w:sz w:val="22"/>
                <w:szCs w:val="22"/>
                <w:lang w:val="en-CA"/>
              </w:rPr>
              <w:t>Each jurisdiction in which purchasers reside</w:t>
            </w:r>
          </w:p>
        </w:tc>
        <w:tc>
          <w:tcPr>
            <w:tcW w:w="1417" w:type="dxa"/>
          </w:tcPr>
          <w:p w14:paraId="0216149D" w14:textId="77777777" w:rsidR="00C536D3" w:rsidRPr="00C8431B" w:rsidRDefault="00C536D3" w:rsidP="00C536D3">
            <w:pPr>
              <w:pStyle w:val="BodyText"/>
              <w:rPr>
                <w:rFonts w:ascii="Arial" w:hAnsi="Arial"/>
                <w:sz w:val="22"/>
                <w:szCs w:val="22"/>
                <w:lang w:val="en-CA"/>
              </w:rPr>
            </w:pPr>
            <w:r w:rsidRPr="00C8431B">
              <w:rPr>
                <w:rFonts w:ascii="Arial" w:hAnsi="Arial"/>
                <w:sz w:val="22"/>
                <w:szCs w:val="22"/>
                <w:lang w:val="en-CA"/>
              </w:rPr>
              <w:t>Number of Purchasers</w:t>
            </w:r>
          </w:p>
        </w:tc>
        <w:tc>
          <w:tcPr>
            <w:tcW w:w="3260" w:type="dxa"/>
          </w:tcPr>
          <w:p w14:paraId="24217F69" w14:textId="04B9B9D7" w:rsidR="00C536D3" w:rsidRPr="00C8431B" w:rsidRDefault="005C3032" w:rsidP="00C536D3">
            <w:pPr>
              <w:pStyle w:val="BodyText"/>
              <w:rPr>
                <w:rFonts w:ascii="Arial" w:hAnsi="Arial"/>
                <w:sz w:val="22"/>
                <w:szCs w:val="22"/>
                <w:lang w:val="en-CA"/>
              </w:rPr>
            </w:pPr>
            <w:r>
              <w:rPr>
                <w:rFonts w:ascii="Arial" w:hAnsi="Arial"/>
                <w:sz w:val="22"/>
                <w:szCs w:val="22"/>
                <w:lang w:val="en-CA"/>
              </w:rPr>
              <w:t xml:space="preserve">    </w:t>
            </w:r>
            <w:r w:rsidR="00C536D3" w:rsidRPr="00C8431B">
              <w:rPr>
                <w:rFonts w:ascii="Arial" w:hAnsi="Arial"/>
                <w:sz w:val="22"/>
                <w:szCs w:val="22"/>
                <w:lang w:val="en-CA"/>
              </w:rPr>
              <w:t>Price per Security</w:t>
            </w:r>
          </w:p>
        </w:tc>
        <w:tc>
          <w:tcPr>
            <w:tcW w:w="2210" w:type="dxa"/>
          </w:tcPr>
          <w:p w14:paraId="3421B7B7" w14:textId="77777777" w:rsidR="00C536D3" w:rsidRPr="00C8431B" w:rsidRDefault="00C536D3" w:rsidP="00C536D3">
            <w:pPr>
              <w:pStyle w:val="BodyText"/>
              <w:rPr>
                <w:rFonts w:ascii="Arial" w:hAnsi="Arial"/>
                <w:sz w:val="22"/>
                <w:szCs w:val="22"/>
                <w:lang w:val="en-CA"/>
              </w:rPr>
            </w:pPr>
            <w:r w:rsidRPr="00C8431B">
              <w:rPr>
                <w:rFonts w:ascii="Arial" w:hAnsi="Arial"/>
                <w:sz w:val="22"/>
                <w:szCs w:val="22"/>
                <w:lang w:val="en-CA"/>
              </w:rPr>
              <w:t>Total dollar value (CDN$) raised in the jurisdiction</w:t>
            </w:r>
          </w:p>
        </w:tc>
      </w:tr>
      <w:tr w:rsidR="00C536D3" w:rsidRPr="00C536D3" w14:paraId="3A985E02" w14:textId="77777777" w:rsidTr="005C3032">
        <w:tc>
          <w:tcPr>
            <w:tcW w:w="2689" w:type="dxa"/>
          </w:tcPr>
          <w:p w14:paraId="4AAA46E3" w14:textId="1C159AC3" w:rsidR="00C536D3" w:rsidRPr="00956893" w:rsidRDefault="00C536D3" w:rsidP="00C536D3">
            <w:pPr>
              <w:pStyle w:val="BodyText"/>
              <w:rPr>
                <w:rFonts w:ascii="Arial" w:hAnsi="Arial"/>
                <w:sz w:val="20"/>
                <w:lang w:val="en-CA"/>
              </w:rPr>
            </w:pPr>
          </w:p>
        </w:tc>
        <w:tc>
          <w:tcPr>
            <w:tcW w:w="1417" w:type="dxa"/>
          </w:tcPr>
          <w:p w14:paraId="016E6183" w14:textId="73DDB92B" w:rsidR="00C536D3" w:rsidRPr="00956893" w:rsidRDefault="00C536D3" w:rsidP="00C4200D">
            <w:pPr>
              <w:pStyle w:val="BodyText"/>
              <w:jc w:val="center"/>
              <w:rPr>
                <w:rFonts w:ascii="Arial" w:hAnsi="Arial"/>
                <w:sz w:val="20"/>
                <w:lang w:val="en-CA"/>
              </w:rPr>
            </w:pPr>
          </w:p>
        </w:tc>
        <w:tc>
          <w:tcPr>
            <w:tcW w:w="3260" w:type="dxa"/>
          </w:tcPr>
          <w:p w14:paraId="029F996A" w14:textId="04E22CCF" w:rsidR="00C536D3" w:rsidRPr="00956893" w:rsidRDefault="00C536D3" w:rsidP="009C5EFF">
            <w:pPr>
              <w:pStyle w:val="BodyText"/>
              <w:rPr>
                <w:rFonts w:ascii="Arial" w:hAnsi="Arial"/>
                <w:sz w:val="20"/>
                <w:lang w:val="en-CA"/>
              </w:rPr>
            </w:pPr>
          </w:p>
        </w:tc>
        <w:tc>
          <w:tcPr>
            <w:tcW w:w="2210" w:type="dxa"/>
          </w:tcPr>
          <w:p w14:paraId="3FCD1B2D" w14:textId="288EAF27" w:rsidR="00C8431B" w:rsidRPr="00956893" w:rsidRDefault="00C8431B" w:rsidP="00C8431B">
            <w:pPr>
              <w:pStyle w:val="BodyText"/>
              <w:jc w:val="center"/>
              <w:rPr>
                <w:rFonts w:ascii="Arial" w:hAnsi="Arial"/>
                <w:sz w:val="20"/>
                <w:lang w:val="en-CA"/>
              </w:rPr>
            </w:pPr>
          </w:p>
        </w:tc>
      </w:tr>
      <w:tr w:rsidR="00C536D3" w:rsidRPr="00C536D3" w14:paraId="49CC1FA1" w14:textId="77777777" w:rsidTr="005C3032">
        <w:tc>
          <w:tcPr>
            <w:tcW w:w="2689" w:type="dxa"/>
          </w:tcPr>
          <w:p w14:paraId="025B36FE" w14:textId="2B7193F5" w:rsidR="00C536D3" w:rsidRPr="00956893" w:rsidRDefault="00C536D3" w:rsidP="00C536D3">
            <w:pPr>
              <w:pStyle w:val="BodyText"/>
              <w:rPr>
                <w:rFonts w:ascii="Arial" w:hAnsi="Arial"/>
                <w:sz w:val="20"/>
                <w:lang w:val="en-CA"/>
              </w:rPr>
            </w:pPr>
          </w:p>
        </w:tc>
        <w:tc>
          <w:tcPr>
            <w:tcW w:w="1417" w:type="dxa"/>
          </w:tcPr>
          <w:p w14:paraId="00594D99" w14:textId="7A65B8DB" w:rsidR="00C536D3" w:rsidRPr="00956893" w:rsidRDefault="00C536D3" w:rsidP="00C4200D">
            <w:pPr>
              <w:pStyle w:val="BodyText"/>
              <w:jc w:val="center"/>
              <w:rPr>
                <w:rFonts w:ascii="Arial" w:hAnsi="Arial"/>
                <w:sz w:val="20"/>
                <w:lang w:val="en-CA"/>
              </w:rPr>
            </w:pPr>
          </w:p>
        </w:tc>
        <w:tc>
          <w:tcPr>
            <w:tcW w:w="3260" w:type="dxa"/>
          </w:tcPr>
          <w:p w14:paraId="7D029736" w14:textId="1B2876E4" w:rsidR="00C536D3" w:rsidRPr="00956893" w:rsidRDefault="00C536D3" w:rsidP="00C8431B">
            <w:pPr>
              <w:pStyle w:val="BodyText"/>
              <w:rPr>
                <w:rFonts w:ascii="Arial" w:hAnsi="Arial"/>
                <w:sz w:val="20"/>
                <w:lang w:val="en-CA"/>
              </w:rPr>
            </w:pPr>
          </w:p>
        </w:tc>
        <w:tc>
          <w:tcPr>
            <w:tcW w:w="2210" w:type="dxa"/>
          </w:tcPr>
          <w:p w14:paraId="676FDF08" w14:textId="03DEF34D" w:rsidR="008C28F0" w:rsidRPr="00956893" w:rsidRDefault="008C28F0" w:rsidP="00C4200D">
            <w:pPr>
              <w:pStyle w:val="BodyText"/>
              <w:jc w:val="center"/>
              <w:rPr>
                <w:rFonts w:ascii="Arial" w:hAnsi="Arial"/>
                <w:sz w:val="20"/>
                <w:lang w:val="en-CA"/>
              </w:rPr>
            </w:pPr>
          </w:p>
        </w:tc>
      </w:tr>
      <w:tr w:rsidR="00DB6945" w:rsidRPr="00C536D3" w14:paraId="388F5A2C" w14:textId="77777777" w:rsidTr="005C3032">
        <w:tc>
          <w:tcPr>
            <w:tcW w:w="2689" w:type="dxa"/>
          </w:tcPr>
          <w:p w14:paraId="05B29F13" w14:textId="2C788B99" w:rsidR="00DB6945" w:rsidRPr="00956893" w:rsidRDefault="00DB6945" w:rsidP="00C536D3">
            <w:pPr>
              <w:pStyle w:val="BodyText"/>
              <w:rPr>
                <w:rFonts w:ascii="Arial" w:hAnsi="Arial"/>
                <w:sz w:val="20"/>
                <w:lang w:val="en-CA"/>
              </w:rPr>
            </w:pPr>
          </w:p>
        </w:tc>
        <w:tc>
          <w:tcPr>
            <w:tcW w:w="1417" w:type="dxa"/>
          </w:tcPr>
          <w:p w14:paraId="308D4138" w14:textId="4BFFB967" w:rsidR="00DB6945" w:rsidRPr="00956893" w:rsidRDefault="00DB6945" w:rsidP="00C4200D">
            <w:pPr>
              <w:pStyle w:val="BodyText"/>
              <w:jc w:val="center"/>
              <w:rPr>
                <w:rFonts w:ascii="Arial" w:hAnsi="Arial"/>
                <w:sz w:val="20"/>
                <w:lang w:val="en-CA"/>
              </w:rPr>
            </w:pPr>
          </w:p>
        </w:tc>
        <w:tc>
          <w:tcPr>
            <w:tcW w:w="3260" w:type="dxa"/>
          </w:tcPr>
          <w:p w14:paraId="360BC65B" w14:textId="79DA6FCB" w:rsidR="00DB6945" w:rsidRPr="00956893" w:rsidRDefault="00DB6945" w:rsidP="00E27E22">
            <w:pPr>
              <w:pStyle w:val="BodyText"/>
              <w:rPr>
                <w:rFonts w:ascii="Arial" w:hAnsi="Arial"/>
                <w:sz w:val="20"/>
                <w:lang w:val="en-CA"/>
              </w:rPr>
            </w:pPr>
          </w:p>
        </w:tc>
        <w:tc>
          <w:tcPr>
            <w:tcW w:w="2210" w:type="dxa"/>
          </w:tcPr>
          <w:p w14:paraId="7CC54FB2" w14:textId="3F45F525" w:rsidR="00DB6945" w:rsidRPr="00956893" w:rsidRDefault="00DB6945" w:rsidP="00E828A4">
            <w:pPr>
              <w:pStyle w:val="BodyText"/>
              <w:jc w:val="center"/>
              <w:rPr>
                <w:rFonts w:ascii="Arial" w:hAnsi="Arial"/>
                <w:sz w:val="20"/>
                <w:lang w:val="en-CA"/>
              </w:rPr>
            </w:pPr>
          </w:p>
        </w:tc>
      </w:tr>
      <w:tr w:rsidR="000C34EF" w:rsidRPr="00C536D3" w14:paraId="32774237" w14:textId="77777777" w:rsidTr="005C3032">
        <w:tc>
          <w:tcPr>
            <w:tcW w:w="2689" w:type="dxa"/>
          </w:tcPr>
          <w:p w14:paraId="7553B2E4" w14:textId="1E95B044" w:rsidR="000C34EF" w:rsidRPr="00956893" w:rsidRDefault="000C34EF" w:rsidP="00C536D3">
            <w:pPr>
              <w:pStyle w:val="BodyText"/>
              <w:rPr>
                <w:rFonts w:ascii="Arial" w:hAnsi="Arial"/>
                <w:sz w:val="20"/>
                <w:lang w:val="en-CA"/>
              </w:rPr>
            </w:pPr>
          </w:p>
        </w:tc>
        <w:tc>
          <w:tcPr>
            <w:tcW w:w="1417" w:type="dxa"/>
          </w:tcPr>
          <w:p w14:paraId="2702C6DF" w14:textId="4AA106FB" w:rsidR="000C34EF" w:rsidRPr="00956893" w:rsidRDefault="000C34EF" w:rsidP="00C4200D">
            <w:pPr>
              <w:pStyle w:val="BodyText"/>
              <w:jc w:val="center"/>
              <w:rPr>
                <w:rFonts w:ascii="Arial" w:hAnsi="Arial"/>
                <w:sz w:val="20"/>
                <w:lang w:val="en-CA"/>
              </w:rPr>
            </w:pPr>
          </w:p>
        </w:tc>
        <w:tc>
          <w:tcPr>
            <w:tcW w:w="3260" w:type="dxa"/>
          </w:tcPr>
          <w:p w14:paraId="30941E2C" w14:textId="5FDA093B" w:rsidR="009D1EC4" w:rsidRPr="00956893" w:rsidRDefault="009D1EC4" w:rsidP="00C536D3">
            <w:pPr>
              <w:pStyle w:val="BodyText"/>
              <w:rPr>
                <w:rFonts w:ascii="Arial" w:hAnsi="Arial"/>
                <w:sz w:val="20"/>
                <w:lang w:val="en-CA"/>
              </w:rPr>
            </w:pPr>
          </w:p>
        </w:tc>
        <w:tc>
          <w:tcPr>
            <w:tcW w:w="2210" w:type="dxa"/>
          </w:tcPr>
          <w:p w14:paraId="3D564A90" w14:textId="279024A1" w:rsidR="000C34EF" w:rsidRPr="00956893" w:rsidRDefault="000C34EF" w:rsidP="009D1EC4">
            <w:pPr>
              <w:pStyle w:val="BodyText"/>
              <w:jc w:val="center"/>
              <w:rPr>
                <w:rFonts w:ascii="Arial" w:hAnsi="Arial"/>
                <w:sz w:val="20"/>
                <w:lang w:val="en-CA"/>
              </w:rPr>
            </w:pPr>
          </w:p>
        </w:tc>
      </w:tr>
      <w:tr w:rsidR="00C536D3" w:rsidRPr="00C536D3" w14:paraId="325834FF" w14:textId="77777777" w:rsidTr="005C3032">
        <w:tc>
          <w:tcPr>
            <w:tcW w:w="2689" w:type="dxa"/>
          </w:tcPr>
          <w:p w14:paraId="36E648A4" w14:textId="2EE49830" w:rsidR="00C536D3" w:rsidRPr="00455AF0" w:rsidRDefault="00C536D3" w:rsidP="00C536D3">
            <w:pPr>
              <w:pStyle w:val="BodyText"/>
              <w:rPr>
                <w:rFonts w:ascii="Arial" w:hAnsi="Arial"/>
                <w:sz w:val="20"/>
                <w:lang w:val="en-CA"/>
              </w:rPr>
            </w:pPr>
          </w:p>
        </w:tc>
        <w:tc>
          <w:tcPr>
            <w:tcW w:w="1417" w:type="dxa"/>
          </w:tcPr>
          <w:p w14:paraId="3B7D9DA9" w14:textId="6F97D573" w:rsidR="00C536D3" w:rsidRPr="00455AF0" w:rsidRDefault="00C536D3" w:rsidP="00C4200D">
            <w:pPr>
              <w:pStyle w:val="BodyText"/>
              <w:jc w:val="center"/>
              <w:rPr>
                <w:rFonts w:ascii="Arial" w:hAnsi="Arial"/>
                <w:sz w:val="20"/>
                <w:lang w:val="en-CA"/>
              </w:rPr>
            </w:pPr>
          </w:p>
        </w:tc>
        <w:tc>
          <w:tcPr>
            <w:tcW w:w="3260" w:type="dxa"/>
          </w:tcPr>
          <w:p w14:paraId="5D162D51" w14:textId="77777777" w:rsidR="00C536D3" w:rsidRPr="00455AF0" w:rsidRDefault="00C536D3" w:rsidP="00C536D3">
            <w:pPr>
              <w:pStyle w:val="BodyText"/>
              <w:rPr>
                <w:rFonts w:ascii="Arial" w:hAnsi="Arial"/>
                <w:sz w:val="20"/>
                <w:lang w:val="en-CA"/>
              </w:rPr>
            </w:pPr>
          </w:p>
        </w:tc>
        <w:tc>
          <w:tcPr>
            <w:tcW w:w="2210" w:type="dxa"/>
          </w:tcPr>
          <w:p w14:paraId="36D55CDC" w14:textId="77777777" w:rsidR="00C536D3" w:rsidRPr="00455AF0" w:rsidRDefault="00C536D3" w:rsidP="00C4200D">
            <w:pPr>
              <w:pStyle w:val="BodyText"/>
              <w:jc w:val="center"/>
              <w:rPr>
                <w:rFonts w:ascii="Arial" w:hAnsi="Arial"/>
                <w:sz w:val="20"/>
                <w:lang w:val="en-CA"/>
              </w:rPr>
            </w:pPr>
          </w:p>
        </w:tc>
      </w:tr>
      <w:tr w:rsidR="00C536D3" w:rsidRPr="00C536D3" w14:paraId="4BFF20AF" w14:textId="77777777" w:rsidTr="00C8431B">
        <w:tc>
          <w:tcPr>
            <w:tcW w:w="7366" w:type="dxa"/>
            <w:gridSpan w:val="3"/>
          </w:tcPr>
          <w:p w14:paraId="7CF5E2A4" w14:textId="77777777" w:rsidR="00C536D3" w:rsidRPr="00455AF0" w:rsidRDefault="00C536D3" w:rsidP="00C536D3">
            <w:pPr>
              <w:pStyle w:val="BodyText"/>
              <w:rPr>
                <w:rFonts w:ascii="Arial" w:hAnsi="Arial"/>
                <w:sz w:val="20"/>
                <w:lang w:val="en-CA"/>
              </w:rPr>
            </w:pPr>
            <w:r w:rsidRPr="00455AF0">
              <w:rPr>
                <w:rFonts w:ascii="Arial" w:hAnsi="Arial"/>
                <w:sz w:val="20"/>
                <w:lang w:val="en-CA"/>
              </w:rPr>
              <w:t>Total dollar value of distribution in all jurisdictions:</w:t>
            </w:r>
          </w:p>
        </w:tc>
        <w:tc>
          <w:tcPr>
            <w:tcW w:w="2210" w:type="dxa"/>
          </w:tcPr>
          <w:p w14:paraId="00049CC7" w14:textId="12AF2336" w:rsidR="00C536D3" w:rsidRPr="00455AF0" w:rsidRDefault="00C536D3" w:rsidP="00C4200D">
            <w:pPr>
              <w:pStyle w:val="BodyText"/>
              <w:jc w:val="center"/>
              <w:rPr>
                <w:rFonts w:ascii="Arial" w:hAnsi="Arial"/>
                <w:sz w:val="20"/>
                <w:lang w:val="en-CA"/>
              </w:rPr>
            </w:pPr>
          </w:p>
        </w:tc>
      </w:tr>
    </w:tbl>
    <w:p w14:paraId="1595C1BB"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EA4133" w14:paraId="366DCA6F" w14:textId="77777777" w:rsidTr="00801F2D">
        <w:trPr>
          <w:trHeight w:val="1965"/>
        </w:trPr>
        <w:tc>
          <w:tcPr>
            <w:tcW w:w="1394" w:type="dxa"/>
          </w:tcPr>
          <w:p w14:paraId="2D35D057" w14:textId="77777777" w:rsidR="00EA4133" w:rsidRDefault="00EA4133">
            <w:pPr>
              <w:pStyle w:val="BodyText"/>
              <w:spacing w:before="0" w:line="280" w:lineRule="exact"/>
              <w:jc w:val="center"/>
              <w:rPr>
                <w:rFonts w:ascii="Arial" w:hAnsi="Arial"/>
                <w:b/>
                <w:sz w:val="20"/>
                <w:lang w:val="en-CA"/>
              </w:rPr>
            </w:pPr>
          </w:p>
          <w:p w14:paraId="0486764C" w14:textId="77777777"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801F2D">
              <w:rPr>
                <w:rFonts w:ascii="Arial" w:hAnsi="Arial"/>
                <w:b/>
                <w:sz w:val="20"/>
                <w:lang w:val="en-CA"/>
              </w:rPr>
              <w:t xml:space="preserve"> </w:t>
            </w:r>
            <w:r w:rsidR="00C536D3">
              <w:rPr>
                <w:rFonts w:ascii="Arial" w:hAnsi="Arial"/>
                <w:b/>
                <w:sz w:val="20"/>
                <w:lang w:val="en-CA"/>
              </w:rPr>
              <w:t>Municipality of Residence</w:t>
            </w:r>
            <w:r>
              <w:rPr>
                <w:rFonts w:ascii="Arial" w:hAnsi="Arial"/>
                <w:b/>
                <w:sz w:val="20"/>
                <w:lang w:val="en-CA"/>
              </w:rPr>
              <w:t xml:space="preserve"> of </w:t>
            </w:r>
            <w:proofErr w:type="spellStart"/>
            <w:r>
              <w:rPr>
                <w:rFonts w:ascii="Arial" w:hAnsi="Arial"/>
                <w:b/>
                <w:sz w:val="20"/>
                <w:lang w:val="en-CA"/>
              </w:rPr>
              <w:t>Placee</w:t>
            </w:r>
            <w:proofErr w:type="spellEnd"/>
          </w:p>
        </w:tc>
        <w:tc>
          <w:tcPr>
            <w:tcW w:w="1376" w:type="dxa"/>
          </w:tcPr>
          <w:p w14:paraId="3574E92C" w14:textId="77777777" w:rsidR="00EA4133" w:rsidRDefault="00EA4133">
            <w:pPr>
              <w:pStyle w:val="BodyText"/>
              <w:spacing w:before="0" w:line="280" w:lineRule="exact"/>
              <w:jc w:val="center"/>
              <w:rPr>
                <w:rFonts w:ascii="Arial" w:hAnsi="Arial"/>
                <w:b/>
                <w:sz w:val="20"/>
                <w:lang w:val="en-CA"/>
              </w:rPr>
            </w:pPr>
          </w:p>
          <w:p w14:paraId="6122133A"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92" w:type="dxa"/>
          </w:tcPr>
          <w:p w14:paraId="73487487" w14:textId="77777777" w:rsidR="00EA4133" w:rsidRDefault="00EA4133">
            <w:pPr>
              <w:pStyle w:val="BodyText"/>
              <w:spacing w:before="0" w:line="280" w:lineRule="exact"/>
              <w:jc w:val="center"/>
              <w:rPr>
                <w:rFonts w:ascii="Arial" w:hAnsi="Arial"/>
                <w:b/>
                <w:sz w:val="20"/>
                <w:lang w:val="en-CA"/>
              </w:rPr>
            </w:pPr>
          </w:p>
          <w:p w14:paraId="3DAB64CA"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76" w:type="dxa"/>
          </w:tcPr>
          <w:p w14:paraId="73467C10" w14:textId="77777777" w:rsidR="00EA4133" w:rsidRDefault="00EA4133">
            <w:pPr>
              <w:pStyle w:val="BodyText"/>
              <w:spacing w:before="0" w:line="280" w:lineRule="exact"/>
              <w:jc w:val="center"/>
              <w:rPr>
                <w:rFonts w:ascii="Arial" w:hAnsi="Arial"/>
                <w:b/>
                <w:sz w:val="20"/>
                <w:lang w:val="en-CA"/>
              </w:rPr>
            </w:pPr>
          </w:p>
          <w:p w14:paraId="7212541E"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14:paraId="4431E8BA"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14:paraId="49B9FBB7"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14:paraId="7EFA74A4" w14:textId="77777777"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76" w:type="dxa"/>
          </w:tcPr>
          <w:p w14:paraId="6959BD9F" w14:textId="77777777" w:rsidR="00EA4133" w:rsidRPr="00E1183A" w:rsidRDefault="00EA4133">
            <w:pPr>
              <w:pStyle w:val="BodyText"/>
              <w:spacing w:before="0" w:line="280" w:lineRule="exact"/>
              <w:jc w:val="center"/>
              <w:rPr>
                <w:rFonts w:ascii="Arial" w:hAnsi="Arial"/>
                <w:b/>
                <w:sz w:val="20"/>
                <w:lang w:val="en-CA"/>
              </w:rPr>
            </w:pPr>
          </w:p>
          <w:p w14:paraId="32CC7B51" w14:textId="77777777" w:rsidR="00EA4133" w:rsidRPr="00E1183A" w:rsidRDefault="00EA4133">
            <w:pPr>
              <w:pStyle w:val="BodyText"/>
              <w:spacing w:before="0" w:line="280" w:lineRule="exact"/>
              <w:jc w:val="center"/>
              <w:rPr>
                <w:rFonts w:ascii="Arial" w:hAnsi="Arial"/>
                <w:b/>
                <w:sz w:val="20"/>
                <w:lang w:val="en-CA"/>
              </w:rPr>
            </w:pPr>
            <w:r w:rsidRPr="00E1183A">
              <w:rPr>
                <w:rFonts w:ascii="Arial" w:hAnsi="Arial"/>
                <w:b/>
                <w:sz w:val="20"/>
                <w:lang w:val="en-CA"/>
              </w:rPr>
              <w:t>Prospectus E</w:t>
            </w:r>
            <w:r w:rsidRPr="00455AF0">
              <w:rPr>
                <w:rFonts w:ascii="Arial" w:hAnsi="Arial"/>
                <w:b/>
                <w:sz w:val="20"/>
                <w:lang w:val="en-CA"/>
              </w:rPr>
              <w:t>xemption</w:t>
            </w:r>
          </w:p>
        </w:tc>
        <w:tc>
          <w:tcPr>
            <w:tcW w:w="1742" w:type="dxa"/>
          </w:tcPr>
          <w:p w14:paraId="69A3A43F" w14:textId="77777777" w:rsidR="00C536D3" w:rsidRPr="00E1183A" w:rsidRDefault="00C536D3" w:rsidP="00C536D3">
            <w:pPr>
              <w:pStyle w:val="BodyText"/>
              <w:spacing w:before="0" w:line="280" w:lineRule="exact"/>
              <w:jc w:val="center"/>
              <w:rPr>
                <w:rFonts w:ascii="Arial" w:hAnsi="Arial"/>
                <w:b/>
                <w:sz w:val="20"/>
              </w:rPr>
            </w:pPr>
          </w:p>
          <w:p w14:paraId="45E0EC36" w14:textId="77777777" w:rsidR="00EA4133" w:rsidRPr="00E1183A" w:rsidRDefault="00C536D3" w:rsidP="00C536D3">
            <w:pPr>
              <w:pStyle w:val="BodyText"/>
              <w:spacing w:before="0" w:line="280" w:lineRule="exact"/>
              <w:jc w:val="center"/>
              <w:rPr>
                <w:rFonts w:ascii="Arial" w:hAnsi="Arial"/>
                <w:b/>
                <w:sz w:val="20"/>
                <w:lang w:val="en-CA"/>
              </w:rPr>
            </w:pPr>
            <w:r w:rsidRPr="00E1183A">
              <w:rPr>
                <w:rFonts w:ascii="Arial" w:hAnsi="Arial"/>
                <w:b/>
                <w:sz w:val="20"/>
              </w:rPr>
              <w:t>Total</w:t>
            </w:r>
            <w:r w:rsidR="00801F2D" w:rsidRPr="00E1183A">
              <w:rPr>
                <w:rFonts w:ascii="Arial" w:hAnsi="Arial"/>
                <w:b/>
                <w:sz w:val="20"/>
              </w:rPr>
              <w:t xml:space="preserve"> </w:t>
            </w:r>
            <w:r w:rsidRPr="00E1183A">
              <w:rPr>
                <w:rFonts w:ascii="Arial" w:hAnsi="Arial"/>
                <w:b/>
                <w:sz w:val="20"/>
              </w:rPr>
              <w:t>Securities</w:t>
            </w:r>
            <w:r w:rsidR="00801F2D" w:rsidRPr="00E1183A">
              <w:rPr>
                <w:rFonts w:ascii="Arial" w:hAnsi="Arial"/>
                <w:b/>
                <w:sz w:val="20"/>
              </w:rPr>
              <w:t xml:space="preserve"> </w:t>
            </w:r>
            <w:r w:rsidRPr="00E1183A">
              <w:rPr>
                <w:rFonts w:ascii="Arial" w:hAnsi="Arial"/>
                <w:b/>
                <w:sz w:val="20"/>
              </w:rPr>
              <w:t>Previously</w:t>
            </w:r>
            <w:r w:rsidR="00EA4133" w:rsidRPr="00E1183A">
              <w:rPr>
                <w:rFonts w:ascii="Arial" w:hAnsi="Arial"/>
                <w:b/>
                <w:sz w:val="20"/>
              </w:rPr>
              <w:t xml:space="preserve"> Owned, Controlled or D</w:t>
            </w:r>
            <w:r w:rsidR="00EA4133" w:rsidRPr="00455AF0">
              <w:rPr>
                <w:rFonts w:ascii="Arial" w:hAnsi="Arial"/>
                <w:b/>
                <w:sz w:val="20"/>
              </w:rPr>
              <w:t>irected</w:t>
            </w:r>
          </w:p>
        </w:tc>
        <w:tc>
          <w:tcPr>
            <w:tcW w:w="1100" w:type="dxa"/>
          </w:tcPr>
          <w:p w14:paraId="60D2BFF6" w14:textId="77777777" w:rsidR="00EA4133" w:rsidRDefault="00EA4133">
            <w:pPr>
              <w:pStyle w:val="BodyText"/>
              <w:spacing w:before="0" w:line="280" w:lineRule="exact"/>
              <w:jc w:val="center"/>
              <w:rPr>
                <w:rFonts w:ascii="Arial" w:hAnsi="Arial"/>
                <w:b/>
                <w:sz w:val="20"/>
                <w:lang w:val="en-CA"/>
              </w:rPr>
            </w:pPr>
          </w:p>
          <w:p w14:paraId="101B333C"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Payment Date</w:t>
            </w:r>
            <w:r>
              <w:rPr>
                <w:rFonts w:ascii="Arial" w:hAnsi="Arial"/>
                <w:b/>
                <w:sz w:val="16"/>
                <w:lang w:val="en-CA"/>
              </w:rPr>
              <w:t>(1)</w:t>
            </w:r>
          </w:p>
        </w:tc>
        <w:tc>
          <w:tcPr>
            <w:tcW w:w="1100" w:type="dxa"/>
          </w:tcPr>
          <w:p w14:paraId="7E8949BA" w14:textId="77777777" w:rsidR="00EA4133" w:rsidRDefault="00EA4133">
            <w:pPr>
              <w:pStyle w:val="BodyText"/>
              <w:spacing w:before="0" w:line="280" w:lineRule="exact"/>
              <w:jc w:val="center"/>
              <w:rPr>
                <w:rFonts w:ascii="Arial" w:hAnsi="Arial"/>
                <w:b/>
                <w:color w:val="000000"/>
                <w:sz w:val="20"/>
                <w:lang w:val="en-CA"/>
              </w:rPr>
            </w:pPr>
          </w:p>
          <w:p w14:paraId="73DE68F7" w14:textId="77777777"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Describe relations</w:t>
            </w:r>
            <w:r w:rsidR="004A1403">
              <w:rPr>
                <w:rFonts w:ascii="Arial" w:hAnsi="Arial"/>
                <w:b/>
                <w:color w:val="000000"/>
                <w:sz w:val="20"/>
                <w:lang w:val="en-CA"/>
              </w:rPr>
              <w:t>-</w:t>
            </w:r>
            <w:r>
              <w:rPr>
                <w:rFonts w:ascii="Arial" w:hAnsi="Arial"/>
                <w:b/>
                <w:color w:val="000000"/>
                <w:sz w:val="20"/>
                <w:lang w:val="en-CA"/>
              </w:rPr>
              <w:t xml:space="preserve">hip to Issuer </w:t>
            </w:r>
            <w:r>
              <w:rPr>
                <w:rFonts w:ascii="Arial" w:hAnsi="Arial"/>
                <w:b/>
                <w:color w:val="000000"/>
                <w:sz w:val="16"/>
                <w:lang w:val="en-CA"/>
              </w:rPr>
              <w:t>(2)</w:t>
            </w:r>
          </w:p>
        </w:tc>
      </w:tr>
      <w:tr w:rsidR="00894990" w14:paraId="2B86BCAB" w14:textId="77777777" w:rsidTr="00801F2D">
        <w:trPr>
          <w:trHeight w:val="864"/>
        </w:trPr>
        <w:tc>
          <w:tcPr>
            <w:tcW w:w="1394" w:type="dxa"/>
          </w:tcPr>
          <w:p w14:paraId="2CFBE429" w14:textId="7C5E8023" w:rsidR="00894990" w:rsidRDefault="00894990" w:rsidP="00894990">
            <w:pPr>
              <w:pStyle w:val="BodyText"/>
              <w:spacing w:before="0" w:line="280" w:lineRule="exact"/>
              <w:jc w:val="center"/>
              <w:rPr>
                <w:rFonts w:ascii="Arial" w:hAnsi="Arial"/>
                <w:sz w:val="20"/>
                <w:lang w:val="en-CA"/>
              </w:rPr>
            </w:pPr>
          </w:p>
        </w:tc>
        <w:tc>
          <w:tcPr>
            <w:tcW w:w="1376" w:type="dxa"/>
          </w:tcPr>
          <w:p w14:paraId="566CB895" w14:textId="26CC0813" w:rsidR="00894990" w:rsidRPr="00801F2D" w:rsidRDefault="00894990" w:rsidP="00894990">
            <w:pPr>
              <w:pStyle w:val="BodyText"/>
              <w:spacing w:before="0" w:line="280" w:lineRule="exact"/>
              <w:jc w:val="center"/>
              <w:rPr>
                <w:rFonts w:ascii="Arial" w:hAnsi="Arial"/>
                <w:bCs/>
                <w:sz w:val="20"/>
                <w:lang w:val="en-CA"/>
              </w:rPr>
            </w:pPr>
          </w:p>
        </w:tc>
        <w:tc>
          <w:tcPr>
            <w:tcW w:w="1192" w:type="dxa"/>
          </w:tcPr>
          <w:p w14:paraId="23F2151B" w14:textId="154F85C8" w:rsidR="00894990" w:rsidRPr="00801F2D" w:rsidRDefault="00894990" w:rsidP="00894990">
            <w:pPr>
              <w:pStyle w:val="BodyText"/>
              <w:spacing w:before="0" w:line="280" w:lineRule="exact"/>
              <w:jc w:val="center"/>
              <w:rPr>
                <w:rFonts w:ascii="Arial" w:hAnsi="Arial"/>
                <w:bCs/>
                <w:sz w:val="20"/>
                <w:lang w:val="en-CA"/>
              </w:rPr>
            </w:pPr>
          </w:p>
        </w:tc>
        <w:tc>
          <w:tcPr>
            <w:tcW w:w="1376" w:type="dxa"/>
          </w:tcPr>
          <w:p w14:paraId="192072A5" w14:textId="04F3BABD" w:rsidR="00894990" w:rsidRPr="00801F2D" w:rsidRDefault="00894990" w:rsidP="00894990">
            <w:pPr>
              <w:pStyle w:val="BodyText"/>
              <w:spacing w:before="0" w:line="280" w:lineRule="exact"/>
              <w:jc w:val="center"/>
              <w:rPr>
                <w:rFonts w:ascii="Arial" w:hAnsi="Arial"/>
                <w:bCs/>
                <w:sz w:val="20"/>
                <w:lang w:val="en-CA"/>
              </w:rPr>
            </w:pPr>
          </w:p>
        </w:tc>
        <w:tc>
          <w:tcPr>
            <w:tcW w:w="1376" w:type="dxa"/>
          </w:tcPr>
          <w:p w14:paraId="0CDAE283" w14:textId="5F764111" w:rsidR="00894990" w:rsidRPr="00455AF0" w:rsidRDefault="00894990" w:rsidP="00894990">
            <w:pPr>
              <w:pStyle w:val="BodyText"/>
              <w:spacing w:before="0" w:line="280" w:lineRule="exact"/>
              <w:jc w:val="center"/>
              <w:rPr>
                <w:rFonts w:ascii="Arial" w:hAnsi="Arial"/>
                <w:bCs/>
                <w:sz w:val="20"/>
                <w:lang w:val="en-US"/>
              </w:rPr>
            </w:pPr>
          </w:p>
        </w:tc>
        <w:tc>
          <w:tcPr>
            <w:tcW w:w="1742" w:type="dxa"/>
          </w:tcPr>
          <w:p w14:paraId="44306267" w14:textId="6417ED33" w:rsidR="00894990" w:rsidRPr="00894990" w:rsidRDefault="00894990" w:rsidP="00894990">
            <w:pPr>
              <w:pStyle w:val="BodyText"/>
              <w:spacing w:before="0" w:line="280" w:lineRule="exact"/>
              <w:jc w:val="center"/>
              <w:rPr>
                <w:rFonts w:ascii="Arial" w:hAnsi="Arial"/>
                <w:bCs/>
                <w:sz w:val="20"/>
              </w:rPr>
            </w:pPr>
          </w:p>
        </w:tc>
        <w:tc>
          <w:tcPr>
            <w:tcW w:w="1100" w:type="dxa"/>
          </w:tcPr>
          <w:p w14:paraId="0F3BE6B5" w14:textId="1D5BC16B" w:rsidR="00894990" w:rsidRPr="00894990" w:rsidRDefault="00894990" w:rsidP="00894990">
            <w:pPr>
              <w:pStyle w:val="BodyText"/>
              <w:spacing w:before="0" w:line="280" w:lineRule="exact"/>
              <w:jc w:val="center"/>
              <w:rPr>
                <w:rFonts w:ascii="Arial" w:hAnsi="Arial"/>
                <w:bCs/>
                <w:sz w:val="20"/>
                <w:lang w:val="en-CA"/>
              </w:rPr>
            </w:pPr>
          </w:p>
        </w:tc>
        <w:tc>
          <w:tcPr>
            <w:tcW w:w="1100" w:type="dxa"/>
          </w:tcPr>
          <w:p w14:paraId="080E66B4" w14:textId="63E683D0" w:rsidR="00894990" w:rsidRPr="00894990" w:rsidRDefault="00894990" w:rsidP="00894990">
            <w:pPr>
              <w:pStyle w:val="BodyText"/>
              <w:spacing w:before="0" w:line="280" w:lineRule="exact"/>
              <w:jc w:val="center"/>
              <w:rPr>
                <w:rFonts w:ascii="Arial" w:hAnsi="Arial"/>
                <w:bCs/>
                <w:color w:val="000000"/>
                <w:sz w:val="20"/>
                <w:lang w:val="en-CA"/>
              </w:rPr>
            </w:pPr>
          </w:p>
        </w:tc>
      </w:tr>
      <w:tr w:rsidR="00894990" w14:paraId="61982E82" w14:textId="77777777" w:rsidTr="00801F2D">
        <w:trPr>
          <w:trHeight w:val="864"/>
        </w:trPr>
        <w:tc>
          <w:tcPr>
            <w:tcW w:w="1394" w:type="dxa"/>
          </w:tcPr>
          <w:p w14:paraId="6B00A537" w14:textId="786A92D7" w:rsidR="00894990" w:rsidRPr="00A90670" w:rsidRDefault="00894990" w:rsidP="00894990">
            <w:pPr>
              <w:pStyle w:val="BodyText"/>
              <w:spacing w:before="0" w:line="280" w:lineRule="exact"/>
              <w:jc w:val="center"/>
              <w:rPr>
                <w:rFonts w:ascii="Arial" w:hAnsi="Arial"/>
                <w:sz w:val="20"/>
                <w:lang w:val="en-CA"/>
              </w:rPr>
            </w:pPr>
          </w:p>
        </w:tc>
        <w:tc>
          <w:tcPr>
            <w:tcW w:w="1376" w:type="dxa"/>
          </w:tcPr>
          <w:p w14:paraId="12CF188F" w14:textId="3E1CF833" w:rsidR="00894990" w:rsidRPr="00801F2D" w:rsidRDefault="00894990" w:rsidP="00894990">
            <w:pPr>
              <w:pStyle w:val="BodyText"/>
              <w:spacing w:before="0" w:line="280" w:lineRule="exact"/>
              <w:jc w:val="center"/>
              <w:rPr>
                <w:rFonts w:ascii="Arial" w:hAnsi="Arial"/>
                <w:bCs/>
                <w:sz w:val="20"/>
                <w:lang w:val="en-CA"/>
              </w:rPr>
            </w:pPr>
          </w:p>
        </w:tc>
        <w:tc>
          <w:tcPr>
            <w:tcW w:w="1192" w:type="dxa"/>
          </w:tcPr>
          <w:p w14:paraId="2DEDD6E1" w14:textId="545AE556" w:rsidR="00894990" w:rsidRPr="00801F2D" w:rsidRDefault="00894990" w:rsidP="00894990">
            <w:pPr>
              <w:pStyle w:val="BodyText"/>
              <w:spacing w:before="0" w:line="280" w:lineRule="exact"/>
              <w:jc w:val="center"/>
              <w:rPr>
                <w:rFonts w:ascii="Arial" w:hAnsi="Arial"/>
                <w:bCs/>
                <w:sz w:val="20"/>
                <w:lang w:val="en-CA"/>
              </w:rPr>
            </w:pPr>
          </w:p>
        </w:tc>
        <w:tc>
          <w:tcPr>
            <w:tcW w:w="1376" w:type="dxa"/>
          </w:tcPr>
          <w:p w14:paraId="185940AB" w14:textId="03364753" w:rsidR="00894990" w:rsidRPr="00801F2D" w:rsidRDefault="00894990" w:rsidP="00894990">
            <w:pPr>
              <w:pStyle w:val="BodyText"/>
              <w:spacing w:before="0" w:line="280" w:lineRule="exact"/>
              <w:jc w:val="center"/>
              <w:rPr>
                <w:rFonts w:ascii="Arial" w:hAnsi="Arial"/>
                <w:bCs/>
                <w:sz w:val="20"/>
                <w:lang w:val="en-CA"/>
              </w:rPr>
            </w:pPr>
          </w:p>
        </w:tc>
        <w:tc>
          <w:tcPr>
            <w:tcW w:w="1376" w:type="dxa"/>
          </w:tcPr>
          <w:p w14:paraId="3312AC2D" w14:textId="7DCED7B5" w:rsidR="00894990" w:rsidRPr="00455AF0" w:rsidRDefault="00894990" w:rsidP="00455AF0">
            <w:pPr>
              <w:jc w:val="center"/>
              <w:rPr>
                <w:rFonts w:ascii="Arial" w:hAnsi="Arial" w:cs="Arial"/>
                <w:sz w:val="22"/>
                <w:szCs w:val="22"/>
              </w:rPr>
            </w:pPr>
          </w:p>
        </w:tc>
        <w:tc>
          <w:tcPr>
            <w:tcW w:w="1742" w:type="dxa"/>
          </w:tcPr>
          <w:p w14:paraId="6E63FBD5" w14:textId="0CB45934" w:rsidR="00894990" w:rsidRPr="00894990" w:rsidRDefault="00894990" w:rsidP="00894990">
            <w:pPr>
              <w:pStyle w:val="BodyText"/>
              <w:spacing w:before="0" w:line="280" w:lineRule="exact"/>
              <w:jc w:val="center"/>
              <w:rPr>
                <w:rFonts w:ascii="Arial" w:hAnsi="Arial"/>
                <w:bCs/>
                <w:sz w:val="20"/>
              </w:rPr>
            </w:pPr>
          </w:p>
        </w:tc>
        <w:tc>
          <w:tcPr>
            <w:tcW w:w="1100" w:type="dxa"/>
          </w:tcPr>
          <w:p w14:paraId="0CC11125" w14:textId="12777AF2" w:rsidR="00894990" w:rsidRPr="00894990" w:rsidRDefault="00894990" w:rsidP="00894990">
            <w:pPr>
              <w:pStyle w:val="BodyText"/>
              <w:spacing w:before="0" w:line="280" w:lineRule="exact"/>
              <w:jc w:val="center"/>
              <w:rPr>
                <w:rFonts w:ascii="Arial" w:hAnsi="Arial"/>
                <w:bCs/>
                <w:sz w:val="20"/>
                <w:lang w:val="en-CA"/>
              </w:rPr>
            </w:pPr>
          </w:p>
        </w:tc>
        <w:tc>
          <w:tcPr>
            <w:tcW w:w="1100" w:type="dxa"/>
          </w:tcPr>
          <w:p w14:paraId="65BB682B" w14:textId="5066CA9B" w:rsidR="00894990" w:rsidRPr="00894990" w:rsidRDefault="00894990" w:rsidP="00894990">
            <w:pPr>
              <w:pStyle w:val="BodyText"/>
              <w:spacing w:before="0" w:line="280" w:lineRule="exact"/>
              <w:jc w:val="center"/>
              <w:rPr>
                <w:rFonts w:ascii="Arial" w:hAnsi="Arial"/>
                <w:bCs/>
                <w:color w:val="000000"/>
                <w:sz w:val="20"/>
                <w:lang w:val="en-CA"/>
              </w:rPr>
            </w:pPr>
          </w:p>
        </w:tc>
      </w:tr>
    </w:tbl>
    <w:p w14:paraId="263D18DB" w14:textId="77777777" w:rsidR="00795AB3" w:rsidRDefault="00801F2D" w:rsidP="001A4CC9">
      <w:pPr>
        <w:pStyle w:val="Default"/>
        <w:numPr>
          <w:ilvl w:val="0"/>
          <w:numId w:val="20"/>
        </w:numPr>
        <w:spacing w:before="120"/>
        <w:ind w:left="446" w:hanging="360"/>
        <w:rPr>
          <w:sz w:val="20"/>
          <w:szCs w:val="20"/>
        </w:rPr>
      </w:pPr>
      <w:r>
        <w:rPr>
          <w:sz w:val="20"/>
          <w:szCs w:val="20"/>
        </w:rPr>
        <w:t xml:space="preserve">Indicate date each </w:t>
      </w:r>
      <w:proofErr w:type="spellStart"/>
      <w:r>
        <w:rPr>
          <w:sz w:val="20"/>
          <w:szCs w:val="20"/>
        </w:rPr>
        <w:t>placee</w:t>
      </w:r>
      <w:proofErr w:type="spellEnd"/>
      <w:r>
        <w:rPr>
          <w:sz w:val="20"/>
          <w:szCs w:val="20"/>
        </w:rPr>
        <w:t xml:space="preserve"> advanced or is expected to advance payment for securities. Provide details of expected payment date, conditions to release of funds etc. Indicate if the placement funds been placed in trust pending receipt of all necessary approvals.</w:t>
      </w:r>
    </w:p>
    <w:p w14:paraId="10EF450E" w14:textId="77777777" w:rsidR="00801F2D" w:rsidRDefault="00801F2D" w:rsidP="00795AB3">
      <w:pPr>
        <w:pStyle w:val="Default"/>
        <w:numPr>
          <w:ilvl w:val="0"/>
          <w:numId w:val="20"/>
        </w:numPr>
        <w:ind w:left="450" w:hanging="360"/>
        <w:rPr>
          <w:sz w:val="20"/>
          <w:szCs w:val="20"/>
        </w:rPr>
      </w:pPr>
      <w:r>
        <w:rPr>
          <w:sz w:val="20"/>
          <w:szCs w:val="20"/>
        </w:rPr>
        <w:t xml:space="preserve">Indicate if Related Person. </w:t>
      </w:r>
    </w:p>
    <w:p w14:paraId="4638E61A" w14:textId="77777777" w:rsidR="00801F2D" w:rsidRDefault="00801F2D">
      <w:pPr>
        <w:pStyle w:val="FootnoteText"/>
        <w:rPr>
          <w:rFonts w:ascii="Arial" w:hAnsi="Arial" w:cs="Arial"/>
          <w:vertAlign w:val="superscript"/>
        </w:rPr>
      </w:pPr>
    </w:p>
    <w:p w14:paraId="0FE0603F" w14:textId="77777777"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2DD8FA79" w14:textId="43B9A22B"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774F50">
        <w:rPr>
          <w:rFonts w:ascii="Arial" w:hAnsi="Arial"/>
          <w:u w:val="single"/>
        </w:rPr>
        <w:t>N/A</w:t>
      </w:r>
      <w:r w:rsidR="001D301B">
        <w:rPr>
          <w:rFonts w:ascii="Arial" w:hAnsi="Arial"/>
          <w:u w:val="single"/>
        </w:rPr>
        <w:tab/>
      </w:r>
      <w:r>
        <w:rPr>
          <w:rFonts w:ascii="Arial" w:hAnsi="Arial"/>
        </w:rPr>
        <w:t>.</w:t>
      </w:r>
    </w:p>
    <w:p w14:paraId="29F91175" w14:textId="77777777" w:rsidR="004574A9" w:rsidRDefault="00EA4133" w:rsidP="00795AB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p>
    <w:p w14:paraId="1C6D28EB" w14:textId="77777777" w:rsidR="00EB51F7" w:rsidRDefault="004574A9" w:rsidP="00EB51F7">
      <w:pPr>
        <w:spacing w:line="360" w:lineRule="auto"/>
        <w:rPr>
          <w:rFonts w:ascii="Arial" w:hAnsi="Arial"/>
        </w:rPr>
      </w:pPr>
      <w:r>
        <w:rPr>
          <w:rFonts w:ascii="Arial" w:hAnsi="Arial"/>
        </w:rPr>
        <w:tab/>
      </w:r>
    </w:p>
    <w:p w14:paraId="780DC686" w14:textId="7BDCFF4A" w:rsidR="00795AB3" w:rsidRPr="00FB4F24" w:rsidRDefault="00EB51F7" w:rsidP="00FB4F24">
      <w:pPr>
        <w:spacing w:line="360" w:lineRule="auto"/>
        <w:rPr>
          <w:rFonts w:asciiTheme="minorBidi" w:hAnsiTheme="minorBidi" w:cstheme="minorBidi"/>
          <w:color w:val="000000"/>
          <w:lang w:val="en-CA" w:eastAsia="zh-CN"/>
        </w:rPr>
      </w:pPr>
      <w:r>
        <w:rPr>
          <w:rFonts w:ascii="Arial" w:hAnsi="Arial"/>
        </w:rPr>
        <w:tab/>
      </w:r>
    </w:p>
    <w:p w14:paraId="43860953" w14:textId="74297D3A" w:rsidR="00EA4133" w:rsidRDefault="00EA4133">
      <w:pPr>
        <w:pStyle w:val="BodyText"/>
        <w:numPr>
          <w:ilvl w:val="0"/>
          <w:numId w:val="10"/>
        </w:numPr>
        <w:tabs>
          <w:tab w:val="left" w:pos="9180"/>
        </w:tabs>
        <w:rPr>
          <w:rFonts w:ascii="Arial" w:hAnsi="Arial"/>
        </w:rPr>
      </w:pPr>
      <w:r w:rsidRPr="002727D6">
        <w:rPr>
          <w:rFonts w:ascii="Arial" w:hAnsi="Arial"/>
        </w:rPr>
        <w:lastRenderedPageBreak/>
        <w:t>Provide particulars of any proceeds which are to be paid to Related Persons of the Issuer:</w:t>
      </w:r>
      <w:r w:rsidR="00B25A15">
        <w:rPr>
          <w:rFonts w:ascii="Arial" w:hAnsi="Arial"/>
        </w:rPr>
        <w:t xml:space="preserve"> </w:t>
      </w:r>
      <w:r w:rsidR="004574A9" w:rsidRPr="004574A9">
        <w:rPr>
          <w:rFonts w:ascii="Arial" w:hAnsi="Arial"/>
          <w:u w:val="single"/>
        </w:rPr>
        <w:t>N/A</w:t>
      </w:r>
      <w:r w:rsidR="00B25A15">
        <w:rPr>
          <w:rFonts w:ascii="Arial" w:hAnsi="Arial"/>
          <w:u w:val="single"/>
        </w:rPr>
        <w:tab/>
      </w:r>
      <w:r>
        <w:rPr>
          <w:rFonts w:ascii="Arial" w:hAnsi="Arial"/>
        </w:rPr>
        <w:t>.</w:t>
      </w:r>
    </w:p>
    <w:p w14:paraId="08209EBB" w14:textId="1BB2B021" w:rsidR="00EA4133" w:rsidRDefault="00EA4133">
      <w:pPr>
        <w:pStyle w:val="BodyText"/>
        <w:numPr>
          <w:ilvl w:val="0"/>
          <w:numId w:val="10"/>
        </w:numPr>
        <w:tabs>
          <w:tab w:val="left" w:pos="9180"/>
        </w:tabs>
        <w:rPr>
          <w:rFonts w:ascii="Arial" w:hAnsi="Arial"/>
        </w:rPr>
      </w:pPr>
      <w:r>
        <w:rPr>
          <w:rFonts w:ascii="Arial" w:hAnsi="Arial"/>
        </w:rPr>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r w:rsidR="00795AB3">
        <w:rPr>
          <w:rFonts w:ascii="Arial" w:hAnsi="Arial"/>
        </w:rPr>
        <w:t xml:space="preserve"> </w:t>
      </w:r>
      <w:r w:rsidR="004574A9" w:rsidRPr="004574A9">
        <w:rPr>
          <w:rFonts w:ascii="Arial" w:hAnsi="Arial"/>
          <w:u w:val="single"/>
        </w:rPr>
        <w:t>N/A</w:t>
      </w:r>
      <w:r w:rsidR="001D301B">
        <w:rPr>
          <w:rFonts w:ascii="Arial" w:hAnsi="Arial"/>
          <w:u w:val="single"/>
        </w:rPr>
        <w:tab/>
      </w:r>
      <w:r w:rsidR="00795AB3">
        <w:rPr>
          <w:rFonts w:ascii="Arial" w:hAnsi="Arial"/>
          <w:u w:val="single"/>
        </w:rPr>
        <w:t>.</w:t>
      </w:r>
    </w:p>
    <w:p w14:paraId="66761CC9" w14:textId="77777777" w:rsidR="00EA4133" w:rsidRDefault="00EA4133">
      <w:pPr>
        <w:pStyle w:val="BodyText"/>
        <w:numPr>
          <w:ilvl w:val="0"/>
          <w:numId w:val="10"/>
        </w:numPr>
        <w:tabs>
          <w:tab w:val="left" w:pos="9180"/>
        </w:tabs>
        <w:rPr>
          <w:rFonts w:ascii="Arial" w:hAnsi="Arial"/>
        </w:rPr>
      </w:pPr>
      <w:r>
        <w:rPr>
          <w:rFonts w:ascii="Arial" w:hAnsi="Arial"/>
        </w:rPr>
        <w:t>Description of securities to be issued:</w:t>
      </w:r>
      <w:r w:rsidR="00F867FB">
        <w:rPr>
          <w:rFonts w:ascii="Arial" w:hAnsi="Arial"/>
        </w:rPr>
        <w:t xml:space="preserve"> </w:t>
      </w:r>
    </w:p>
    <w:p w14:paraId="75082769" w14:textId="6996E7AD" w:rsidR="00E859D0" w:rsidRDefault="00EA4133" w:rsidP="00E859D0">
      <w:pPr>
        <w:pStyle w:val="BodyText"/>
        <w:keepNext/>
        <w:keepLines/>
        <w:tabs>
          <w:tab w:val="left" w:pos="1080"/>
          <w:tab w:val="left" w:pos="1440"/>
          <w:tab w:val="left" w:pos="2160"/>
          <w:tab w:val="left" w:pos="9180"/>
        </w:tabs>
        <w:rPr>
          <w:rFonts w:ascii="Arial" w:hAnsi="Arial"/>
        </w:rPr>
      </w:pPr>
      <w:r>
        <w:rPr>
          <w:rFonts w:ascii="Arial" w:hAnsi="Arial"/>
        </w:rPr>
        <w:tab/>
      </w:r>
      <w:r w:rsidR="00E859D0">
        <w:rPr>
          <w:rFonts w:ascii="Arial" w:hAnsi="Arial"/>
        </w:rPr>
        <w:t>(a)</w:t>
      </w:r>
      <w:r w:rsidR="00E859D0">
        <w:rPr>
          <w:rFonts w:ascii="Arial" w:hAnsi="Arial"/>
        </w:rPr>
        <w:tab/>
      </w:r>
      <w:r w:rsidR="00E859D0">
        <w:rPr>
          <w:rFonts w:ascii="Arial" w:hAnsi="Arial"/>
        </w:rPr>
        <w:tab/>
        <w:t xml:space="preserve">Class  </w:t>
      </w:r>
      <w:r w:rsidR="00774F50">
        <w:rPr>
          <w:rFonts w:ascii="Arial" w:hAnsi="Arial"/>
          <w:u w:val="single"/>
        </w:rPr>
        <w:t>N/A</w:t>
      </w:r>
      <w:r w:rsidR="00E859D0">
        <w:rPr>
          <w:rFonts w:ascii="Arial" w:hAnsi="Arial"/>
        </w:rPr>
        <w:t xml:space="preserve"> .</w:t>
      </w:r>
    </w:p>
    <w:p w14:paraId="54DCD045" w14:textId="11684456" w:rsidR="00E859D0" w:rsidRDefault="00E859D0" w:rsidP="00E859D0">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sidR="00774F50">
        <w:rPr>
          <w:rFonts w:ascii="Arial" w:hAnsi="Arial"/>
          <w:u w:val="single"/>
        </w:rPr>
        <w:t>N/A</w:t>
      </w:r>
      <w:r>
        <w:rPr>
          <w:rFonts w:ascii="Arial" w:hAnsi="Arial"/>
        </w:rPr>
        <w:t xml:space="preserve"> </w:t>
      </w:r>
    </w:p>
    <w:p w14:paraId="362EBAE9" w14:textId="0FE6FEAC" w:rsidR="00E859D0" w:rsidRPr="00E859D0" w:rsidRDefault="00E859D0" w:rsidP="00E859D0">
      <w:pPr>
        <w:pStyle w:val="BodyText"/>
        <w:tabs>
          <w:tab w:val="left" w:pos="1080"/>
          <w:tab w:val="left" w:pos="1440"/>
          <w:tab w:val="left" w:pos="2160"/>
          <w:tab w:val="left" w:pos="9180"/>
        </w:tabs>
        <w:rPr>
          <w:rFonts w:ascii="Arial" w:hAnsi="Arial"/>
          <w:u w:val="single"/>
        </w:rPr>
      </w:pPr>
      <w:r>
        <w:rPr>
          <w:rFonts w:ascii="Arial" w:hAnsi="Arial"/>
        </w:rPr>
        <w:tab/>
        <w:t>(c)</w:t>
      </w:r>
      <w:r>
        <w:rPr>
          <w:rFonts w:ascii="Arial" w:hAnsi="Arial"/>
        </w:rPr>
        <w:tab/>
      </w:r>
      <w:r>
        <w:rPr>
          <w:rFonts w:ascii="Arial" w:hAnsi="Arial"/>
        </w:rPr>
        <w:tab/>
        <w:t>Price per security</w:t>
      </w:r>
      <w:r w:rsidRPr="00774F50">
        <w:rPr>
          <w:rFonts w:ascii="Arial" w:hAnsi="Arial"/>
          <w:u w:val="single"/>
        </w:rPr>
        <w:t xml:space="preserve"> </w:t>
      </w:r>
      <w:r w:rsidR="00774F50" w:rsidRPr="00774F50">
        <w:rPr>
          <w:rFonts w:ascii="Arial" w:hAnsi="Arial"/>
          <w:u w:val="single"/>
        </w:rPr>
        <w:t>N/A</w:t>
      </w:r>
      <w:r>
        <w:rPr>
          <w:rFonts w:ascii="Arial" w:hAnsi="Arial"/>
          <w:u w:val="single"/>
        </w:rPr>
        <w:t xml:space="preserve">                                    </w:t>
      </w:r>
    </w:p>
    <w:p w14:paraId="39C5604D" w14:textId="6F794887" w:rsidR="00E859D0" w:rsidRPr="00EE05EF" w:rsidRDefault="00E859D0" w:rsidP="00E859D0">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00774F50">
        <w:rPr>
          <w:rFonts w:ascii="Arial" w:hAnsi="Arial"/>
          <w:u w:val="single"/>
        </w:rPr>
        <w:t>N/A</w:t>
      </w:r>
      <w:r>
        <w:rPr>
          <w:rFonts w:ascii="Arial" w:hAnsi="Arial"/>
        </w:rPr>
        <w:t>.</w:t>
      </w:r>
    </w:p>
    <w:p w14:paraId="142AFF7D" w14:textId="640C33C6" w:rsidR="00EA4133" w:rsidRPr="00687115" w:rsidRDefault="00EA4133" w:rsidP="00E859D0">
      <w:pPr>
        <w:pStyle w:val="BodyText"/>
        <w:keepNext/>
        <w:keepLines/>
        <w:tabs>
          <w:tab w:val="left" w:pos="1080"/>
          <w:tab w:val="left" w:pos="1440"/>
          <w:tab w:val="left" w:pos="2160"/>
          <w:tab w:val="left" w:pos="9180"/>
        </w:tabs>
        <w:ind w:left="2160" w:hanging="2160"/>
        <w:rPr>
          <w:rFonts w:ascii="Arial" w:hAnsi="Arial"/>
          <w:u w:val="single"/>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r w:rsidR="00687115">
        <w:rPr>
          <w:rFonts w:ascii="Arial" w:hAnsi="Arial"/>
        </w:rPr>
        <w:t xml:space="preserve"> </w:t>
      </w:r>
    </w:p>
    <w:p w14:paraId="50982418" w14:textId="090F11B5" w:rsidR="00692260" w:rsidRDefault="00774F50" w:rsidP="00692260">
      <w:pPr>
        <w:pStyle w:val="BodyText"/>
        <w:numPr>
          <w:ilvl w:val="0"/>
          <w:numId w:val="11"/>
        </w:numPr>
        <w:tabs>
          <w:tab w:val="left" w:pos="1080"/>
          <w:tab w:val="left" w:pos="2160"/>
          <w:tab w:val="left" w:pos="9180"/>
        </w:tabs>
        <w:rPr>
          <w:rFonts w:ascii="Arial" w:hAnsi="Arial"/>
        </w:rPr>
      </w:pPr>
      <w:r w:rsidRPr="00774F50">
        <w:rPr>
          <w:rFonts w:ascii="Arial" w:hAnsi="Arial"/>
          <w:u w:val="single"/>
        </w:rPr>
        <w:t>N/A</w:t>
      </w:r>
      <w:r w:rsidR="001D301B">
        <w:rPr>
          <w:rFonts w:ascii="Arial" w:hAnsi="Arial"/>
          <w:u w:val="single"/>
        </w:rPr>
        <w:tab/>
      </w:r>
      <w:r w:rsidR="00692260">
        <w:rPr>
          <w:rFonts w:ascii="Arial" w:hAnsi="Arial"/>
        </w:rPr>
        <w:t>.</w:t>
      </w:r>
    </w:p>
    <w:p w14:paraId="77AD83B5" w14:textId="2226F91D" w:rsidR="00EA4133" w:rsidRPr="005F4DF9" w:rsidRDefault="00EA4133" w:rsidP="00692260">
      <w:pPr>
        <w:pStyle w:val="List"/>
        <w:numPr>
          <w:ilvl w:val="0"/>
          <w:numId w:val="11"/>
        </w:numPr>
        <w:tabs>
          <w:tab w:val="left" w:pos="1440"/>
          <w:tab w:val="left" w:pos="2160"/>
          <w:tab w:val="left" w:pos="9270"/>
        </w:tabs>
        <w:rPr>
          <w:rFonts w:ascii="Arial" w:hAnsi="Arial"/>
        </w:rPr>
      </w:pPr>
      <w:r w:rsidRPr="005F4DF9">
        <w:rPr>
          <w:rFonts w:ascii="Arial" w:hAnsi="Arial"/>
        </w:rPr>
        <w:tab/>
        <w:t xml:space="preserve">Number of securities eligible to be purchased on exercise of </w:t>
      </w:r>
      <w:r w:rsidR="00C536D3" w:rsidRPr="005F4DF9">
        <w:rPr>
          <w:rFonts w:ascii="Arial" w:hAnsi="Arial"/>
        </w:rPr>
        <w:t>w</w:t>
      </w:r>
      <w:r w:rsidRPr="005F4DF9">
        <w:rPr>
          <w:rFonts w:ascii="Arial" w:hAnsi="Arial"/>
        </w:rPr>
        <w:t>arrants (or options)</w:t>
      </w:r>
      <w:r w:rsidR="001D301B">
        <w:rPr>
          <w:rFonts w:ascii="Arial" w:hAnsi="Arial"/>
          <w:u w:val="single"/>
        </w:rPr>
        <w:tab/>
      </w:r>
      <w:r w:rsidR="00F867FB">
        <w:rPr>
          <w:rFonts w:ascii="Arial" w:hAnsi="Arial"/>
        </w:rPr>
        <w:t>.</w:t>
      </w:r>
    </w:p>
    <w:p w14:paraId="56A2B289" w14:textId="18EE7F9C" w:rsidR="00EA4133" w:rsidRDefault="00EA4133" w:rsidP="00692260">
      <w:pPr>
        <w:pStyle w:val="List"/>
        <w:tabs>
          <w:tab w:val="left" w:pos="1440"/>
          <w:tab w:val="left" w:pos="2160"/>
          <w:tab w:val="left" w:pos="9270"/>
        </w:tabs>
        <w:rPr>
          <w:rFonts w:ascii="Arial" w:hAnsi="Arial"/>
        </w:rPr>
      </w:pPr>
      <w:r>
        <w:rPr>
          <w:rFonts w:ascii="Arial" w:hAnsi="Arial"/>
        </w:rPr>
        <w:tab/>
        <w:t>(c)</w:t>
      </w:r>
      <w:r>
        <w:rPr>
          <w:rFonts w:ascii="Arial" w:hAnsi="Arial"/>
        </w:rPr>
        <w:tab/>
      </w:r>
      <w:r>
        <w:rPr>
          <w:rFonts w:ascii="Arial" w:hAnsi="Arial"/>
        </w:rPr>
        <w:tab/>
        <w:t>Exercise price</w:t>
      </w:r>
      <w:r w:rsidR="005F4DF9">
        <w:rPr>
          <w:rFonts w:ascii="Arial" w:hAnsi="Arial"/>
        </w:rPr>
        <w:t xml:space="preserve"> </w:t>
      </w:r>
      <w:r w:rsidR="001D301B">
        <w:rPr>
          <w:rFonts w:ascii="Arial" w:hAnsi="Arial"/>
          <w:u w:val="single"/>
        </w:rPr>
        <w:tab/>
      </w:r>
      <w:r>
        <w:rPr>
          <w:rFonts w:ascii="Arial" w:hAnsi="Arial"/>
        </w:rPr>
        <w:t>.</w:t>
      </w:r>
    </w:p>
    <w:p w14:paraId="3AA80E4E" w14:textId="10A251FA" w:rsidR="00EA4133" w:rsidRDefault="00EA4133" w:rsidP="00692260">
      <w:pPr>
        <w:pStyle w:val="List"/>
        <w:tabs>
          <w:tab w:val="left" w:pos="1440"/>
          <w:tab w:val="left" w:pos="2160"/>
          <w:tab w:val="left" w:pos="9270"/>
        </w:tabs>
        <w:rPr>
          <w:rFonts w:ascii="Arial" w:hAnsi="Arial"/>
        </w:rPr>
      </w:pPr>
      <w:r>
        <w:rPr>
          <w:rFonts w:ascii="Arial" w:hAnsi="Arial"/>
        </w:rPr>
        <w:tab/>
        <w:t xml:space="preserve">(d) </w:t>
      </w:r>
      <w:r>
        <w:rPr>
          <w:rFonts w:ascii="Arial" w:hAnsi="Arial"/>
        </w:rPr>
        <w:tab/>
        <w:t>Expiry</w:t>
      </w:r>
      <w:r w:rsidR="004574A9">
        <w:rPr>
          <w:rFonts w:ascii="Arial" w:hAnsi="Arial"/>
        </w:rPr>
        <w:t>:</w:t>
      </w:r>
      <w:r w:rsidR="001D301B">
        <w:rPr>
          <w:rFonts w:ascii="Arial" w:hAnsi="Arial"/>
          <w:u w:val="single"/>
        </w:rPr>
        <w:tab/>
      </w:r>
      <w:r>
        <w:rPr>
          <w:rFonts w:ascii="Arial" w:hAnsi="Arial"/>
        </w:rPr>
        <w:t>.</w:t>
      </w:r>
    </w:p>
    <w:p w14:paraId="5C39ACB0" w14:textId="574A1737" w:rsidR="00EA4133" w:rsidRPr="001325F5" w:rsidRDefault="00EA4133" w:rsidP="001D301B">
      <w:pPr>
        <w:pStyle w:val="Heading2"/>
        <w:numPr>
          <w:ilvl w:val="0"/>
          <w:numId w:val="10"/>
        </w:numPr>
        <w:tabs>
          <w:tab w:val="left" w:pos="1440"/>
          <w:tab w:val="left" w:pos="2160"/>
          <w:tab w:val="left" w:pos="9270"/>
        </w:tabs>
        <w:rPr>
          <w:b w:val="0"/>
          <w:bCs/>
          <w:sz w:val="24"/>
          <w:szCs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r w:rsidR="00C4200D">
        <w:rPr>
          <w:b w:val="0"/>
          <w:sz w:val="24"/>
        </w:rPr>
        <w:t xml:space="preserve"> </w:t>
      </w:r>
      <w:r w:rsidR="00005062">
        <w:rPr>
          <w:b w:val="0"/>
          <w:sz w:val="24"/>
        </w:rPr>
        <w:t xml:space="preserve"> </w:t>
      </w:r>
      <w:r w:rsidR="00005062" w:rsidRPr="00455AF0">
        <w:rPr>
          <w:b w:val="0"/>
          <w:sz w:val="24"/>
          <w:u w:val="single"/>
        </w:rPr>
        <w:t>N/A</w:t>
      </w:r>
      <w:r w:rsidR="001D301B">
        <w:rPr>
          <w:b w:val="0"/>
          <w:sz w:val="24"/>
          <w:u w:val="single"/>
        </w:rPr>
        <w:tab/>
      </w:r>
      <w:r w:rsidR="001D301B">
        <w:rPr>
          <w:rFonts w:cs="Arial"/>
          <w:b w:val="0"/>
          <w:bCs/>
          <w:sz w:val="24"/>
          <w:szCs w:val="24"/>
        </w:rPr>
        <w:t>.</w:t>
      </w:r>
    </w:p>
    <w:p w14:paraId="2BA2BA6C" w14:textId="77777777"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sidR="001325F5">
        <w:rPr>
          <w:rFonts w:ascii="Arial" w:hAnsi="Arial"/>
          <w:u w:val="single"/>
        </w:rPr>
        <w:tab/>
      </w:r>
      <w:r w:rsidR="00C4200D">
        <w:rPr>
          <w:rFonts w:ascii="Arial" w:hAnsi="Arial"/>
        </w:rPr>
        <w:t>.</w:t>
      </w:r>
      <w:r w:rsidR="00C4200D">
        <w:rPr>
          <w:rFonts w:ascii="Arial" w:hAnsi="Arial"/>
        </w:rPr>
        <w:tab/>
      </w:r>
    </w:p>
    <w:p w14:paraId="1CD69CF3" w14:textId="77777777"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Maturity date</w:t>
      </w:r>
      <w:r w:rsidR="001325F5">
        <w:rPr>
          <w:rFonts w:ascii="Arial" w:hAnsi="Arial"/>
        </w:rPr>
        <w:t xml:space="preserve"> </w:t>
      </w:r>
      <w:r w:rsidR="001325F5">
        <w:rPr>
          <w:rFonts w:ascii="Arial" w:hAnsi="Arial"/>
          <w:u w:val="single"/>
        </w:rPr>
        <w:tab/>
      </w:r>
      <w:r>
        <w:rPr>
          <w:rFonts w:ascii="Arial" w:hAnsi="Arial"/>
        </w:rPr>
        <w:t>.</w:t>
      </w:r>
    </w:p>
    <w:p w14:paraId="704FD657"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Interest rate</w:t>
      </w:r>
      <w:r w:rsidR="001325F5">
        <w:rPr>
          <w:rFonts w:ascii="Arial" w:hAnsi="Arial"/>
        </w:rPr>
        <w:t xml:space="preserve"> </w:t>
      </w:r>
      <w:r w:rsidR="001325F5">
        <w:rPr>
          <w:rFonts w:ascii="Arial" w:hAnsi="Arial"/>
          <w:u w:val="single"/>
        </w:rPr>
        <w:tab/>
      </w:r>
      <w:r>
        <w:rPr>
          <w:rFonts w:ascii="Arial" w:hAnsi="Arial"/>
        </w:rPr>
        <w:t>.</w:t>
      </w:r>
    </w:p>
    <w:p w14:paraId="41DEAD0F" w14:textId="77777777" w:rsidR="00EA4133" w:rsidRPr="001325F5" w:rsidRDefault="00EA4133" w:rsidP="00692260">
      <w:pPr>
        <w:pStyle w:val="BodyText"/>
        <w:tabs>
          <w:tab w:val="left" w:pos="1080"/>
          <w:tab w:val="left" w:pos="1440"/>
          <w:tab w:val="left" w:pos="2160"/>
          <w:tab w:val="left" w:pos="9180"/>
        </w:tabs>
        <w:ind w:left="2160" w:hanging="2160"/>
        <w:rPr>
          <w:rFonts w:ascii="Arial" w:hAnsi="Arial"/>
        </w:rPr>
      </w:pPr>
      <w:r>
        <w:rPr>
          <w:rFonts w:ascii="Arial" w:hAnsi="Arial"/>
        </w:rPr>
        <w:tab/>
        <w:t xml:space="preserve">(d) </w:t>
      </w:r>
      <w:r>
        <w:rPr>
          <w:rFonts w:ascii="Arial" w:hAnsi="Arial"/>
        </w:rPr>
        <w:tab/>
        <w:t>Conversion terms</w:t>
      </w:r>
      <w:r w:rsidR="001325F5">
        <w:rPr>
          <w:rFonts w:ascii="Arial" w:hAnsi="Arial"/>
        </w:rPr>
        <w:t xml:space="preserve"> </w:t>
      </w:r>
      <w:r w:rsidR="001325F5">
        <w:rPr>
          <w:rFonts w:ascii="Arial" w:hAnsi="Arial"/>
          <w:u w:val="single"/>
        </w:rPr>
        <w:tab/>
      </w:r>
      <w:r w:rsidR="001325F5">
        <w:rPr>
          <w:rFonts w:ascii="Arial" w:hAnsi="Arial"/>
        </w:rPr>
        <w:t>.</w:t>
      </w:r>
    </w:p>
    <w:p w14:paraId="16A1F031" w14:textId="77777777" w:rsidR="00EA4133" w:rsidRDefault="00EA4133" w:rsidP="00692260">
      <w:pPr>
        <w:pStyle w:val="BodyText"/>
        <w:tabs>
          <w:tab w:val="left" w:pos="1080"/>
          <w:tab w:val="left" w:pos="1440"/>
          <w:tab w:val="left" w:pos="2160"/>
          <w:tab w:val="left" w:pos="9180"/>
        </w:tabs>
        <w:ind w:left="2160" w:hanging="2160"/>
        <w:rPr>
          <w:rFonts w:ascii="Arial" w:hAnsi="Arial"/>
        </w:rPr>
      </w:pPr>
      <w:r>
        <w:rPr>
          <w:rFonts w:ascii="Arial" w:hAnsi="Arial"/>
        </w:rPr>
        <w:tab/>
        <w:t xml:space="preserve">(e) </w:t>
      </w:r>
      <w:r>
        <w:rPr>
          <w:rFonts w:ascii="Arial" w:hAnsi="Arial"/>
        </w:rPr>
        <w:tab/>
        <w:t>Default provisions</w:t>
      </w:r>
      <w:r w:rsidR="001325F5">
        <w:rPr>
          <w:rFonts w:ascii="Arial" w:hAnsi="Arial"/>
        </w:rPr>
        <w:t xml:space="preserve"> </w:t>
      </w:r>
      <w:r w:rsidR="001325F5">
        <w:rPr>
          <w:rFonts w:ascii="Arial" w:hAnsi="Arial"/>
          <w:u w:val="single"/>
        </w:rPr>
        <w:tab/>
      </w:r>
      <w:r>
        <w:rPr>
          <w:rFonts w:ascii="Arial" w:hAnsi="Arial"/>
        </w:rPr>
        <w:t>.</w:t>
      </w:r>
    </w:p>
    <w:p w14:paraId="5D88562D" w14:textId="77777777"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r w:rsidR="005F4DF9">
        <w:rPr>
          <w:rFonts w:ascii="Arial" w:hAnsi="Arial"/>
        </w:rPr>
        <w:t xml:space="preserve"> </w:t>
      </w:r>
    </w:p>
    <w:p w14:paraId="601BFEDF" w14:textId="2EBF27C8" w:rsidR="00005062" w:rsidRDefault="00EA4133" w:rsidP="0004554A">
      <w:pPr>
        <w:pStyle w:val="List"/>
        <w:numPr>
          <w:ilvl w:val="0"/>
          <w:numId w:val="22"/>
        </w:numPr>
        <w:tabs>
          <w:tab w:val="left" w:pos="2160"/>
          <w:tab w:val="left" w:pos="9180"/>
        </w:tabs>
        <w:jc w:val="both"/>
        <w:rPr>
          <w:rFonts w:ascii="Arial" w:hAnsi="Arial"/>
        </w:rPr>
      </w:pPr>
      <w:r>
        <w:rPr>
          <w:rFonts w:ascii="Arial" w:hAnsi="Arial"/>
        </w:rPr>
        <w:t>Details of any dealer, agent, broker or other person receiving compensation in connection with the placement (name</w:t>
      </w:r>
      <w:r w:rsidR="00C536D3">
        <w:rPr>
          <w:rFonts w:ascii="Arial" w:hAnsi="Arial"/>
        </w:rPr>
        <w:t>, and i</w:t>
      </w:r>
      <w:r>
        <w:rPr>
          <w:rFonts w:ascii="Arial" w:hAnsi="Arial"/>
        </w:rPr>
        <w:t xml:space="preserve">f a corporation, identify persons owning or exercising voting control over 20% or more of the voting shares if known to the Issuer): </w:t>
      </w:r>
    </w:p>
    <w:p w14:paraId="1B46015F" w14:textId="77777777" w:rsidR="0004554A" w:rsidRPr="00005062" w:rsidRDefault="0004554A">
      <w:pPr>
        <w:pStyle w:val="List"/>
        <w:tabs>
          <w:tab w:val="left" w:pos="2160"/>
          <w:tab w:val="left" w:pos="9180"/>
        </w:tabs>
        <w:ind w:left="2160" w:firstLine="0"/>
        <w:jc w:val="both"/>
        <w:rPr>
          <w:rFonts w:ascii="Arial" w:hAnsi="Arial"/>
          <w:u w:val="single"/>
        </w:rPr>
      </w:pPr>
      <w:r w:rsidRPr="00005062">
        <w:rPr>
          <w:rFonts w:ascii="Arial" w:hAnsi="Arial"/>
          <w:u w:val="single"/>
        </w:rPr>
        <w:lastRenderedPageBreak/>
        <w:tab/>
        <w:t>.</w:t>
      </w:r>
    </w:p>
    <w:p w14:paraId="67AF54C7" w14:textId="41BAFC91"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r>
      <w:r w:rsidR="004574A9">
        <w:rPr>
          <w:rFonts w:ascii="Arial" w:hAnsi="Arial"/>
          <w:u w:val="single"/>
        </w:rPr>
        <w:t xml:space="preserve"> </w:t>
      </w:r>
      <w:r w:rsidR="0004554A">
        <w:rPr>
          <w:rFonts w:ascii="Arial" w:hAnsi="Arial"/>
          <w:u w:val="single"/>
        </w:rPr>
        <w:tab/>
      </w:r>
      <w:r>
        <w:rPr>
          <w:rFonts w:ascii="Arial" w:hAnsi="Arial"/>
        </w:rPr>
        <w:t>.</w:t>
      </w:r>
    </w:p>
    <w:p w14:paraId="4C544A22" w14:textId="3D7827EF"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Securities</w:t>
      </w:r>
      <w:r w:rsidR="001D301B">
        <w:rPr>
          <w:rFonts w:ascii="Arial" w:hAnsi="Arial"/>
          <w:u w:val="single"/>
        </w:rPr>
        <w:tab/>
      </w:r>
      <w:r>
        <w:rPr>
          <w:rFonts w:ascii="Arial" w:hAnsi="Arial"/>
        </w:rPr>
        <w:t>.</w:t>
      </w:r>
    </w:p>
    <w:p w14:paraId="58ACCD25" w14:textId="263C0241"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1D301B">
        <w:rPr>
          <w:rFonts w:ascii="Arial" w:hAnsi="Arial"/>
          <w:u w:val="single"/>
        </w:rPr>
        <w:tab/>
      </w:r>
      <w:r>
        <w:rPr>
          <w:rFonts w:ascii="Arial" w:hAnsi="Arial"/>
        </w:rPr>
        <w:t>.</w:t>
      </w:r>
    </w:p>
    <w:p w14:paraId="7846F9A0" w14:textId="0FC38812"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r>
      <w:r w:rsidR="0019678A">
        <w:rPr>
          <w:rFonts w:ascii="Arial" w:hAnsi="Arial"/>
        </w:rPr>
        <w:t>Expiry date of any options</w:t>
      </w:r>
      <w:r>
        <w:rPr>
          <w:rFonts w:ascii="Arial" w:hAnsi="Arial"/>
        </w:rPr>
        <w:t xml:space="preserve"> warrants etc. </w:t>
      </w:r>
      <w:r w:rsidR="001D301B">
        <w:rPr>
          <w:rFonts w:ascii="Arial" w:hAnsi="Arial"/>
          <w:u w:val="single"/>
        </w:rPr>
        <w:tab/>
      </w:r>
      <w:r>
        <w:rPr>
          <w:rFonts w:ascii="Arial" w:hAnsi="Arial"/>
        </w:rPr>
        <w:t>.</w:t>
      </w:r>
    </w:p>
    <w:p w14:paraId="55E372A0" w14:textId="5B47C279"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Exercise price of any options, warrants etc.</w:t>
      </w:r>
      <w:r w:rsidR="001D301B">
        <w:rPr>
          <w:rFonts w:ascii="Arial" w:hAnsi="Arial"/>
          <w:u w:val="single"/>
        </w:rPr>
        <w:tab/>
      </w:r>
      <w:r>
        <w:rPr>
          <w:rFonts w:ascii="Arial" w:hAnsi="Arial"/>
        </w:rPr>
        <w:t>.</w:t>
      </w:r>
    </w:p>
    <w:p w14:paraId="11B13593" w14:textId="77777777" w:rsidR="00EA4133" w:rsidRDefault="00EA4133">
      <w:pPr>
        <w:pStyle w:val="List"/>
        <w:numPr>
          <w:ilvl w:val="0"/>
          <w:numId w:val="10"/>
        </w:numPr>
        <w:tabs>
          <w:tab w:val="left" w:pos="9180"/>
        </w:tabs>
        <w:jc w:val="both"/>
        <w:rPr>
          <w:rFonts w:ascii="Arial" w:hAnsi="Arial"/>
        </w:rPr>
      </w:pPr>
      <w:r>
        <w:rPr>
          <w:rFonts w:ascii="Arial" w:hAnsi="Arial"/>
        </w:rPr>
        <w:t>State whether the sales agent, broker, dealer or other person receiving compensation in connection with the placement is Related Person or has any other relationship with the Issuer and provide details of the relationship</w:t>
      </w:r>
      <w:r w:rsidR="00F80968">
        <w:rPr>
          <w:rFonts w:ascii="Arial" w:hAnsi="Arial"/>
        </w:rPr>
        <w:t>.</w:t>
      </w:r>
      <w:r>
        <w:rPr>
          <w:rFonts w:ascii="Arial" w:hAnsi="Arial"/>
        </w:rPr>
        <w:t xml:space="preserve"> </w:t>
      </w:r>
    </w:p>
    <w:p w14:paraId="56610CE3" w14:textId="72735683" w:rsidR="00EA4133" w:rsidRDefault="004574A9" w:rsidP="005F4DF9">
      <w:pPr>
        <w:pStyle w:val="List"/>
        <w:tabs>
          <w:tab w:val="left" w:pos="1080"/>
          <w:tab w:val="left" w:pos="9180"/>
        </w:tabs>
        <w:ind w:firstLine="0"/>
        <w:jc w:val="both"/>
        <w:rPr>
          <w:rFonts w:ascii="Arial" w:hAnsi="Arial"/>
        </w:rPr>
      </w:pPr>
      <w:r>
        <w:rPr>
          <w:rFonts w:ascii="Arial" w:hAnsi="Arial"/>
          <w:u w:val="single"/>
        </w:rPr>
        <w:t>N/A</w:t>
      </w:r>
      <w:r w:rsidR="0004554A">
        <w:rPr>
          <w:rFonts w:ascii="Arial" w:hAnsi="Arial"/>
          <w:u w:val="single"/>
        </w:rPr>
        <w:tab/>
      </w:r>
      <w:r w:rsidR="00D87164" w:rsidRPr="00D87164">
        <w:rPr>
          <w:rFonts w:ascii="Arial" w:hAnsi="Arial"/>
          <w:u w:val="single"/>
        </w:rPr>
        <w:t>.</w:t>
      </w:r>
      <w:r w:rsidR="00D87164">
        <w:rPr>
          <w:rFonts w:ascii="Arial" w:hAnsi="Arial"/>
        </w:rPr>
        <w:t xml:space="preserve"> </w:t>
      </w:r>
    </w:p>
    <w:p w14:paraId="0F916A12" w14:textId="1409E560" w:rsidR="00E859D0" w:rsidRPr="00E859D0" w:rsidRDefault="00EA4133" w:rsidP="00E859D0">
      <w:pPr>
        <w:pStyle w:val="List"/>
        <w:numPr>
          <w:ilvl w:val="0"/>
          <w:numId w:val="10"/>
        </w:numPr>
        <w:rPr>
          <w:rFonts w:ascii="Arial" w:hAnsi="Arial"/>
        </w:rPr>
      </w:pPr>
      <w:r>
        <w:rPr>
          <w:rFonts w:ascii="Arial" w:hAnsi="Arial"/>
        </w:rPr>
        <w:t>Describe any unusual particulars of the transaction (i.e. tax “flow through” shares, etc.).</w:t>
      </w:r>
    </w:p>
    <w:p w14:paraId="5C3E52B7" w14:textId="6DB9419A" w:rsidR="00EA4133" w:rsidRDefault="00774F50" w:rsidP="00774F50">
      <w:pPr>
        <w:pStyle w:val="List"/>
        <w:tabs>
          <w:tab w:val="left" w:pos="1080"/>
          <w:tab w:val="left" w:pos="9180"/>
        </w:tabs>
        <w:ind w:firstLine="0"/>
        <w:jc w:val="both"/>
        <w:rPr>
          <w:rFonts w:ascii="Arial" w:hAnsi="Arial"/>
        </w:rPr>
      </w:pPr>
      <w:r>
        <w:rPr>
          <w:rFonts w:ascii="Arial" w:hAnsi="Arial"/>
          <w:u w:val="single"/>
        </w:rPr>
        <w:t>N/A</w:t>
      </w:r>
      <w:r w:rsidR="00E859D0" w:rsidRPr="0070428A">
        <w:rPr>
          <w:rFonts w:ascii="Arial" w:hAnsi="Arial"/>
          <w:u w:val="single"/>
        </w:rPr>
        <w:t xml:space="preserve">  </w:t>
      </w:r>
      <w:r w:rsidR="0004554A">
        <w:rPr>
          <w:rFonts w:ascii="Arial" w:hAnsi="Arial"/>
          <w:u w:val="single"/>
        </w:rPr>
        <w:t xml:space="preserve">   </w:t>
      </w:r>
      <w:r>
        <w:rPr>
          <w:rFonts w:ascii="Arial" w:hAnsi="Arial"/>
          <w:u w:val="single"/>
        </w:rPr>
        <w:tab/>
      </w:r>
    </w:p>
    <w:p w14:paraId="5DF80D05" w14:textId="77777777" w:rsidR="00EA4133" w:rsidRDefault="00EA4133">
      <w:pPr>
        <w:pStyle w:val="List"/>
        <w:numPr>
          <w:ilvl w:val="0"/>
          <w:numId w:val="10"/>
        </w:numPr>
        <w:rPr>
          <w:rFonts w:ascii="Arial" w:hAnsi="Arial"/>
        </w:rPr>
      </w:pPr>
      <w:r>
        <w:rPr>
          <w:rFonts w:ascii="Arial" w:hAnsi="Arial"/>
        </w:rPr>
        <w:t>State whether the private placement will result in a change of control.</w:t>
      </w:r>
    </w:p>
    <w:p w14:paraId="10187128" w14:textId="63C59576" w:rsidR="00EA4133" w:rsidRDefault="004574A9" w:rsidP="00C4200D">
      <w:pPr>
        <w:pStyle w:val="List"/>
        <w:tabs>
          <w:tab w:val="left" w:pos="1080"/>
          <w:tab w:val="left" w:pos="9180"/>
        </w:tabs>
        <w:ind w:firstLine="0"/>
        <w:jc w:val="both"/>
        <w:rPr>
          <w:rFonts w:ascii="Arial" w:hAnsi="Arial"/>
        </w:rPr>
      </w:pPr>
      <w:r>
        <w:rPr>
          <w:rFonts w:ascii="Arial" w:hAnsi="Arial"/>
          <w:u w:val="single"/>
        </w:rPr>
        <w:t>N/A</w:t>
      </w:r>
      <w:r w:rsidR="001D301B">
        <w:rPr>
          <w:rFonts w:ascii="Arial" w:hAnsi="Arial"/>
          <w:u w:val="single"/>
        </w:rPr>
        <w:tab/>
      </w:r>
      <w:r w:rsidR="00EA4133">
        <w:rPr>
          <w:rFonts w:ascii="Arial" w:hAnsi="Arial"/>
        </w:rPr>
        <w:t>.</w:t>
      </w:r>
    </w:p>
    <w:p w14:paraId="14B9B412" w14:textId="77777777" w:rsidR="00EA4133" w:rsidRDefault="00EA4133">
      <w:pPr>
        <w:pStyle w:val="List"/>
        <w:tabs>
          <w:tab w:val="left" w:pos="9180"/>
        </w:tabs>
        <w:spacing w:before="0"/>
        <w:jc w:val="both"/>
        <w:rPr>
          <w:rFonts w:ascii="Arial" w:hAnsi="Arial"/>
        </w:rPr>
      </w:pPr>
    </w:p>
    <w:p w14:paraId="333DD448" w14:textId="60229B28" w:rsidR="00EA4133" w:rsidRPr="00C4200D" w:rsidRDefault="00EA4133" w:rsidP="00C4200D">
      <w:pPr>
        <w:pStyle w:val="List"/>
        <w:numPr>
          <w:ilvl w:val="0"/>
          <w:numId w:val="10"/>
        </w:numPr>
        <w:tabs>
          <w:tab w:val="left" w:pos="1080"/>
          <w:tab w:val="left" w:pos="9180"/>
        </w:tabs>
        <w:spacing w:before="0"/>
        <w:jc w:val="both"/>
        <w:rPr>
          <w:rFonts w:ascii="Arial" w:hAnsi="Arial"/>
        </w:rPr>
      </w:pPr>
      <w:r w:rsidRPr="00C4200D">
        <w:rPr>
          <w:rFonts w:ascii="Arial" w:hAnsi="Arial"/>
        </w:rPr>
        <w:t xml:space="preserve">Where there is a change in the control of the Issuer resulting from the issuance of the private placement shares, indicate the names of the new controlling shareholders.  </w:t>
      </w:r>
      <w:r w:rsidR="008D0DE7" w:rsidRPr="00455AF0">
        <w:rPr>
          <w:rFonts w:ascii="Arial" w:hAnsi="Arial"/>
          <w:u w:val="single"/>
        </w:rPr>
        <w:t>N/A</w:t>
      </w:r>
      <w:r w:rsidR="001D301B">
        <w:rPr>
          <w:rFonts w:ascii="Arial" w:hAnsi="Arial"/>
          <w:u w:val="single"/>
        </w:rPr>
        <w:tab/>
      </w:r>
      <w:r w:rsidRPr="00C4200D">
        <w:rPr>
          <w:rFonts w:ascii="Arial" w:hAnsi="Arial"/>
        </w:rPr>
        <w:t>.</w:t>
      </w:r>
    </w:p>
    <w:p w14:paraId="66059B68"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14:paraId="0027C90A" w14:textId="77777777" w:rsidR="00EA4133" w:rsidRDefault="00EA4133" w:rsidP="00C4200D">
      <w:pPr>
        <w:pStyle w:val="List"/>
        <w:numPr>
          <w:ilvl w:val="0"/>
          <w:numId w:val="10"/>
        </w:numPr>
        <w:spacing w:before="0"/>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14:paraId="11583976" w14:textId="77777777" w:rsidR="003C6D7E" w:rsidRDefault="003C6D7E">
      <w:pPr>
        <w:rPr>
          <w:rFonts w:ascii="Arial" w:hAnsi="Arial"/>
          <w:b/>
          <w:color w:val="000000"/>
          <w:sz w:val="24"/>
          <w:lang w:val="en-GB"/>
        </w:rPr>
      </w:pPr>
      <w:r>
        <w:rPr>
          <w:rFonts w:ascii="Arial" w:hAnsi="Arial"/>
          <w:b/>
          <w:color w:val="000000"/>
        </w:rPr>
        <w:br w:type="page"/>
      </w:r>
    </w:p>
    <w:p w14:paraId="00A11986" w14:textId="77777777" w:rsidR="00EA4133" w:rsidRDefault="0035331C">
      <w:pPr>
        <w:pStyle w:val="BodyText"/>
        <w:tabs>
          <w:tab w:val="left" w:pos="1080"/>
          <w:tab w:val="left" w:pos="4230"/>
        </w:tabs>
        <w:rPr>
          <w:rFonts w:ascii="Arial" w:hAnsi="Arial"/>
          <w:color w:val="000000"/>
        </w:rPr>
      </w:pPr>
      <w:r>
        <w:rPr>
          <w:rFonts w:ascii="Arial" w:hAnsi="Arial"/>
          <w:b/>
          <w:color w:val="000000"/>
        </w:rPr>
        <w:lastRenderedPageBreak/>
        <w:t xml:space="preserve">Part </w:t>
      </w:r>
      <w:r w:rsidR="00EA4133">
        <w:rPr>
          <w:rFonts w:ascii="Arial" w:hAnsi="Arial"/>
          <w:b/>
          <w:color w:val="000000"/>
        </w:rPr>
        <w:t>2.</w:t>
      </w:r>
      <w:r w:rsidR="00EA4133">
        <w:rPr>
          <w:rFonts w:ascii="Arial" w:hAnsi="Arial"/>
          <w:b/>
          <w:color w:val="000000"/>
        </w:rPr>
        <w:tab/>
        <w:t>Acquisition</w:t>
      </w:r>
      <w:r w:rsidR="00C4200D">
        <w:rPr>
          <w:rFonts w:ascii="Arial" w:hAnsi="Arial"/>
          <w:b/>
          <w:color w:val="000000"/>
        </w:rPr>
        <w:t xml:space="preserve">  </w:t>
      </w:r>
    </w:p>
    <w:p w14:paraId="3F5CC742" w14:textId="77777777" w:rsidR="00EA4133" w:rsidRDefault="00EA4133">
      <w:pPr>
        <w:pStyle w:val="List"/>
        <w:tabs>
          <w:tab w:val="left" w:pos="9180"/>
        </w:tabs>
        <w:spacing w:before="0"/>
        <w:ind w:left="0" w:firstLine="0"/>
        <w:jc w:val="both"/>
        <w:rPr>
          <w:rFonts w:ascii="Arial" w:hAnsi="Arial"/>
          <w:color w:val="000000"/>
        </w:rPr>
      </w:pPr>
    </w:p>
    <w:p w14:paraId="64BB5750" w14:textId="425A4AFA" w:rsidR="00774F50" w:rsidRPr="00774F50" w:rsidRDefault="00EA4133" w:rsidP="0073202F">
      <w:pPr>
        <w:pStyle w:val="List"/>
        <w:numPr>
          <w:ilvl w:val="0"/>
          <w:numId w:val="14"/>
        </w:numPr>
        <w:tabs>
          <w:tab w:val="clear" w:pos="360"/>
          <w:tab w:val="num" w:pos="1080"/>
          <w:tab w:val="left" w:pos="9180"/>
        </w:tabs>
        <w:spacing w:before="0"/>
        <w:ind w:left="1080" w:hanging="1080"/>
        <w:jc w:val="both"/>
        <w:rPr>
          <w:rFonts w:ascii="Arial" w:hAnsi="Arial"/>
          <w:color w:val="000000"/>
        </w:rPr>
      </w:pPr>
      <w:r w:rsidRPr="0073202F">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sidRPr="00774F50">
        <w:rPr>
          <w:rFonts w:ascii="Arial" w:hAnsi="Arial" w:cs="Arial"/>
          <w:color w:val="000000"/>
          <w:sz w:val="22"/>
          <w:szCs w:val="22"/>
        </w:rPr>
        <w:t xml:space="preserve"> </w:t>
      </w:r>
    </w:p>
    <w:p w14:paraId="1CFB2B78" w14:textId="77777777" w:rsidR="00774F50" w:rsidRPr="00774F50" w:rsidRDefault="00774F50" w:rsidP="00774F50">
      <w:pPr>
        <w:pStyle w:val="List"/>
        <w:tabs>
          <w:tab w:val="left" w:pos="9180"/>
        </w:tabs>
        <w:spacing w:before="0"/>
        <w:ind w:firstLine="0"/>
        <w:jc w:val="both"/>
        <w:rPr>
          <w:rFonts w:ascii="Arial" w:hAnsi="Arial"/>
          <w:color w:val="000000"/>
        </w:rPr>
      </w:pPr>
    </w:p>
    <w:p w14:paraId="655506FF" w14:textId="6EBA29CF" w:rsidR="0073202F" w:rsidRPr="00023D8B" w:rsidRDefault="00774F50" w:rsidP="006F51BF">
      <w:pPr>
        <w:pStyle w:val="List"/>
        <w:tabs>
          <w:tab w:val="left" w:pos="1080"/>
          <w:tab w:val="left" w:pos="9180"/>
        </w:tabs>
        <w:spacing w:before="0"/>
        <w:ind w:firstLine="0"/>
        <w:jc w:val="both"/>
        <w:rPr>
          <w:color w:val="000000"/>
          <w:sz w:val="22"/>
          <w:szCs w:val="22"/>
        </w:rPr>
      </w:pPr>
      <w:r w:rsidRPr="006F51BF">
        <w:rPr>
          <w:color w:val="000000"/>
          <w:sz w:val="23"/>
          <w:szCs w:val="23"/>
        </w:rPr>
        <w:t>T</w:t>
      </w:r>
      <w:r w:rsidRPr="00023D8B">
        <w:rPr>
          <w:color w:val="000000"/>
          <w:sz w:val="22"/>
          <w:szCs w:val="22"/>
        </w:rPr>
        <w:t xml:space="preserve">he Company intends </w:t>
      </w:r>
      <w:r w:rsidRPr="00023D8B">
        <w:rPr>
          <w:w w:val="110"/>
          <w:sz w:val="22"/>
          <w:szCs w:val="22"/>
        </w:rPr>
        <w:t xml:space="preserve">to </w:t>
      </w:r>
      <w:r w:rsidRPr="00023D8B">
        <w:rPr>
          <w:spacing w:val="-6"/>
          <w:w w:val="110"/>
          <w:sz w:val="22"/>
          <w:szCs w:val="22"/>
        </w:rPr>
        <w:t xml:space="preserve">acquire </w:t>
      </w:r>
      <w:r w:rsidRPr="00023D8B">
        <w:rPr>
          <w:w w:val="110"/>
          <w:sz w:val="22"/>
          <w:szCs w:val="22"/>
        </w:rPr>
        <w:t xml:space="preserve">a </w:t>
      </w:r>
      <w:r w:rsidRPr="00023D8B">
        <w:rPr>
          <w:spacing w:val="-5"/>
          <w:w w:val="110"/>
          <w:sz w:val="22"/>
          <w:szCs w:val="22"/>
        </w:rPr>
        <w:t xml:space="preserve">100% interest </w:t>
      </w:r>
      <w:r w:rsidRPr="00023D8B">
        <w:rPr>
          <w:spacing w:val="-6"/>
          <w:w w:val="110"/>
          <w:sz w:val="22"/>
          <w:szCs w:val="22"/>
        </w:rPr>
        <w:t xml:space="preserve">in </w:t>
      </w:r>
      <w:r w:rsidRPr="00023D8B">
        <w:rPr>
          <w:spacing w:val="-11"/>
          <w:w w:val="110"/>
          <w:sz w:val="22"/>
          <w:szCs w:val="22"/>
        </w:rPr>
        <w:t xml:space="preserve">mining </w:t>
      </w:r>
      <w:r w:rsidRPr="00023D8B">
        <w:rPr>
          <w:spacing w:val="-7"/>
          <w:w w:val="110"/>
          <w:sz w:val="22"/>
          <w:szCs w:val="22"/>
        </w:rPr>
        <w:t xml:space="preserve">claims </w:t>
      </w:r>
      <w:r w:rsidRPr="00023D8B">
        <w:rPr>
          <w:spacing w:val="-4"/>
          <w:w w:val="110"/>
          <w:sz w:val="22"/>
          <w:szCs w:val="22"/>
        </w:rPr>
        <w:t xml:space="preserve">located </w:t>
      </w:r>
      <w:r w:rsidRPr="00023D8B">
        <w:rPr>
          <w:spacing w:val="-8"/>
          <w:w w:val="110"/>
          <w:sz w:val="22"/>
          <w:szCs w:val="22"/>
        </w:rPr>
        <w:t xml:space="preserve">near </w:t>
      </w:r>
      <w:r w:rsidRPr="00023D8B">
        <w:rPr>
          <w:w w:val="110"/>
          <w:sz w:val="22"/>
          <w:szCs w:val="22"/>
        </w:rPr>
        <w:t xml:space="preserve">its </w:t>
      </w:r>
      <w:r w:rsidRPr="00023D8B">
        <w:rPr>
          <w:spacing w:val="-9"/>
          <w:w w:val="110"/>
          <w:sz w:val="22"/>
          <w:szCs w:val="22"/>
        </w:rPr>
        <w:t xml:space="preserve">Augustus </w:t>
      </w:r>
      <w:r w:rsidRPr="00023D8B">
        <w:rPr>
          <w:spacing w:val="-8"/>
          <w:w w:val="110"/>
          <w:sz w:val="22"/>
          <w:szCs w:val="22"/>
        </w:rPr>
        <w:t xml:space="preserve">Lithium </w:t>
      </w:r>
      <w:r w:rsidRPr="00023D8B">
        <w:rPr>
          <w:spacing w:val="-3"/>
          <w:w w:val="110"/>
          <w:sz w:val="22"/>
          <w:szCs w:val="22"/>
        </w:rPr>
        <w:t xml:space="preserve">Property </w:t>
      </w:r>
      <w:r w:rsidRPr="00023D8B">
        <w:rPr>
          <w:spacing w:val="-4"/>
          <w:w w:val="110"/>
          <w:sz w:val="22"/>
          <w:szCs w:val="22"/>
        </w:rPr>
        <w:t xml:space="preserve">in </w:t>
      </w:r>
      <w:proofErr w:type="spellStart"/>
      <w:r w:rsidRPr="00023D8B">
        <w:rPr>
          <w:spacing w:val="-9"/>
          <w:w w:val="110"/>
          <w:sz w:val="22"/>
          <w:szCs w:val="22"/>
        </w:rPr>
        <w:t>Landrienne</w:t>
      </w:r>
      <w:proofErr w:type="spellEnd"/>
      <w:r w:rsidRPr="00023D8B">
        <w:rPr>
          <w:spacing w:val="-9"/>
          <w:w w:val="110"/>
          <w:sz w:val="22"/>
          <w:szCs w:val="22"/>
        </w:rPr>
        <w:t xml:space="preserve"> </w:t>
      </w:r>
      <w:r w:rsidRPr="00023D8B">
        <w:rPr>
          <w:w w:val="110"/>
          <w:sz w:val="22"/>
          <w:szCs w:val="22"/>
        </w:rPr>
        <w:t xml:space="preserve">&amp; </w:t>
      </w:r>
      <w:proofErr w:type="spellStart"/>
      <w:r w:rsidRPr="00023D8B">
        <w:rPr>
          <w:spacing w:val="-7"/>
          <w:w w:val="110"/>
          <w:sz w:val="22"/>
          <w:szCs w:val="22"/>
        </w:rPr>
        <w:t>Lacorne</w:t>
      </w:r>
      <w:proofErr w:type="spellEnd"/>
      <w:r w:rsidRPr="00023D8B">
        <w:rPr>
          <w:spacing w:val="-7"/>
          <w:w w:val="110"/>
          <w:sz w:val="22"/>
          <w:szCs w:val="22"/>
        </w:rPr>
        <w:t xml:space="preserve">-Townships, </w:t>
      </w:r>
      <w:r w:rsidRPr="00023D8B">
        <w:rPr>
          <w:spacing w:val="-6"/>
          <w:w w:val="110"/>
          <w:sz w:val="22"/>
          <w:szCs w:val="22"/>
        </w:rPr>
        <w:t xml:space="preserve">Quebec, </w:t>
      </w:r>
      <w:r w:rsidRPr="00023D8B">
        <w:rPr>
          <w:spacing w:val="-8"/>
          <w:w w:val="110"/>
          <w:sz w:val="22"/>
          <w:szCs w:val="22"/>
        </w:rPr>
        <w:t>Canada.</w:t>
      </w:r>
      <w:r w:rsidRPr="00023D8B">
        <w:rPr>
          <w:rFonts w:eastAsia="Arial Narrow"/>
          <w:spacing w:val="-9"/>
          <w:w w:val="110"/>
          <w:sz w:val="22"/>
          <w:szCs w:val="22"/>
          <w:lang w:val="en-US"/>
        </w:rPr>
        <w:t xml:space="preserve"> </w:t>
      </w:r>
      <w:r w:rsidRPr="00023D8B">
        <w:rPr>
          <w:rFonts w:eastAsia="Arial Narrow"/>
          <w:spacing w:val="-9"/>
          <w:w w:val="110"/>
          <w:sz w:val="22"/>
          <w:szCs w:val="22"/>
          <w:lang w:val="en-US"/>
        </w:rPr>
        <w:t xml:space="preserve">The </w:t>
      </w:r>
      <w:r w:rsidRPr="00023D8B">
        <w:rPr>
          <w:rFonts w:eastAsia="Arial Narrow"/>
          <w:spacing w:val="-4"/>
          <w:w w:val="110"/>
          <w:sz w:val="22"/>
          <w:szCs w:val="22"/>
          <w:lang w:val="en-US"/>
        </w:rPr>
        <w:t>propert</w:t>
      </w:r>
      <w:r w:rsidR="000C0B3D">
        <w:rPr>
          <w:rFonts w:eastAsia="Arial Narrow"/>
          <w:spacing w:val="-4"/>
          <w:w w:val="110"/>
          <w:sz w:val="22"/>
          <w:szCs w:val="22"/>
          <w:lang w:val="en-US"/>
        </w:rPr>
        <w:t xml:space="preserve">y </w:t>
      </w:r>
      <w:r w:rsidRPr="00023D8B">
        <w:rPr>
          <w:rFonts w:eastAsia="Arial Narrow"/>
          <w:spacing w:val="-7"/>
          <w:w w:val="110"/>
          <w:sz w:val="22"/>
          <w:szCs w:val="22"/>
          <w:lang w:val="en-US"/>
        </w:rPr>
        <w:t>consist</w:t>
      </w:r>
      <w:r w:rsidR="000C0B3D">
        <w:rPr>
          <w:rFonts w:eastAsia="Arial Narrow"/>
          <w:spacing w:val="-7"/>
          <w:w w:val="110"/>
          <w:sz w:val="22"/>
          <w:szCs w:val="22"/>
          <w:lang w:val="en-US"/>
        </w:rPr>
        <w:t>s</w:t>
      </w:r>
      <w:r w:rsidRPr="00023D8B">
        <w:rPr>
          <w:rFonts w:eastAsia="Arial Narrow"/>
          <w:spacing w:val="-7"/>
          <w:w w:val="110"/>
          <w:sz w:val="22"/>
          <w:szCs w:val="22"/>
          <w:lang w:val="en-US"/>
        </w:rPr>
        <w:t xml:space="preserve"> </w:t>
      </w:r>
      <w:r w:rsidRPr="00023D8B">
        <w:rPr>
          <w:rFonts w:eastAsia="Arial Narrow"/>
          <w:spacing w:val="-3"/>
          <w:w w:val="110"/>
          <w:sz w:val="22"/>
          <w:szCs w:val="22"/>
          <w:lang w:val="en-US"/>
        </w:rPr>
        <w:t xml:space="preserve">of </w:t>
      </w:r>
      <w:r w:rsidRPr="00023D8B">
        <w:rPr>
          <w:rFonts w:eastAsia="Arial Narrow"/>
          <w:spacing w:val="-4"/>
          <w:w w:val="110"/>
          <w:sz w:val="22"/>
          <w:szCs w:val="22"/>
          <w:lang w:val="en-US"/>
        </w:rPr>
        <w:t xml:space="preserve">242 </w:t>
      </w:r>
      <w:r w:rsidRPr="00023D8B">
        <w:rPr>
          <w:rFonts w:eastAsia="Arial Narrow"/>
          <w:spacing w:val="-11"/>
          <w:w w:val="110"/>
          <w:sz w:val="22"/>
          <w:szCs w:val="22"/>
          <w:lang w:val="en-US"/>
        </w:rPr>
        <w:t xml:space="preserve">mining </w:t>
      </w:r>
      <w:r w:rsidRPr="00023D8B">
        <w:rPr>
          <w:rFonts w:eastAsia="Arial Narrow"/>
          <w:spacing w:val="-7"/>
          <w:w w:val="110"/>
          <w:sz w:val="22"/>
          <w:szCs w:val="22"/>
          <w:lang w:val="en-US"/>
        </w:rPr>
        <w:t xml:space="preserve">claims covering </w:t>
      </w:r>
      <w:r w:rsidRPr="00023D8B">
        <w:rPr>
          <w:rFonts w:eastAsia="Arial Narrow"/>
          <w:w w:val="110"/>
          <w:sz w:val="22"/>
          <w:szCs w:val="22"/>
          <w:lang w:val="en-US"/>
        </w:rPr>
        <w:t xml:space="preserve">a total </w:t>
      </w:r>
      <w:r w:rsidRPr="00023D8B">
        <w:rPr>
          <w:rFonts w:eastAsia="Arial Narrow"/>
          <w:spacing w:val="-3"/>
          <w:w w:val="110"/>
          <w:sz w:val="22"/>
          <w:szCs w:val="22"/>
          <w:lang w:val="en-US"/>
        </w:rPr>
        <w:t xml:space="preserve">area of </w:t>
      </w:r>
      <w:r w:rsidRPr="00023D8B">
        <w:rPr>
          <w:rFonts w:eastAsia="Arial Narrow"/>
          <w:spacing w:val="-4"/>
          <w:w w:val="110"/>
          <w:sz w:val="22"/>
          <w:szCs w:val="22"/>
          <w:lang w:val="en-US"/>
        </w:rPr>
        <w:t xml:space="preserve">12,769.13 </w:t>
      </w:r>
      <w:r w:rsidRPr="00023D8B">
        <w:rPr>
          <w:rFonts w:eastAsia="Arial Narrow"/>
          <w:spacing w:val="-5"/>
          <w:w w:val="110"/>
          <w:sz w:val="22"/>
          <w:szCs w:val="22"/>
          <w:lang w:val="en-US"/>
        </w:rPr>
        <w:t xml:space="preserve">hectares </w:t>
      </w:r>
      <w:r w:rsidRPr="00023D8B">
        <w:rPr>
          <w:rFonts w:eastAsia="Arial Narrow"/>
          <w:spacing w:val="-4"/>
          <w:w w:val="110"/>
          <w:sz w:val="22"/>
          <w:szCs w:val="22"/>
          <w:lang w:val="en-US"/>
        </w:rPr>
        <w:t xml:space="preserve">located </w:t>
      </w:r>
      <w:r w:rsidRPr="00023D8B">
        <w:rPr>
          <w:rFonts w:eastAsia="Arial Narrow"/>
          <w:spacing w:val="-6"/>
          <w:w w:val="110"/>
          <w:sz w:val="22"/>
          <w:szCs w:val="22"/>
          <w:lang w:val="en-US"/>
        </w:rPr>
        <w:t xml:space="preserve">approximately </w:t>
      </w:r>
      <w:r w:rsidRPr="00023D8B">
        <w:rPr>
          <w:rFonts w:eastAsia="Arial Narrow"/>
          <w:spacing w:val="-3"/>
          <w:w w:val="110"/>
          <w:sz w:val="22"/>
          <w:szCs w:val="22"/>
          <w:lang w:val="en-US"/>
        </w:rPr>
        <w:t xml:space="preserve">40 </w:t>
      </w:r>
      <w:proofErr w:type="spellStart"/>
      <w:r w:rsidRPr="00023D8B">
        <w:rPr>
          <w:rFonts w:eastAsia="Arial Narrow"/>
          <w:spacing w:val="-5"/>
          <w:w w:val="110"/>
          <w:sz w:val="22"/>
          <w:szCs w:val="22"/>
          <w:lang w:val="en-US"/>
        </w:rPr>
        <w:t>kilometres</w:t>
      </w:r>
      <w:proofErr w:type="spellEnd"/>
      <w:r w:rsidRPr="00023D8B">
        <w:rPr>
          <w:rFonts w:eastAsia="Arial Narrow"/>
          <w:spacing w:val="-5"/>
          <w:w w:val="110"/>
          <w:sz w:val="22"/>
          <w:szCs w:val="22"/>
          <w:lang w:val="en-US"/>
        </w:rPr>
        <w:t xml:space="preserve"> </w:t>
      </w:r>
      <w:r w:rsidRPr="00023D8B">
        <w:rPr>
          <w:rFonts w:eastAsia="Arial Narrow"/>
          <w:spacing w:val="-6"/>
          <w:w w:val="110"/>
          <w:sz w:val="22"/>
          <w:szCs w:val="22"/>
          <w:lang w:val="en-US"/>
        </w:rPr>
        <w:t xml:space="preserve">northwest </w:t>
      </w:r>
      <w:r w:rsidRPr="00023D8B">
        <w:rPr>
          <w:rFonts w:eastAsia="Arial Narrow"/>
          <w:spacing w:val="-3"/>
          <w:w w:val="110"/>
          <w:sz w:val="22"/>
          <w:szCs w:val="22"/>
          <w:lang w:val="en-US"/>
        </w:rPr>
        <w:t xml:space="preserve">of </w:t>
      </w:r>
      <w:r w:rsidRPr="00023D8B">
        <w:rPr>
          <w:rFonts w:eastAsia="Arial Narrow"/>
          <w:spacing w:val="-5"/>
          <w:w w:val="110"/>
          <w:sz w:val="22"/>
          <w:szCs w:val="22"/>
          <w:lang w:val="en-US"/>
        </w:rPr>
        <w:t xml:space="preserve">the </w:t>
      </w:r>
      <w:r w:rsidRPr="00023D8B">
        <w:rPr>
          <w:rFonts w:eastAsia="Arial Narrow"/>
          <w:w w:val="110"/>
          <w:sz w:val="22"/>
          <w:szCs w:val="22"/>
          <w:lang w:val="en-US"/>
        </w:rPr>
        <w:t xml:space="preserve">town </w:t>
      </w:r>
      <w:r w:rsidRPr="00023D8B">
        <w:rPr>
          <w:rFonts w:eastAsia="Arial Narrow"/>
          <w:spacing w:val="-3"/>
          <w:w w:val="110"/>
          <w:sz w:val="22"/>
          <w:szCs w:val="22"/>
          <w:lang w:val="en-US"/>
        </w:rPr>
        <w:t xml:space="preserve">of </w:t>
      </w:r>
      <w:r w:rsidRPr="00023D8B">
        <w:rPr>
          <w:rFonts w:eastAsia="Arial Narrow"/>
          <w:spacing w:val="-5"/>
          <w:w w:val="110"/>
          <w:sz w:val="22"/>
          <w:szCs w:val="22"/>
          <w:lang w:val="en-US"/>
        </w:rPr>
        <w:t xml:space="preserve">Val </w:t>
      </w:r>
      <w:r w:rsidRPr="00023D8B">
        <w:rPr>
          <w:rFonts w:eastAsia="Arial Narrow"/>
          <w:w w:val="110"/>
          <w:sz w:val="22"/>
          <w:szCs w:val="22"/>
          <w:lang w:val="en-US"/>
        </w:rPr>
        <w:t xml:space="preserve">d'Or </w:t>
      </w:r>
      <w:r w:rsidRPr="00023D8B">
        <w:rPr>
          <w:rFonts w:eastAsia="Arial Narrow"/>
          <w:spacing w:val="-3"/>
          <w:w w:val="110"/>
          <w:sz w:val="22"/>
          <w:szCs w:val="22"/>
          <w:lang w:val="en-US"/>
        </w:rPr>
        <w:t xml:space="preserve">on </w:t>
      </w:r>
      <w:r w:rsidRPr="00023D8B">
        <w:rPr>
          <w:rFonts w:eastAsia="Arial Narrow"/>
          <w:spacing w:val="-7"/>
          <w:w w:val="110"/>
          <w:sz w:val="22"/>
          <w:szCs w:val="22"/>
          <w:lang w:val="en-US"/>
        </w:rPr>
        <w:t xml:space="preserve">map </w:t>
      </w:r>
      <w:r w:rsidRPr="00023D8B">
        <w:rPr>
          <w:rFonts w:eastAsia="Arial Narrow"/>
          <w:spacing w:val="-6"/>
          <w:w w:val="110"/>
          <w:sz w:val="22"/>
          <w:szCs w:val="22"/>
          <w:lang w:val="en-US"/>
        </w:rPr>
        <w:t xml:space="preserve">sheets </w:t>
      </w:r>
      <w:r w:rsidRPr="00023D8B">
        <w:rPr>
          <w:rFonts w:eastAsia="Arial Narrow"/>
          <w:spacing w:val="-5"/>
          <w:w w:val="110"/>
          <w:sz w:val="22"/>
          <w:szCs w:val="22"/>
          <w:lang w:val="en-US"/>
        </w:rPr>
        <w:t xml:space="preserve">32C/05 </w:t>
      </w:r>
      <w:r w:rsidRPr="00023D8B">
        <w:rPr>
          <w:rFonts w:eastAsia="Arial Narrow"/>
          <w:spacing w:val="-8"/>
          <w:w w:val="110"/>
          <w:sz w:val="22"/>
          <w:szCs w:val="22"/>
          <w:lang w:val="en-US"/>
        </w:rPr>
        <w:t xml:space="preserve">and </w:t>
      </w:r>
      <w:r w:rsidRPr="00023D8B">
        <w:rPr>
          <w:rFonts w:eastAsia="Arial Narrow"/>
          <w:spacing w:val="-6"/>
          <w:w w:val="110"/>
          <w:sz w:val="22"/>
          <w:szCs w:val="22"/>
          <w:lang w:val="en-US"/>
        </w:rPr>
        <w:t xml:space="preserve">32D08. </w:t>
      </w:r>
      <w:r w:rsidRPr="00023D8B">
        <w:rPr>
          <w:rFonts w:eastAsia="Arial Narrow"/>
          <w:spacing w:val="-9"/>
          <w:w w:val="110"/>
          <w:sz w:val="22"/>
          <w:szCs w:val="22"/>
          <w:lang w:val="en-US"/>
        </w:rPr>
        <w:t xml:space="preserve">The </w:t>
      </w:r>
      <w:r w:rsidRPr="00023D8B">
        <w:rPr>
          <w:rFonts w:eastAsia="Arial Narrow"/>
          <w:spacing w:val="-6"/>
          <w:w w:val="110"/>
          <w:sz w:val="22"/>
          <w:szCs w:val="22"/>
          <w:lang w:val="en-US"/>
        </w:rPr>
        <w:t xml:space="preserve">newly acquired </w:t>
      </w:r>
      <w:r w:rsidRPr="00023D8B">
        <w:rPr>
          <w:rFonts w:eastAsia="Arial Narrow"/>
          <w:spacing w:val="-3"/>
          <w:w w:val="110"/>
          <w:sz w:val="22"/>
          <w:szCs w:val="22"/>
          <w:lang w:val="en-US"/>
        </w:rPr>
        <w:t xml:space="preserve">property </w:t>
      </w:r>
      <w:r w:rsidRPr="00023D8B">
        <w:rPr>
          <w:rFonts w:eastAsia="Arial Narrow"/>
          <w:spacing w:val="-7"/>
          <w:w w:val="110"/>
          <w:sz w:val="22"/>
          <w:szCs w:val="22"/>
          <w:lang w:val="en-US"/>
        </w:rPr>
        <w:t xml:space="preserve">claims </w:t>
      </w:r>
      <w:r w:rsidRPr="00023D8B">
        <w:rPr>
          <w:rFonts w:eastAsia="Arial Narrow"/>
          <w:w w:val="110"/>
          <w:sz w:val="22"/>
          <w:szCs w:val="22"/>
          <w:lang w:val="en-US"/>
        </w:rPr>
        <w:t xml:space="preserve">are </w:t>
      </w:r>
      <w:r w:rsidRPr="00023D8B">
        <w:rPr>
          <w:rFonts w:eastAsia="Arial Narrow"/>
          <w:spacing w:val="-4"/>
          <w:w w:val="110"/>
          <w:sz w:val="22"/>
          <w:szCs w:val="22"/>
          <w:lang w:val="en-US"/>
        </w:rPr>
        <w:t xml:space="preserve">spread in </w:t>
      </w:r>
      <w:r w:rsidRPr="00023D8B">
        <w:rPr>
          <w:rFonts w:eastAsia="Arial Narrow"/>
          <w:spacing w:val="-6"/>
          <w:w w:val="110"/>
          <w:sz w:val="22"/>
          <w:szCs w:val="22"/>
          <w:lang w:val="en-US"/>
        </w:rPr>
        <w:t xml:space="preserve">several </w:t>
      </w:r>
      <w:r w:rsidRPr="00023D8B">
        <w:rPr>
          <w:rFonts w:eastAsia="Arial Narrow"/>
          <w:spacing w:val="-5"/>
          <w:w w:val="110"/>
          <w:sz w:val="22"/>
          <w:szCs w:val="22"/>
          <w:lang w:val="en-US"/>
        </w:rPr>
        <w:t xml:space="preserve">claim blocks </w:t>
      </w:r>
      <w:r w:rsidRPr="00023D8B">
        <w:rPr>
          <w:rFonts w:eastAsia="Arial Narrow"/>
          <w:spacing w:val="-8"/>
          <w:w w:val="110"/>
          <w:sz w:val="22"/>
          <w:szCs w:val="22"/>
          <w:lang w:val="en-US"/>
        </w:rPr>
        <w:t xml:space="preserve">and </w:t>
      </w:r>
      <w:r w:rsidRPr="00023D8B">
        <w:rPr>
          <w:rFonts w:eastAsia="Arial Narrow"/>
          <w:spacing w:val="-6"/>
          <w:w w:val="110"/>
          <w:sz w:val="22"/>
          <w:szCs w:val="22"/>
          <w:lang w:val="en-US"/>
        </w:rPr>
        <w:t xml:space="preserve">some </w:t>
      </w:r>
      <w:r w:rsidRPr="00023D8B">
        <w:rPr>
          <w:rFonts w:eastAsia="Arial Narrow"/>
          <w:spacing w:val="-3"/>
          <w:w w:val="110"/>
          <w:sz w:val="22"/>
          <w:szCs w:val="22"/>
          <w:lang w:val="en-US"/>
        </w:rPr>
        <w:t xml:space="preserve">of </w:t>
      </w:r>
      <w:r w:rsidRPr="00023D8B">
        <w:rPr>
          <w:rFonts w:eastAsia="Arial Narrow"/>
          <w:spacing w:val="-5"/>
          <w:w w:val="110"/>
          <w:sz w:val="22"/>
          <w:szCs w:val="22"/>
          <w:lang w:val="en-US"/>
        </w:rPr>
        <w:t xml:space="preserve">the </w:t>
      </w:r>
      <w:r w:rsidRPr="00023D8B">
        <w:rPr>
          <w:rFonts w:eastAsia="Arial Narrow"/>
          <w:spacing w:val="-7"/>
          <w:w w:val="110"/>
          <w:sz w:val="22"/>
          <w:szCs w:val="22"/>
          <w:lang w:val="en-US"/>
        </w:rPr>
        <w:t xml:space="preserve">claims </w:t>
      </w:r>
      <w:r w:rsidRPr="00023D8B">
        <w:rPr>
          <w:rFonts w:eastAsia="Arial Narrow"/>
          <w:w w:val="110"/>
          <w:sz w:val="22"/>
          <w:szCs w:val="22"/>
          <w:lang w:val="en-US"/>
        </w:rPr>
        <w:t xml:space="preserve">are </w:t>
      </w:r>
      <w:r w:rsidRPr="00023D8B">
        <w:rPr>
          <w:rFonts w:eastAsia="Arial Narrow"/>
          <w:spacing w:val="-4"/>
          <w:w w:val="110"/>
          <w:sz w:val="22"/>
          <w:szCs w:val="22"/>
          <w:lang w:val="en-US"/>
        </w:rPr>
        <w:t xml:space="preserve">located </w:t>
      </w:r>
      <w:r w:rsidRPr="00023D8B">
        <w:rPr>
          <w:rFonts w:eastAsia="Arial Narrow"/>
          <w:spacing w:val="-7"/>
          <w:w w:val="110"/>
          <w:sz w:val="22"/>
          <w:szCs w:val="22"/>
          <w:lang w:val="en-US"/>
        </w:rPr>
        <w:t xml:space="preserve">adjacent </w:t>
      </w:r>
      <w:r w:rsidRPr="00023D8B">
        <w:rPr>
          <w:rFonts w:eastAsia="Arial Narrow"/>
          <w:w w:val="110"/>
          <w:sz w:val="22"/>
          <w:szCs w:val="22"/>
          <w:lang w:val="en-US"/>
        </w:rPr>
        <w:t xml:space="preserve">to </w:t>
      </w:r>
      <w:r w:rsidR="000C0B3D" w:rsidRPr="00023D8B">
        <w:rPr>
          <w:rFonts w:eastAsia="Arial Narrow"/>
          <w:spacing w:val="-5"/>
          <w:w w:val="110"/>
          <w:sz w:val="22"/>
          <w:szCs w:val="22"/>
          <w:lang w:val="en-US"/>
        </w:rPr>
        <w:t>the Augustus</w:t>
      </w:r>
      <w:r w:rsidRPr="00023D8B">
        <w:rPr>
          <w:rFonts w:eastAsia="Arial Narrow"/>
          <w:spacing w:val="-9"/>
          <w:w w:val="110"/>
          <w:sz w:val="22"/>
          <w:szCs w:val="22"/>
          <w:lang w:val="en-US"/>
        </w:rPr>
        <w:t xml:space="preserve"> </w:t>
      </w:r>
      <w:r w:rsidRPr="00023D8B">
        <w:rPr>
          <w:rFonts w:eastAsia="Arial Narrow"/>
          <w:spacing w:val="-8"/>
          <w:w w:val="110"/>
          <w:sz w:val="22"/>
          <w:szCs w:val="22"/>
          <w:lang w:val="en-US"/>
        </w:rPr>
        <w:t xml:space="preserve">Lithium </w:t>
      </w:r>
      <w:r w:rsidRPr="00023D8B">
        <w:rPr>
          <w:rFonts w:eastAsia="Arial Narrow"/>
          <w:spacing w:val="-3"/>
          <w:w w:val="110"/>
          <w:sz w:val="22"/>
          <w:szCs w:val="22"/>
          <w:lang w:val="en-US"/>
        </w:rPr>
        <w:t xml:space="preserve">Property </w:t>
      </w:r>
      <w:r w:rsidRPr="00023D8B">
        <w:rPr>
          <w:rFonts w:eastAsia="Arial Narrow"/>
          <w:spacing w:val="-7"/>
          <w:w w:val="110"/>
          <w:sz w:val="22"/>
          <w:szCs w:val="22"/>
          <w:lang w:val="en-US"/>
        </w:rPr>
        <w:t xml:space="preserve">claims </w:t>
      </w:r>
      <w:r w:rsidRPr="00023D8B">
        <w:rPr>
          <w:rFonts w:eastAsia="Arial Narrow"/>
          <w:spacing w:val="-6"/>
          <w:w w:val="110"/>
          <w:sz w:val="22"/>
          <w:szCs w:val="22"/>
          <w:lang w:val="en-US"/>
        </w:rPr>
        <w:t xml:space="preserve">which </w:t>
      </w:r>
      <w:r w:rsidRPr="00023D8B">
        <w:rPr>
          <w:rFonts w:eastAsia="Arial Narrow"/>
          <w:w w:val="110"/>
          <w:sz w:val="22"/>
          <w:szCs w:val="22"/>
          <w:lang w:val="en-US"/>
        </w:rPr>
        <w:t xml:space="preserve">were </w:t>
      </w:r>
      <w:r w:rsidRPr="00023D8B">
        <w:rPr>
          <w:rFonts w:eastAsia="Arial Narrow"/>
          <w:spacing w:val="-6"/>
          <w:w w:val="110"/>
          <w:sz w:val="22"/>
          <w:szCs w:val="22"/>
          <w:lang w:val="en-US"/>
        </w:rPr>
        <w:t xml:space="preserve">optioned </w:t>
      </w:r>
      <w:r w:rsidRPr="00023D8B">
        <w:rPr>
          <w:rFonts w:eastAsia="Arial Narrow"/>
          <w:spacing w:val="-4"/>
          <w:w w:val="110"/>
          <w:sz w:val="22"/>
          <w:szCs w:val="22"/>
          <w:lang w:val="en-US"/>
        </w:rPr>
        <w:t xml:space="preserve">in </w:t>
      </w:r>
      <w:r w:rsidR="000C0B3D">
        <w:rPr>
          <w:rFonts w:eastAsia="Arial Narrow"/>
          <w:spacing w:val="-4"/>
          <w:w w:val="110"/>
          <w:sz w:val="22"/>
          <w:szCs w:val="22"/>
          <w:lang w:val="en-US"/>
        </w:rPr>
        <w:t xml:space="preserve">earlier in </w:t>
      </w:r>
      <w:r w:rsidRPr="00023D8B">
        <w:rPr>
          <w:rFonts w:eastAsia="Arial Narrow"/>
          <w:spacing w:val="-5"/>
          <w:w w:val="110"/>
          <w:sz w:val="22"/>
          <w:szCs w:val="22"/>
          <w:lang w:val="en-US"/>
        </w:rPr>
        <w:t>2021</w:t>
      </w:r>
      <w:r w:rsidR="00023D8B">
        <w:rPr>
          <w:rFonts w:eastAsia="Arial Narrow"/>
          <w:spacing w:val="-5"/>
          <w:w w:val="110"/>
          <w:sz w:val="22"/>
          <w:szCs w:val="22"/>
          <w:lang w:val="en-US"/>
        </w:rPr>
        <w:t>.</w:t>
      </w:r>
    </w:p>
    <w:p w14:paraId="6596C24D" w14:textId="2E03C07C" w:rsidR="00EA4133" w:rsidRPr="0073202F" w:rsidRDefault="00EA4133" w:rsidP="00FB1992">
      <w:pPr>
        <w:pStyle w:val="List"/>
        <w:tabs>
          <w:tab w:val="left" w:pos="1080"/>
          <w:tab w:val="left" w:pos="9180"/>
        </w:tabs>
        <w:spacing w:before="0"/>
        <w:ind w:firstLine="0"/>
        <w:jc w:val="both"/>
        <w:rPr>
          <w:rFonts w:ascii="Arial" w:hAnsi="Arial"/>
          <w:color w:val="000000"/>
        </w:rPr>
      </w:pPr>
      <w:r w:rsidRPr="0073202F">
        <w:rPr>
          <w:rFonts w:ascii="Arial" w:hAnsi="Arial"/>
          <w:color w:val="000000"/>
        </w:rPr>
        <w:tab/>
      </w:r>
    </w:p>
    <w:p w14:paraId="63A8FA82" w14:textId="3B7D1FD3" w:rsidR="00FB1992" w:rsidRPr="00774F50"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sale, option, license etc.) and relationship to the Issuer.</w:t>
      </w:r>
      <w:r w:rsidR="00C4200D">
        <w:rPr>
          <w:rFonts w:ascii="Arial" w:hAnsi="Arial"/>
          <w:color w:val="000000"/>
        </w:rPr>
        <w:t xml:space="preserve"> </w:t>
      </w:r>
      <w:r>
        <w:rPr>
          <w:rFonts w:ascii="Arial" w:hAnsi="Arial"/>
          <w:color w:val="000000"/>
        </w:rPr>
        <w:t xml:space="preserve">The disclosure should be sufficiently complete to enable a reader to appreciate the significance of the acquisition without reference to any other material: </w:t>
      </w:r>
    </w:p>
    <w:p w14:paraId="05FEEE93" w14:textId="07580B9E" w:rsidR="008265B9" w:rsidRDefault="00AD6AB1" w:rsidP="00980D99">
      <w:pPr>
        <w:pStyle w:val="List"/>
        <w:tabs>
          <w:tab w:val="left" w:pos="9180"/>
        </w:tabs>
        <w:ind w:firstLine="0"/>
        <w:jc w:val="both"/>
        <w:rPr>
          <w:color w:val="000000"/>
          <w:sz w:val="23"/>
          <w:szCs w:val="23"/>
        </w:rPr>
      </w:pPr>
      <w:r>
        <w:rPr>
          <w:color w:val="000000"/>
          <w:sz w:val="23"/>
          <w:szCs w:val="23"/>
        </w:rPr>
        <w:t xml:space="preserve">The company entered into a purchase and sale </w:t>
      </w:r>
      <w:r w:rsidR="00980D99" w:rsidRPr="006F51BF">
        <w:rPr>
          <w:color w:val="000000"/>
          <w:sz w:val="23"/>
          <w:szCs w:val="23"/>
        </w:rPr>
        <w:t>agreement dated March 12, 2021 to acquire 100% interest in the 242 claims comprising the Abi</w:t>
      </w:r>
      <w:r w:rsidR="00084403">
        <w:rPr>
          <w:color w:val="000000"/>
          <w:sz w:val="23"/>
          <w:szCs w:val="23"/>
        </w:rPr>
        <w:t>t</w:t>
      </w:r>
      <w:r w:rsidR="00980D99" w:rsidRPr="006F51BF">
        <w:rPr>
          <w:color w:val="000000"/>
          <w:sz w:val="23"/>
          <w:szCs w:val="23"/>
        </w:rPr>
        <w:t>i</w:t>
      </w:r>
      <w:r w:rsidR="00084403">
        <w:rPr>
          <w:color w:val="000000"/>
          <w:sz w:val="23"/>
          <w:szCs w:val="23"/>
        </w:rPr>
        <w:t>b</w:t>
      </w:r>
      <w:r w:rsidR="00980D99" w:rsidRPr="006F51BF">
        <w:rPr>
          <w:color w:val="000000"/>
          <w:sz w:val="23"/>
          <w:szCs w:val="23"/>
        </w:rPr>
        <w:t xml:space="preserve">i Lithium Project from </w:t>
      </w:r>
      <w:r>
        <w:rPr>
          <w:color w:val="000000"/>
          <w:sz w:val="23"/>
          <w:szCs w:val="23"/>
        </w:rPr>
        <w:t>the property owners</w:t>
      </w:r>
      <w:r w:rsidR="000C0B3D">
        <w:rPr>
          <w:color w:val="000000"/>
          <w:sz w:val="23"/>
          <w:szCs w:val="23"/>
        </w:rPr>
        <w:t>. The owners</w:t>
      </w:r>
      <w:r>
        <w:rPr>
          <w:color w:val="000000"/>
          <w:sz w:val="23"/>
          <w:szCs w:val="23"/>
        </w:rPr>
        <w:t xml:space="preserve"> being a combination </w:t>
      </w:r>
      <w:r w:rsidR="008265B9">
        <w:rPr>
          <w:color w:val="000000"/>
          <w:sz w:val="23"/>
          <w:szCs w:val="23"/>
        </w:rPr>
        <w:t>of</w:t>
      </w:r>
      <w:r w:rsidR="008265B9" w:rsidRPr="008265B9">
        <w:rPr>
          <w:color w:val="000000"/>
          <w:sz w:val="23"/>
          <w:szCs w:val="23"/>
        </w:rPr>
        <w:t xml:space="preserve"> </w:t>
      </w:r>
      <w:r w:rsidR="008265B9">
        <w:rPr>
          <w:color w:val="000000"/>
          <w:sz w:val="23"/>
          <w:szCs w:val="23"/>
        </w:rPr>
        <w:t>a seven</w:t>
      </w:r>
      <w:r>
        <w:rPr>
          <w:color w:val="000000"/>
          <w:sz w:val="23"/>
          <w:szCs w:val="23"/>
        </w:rPr>
        <w:t xml:space="preserve"> ind</w:t>
      </w:r>
      <w:r w:rsidR="008265B9">
        <w:rPr>
          <w:color w:val="000000"/>
          <w:sz w:val="23"/>
          <w:szCs w:val="23"/>
        </w:rPr>
        <w:t>ividual</w:t>
      </w:r>
      <w:r w:rsidR="000C0B3D">
        <w:rPr>
          <w:color w:val="000000"/>
          <w:sz w:val="23"/>
          <w:szCs w:val="23"/>
        </w:rPr>
        <w:t>s</w:t>
      </w:r>
      <w:r w:rsidR="008265B9">
        <w:rPr>
          <w:color w:val="000000"/>
          <w:sz w:val="23"/>
          <w:szCs w:val="23"/>
        </w:rPr>
        <w:t xml:space="preserve"> and companies (“</w:t>
      </w:r>
      <w:r w:rsidR="00980D99" w:rsidRPr="006F51BF">
        <w:rPr>
          <w:color w:val="000000"/>
          <w:sz w:val="23"/>
          <w:szCs w:val="23"/>
        </w:rPr>
        <w:t>Sellers</w:t>
      </w:r>
      <w:r w:rsidR="008265B9">
        <w:rPr>
          <w:color w:val="000000"/>
          <w:sz w:val="23"/>
          <w:szCs w:val="23"/>
        </w:rPr>
        <w:t>”)</w:t>
      </w:r>
      <w:r w:rsidR="00980D99" w:rsidRPr="006F51BF">
        <w:rPr>
          <w:color w:val="000000"/>
          <w:sz w:val="23"/>
          <w:szCs w:val="23"/>
        </w:rPr>
        <w:t xml:space="preserve">. </w:t>
      </w:r>
      <w:r>
        <w:rPr>
          <w:color w:val="000000"/>
          <w:sz w:val="23"/>
          <w:szCs w:val="23"/>
        </w:rPr>
        <w:t xml:space="preserve">The Company and the </w:t>
      </w:r>
      <w:r w:rsidR="00980D99" w:rsidRPr="006F51BF">
        <w:rPr>
          <w:color w:val="000000"/>
          <w:sz w:val="23"/>
          <w:szCs w:val="23"/>
        </w:rPr>
        <w:t xml:space="preserve">Sellers </w:t>
      </w:r>
      <w:r w:rsidR="008265B9">
        <w:rPr>
          <w:color w:val="000000"/>
          <w:sz w:val="23"/>
          <w:szCs w:val="23"/>
        </w:rPr>
        <w:t xml:space="preserve">have no existing relationship.  The property claims are located adjacent to some of the Company’s existing claims as well as </w:t>
      </w:r>
      <w:r w:rsidR="000C0B3D">
        <w:rPr>
          <w:color w:val="000000"/>
          <w:sz w:val="23"/>
          <w:szCs w:val="23"/>
        </w:rPr>
        <w:t xml:space="preserve">being </w:t>
      </w:r>
      <w:r w:rsidR="008265B9">
        <w:rPr>
          <w:color w:val="000000"/>
          <w:sz w:val="23"/>
          <w:szCs w:val="23"/>
        </w:rPr>
        <w:t>contiguous</w:t>
      </w:r>
      <w:r w:rsidR="000C0B3D">
        <w:rPr>
          <w:color w:val="000000"/>
          <w:sz w:val="23"/>
          <w:szCs w:val="23"/>
        </w:rPr>
        <w:t xml:space="preserve"> to</w:t>
      </w:r>
      <w:r w:rsidR="008265B9">
        <w:rPr>
          <w:color w:val="000000"/>
          <w:sz w:val="23"/>
          <w:szCs w:val="23"/>
        </w:rPr>
        <w:t xml:space="preserve"> lithium claims held by other exploration companies in the region.</w:t>
      </w:r>
      <w:r w:rsidR="000C0B3D">
        <w:rPr>
          <w:color w:val="000000"/>
          <w:sz w:val="23"/>
          <w:szCs w:val="23"/>
        </w:rPr>
        <w:t xml:space="preserve"> </w:t>
      </w:r>
    </w:p>
    <w:p w14:paraId="6C65E214" w14:textId="2924DB54" w:rsidR="00980D99" w:rsidRDefault="008265B9" w:rsidP="008265B9">
      <w:pPr>
        <w:pStyle w:val="List"/>
        <w:tabs>
          <w:tab w:val="left" w:pos="9180"/>
        </w:tabs>
        <w:ind w:left="720" w:firstLine="0"/>
        <w:jc w:val="both"/>
        <w:rPr>
          <w:color w:val="000000"/>
          <w:sz w:val="23"/>
          <w:szCs w:val="23"/>
        </w:rPr>
      </w:pPr>
      <w:r>
        <w:rPr>
          <w:noProof/>
        </w:rPr>
        <w:drawing>
          <wp:inline distT="0" distB="0" distL="0" distR="0" wp14:anchorId="7489B4FB" wp14:editId="63656B31">
            <wp:extent cx="5553075" cy="3352165"/>
            <wp:effectExtent l="0" t="0" r="952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54353" cy="3352936"/>
                    </a:xfrm>
                    <a:prstGeom prst="rect">
                      <a:avLst/>
                    </a:prstGeom>
                    <a:noFill/>
                    <a:ln>
                      <a:noFill/>
                    </a:ln>
                  </pic:spPr>
                </pic:pic>
              </a:graphicData>
            </a:graphic>
          </wp:inline>
        </w:drawing>
      </w:r>
    </w:p>
    <w:p w14:paraId="4AB5B14F" w14:textId="77777777" w:rsidR="00785BCA" w:rsidRDefault="00EA4133" w:rsidP="002E5E28">
      <w:pPr>
        <w:pStyle w:val="List"/>
        <w:numPr>
          <w:ilvl w:val="0"/>
          <w:numId w:val="16"/>
        </w:numPr>
        <w:jc w:val="both"/>
        <w:rPr>
          <w:rFonts w:ascii="Arial" w:hAnsi="Arial"/>
          <w:color w:val="000000"/>
        </w:rPr>
      </w:pPr>
      <w:r w:rsidRPr="00785BCA">
        <w:rPr>
          <w:rFonts w:ascii="Arial" w:hAnsi="Arial"/>
          <w:color w:val="000000"/>
        </w:rPr>
        <w:lastRenderedPageBreak/>
        <w:t>Provide the following information in relation to the total consideration for the acquisition (including details of all cash, securities or other consideration) and any required work commitments:</w:t>
      </w:r>
    </w:p>
    <w:p w14:paraId="37600E53" w14:textId="77777777" w:rsidR="00785BCA" w:rsidRDefault="00785BCA" w:rsidP="00785BCA">
      <w:pPr>
        <w:pStyle w:val="List"/>
        <w:tabs>
          <w:tab w:val="left" w:pos="9180"/>
        </w:tabs>
        <w:spacing w:before="0"/>
        <w:ind w:left="2160" w:firstLine="0"/>
        <w:rPr>
          <w:rFonts w:ascii="Arial" w:hAnsi="Arial"/>
          <w:color w:val="000000"/>
        </w:rPr>
      </w:pPr>
    </w:p>
    <w:p w14:paraId="7B124BD5" w14:textId="7C799762" w:rsidR="00F3105D" w:rsidRDefault="00EA4133" w:rsidP="00785BCA">
      <w:pPr>
        <w:pStyle w:val="List"/>
        <w:numPr>
          <w:ilvl w:val="0"/>
          <w:numId w:val="13"/>
        </w:numPr>
        <w:tabs>
          <w:tab w:val="left" w:pos="2160"/>
          <w:tab w:val="left" w:pos="9180"/>
        </w:tabs>
        <w:spacing w:before="0"/>
        <w:rPr>
          <w:rFonts w:ascii="Arial" w:hAnsi="Arial"/>
          <w:color w:val="000000"/>
        </w:rPr>
      </w:pPr>
      <w:r>
        <w:rPr>
          <w:rFonts w:ascii="Arial" w:hAnsi="Arial"/>
          <w:color w:val="000000"/>
        </w:rPr>
        <w:t xml:space="preserve">Total aggregate consideration in Canadian dollars: </w:t>
      </w:r>
    </w:p>
    <w:p w14:paraId="7A26B687" w14:textId="77777777" w:rsidR="00D5007E" w:rsidRDefault="00D5007E" w:rsidP="006F51BF">
      <w:pPr>
        <w:pStyle w:val="List"/>
        <w:tabs>
          <w:tab w:val="left" w:pos="9180"/>
        </w:tabs>
        <w:spacing w:before="0"/>
        <w:ind w:left="2160" w:firstLine="0"/>
        <w:rPr>
          <w:rFonts w:ascii="Arial" w:hAnsi="Arial"/>
          <w:color w:val="000000"/>
        </w:rPr>
      </w:pPr>
    </w:p>
    <w:p w14:paraId="5FB1972A" w14:textId="318FF13E" w:rsidR="006F51BF" w:rsidRDefault="006F51BF" w:rsidP="006F51BF">
      <w:pPr>
        <w:pStyle w:val="List"/>
        <w:tabs>
          <w:tab w:val="left" w:pos="9180"/>
        </w:tabs>
        <w:spacing w:before="0"/>
        <w:ind w:left="2160" w:firstLine="0"/>
        <w:rPr>
          <w:rFonts w:ascii="Arial" w:hAnsi="Arial"/>
          <w:color w:val="000000"/>
        </w:rPr>
      </w:pPr>
      <w:r>
        <w:rPr>
          <w:rFonts w:ascii="Arial" w:hAnsi="Arial"/>
          <w:color w:val="000000"/>
        </w:rPr>
        <w:t>$1,767,000</w:t>
      </w:r>
    </w:p>
    <w:p w14:paraId="27B424E4" w14:textId="7789C635"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sidR="006F51BF">
        <w:rPr>
          <w:rFonts w:ascii="Arial" w:hAnsi="Arial"/>
          <w:color w:val="000000"/>
          <w:u w:val="single"/>
        </w:rPr>
        <w:t>$250,000</w:t>
      </w:r>
    </w:p>
    <w:p w14:paraId="44F7FAB2" w14:textId="77777777" w:rsidR="006655EF" w:rsidRDefault="006655EF" w:rsidP="006655EF">
      <w:pPr>
        <w:pStyle w:val="List"/>
        <w:tabs>
          <w:tab w:val="left" w:pos="9180"/>
        </w:tabs>
        <w:spacing w:before="0"/>
        <w:ind w:left="2160" w:firstLine="0"/>
        <w:rPr>
          <w:rFonts w:ascii="Arial" w:hAnsi="Arial"/>
          <w:color w:val="000000"/>
        </w:rPr>
      </w:pPr>
    </w:p>
    <w:p w14:paraId="78595D85" w14:textId="77777777" w:rsidR="00F3105D" w:rsidRDefault="00EA4133" w:rsidP="006655EF">
      <w:pPr>
        <w:pStyle w:val="List"/>
        <w:numPr>
          <w:ilvl w:val="0"/>
          <w:numId w:val="13"/>
        </w:numPr>
        <w:tabs>
          <w:tab w:val="left" w:pos="2160"/>
          <w:tab w:val="left" w:pos="9180"/>
        </w:tabs>
        <w:spacing w:before="0"/>
        <w:rPr>
          <w:rFonts w:ascii="Arial" w:hAnsi="Arial"/>
          <w:color w:val="000000"/>
        </w:rPr>
      </w:pPr>
      <w:r w:rsidRPr="006655EF">
        <w:rPr>
          <w:rFonts w:ascii="Arial" w:hAnsi="Arial"/>
          <w:color w:val="000000"/>
        </w:rPr>
        <w:t xml:space="preserve">Securities (including options, warrants etc.) and dollar value: </w:t>
      </w:r>
    </w:p>
    <w:p w14:paraId="585F9B93" w14:textId="3BA322C4"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sidR="006F51BF">
        <w:rPr>
          <w:rFonts w:ascii="Arial" w:hAnsi="Arial"/>
          <w:color w:val="000000"/>
          <w:u w:val="single"/>
        </w:rPr>
        <w:t>4,100,000 common shares valued $0.37</w:t>
      </w:r>
      <w:r>
        <w:rPr>
          <w:rFonts w:ascii="Arial" w:hAnsi="Arial"/>
          <w:color w:val="000000"/>
        </w:rPr>
        <w:t>.</w:t>
      </w:r>
    </w:p>
    <w:p w14:paraId="66E03EA0"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sidR="000B7D18">
        <w:rPr>
          <w:rFonts w:ascii="Arial" w:hAnsi="Arial"/>
          <w:color w:val="000000"/>
          <w:u w:val="single"/>
        </w:rPr>
        <w:t>N/A</w:t>
      </w:r>
      <w:r>
        <w:rPr>
          <w:rFonts w:ascii="Arial" w:hAnsi="Arial"/>
          <w:color w:val="000000"/>
        </w:rPr>
        <w:t>.</w:t>
      </w:r>
    </w:p>
    <w:p w14:paraId="43CF735D"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sidR="000B7D18">
        <w:rPr>
          <w:rFonts w:ascii="Arial" w:hAnsi="Arial"/>
          <w:color w:val="000000"/>
          <w:u w:val="single"/>
        </w:rPr>
        <w:t>N/A</w:t>
      </w:r>
      <w:r>
        <w:rPr>
          <w:rFonts w:ascii="Arial" w:hAnsi="Arial"/>
          <w:color w:val="000000"/>
        </w:rPr>
        <w:t xml:space="preserve"> .</w:t>
      </w:r>
    </w:p>
    <w:p w14:paraId="08899E91"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sidR="006A1FF1">
        <w:rPr>
          <w:rFonts w:ascii="Arial" w:hAnsi="Arial"/>
          <w:color w:val="000000"/>
          <w:u w:val="single"/>
        </w:rPr>
        <w:t>N/A</w:t>
      </w:r>
      <w:r>
        <w:rPr>
          <w:rFonts w:ascii="Arial" w:hAnsi="Arial"/>
          <w:color w:val="000000"/>
        </w:rPr>
        <w:t>.</w:t>
      </w:r>
    </w:p>
    <w:p w14:paraId="2294C3BF"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14:paraId="48713658" w14:textId="77777777" w:rsidR="00084403" w:rsidRDefault="00084403" w:rsidP="00A37C1D">
      <w:pPr>
        <w:pStyle w:val="List"/>
        <w:tabs>
          <w:tab w:val="left" w:pos="1080"/>
          <w:tab w:val="left" w:pos="9180"/>
        </w:tabs>
        <w:spacing w:before="0"/>
        <w:ind w:firstLine="0"/>
        <w:jc w:val="both"/>
        <w:rPr>
          <w:color w:val="000000"/>
        </w:rPr>
      </w:pPr>
    </w:p>
    <w:p w14:paraId="40262A2A" w14:textId="5B4874C7" w:rsidR="006A1FF1" w:rsidRPr="00023D8B" w:rsidRDefault="00023D8B" w:rsidP="00A37C1D">
      <w:pPr>
        <w:pStyle w:val="List"/>
        <w:tabs>
          <w:tab w:val="left" w:pos="1080"/>
          <w:tab w:val="left" w:pos="9180"/>
        </w:tabs>
        <w:spacing w:before="0"/>
        <w:ind w:firstLine="0"/>
        <w:jc w:val="both"/>
        <w:rPr>
          <w:color w:val="000000"/>
          <w:sz w:val="22"/>
          <w:szCs w:val="22"/>
        </w:rPr>
      </w:pPr>
      <w:r>
        <w:rPr>
          <w:color w:val="000000"/>
          <w:sz w:val="22"/>
          <w:szCs w:val="22"/>
        </w:rPr>
        <w:t xml:space="preserve">The Company’s management approached the </w:t>
      </w:r>
      <w:r w:rsidR="002444E6">
        <w:rPr>
          <w:color w:val="000000"/>
          <w:sz w:val="22"/>
          <w:szCs w:val="22"/>
        </w:rPr>
        <w:t xml:space="preserve">board with the proposal to acquire the Augustus Lithium property claims. The board discussed the merits of the property </w:t>
      </w:r>
      <w:r w:rsidR="00757C7E">
        <w:rPr>
          <w:color w:val="000000"/>
          <w:sz w:val="22"/>
          <w:szCs w:val="22"/>
        </w:rPr>
        <w:t xml:space="preserve">based on the claims location, </w:t>
      </w:r>
      <w:r w:rsidR="00757C7E" w:rsidRPr="00023D8B">
        <w:rPr>
          <w:color w:val="000000"/>
          <w:sz w:val="22"/>
          <w:szCs w:val="22"/>
        </w:rPr>
        <w:t>geographic information system</w:t>
      </w:r>
      <w:r w:rsidR="00757C7E">
        <w:rPr>
          <w:color w:val="000000"/>
          <w:sz w:val="22"/>
          <w:szCs w:val="22"/>
        </w:rPr>
        <w:t xml:space="preserve"> </w:t>
      </w:r>
      <w:r w:rsidR="00AD6AB1">
        <w:rPr>
          <w:color w:val="000000"/>
          <w:sz w:val="22"/>
          <w:szCs w:val="22"/>
        </w:rPr>
        <w:t xml:space="preserve">data </w:t>
      </w:r>
      <w:r w:rsidR="00757C7E">
        <w:rPr>
          <w:color w:val="000000"/>
          <w:sz w:val="22"/>
          <w:szCs w:val="22"/>
        </w:rPr>
        <w:t xml:space="preserve">and </w:t>
      </w:r>
      <w:r w:rsidR="00AD6AB1">
        <w:rPr>
          <w:color w:val="000000"/>
          <w:sz w:val="22"/>
          <w:szCs w:val="22"/>
        </w:rPr>
        <w:t xml:space="preserve">other comparable </w:t>
      </w:r>
      <w:r w:rsidR="00757C7E">
        <w:rPr>
          <w:color w:val="000000"/>
          <w:sz w:val="22"/>
          <w:szCs w:val="22"/>
        </w:rPr>
        <w:t>lithium company</w:t>
      </w:r>
      <w:r w:rsidR="00AD6AB1">
        <w:rPr>
          <w:color w:val="000000"/>
          <w:sz w:val="22"/>
          <w:szCs w:val="22"/>
        </w:rPr>
        <w:t xml:space="preserve"> property</w:t>
      </w:r>
      <w:r w:rsidR="00757C7E">
        <w:rPr>
          <w:color w:val="000000"/>
          <w:sz w:val="22"/>
          <w:szCs w:val="22"/>
        </w:rPr>
        <w:t xml:space="preserve"> valuations and agreed to </w:t>
      </w:r>
      <w:r w:rsidR="002444E6">
        <w:rPr>
          <w:color w:val="000000"/>
          <w:sz w:val="22"/>
          <w:szCs w:val="22"/>
        </w:rPr>
        <w:t>p</w:t>
      </w:r>
      <w:r w:rsidR="00084403" w:rsidRPr="00023D8B">
        <w:rPr>
          <w:color w:val="000000"/>
          <w:sz w:val="22"/>
          <w:szCs w:val="22"/>
        </w:rPr>
        <w:t xml:space="preserve">urchase price </w:t>
      </w:r>
      <w:r w:rsidR="00757C7E">
        <w:rPr>
          <w:color w:val="000000"/>
          <w:sz w:val="22"/>
          <w:szCs w:val="22"/>
        </w:rPr>
        <w:t xml:space="preserve">range for management to negotiate from.  The Company’s management further negotiated with the sellers on the agreed </w:t>
      </w:r>
      <w:r w:rsidR="000C0B3D">
        <w:rPr>
          <w:color w:val="000000"/>
          <w:sz w:val="22"/>
          <w:szCs w:val="22"/>
        </w:rPr>
        <w:t>upon purchase agreement</w:t>
      </w:r>
      <w:r w:rsidR="00AD6AB1">
        <w:rPr>
          <w:color w:val="000000"/>
          <w:sz w:val="22"/>
          <w:szCs w:val="22"/>
        </w:rPr>
        <w:t>.</w:t>
      </w:r>
    </w:p>
    <w:p w14:paraId="26B03BF5" w14:textId="77777777" w:rsidR="00AB4E25" w:rsidRDefault="00AB4E25" w:rsidP="00AB4E25">
      <w:pPr>
        <w:pStyle w:val="List"/>
        <w:tabs>
          <w:tab w:val="left" w:pos="1080"/>
          <w:tab w:val="left" w:pos="9180"/>
        </w:tabs>
        <w:spacing w:before="0"/>
        <w:ind w:firstLine="0"/>
        <w:rPr>
          <w:rFonts w:ascii="Arial" w:hAnsi="Arial"/>
          <w:color w:val="000000"/>
        </w:rPr>
      </w:pPr>
      <w:r>
        <w:rPr>
          <w:rFonts w:ascii="Arial" w:hAnsi="Arial"/>
          <w:color w:val="000000"/>
          <w:u w:val="single"/>
        </w:rPr>
        <w:t xml:space="preserve">  </w:t>
      </w:r>
    </w:p>
    <w:p w14:paraId="51F8F5BA" w14:textId="1ED8F37F" w:rsidR="00A37C1D" w:rsidRDefault="00EA4133" w:rsidP="000B7D18">
      <w:pPr>
        <w:pStyle w:val="List"/>
        <w:numPr>
          <w:ilvl w:val="0"/>
          <w:numId w:val="16"/>
        </w:numPr>
        <w:tabs>
          <w:tab w:val="left" w:pos="1080"/>
          <w:tab w:val="left" w:pos="9180"/>
        </w:tabs>
        <w:spacing w:before="0"/>
        <w:rPr>
          <w:rFonts w:ascii="Arial" w:hAnsi="Arial"/>
          <w:color w:val="000000"/>
        </w:rPr>
      </w:pPr>
      <w:r w:rsidRPr="006A1FF1">
        <w:rPr>
          <w:rFonts w:ascii="Arial" w:hAnsi="Arial"/>
          <w:color w:val="000000"/>
        </w:rPr>
        <w:t>Provide details of any appraisal or valuation of the subject of the acquisition known to management of the Issuer:</w:t>
      </w:r>
      <w:r w:rsidR="000B7D18" w:rsidRPr="006A1FF1">
        <w:rPr>
          <w:rFonts w:ascii="Arial" w:hAnsi="Arial"/>
          <w:color w:val="000000"/>
        </w:rPr>
        <w:t xml:space="preserve"> </w:t>
      </w:r>
    </w:p>
    <w:p w14:paraId="04020637" w14:textId="605E0AF6" w:rsidR="00084403" w:rsidRDefault="00084403" w:rsidP="00084403">
      <w:pPr>
        <w:pStyle w:val="List"/>
        <w:tabs>
          <w:tab w:val="left" w:pos="9180"/>
        </w:tabs>
        <w:spacing w:before="0"/>
        <w:ind w:firstLine="0"/>
        <w:rPr>
          <w:rFonts w:ascii="Arial" w:hAnsi="Arial"/>
          <w:color w:val="000000"/>
        </w:rPr>
      </w:pPr>
    </w:p>
    <w:p w14:paraId="12D77648" w14:textId="28EDC2C4" w:rsidR="00084403" w:rsidRPr="00023D8B" w:rsidRDefault="00084403" w:rsidP="00084403">
      <w:pPr>
        <w:pStyle w:val="List"/>
        <w:tabs>
          <w:tab w:val="left" w:pos="9180"/>
        </w:tabs>
        <w:spacing w:before="0"/>
        <w:ind w:firstLine="0"/>
        <w:rPr>
          <w:color w:val="000000"/>
          <w:sz w:val="22"/>
          <w:szCs w:val="22"/>
        </w:rPr>
      </w:pPr>
      <w:r w:rsidRPr="00023D8B">
        <w:rPr>
          <w:color w:val="000000"/>
          <w:sz w:val="22"/>
          <w:szCs w:val="22"/>
        </w:rPr>
        <w:t xml:space="preserve">The </w:t>
      </w:r>
      <w:r w:rsidR="00EF7A45" w:rsidRPr="00023D8B">
        <w:rPr>
          <w:color w:val="000000"/>
          <w:sz w:val="22"/>
          <w:szCs w:val="22"/>
        </w:rPr>
        <w:t>C</w:t>
      </w:r>
      <w:r w:rsidRPr="00023D8B">
        <w:rPr>
          <w:color w:val="000000"/>
          <w:sz w:val="22"/>
          <w:szCs w:val="22"/>
        </w:rPr>
        <w:t xml:space="preserve">ompany had </w:t>
      </w:r>
      <w:r w:rsidR="00757C7E">
        <w:rPr>
          <w:color w:val="000000"/>
          <w:sz w:val="22"/>
          <w:szCs w:val="22"/>
        </w:rPr>
        <w:t xml:space="preserve">GIS </w:t>
      </w:r>
      <w:r w:rsidRPr="00023D8B">
        <w:rPr>
          <w:color w:val="000000"/>
          <w:sz w:val="22"/>
          <w:szCs w:val="22"/>
        </w:rPr>
        <w:t xml:space="preserve">mapping work completed on the claims acquired and determined the claims were contiguous to </w:t>
      </w:r>
      <w:r w:rsidR="00EF7A45" w:rsidRPr="00023D8B">
        <w:rPr>
          <w:color w:val="000000"/>
          <w:sz w:val="22"/>
          <w:szCs w:val="22"/>
        </w:rPr>
        <w:t xml:space="preserve">some of </w:t>
      </w:r>
      <w:r w:rsidRPr="00023D8B">
        <w:rPr>
          <w:color w:val="000000"/>
          <w:sz w:val="22"/>
          <w:szCs w:val="22"/>
        </w:rPr>
        <w:t>the Company’s</w:t>
      </w:r>
      <w:r w:rsidR="00EF7A45" w:rsidRPr="00023D8B">
        <w:rPr>
          <w:color w:val="000000"/>
          <w:sz w:val="22"/>
          <w:szCs w:val="22"/>
        </w:rPr>
        <w:t xml:space="preserve"> existing properties as well as other key lithium properties held by other companies.</w:t>
      </w:r>
    </w:p>
    <w:p w14:paraId="5DF5D512" w14:textId="77777777" w:rsidR="00EF7A45" w:rsidRPr="006A1FF1" w:rsidRDefault="00EF7A45" w:rsidP="00084403">
      <w:pPr>
        <w:pStyle w:val="List"/>
        <w:tabs>
          <w:tab w:val="left" w:pos="9180"/>
        </w:tabs>
        <w:spacing w:before="0"/>
        <w:ind w:firstLine="0"/>
        <w:rPr>
          <w:rFonts w:ascii="Arial" w:hAnsi="Arial"/>
          <w:color w:val="000000"/>
        </w:rPr>
      </w:pPr>
    </w:p>
    <w:p w14:paraId="39B4AF72" w14:textId="77777777" w:rsidR="00EA4133" w:rsidRDefault="00EA4133">
      <w:pPr>
        <w:pStyle w:val="List"/>
        <w:numPr>
          <w:ilvl w:val="0"/>
          <w:numId w:val="16"/>
        </w:numPr>
        <w:jc w:val="both"/>
        <w:rPr>
          <w:rFonts w:ascii="Arial" w:hAnsi="Arial"/>
          <w:color w:val="000000"/>
        </w:rPr>
      </w:pPr>
      <w:r w:rsidRPr="006A1FF1">
        <w:rPr>
          <w:rFonts w:ascii="Arial" w:hAnsi="Arial"/>
          <w:color w:val="000000"/>
        </w:rPr>
        <w:t>The names of parties receiving securities of the Issuer pursuant to the</w:t>
      </w:r>
      <w:r>
        <w:rPr>
          <w:rFonts w:ascii="Arial" w:hAnsi="Arial"/>
          <w:color w:val="000000"/>
        </w:rPr>
        <w:t xml:space="preserv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14:paraId="3C724B02" w14:textId="77777777">
        <w:tc>
          <w:tcPr>
            <w:tcW w:w="1440" w:type="dxa"/>
          </w:tcPr>
          <w:p w14:paraId="63BB834D" w14:textId="77777777" w:rsidR="00EA4133" w:rsidRDefault="00EA4133">
            <w:pPr>
              <w:pStyle w:val="BodyText"/>
              <w:keepNext/>
              <w:keepLines/>
              <w:spacing w:before="0" w:line="280" w:lineRule="exact"/>
              <w:jc w:val="center"/>
              <w:rPr>
                <w:rFonts w:ascii="Arial" w:hAnsi="Arial"/>
                <w:b/>
                <w:sz w:val="20"/>
                <w:lang w:val="en-CA"/>
              </w:rPr>
            </w:pPr>
          </w:p>
          <w:p w14:paraId="2BA9077A"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14:paraId="0E909962" w14:textId="77777777" w:rsidR="00EA4133" w:rsidRDefault="00EA4133">
            <w:pPr>
              <w:pStyle w:val="BodyText"/>
              <w:keepNext/>
              <w:keepLines/>
              <w:spacing w:before="0" w:line="280" w:lineRule="exact"/>
              <w:jc w:val="center"/>
              <w:rPr>
                <w:rFonts w:ascii="Arial" w:hAnsi="Arial"/>
                <w:b/>
                <w:sz w:val="20"/>
                <w:lang w:val="en-CA"/>
              </w:rPr>
            </w:pPr>
          </w:p>
          <w:p w14:paraId="5C58F1B5"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5B3D93EE" w14:textId="77777777" w:rsidR="00EA4133" w:rsidRDefault="00EA4133">
            <w:pPr>
              <w:pStyle w:val="BodyText"/>
              <w:keepNext/>
              <w:keepLines/>
              <w:spacing w:before="0" w:line="280" w:lineRule="exact"/>
              <w:jc w:val="center"/>
              <w:rPr>
                <w:rFonts w:ascii="Arial" w:hAnsi="Arial"/>
                <w:b/>
                <w:sz w:val="20"/>
                <w:lang w:val="en-CA"/>
              </w:rPr>
            </w:pPr>
          </w:p>
          <w:p w14:paraId="6460EFDE"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14:paraId="75DF12C1" w14:textId="77777777" w:rsidR="00EA4133" w:rsidRDefault="00EA4133">
            <w:pPr>
              <w:pStyle w:val="BodyText"/>
              <w:keepNext/>
              <w:keepLines/>
              <w:spacing w:before="0" w:line="280" w:lineRule="exact"/>
              <w:jc w:val="center"/>
              <w:rPr>
                <w:rFonts w:ascii="Arial" w:hAnsi="Arial"/>
                <w:b/>
                <w:sz w:val="20"/>
                <w:lang w:val="en-CA"/>
              </w:rPr>
            </w:pPr>
          </w:p>
          <w:p w14:paraId="09DF60AA"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598C189F" w14:textId="77777777" w:rsidR="00EA4133" w:rsidRDefault="00EA4133">
            <w:pPr>
              <w:pStyle w:val="BodyText"/>
              <w:keepNext/>
              <w:keepLines/>
              <w:spacing w:before="0" w:line="280" w:lineRule="exact"/>
              <w:jc w:val="center"/>
              <w:rPr>
                <w:rFonts w:ascii="Arial" w:hAnsi="Arial"/>
                <w:b/>
                <w:sz w:val="20"/>
                <w:lang w:val="en-CA"/>
              </w:rPr>
            </w:pPr>
          </w:p>
          <w:p w14:paraId="6E9974CF"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10231C5E" w14:textId="77777777" w:rsidR="00EA4133" w:rsidRDefault="00EA4133">
            <w:pPr>
              <w:pStyle w:val="BodyText"/>
              <w:keepNext/>
              <w:keepLines/>
              <w:spacing w:before="0" w:line="280" w:lineRule="exact"/>
              <w:jc w:val="center"/>
              <w:rPr>
                <w:rFonts w:ascii="Arial" w:hAnsi="Arial"/>
                <w:b/>
                <w:sz w:val="20"/>
              </w:rPr>
            </w:pPr>
          </w:p>
          <w:p w14:paraId="2E03FCAB" w14:textId="77777777"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14:paraId="6A0100A3" w14:textId="77777777" w:rsidR="00EA4133" w:rsidRDefault="00EA4133">
            <w:pPr>
              <w:pStyle w:val="BodyText"/>
              <w:keepNext/>
              <w:keepLines/>
              <w:spacing w:before="0" w:line="280" w:lineRule="exact"/>
              <w:jc w:val="center"/>
              <w:rPr>
                <w:rFonts w:ascii="Arial" w:hAnsi="Arial"/>
                <w:b/>
                <w:color w:val="000000"/>
                <w:sz w:val="20"/>
                <w:lang w:val="en-CA"/>
              </w:rPr>
            </w:pPr>
          </w:p>
          <w:p w14:paraId="43826939"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7D0B7AC8"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16"/>
                <w:vertAlign w:val="superscript"/>
                <w:lang w:val="en-CA"/>
              </w:rPr>
              <w:t>(1)</w:t>
            </w:r>
          </w:p>
        </w:tc>
      </w:tr>
      <w:tr w:rsidR="00EA4133" w14:paraId="4A34510C" w14:textId="77777777" w:rsidTr="00526202">
        <w:tc>
          <w:tcPr>
            <w:tcW w:w="1440" w:type="dxa"/>
          </w:tcPr>
          <w:p w14:paraId="2F897343" w14:textId="3F07F3D6" w:rsidR="006A1FF1" w:rsidRPr="00526202" w:rsidRDefault="006A1FF1" w:rsidP="00526202">
            <w:pPr>
              <w:pStyle w:val="BodyText"/>
              <w:keepNext/>
              <w:keepLines/>
              <w:spacing w:before="0"/>
              <w:jc w:val="center"/>
              <w:rPr>
                <w:rFonts w:ascii="Arial" w:hAnsi="Arial"/>
                <w:sz w:val="20"/>
                <w:lang w:val="en-CA"/>
              </w:rPr>
            </w:pPr>
          </w:p>
        </w:tc>
        <w:tc>
          <w:tcPr>
            <w:tcW w:w="1260" w:type="dxa"/>
          </w:tcPr>
          <w:p w14:paraId="47179C31" w14:textId="45A82BC0" w:rsidR="00EA4133" w:rsidRPr="003C6A54" w:rsidRDefault="00EA4133" w:rsidP="00526202">
            <w:pPr>
              <w:pStyle w:val="BodyText"/>
              <w:keepNext/>
              <w:keepLines/>
              <w:spacing w:before="0"/>
              <w:jc w:val="center"/>
              <w:rPr>
                <w:rFonts w:ascii="Arial" w:hAnsi="Arial"/>
                <w:sz w:val="20"/>
                <w:vertAlign w:val="superscript"/>
                <w:lang w:val="en-CA"/>
              </w:rPr>
            </w:pPr>
          </w:p>
        </w:tc>
        <w:tc>
          <w:tcPr>
            <w:tcW w:w="1260" w:type="dxa"/>
          </w:tcPr>
          <w:p w14:paraId="6FCFEF3F" w14:textId="77777777" w:rsidR="00EA4133" w:rsidRPr="003C6A54" w:rsidRDefault="00526202" w:rsidP="00526202">
            <w:pPr>
              <w:pStyle w:val="BodyText"/>
              <w:keepNext/>
              <w:keepLines/>
              <w:spacing w:before="0"/>
              <w:jc w:val="center"/>
              <w:rPr>
                <w:rFonts w:ascii="Arial" w:hAnsi="Arial"/>
                <w:sz w:val="20"/>
                <w:vertAlign w:val="superscript"/>
                <w:lang w:val="en-CA"/>
              </w:rPr>
            </w:pPr>
            <w:r w:rsidRPr="003C6A54">
              <w:rPr>
                <w:rFonts w:ascii="Arial" w:hAnsi="Arial"/>
                <w:sz w:val="20"/>
                <w:lang w:val="en-CA"/>
              </w:rPr>
              <w:t>$</w:t>
            </w:r>
            <w:r w:rsidR="003C6A54" w:rsidRPr="003C6A54">
              <w:rPr>
                <w:rFonts w:ascii="Arial" w:hAnsi="Arial"/>
                <w:sz w:val="20"/>
                <w:vertAlign w:val="superscript"/>
                <w:lang w:val="en-CA"/>
              </w:rPr>
              <w:t>(</w:t>
            </w:r>
            <w:r w:rsidR="006A1FF1">
              <w:rPr>
                <w:rFonts w:ascii="Arial" w:hAnsi="Arial"/>
                <w:sz w:val="20"/>
                <w:vertAlign w:val="superscript"/>
                <w:lang w:val="en-CA"/>
              </w:rPr>
              <w:t>2</w:t>
            </w:r>
            <w:r w:rsidR="003C6A54" w:rsidRPr="003C6A54">
              <w:rPr>
                <w:rFonts w:ascii="Arial" w:hAnsi="Arial"/>
                <w:sz w:val="20"/>
                <w:vertAlign w:val="superscript"/>
                <w:lang w:val="en-CA"/>
              </w:rPr>
              <w:t>)</w:t>
            </w:r>
          </w:p>
        </w:tc>
        <w:tc>
          <w:tcPr>
            <w:tcW w:w="1440" w:type="dxa"/>
          </w:tcPr>
          <w:p w14:paraId="171A2FDC" w14:textId="36A2E58F" w:rsidR="00EA4133" w:rsidRPr="00526202" w:rsidRDefault="00EA4133" w:rsidP="00526202">
            <w:pPr>
              <w:pStyle w:val="BodyText"/>
              <w:keepNext/>
              <w:keepLines/>
              <w:spacing w:before="0"/>
              <w:jc w:val="center"/>
              <w:rPr>
                <w:rFonts w:ascii="Arial" w:hAnsi="Arial"/>
                <w:sz w:val="20"/>
                <w:lang w:val="en-CA"/>
              </w:rPr>
            </w:pPr>
          </w:p>
        </w:tc>
        <w:tc>
          <w:tcPr>
            <w:tcW w:w="1440" w:type="dxa"/>
          </w:tcPr>
          <w:p w14:paraId="62AADB05" w14:textId="5FA331C6" w:rsidR="00EA4133" w:rsidRPr="00526202" w:rsidRDefault="00EA4133" w:rsidP="00526202">
            <w:pPr>
              <w:pStyle w:val="BodyText"/>
              <w:keepNext/>
              <w:keepLines/>
              <w:spacing w:before="0"/>
              <w:jc w:val="center"/>
              <w:rPr>
                <w:rFonts w:ascii="Arial" w:hAnsi="Arial"/>
                <w:sz w:val="20"/>
                <w:lang w:val="en-CA"/>
              </w:rPr>
            </w:pPr>
          </w:p>
        </w:tc>
        <w:tc>
          <w:tcPr>
            <w:tcW w:w="1620" w:type="dxa"/>
          </w:tcPr>
          <w:p w14:paraId="4FA12F53" w14:textId="12B96EA5" w:rsidR="00EA4133" w:rsidRPr="00526202" w:rsidRDefault="00EA4133" w:rsidP="00526202">
            <w:pPr>
              <w:pStyle w:val="BodyText"/>
              <w:keepNext/>
              <w:keepLines/>
              <w:spacing w:before="0"/>
              <w:jc w:val="center"/>
              <w:rPr>
                <w:rFonts w:ascii="Arial" w:hAnsi="Arial"/>
                <w:sz w:val="20"/>
                <w:lang w:val="en-CA"/>
              </w:rPr>
            </w:pPr>
          </w:p>
        </w:tc>
        <w:tc>
          <w:tcPr>
            <w:tcW w:w="1530" w:type="dxa"/>
          </w:tcPr>
          <w:p w14:paraId="75A15B31" w14:textId="6ED67120" w:rsidR="00EA4133" w:rsidRPr="00526202" w:rsidRDefault="00EA4133" w:rsidP="00526202">
            <w:pPr>
              <w:pStyle w:val="BodyText"/>
              <w:keepNext/>
              <w:keepLines/>
              <w:spacing w:before="0"/>
              <w:jc w:val="center"/>
              <w:rPr>
                <w:rFonts w:ascii="Arial" w:hAnsi="Arial"/>
                <w:sz w:val="20"/>
                <w:lang w:val="en-CA"/>
              </w:rPr>
            </w:pPr>
          </w:p>
        </w:tc>
      </w:tr>
      <w:tr w:rsidR="008265B9" w14:paraId="0967469F" w14:textId="77777777" w:rsidTr="00526202">
        <w:tc>
          <w:tcPr>
            <w:tcW w:w="1440" w:type="dxa"/>
          </w:tcPr>
          <w:p w14:paraId="1E7AB9D0" w14:textId="2F221C54" w:rsidR="008265B9" w:rsidRPr="00D5007E" w:rsidRDefault="00D5007E" w:rsidP="00D5007E">
            <w:pPr>
              <w:pStyle w:val="BodyText"/>
              <w:keepNext/>
              <w:keepLines/>
              <w:spacing w:before="0"/>
              <w:jc w:val="center"/>
              <w:rPr>
                <w:sz w:val="18"/>
                <w:szCs w:val="18"/>
                <w:lang w:val="en-CA"/>
              </w:rPr>
            </w:pPr>
            <w:r w:rsidRPr="00D5007E">
              <w:rPr>
                <w:sz w:val="18"/>
                <w:szCs w:val="18"/>
                <w:lang w:val="en-CA"/>
              </w:rPr>
              <w:t>9219-8845 Quebec Inc.</w:t>
            </w:r>
          </w:p>
        </w:tc>
        <w:tc>
          <w:tcPr>
            <w:tcW w:w="1260" w:type="dxa"/>
          </w:tcPr>
          <w:p w14:paraId="6537281E" w14:textId="213EDE6A" w:rsidR="008265B9" w:rsidRPr="00D5007E" w:rsidRDefault="00D5007E" w:rsidP="00D5007E">
            <w:pPr>
              <w:pStyle w:val="BodyText"/>
              <w:keepNext/>
              <w:keepLines/>
              <w:spacing w:before="0"/>
              <w:jc w:val="center"/>
              <w:rPr>
                <w:sz w:val="18"/>
                <w:szCs w:val="18"/>
                <w:lang w:val="en-CA"/>
              </w:rPr>
            </w:pPr>
            <w:r w:rsidRPr="00D5007E">
              <w:rPr>
                <w:sz w:val="18"/>
                <w:szCs w:val="18"/>
                <w:lang w:val="en-CA"/>
              </w:rPr>
              <w:t>700,000 common shares</w:t>
            </w:r>
          </w:p>
        </w:tc>
        <w:tc>
          <w:tcPr>
            <w:tcW w:w="1260" w:type="dxa"/>
          </w:tcPr>
          <w:p w14:paraId="100AF2A6" w14:textId="1A38C675" w:rsidR="008265B9" w:rsidRPr="00D5007E" w:rsidRDefault="00D5007E" w:rsidP="00D5007E">
            <w:pPr>
              <w:pStyle w:val="BodyText"/>
              <w:keepNext/>
              <w:keepLines/>
              <w:spacing w:before="0"/>
              <w:jc w:val="center"/>
              <w:rPr>
                <w:sz w:val="18"/>
                <w:szCs w:val="18"/>
                <w:lang w:val="en-CA"/>
              </w:rPr>
            </w:pPr>
            <w:r w:rsidRPr="00D5007E">
              <w:rPr>
                <w:sz w:val="18"/>
                <w:szCs w:val="18"/>
                <w:lang w:val="en-CA"/>
              </w:rPr>
              <w:t>259,000</w:t>
            </w:r>
          </w:p>
        </w:tc>
        <w:tc>
          <w:tcPr>
            <w:tcW w:w="1440" w:type="dxa"/>
          </w:tcPr>
          <w:p w14:paraId="0F0B856D" w14:textId="6ECB2936" w:rsidR="008265B9" w:rsidRPr="00D5007E" w:rsidRDefault="00D5007E" w:rsidP="00D5007E">
            <w:pPr>
              <w:pStyle w:val="BodyText"/>
              <w:keepNext/>
              <w:keepLines/>
              <w:spacing w:before="0"/>
              <w:jc w:val="center"/>
              <w:rPr>
                <w:sz w:val="18"/>
                <w:szCs w:val="18"/>
                <w:lang w:val="en-CA"/>
              </w:rPr>
            </w:pPr>
            <w:r w:rsidRPr="00D5007E">
              <w:rPr>
                <w:sz w:val="18"/>
                <w:szCs w:val="18"/>
                <w:lang w:val="en-CA"/>
              </w:rPr>
              <w:t>N/A</w:t>
            </w:r>
          </w:p>
        </w:tc>
        <w:tc>
          <w:tcPr>
            <w:tcW w:w="1440" w:type="dxa"/>
          </w:tcPr>
          <w:p w14:paraId="480A6623" w14:textId="2B0D1C2B" w:rsidR="008265B9" w:rsidRPr="00D5007E" w:rsidRDefault="00D5007E" w:rsidP="00D5007E">
            <w:pPr>
              <w:jc w:val="center"/>
              <w:rPr>
                <w:sz w:val="18"/>
                <w:szCs w:val="18"/>
              </w:rPr>
            </w:pPr>
            <w:r w:rsidRPr="00D5007E">
              <w:rPr>
                <w:sz w:val="18"/>
                <w:szCs w:val="18"/>
              </w:rPr>
              <w:t>NI 45-106 2.13 [Petroleum, natural gas and mining properties]</w:t>
            </w:r>
          </w:p>
        </w:tc>
        <w:tc>
          <w:tcPr>
            <w:tcW w:w="1620" w:type="dxa"/>
          </w:tcPr>
          <w:p w14:paraId="51FD27C0" w14:textId="4C6A8EE9" w:rsidR="008265B9" w:rsidRPr="00D5007E" w:rsidRDefault="00D5007E" w:rsidP="00D5007E">
            <w:pPr>
              <w:pStyle w:val="BodyText"/>
              <w:keepNext/>
              <w:keepLines/>
              <w:spacing w:before="0"/>
              <w:jc w:val="center"/>
              <w:rPr>
                <w:sz w:val="18"/>
                <w:szCs w:val="18"/>
                <w:lang w:val="en-CA"/>
              </w:rPr>
            </w:pPr>
            <w:r w:rsidRPr="00D5007E">
              <w:rPr>
                <w:sz w:val="18"/>
                <w:szCs w:val="18"/>
                <w:lang w:val="en-CA"/>
              </w:rPr>
              <w:t>Nil</w:t>
            </w:r>
          </w:p>
        </w:tc>
        <w:tc>
          <w:tcPr>
            <w:tcW w:w="1530" w:type="dxa"/>
          </w:tcPr>
          <w:p w14:paraId="77EAE52F" w14:textId="4DBC180F" w:rsidR="008265B9" w:rsidRPr="00D5007E" w:rsidRDefault="008265B9" w:rsidP="00D5007E">
            <w:pPr>
              <w:pStyle w:val="BodyText"/>
              <w:keepNext/>
              <w:keepLines/>
              <w:spacing w:before="0"/>
              <w:jc w:val="center"/>
              <w:rPr>
                <w:sz w:val="18"/>
                <w:szCs w:val="18"/>
                <w:lang w:val="en-CA"/>
              </w:rPr>
            </w:pPr>
            <w:r w:rsidRPr="00D5007E">
              <w:rPr>
                <w:sz w:val="18"/>
                <w:szCs w:val="18"/>
                <w:lang w:val="en-CA"/>
              </w:rPr>
              <w:t>No</w:t>
            </w:r>
            <w:r w:rsidR="00336318">
              <w:rPr>
                <w:sz w:val="18"/>
                <w:szCs w:val="18"/>
                <w:lang w:val="en-CA"/>
              </w:rPr>
              <w:t xml:space="preserve"> relationship</w:t>
            </w:r>
          </w:p>
        </w:tc>
      </w:tr>
      <w:tr w:rsidR="00336318" w14:paraId="799CECB0" w14:textId="77777777" w:rsidTr="00526202">
        <w:tc>
          <w:tcPr>
            <w:tcW w:w="1440" w:type="dxa"/>
          </w:tcPr>
          <w:p w14:paraId="6DA6222C" w14:textId="3D8C49E7" w:rsidR="00336318" w:rsidRPr="00D5007E" w:rsidRDefault="00336318" w:rsidP="00336318">
            <w:pPr>
              <w:pStyle w:val="BodyText"/>
              <w:keepNext/>
              <w:keepLines/>
              <w:spacing w:before="0"/>
              <w:jc w:val="center"/>
              <w:rPr>
                <w:sz w:val="18"/>
                <w:szCs w:val="18"/>
                <w:lang w:val="en-CA"/>
              </w:rPr>
            </w:pPr>
            <w:r w:rsidRPr="00D5007E">
              <w:rPr>
                <w:sz w:val="18"/>
                <w:szCs w:val="18"/>
                <w:lang w:val="en-CA"/>
              </w:rPr>
              <w:t>Anna-Rosa Giglio</w:t>
            </w:r>
          </w:p>
        </w:tc>
        <w:tc>
          <w:tcPr>
            <w:tcW w:w="1260" w:type="dxa"/>
          </w:tcPr>
          <w:p w14:paraId="1979EAB2" w14:textId="55EF4209" w:rsidR="00336318" w:rsidRPr="00D5007E" w:rsidRDefault="00336318" w:rsidP="00336318">
            <w:pPr>
              <w:pStyle w:val="BodyText"/>
              <w:keepNext/>
              <w:keepLines/>
              <w:spacing w:before="0"/>
              <w:jc w:val="center"/>
              <w:rPr>
                <w:sz w:val="18"/>
                <w:szCs w:val="18"/>
                <w:vertAlign w:val="superscript"/>
                <w:lang w:val="en-CA"/>
              </w:rPr>
            </w:pPr>
            <w:r w:rsidRPr="00D5007E">
              <w:rPr>
                <w:sz w:val="18"/>
                <w:szCs w:val="18"/>
                <w:lang w:val="en-CA"/>
              </w:rPr>
              <w:t>700,000 common shares</w:t>
            </w:r>
          </w:p>
        </w:tc>
        <w:tc>
          <w:tcPr>
            <w:tcW w:w="1260" w:type="dxa"/>
          </w:tcPr>
          <w:p w14:paraId="752D7A1D" w14:textId="2B6418AD" w:rsidR="00336318" w:rsidRPr="00D5007E" w:rsidRDefault="00336318" w:rsidP="00336318">
            <w:pPr>
              <w:pStyle w:val="BodyText"/>
              <w:keepNext/>
              <w:keepLines/>
              <w:spacing w:before="0"/>
              <w:jc w:val="center"/>
              <w:rPr>
                <w:sz w:val="18"/>
                <w:szCs w:val="18"/>
                <w:lang w:val="en-CA"/>
              </w:rPr>
            </w:pPr>
            <w:r w:rsidRPr="00D5007E">
              <w:rPr>
                <w:sz w:val="18"/>
                <w:szCs w:val="18"/>
                <w:lang w:val="en-CA"/>
              </w:rPr>
              <w:t>259,000</w:t>
            </w:r>
          </w:p>
        </w:tc>
        <w:tc>
          <w:tcPr>
            <w:tcW w:w="1440" w:type="dxa"/>
          </w:tcPr>
          <w:p w14:paraId="6CB2A75D" w14:textId="3A137612" w:rsidR="00336318" w:rsidRPr="00D5007E" w:rsidRDefault="00336318" w:rsidP="00336318">
            <w:pPr>
              <w:pStyle w:val="BodyText"/>
              <w:keepNext/>
              <w:keepLines/>
              <w:spacing w:before="0"/>
              <w:jc w:val="center"/>
              <w:rPr>
                <w:sz w:val="18"/>
                <w:szCs w:val="18"/>
                <w:lang w:val="en-CA"/>
              </w:rPr>
            </w:pPr>
            <w:r w:rsidRPr="00D5007E">
              <w:rPr>
                <w:sz w:val="18"/>
                <w:szCs w:val="18"/>
                <w:lang w:val="en-CA"/>
              </w:rPr>
              <w:t>N/A</w:t>
            </w:r>
          </w:p>
        </w:tc>
        <w:tc>
          <w:tcPr>
            <w:tcW w:w="1440" w:type="dxa"/>
          </w:tcPr>
          <w:p w14:paraId="1CCB8C4E" w14:textId="3C0A767B" w:rsidR="00336318" w:rsidRPr="00D5007E" w:rsidRDefault="00336318" w:rsidP="00336318">
            <w:pPr>
              <w:pStyle w:val="BodyText"/>
              <w:keepNext/>
              <w:keepLines/>
              <w:spacing w:before="0"/>
              <w:jc w:val="center"/>
              <w:rPr>
                <w:sz w:val="18"/>
                <w:szCs w:val="18"/>
                <w:lang w:val="en-CA"/>
              </w:rPr>
            </w:pPr>
            <w:r w:rsidRPr="00D5007E">
              <w:rPr>
                <w:sz w:val="18"/>
                <w:szCs w:val="18"/>
              </w:rPr>
              <w:t>NI 45-106 2.13 [Petroleum, natural gas and mining properties]</w:t>
            </w:r>
          </w:p>
        </w:tc>
        <w:tc>
          <w:tcPr>
            <w:tcW w:w="1620" w:type="dxa"/>
          </w:tcPr>
          <w:p w14:paraId="47D24701" w14:textId="17A5667C" w:rsidR="00336318" w:rsidRPr="00D5007E" w:rsidRDefault="00336318" w:rsidP="00336318">
            <w:pPr>
              <w:pStyle w:val="BodyText"/>
              <w:keepNext/>
              <w:keepLines/>
              <w:spacing w:before="0"/>
              <w:jc w:val="center"/>
              <w:rPr>
                <w:sz w:val="18"/>
                <w:szCs w:val="18"/>
                <w:lang w:val="en-CA"/>
              </w:rPr>
            </w:pPr>
            <w:r w:rsidRPr="00D5007E">
              <w:rPr>
                <w:sz w:val="18"/>
                <w:szCs w:val="18"/>
                <w:lang w:val="en-CA"/>
              </w:rPr>
              <w:t>Nil</w:t>
            </w:r>
          </w:p>
        </w:tc>
        <w:tc>
          <w:tcPr>
            <w:tcW w:w="1530" w:type="dxa"/>
          </w:tcPr>
          <w:p w14:paraId="68FAD3D1" w14:textId="7E013827" w:rsidR="00336318" w:rsidRPr="00D5007E" w:rsidRDefault="00336318" w:rsidP="00336318">
            <w:pPr>
              <w:pStyle w:val="BodyText"/>
              <w:keepNext/>
              <w:keepLines/>
              <w:spacing w:before="0"/>
              <w:jc w:val="center"/>
              <w:rPr>
                <w:sz w:val="18"/>
                <w:szCs w:val="18"/>
                <w:lang w:val="en-CA"/>
              </w:rPr>
            </w:pPr>
            <w:r w:rsidRPr="0004729B">
              <w:rPr>
                <w:sz w:val="18"/>
                <w:szCs w:val="18"/>
                <w:lang w:val="en-CA"/>
              </w:rPr>
              <w:t>No relationship</w:t>
            </w:r>
          </w:p>
        </w:tc>
      </w:tr>
      <w:tr w:rsidR="00336318" w14:paraId="3AC18A15" w14:textId="77777777" w:rsidTr="00526202">
        <w:tc>
          <w:tcPr>
            <w:tcW w:w="1440" w:type="dxa"/>
          </w:tcPr>
          <w:p w14:paraId="5567C5CF" w14:textId="7A476D95" w:rsidR="00336318" w:rsidRPr="00D5007E" w:rsidRDefault="00336318" w:rsidP="00336318">
            <w:pPr>
              <w:pStyle w:val="BodyText"/>
              <w:keepNext/>
              <w:keepLines/>
              <w:spacing w:before="0"/>
              <w:jc w:val="center"/>
              <w:rPr>
                <w:sz w:val="18"/>
                <w:szCs w:val="18"/>
                <w:lang w:val="en-CA"/>
              </w:rPr>
            </w:pPr>
            <w:r w:rsidRPr="00D5007E">
              <w:rPr>
                <w:sz w:val="18"/>
                <w:szCs w:val="18"/>
                <w:lang w:val="en-CA"/>
              </w:rPr>
              <w:t xml:space="preserve">Steve </w:t>
            </w:r>
            <w:proofErr w:type="spellStart"/>
            <w:r w:rsidRPr="00D5007E">
              <w:rPr>
                <w:sz w:val="18"/>
                <w:szCs w:val="18"/>
                <w:lang w:val="en-CA"/>
              </w:rPr>
              <w:t>Labranche</w:t>
            </w:r>
            <w:proofErr w:type="spellEnd"/>
          </w:p>
        </w:tc>
        <w:tc>
          <w:tcPr>
            <w:tcW w:w="1260" w:type="dxa"/>
          </w:tcPr>
          <w:p w14:paraId="091C7849" w14:textId="41EFFB13" w:rsidR="00336318" w:rsidRPr="00D5007E" w:rsidRDefault="00336318" w:rsidP="00336318">
            <w:pPr>
              <w:pStyle w:val="BodyText"/>
              <w:keepNext/>
              <w:keepLines/>
              <w:spacing w:before="0"/>
              <w:jc w:val="center"/>
              <w:rPr>
                <w:sz w:val="18"/>
                <w:szCs w:val="18"/>
                <w:vertAlign w:val="superscript"/>
                <w:lang w:val="en-CA"/>
              </w:rPr>
            </w:pPr>
            <w:r w:rsidRPr="00D5007E">
              <w:rPr>
                <w:sz w:val="18"/>
                <w:szCs w:val="18"/>
              </w:rPr>
              <w:t>700,000 common shares</w:t>
            </w:r>
          </w:p>
        </w:tc>
        <w:tc>
          <w:tcPr>
            <w:tcW w:w="1260" w:type="dxa"/>
          </w:tcPr>
          <w:p w14:paraId="243F3315" w14:textId="2E7FDCB9" w:rsidR="00336318" w:rsidRPr="00D5007E" w:rsidRDefault="00336318" w:rsidP="00336318">
            <w:pPr>
              <w:pStyle w:val="BodyText"/>
              <w:keepNext/>
              <w:keepLines/>
              <w:spacing w:before="0"/>
              <w:jc w:val="center"/>
              <w:rPr>
                <w:sz w:val="18"/>
                <w:szCs w:val="18"/>
                <w:lang w:val="en-CA"/>
              </w:rPr>
            </w:pPr>
            <w:r w:rsidRPr="00D5007E">
              <w:rPr>
                <w:sz w:val="18"/>
                <w:szCs w:val="18"/>
              </w:rPr>
              <w:t>259,000</w:t>
            </w:r>
          </w:p>
        </w:tc>
        <w:tc>
          <w:tcPr>
            <w:tcW w:w="1440" w:type="dxa"/>
          </w:tcPr>
          <w:p w14:paraId="279766B3" w14:textId="7A43705B" w:rsidR="00336318" w:rsidRPr="00D5007E" w:rsidRDefault="00336318" w:rsidP="00336318">
            <w:pPr>
              <w:pStyle w:val="BodyText"/>
              <w:keepNext/>
              <w:keepLines/>
              <w:spacing w:before="0"/>
              <w:jc w:val="center"/>
              <w:rPr>
                <w:sz w:val="18"/>
                <w:szCs w:val="18"/>
                <w:lang w:val="en-CA"/>
              </w:rPr>
            </w:pPr>
            <w:r w:rsidRPr="00D5007E">
              <w:rPr>
                <w:sz w:val="18"/>
                <w:szCs w:val="18"/>
              </w:rPr>
              <w:t>N/A</w:t>
            </w:r>
          </w:p>
        </w:tc>
        <w:tc>
          <w:tcPr>
            <w:tcW w:w="1440" w:type="dxa"/>
          </w:tcPr>
          <w:p w14:paraId="764BB219" w14:textId="41AA16E0" w:rsidR="00336318" w:rsidRPr="00D5007E" w:rsidRDefault="00336318" w:rsidP="00336318">
            <w:pPr>
              <w:pStyle w:val="BodyText"/>
              <w:keepNext/>
              <w:keepLines/>
              <w:spacing w:before="0"/>
              <w:jc w:val="center"/>
              <w:rPr>
                <w:sz w:val="18"/>
                <w:szCs w:val="18"/>
                <w:lang w:val="en-CA"/>
              </w:rPr>
            </w:pPr>
            <w:r w:rsidRPr="00D5007E">
              <w:rPr>
                <w:sz w:val="18"/>
                <w:szCs w:val="18"/>
              </w:rPr>
              <w:t>NI 45-106 2.13 [Petroleum, natural gas and mining properties]</w:t>
            </w:r>
          </w:p>
        </w:tc>
        <w:tc>
          <w:tcPr>
            <w:tcW w:w="1620" w:type="dxa"/>
          </w:tcPr>
          <w:p w14:paraId="50FC5773" w14:textId="353C6ED6" w:rsidR="00336318" w:rsidRPr="00D5007E" w:rsidRDefault="00336318" w:rsidP="00336318">
            <w:pPr>
              <w:pStyle w:val="BodyText"/>
              <w:keepNext/>
              <w:keepLines/>
              <w:spacing w:before="0"/>
              <w:jc w:val="center"/>
              <w:rPr>
                <w:sz w:val="18"/>
                <w:szCs w:val="18"/>
                <w:lang w:val="en-CA"/>
              </w:rPr>
            </w:pPr>
            <w:r w:rsidRPr="00D5007E">
              <w:rPr>
                <w:sz w:val="18"/>
                <w:szCs w:val="18"/>
              </w:rPr>
              <w:t>Nil</w:t>
            </w:r>
          </w:p>
        </w:tc>
        <w:tc>
          <w:tcPr>
            <w:tcW w:w="1530" w:type="dxa"/>
          </w:tcPr>
          <w:p w14:paraId="7BB3C60B" w14:textId="5711C3B5" w:rsidR="00336318" w:rsidRPr="00D5007E" w:rsidRDefault="00336318" w:rsidP="00336318">
            <w:pPr>
              <w:pStyle w:val="BodyText"/>
              <w:keepNext/>
              <w:keepLines/>
              <w:spacing w:before="0"/>
              <w:jc w:val="center"/>
              <w:rPr>
                <w:sz w:val="18"/>
                <w:szCs w:val="18"/>
                <w:lang w:val="en-CA"/>
              </w:rPr>
            </w:pPr>
            <w:r w:rsidRPr="0004729B">
              <w:rPr>
                <w:sz w:val="18"/>
                <w:szCs w:val="18"/>
                <w:lang w:val="en-CA"/>
              </w:rPr>
              <w:t>No relationship</w:t>
            </w:r>
          </w:p>
        </w:tc>
      </w:tr>
      <w:tr w:rsidR="00336318" w14:paraId="1097919C" w14:textId="77777777" w:rsidTr="00526202">
        <w:tc>
          <w:tcPr>
            <w:tcW w:w="1440" w:type="dxa"/>
          </w:tcPr>
          <w:p w14:paraId="2DDB2BA9" w14:textId="2428B1A9" w:rsidR="00336318" w:rsidRPr="00D5007E" w:rsidRDefault="00336318" w:rsidP="00336318">
            <w:pPr>
              <w:pStyle w:val="BodyText"/>
              <w:keepNext/>
              <w:keepLines/>
              <w:spacing w:before="0"/>
              <w:jc w:val="center"/>
              <w:rPr>
                <w:sz w:val="18"/>
                <w:szCs w:val="18"/>
                <w:lang w:val="en-CA"/>
              </w:rPr>
            </w:pPr>
            <w:r w:rsidRPr="00D5007E">
              <w:rPr>
                <w:sz w:val="18"/>
                <w:szCs w:val="18"/>
                <w:lang w:val="en-CA"/>
              </w:rPr>
              <w:t>Cutler McCarthy Inc.</w:t>
            </w:r>
          </w:p>
        </w:tc>
        <w:tc>
          <w:tcPr>
            <w:tcW w:w="1260" w:type="dxa"/>
          </w:tcPr>
          <w:p w14:paraId="4C26B8AD" w14:textId="7E402531" w:rsidR="00336318" w:rsidRPr="00D5007E" w:rsidRDefault="00336318" w:rsidP="00336318">
            <w:pPr>
              <w:pStyle w:val="BodyText"/>
              <w:keepNext/>
              <w:keepLines/>
              <w:spacing w:before="0"/>
              <w:jc w:val="center"/>
              <w:rPr>
                <w:sz w:val="18"/>
                <w:szCs w:val="18"/>
                <w:vertAlign w:val="superscript"/>
                <w:lang w:val="en-CA"/>
              </w:rPr>
            </w:pPr>
            <w:r w:rsidRPr="00D5007E">
              <w:rPr>
                <w:sz w:val="18"/>
                <w:szCs w:val="18"/>
              </w:rPr>
              <w:t>7</w:t>
            </w:r>
            <w:r w:rsidRPr="00D5007E">
              <w:rPr>
                <w:sz w:val="18"/>
                <w:szCs w:val="18"/>
              </w:rPr>
              <w:t>5</w:t>
            </w:r>
            <w:r w:rsidRPr="00D5007E">
              <w:rPr>
                <w:sz w:val="18"/>
                <w:szCs w:val="18"/>
              </w:rPr>
              <w:t>0,000 common shares</w:t>
            </w:r>
          </w:p>
        </w:tc>
        <w:tc>
          <w:tcPr>
            <w:tcW w:w="1260" w:type="dxa"/>
          </w:tcPr>
          <w:p w14:paraId="0487AD3A" w14:textId="7F2312ED" w:rsidR="00336318" w:rsidRPr="00D5007E" w:rsidRDefault="00336318" w:rsidP="00336318">
            <w:pPr>
              <w:pStyle w:val="BodyText"/>
              <w:keepNext/>
              <w:keepLines/>
              <w:spacing w:before="0"/>
              <w:jc w:val="center"/>
              <w:rPr>
                <w:sz w:val="18"/>
                <w:szCs w:val="18"/>
                <w:lang w:val="en-CA"/>
              </w:rPr>
            </w:pPr>
            <w:r>
              <w:rPr>
                <w:sz w:val="18"/>
                <w:szCs w:val="18"/>
                <w:lang w:val="en-CA"/>
              </w:rPr>
              <w:t>277,500</w:t>
            </w:r>
          </w:p>
        </w:tc>
        <w:tc>
          <w:tcPr>
            <w:tcW w:w="1440" w:type="dxa"/>
          </w:tcPr>
          <w:p w14:paraId="640D3E85" w14:textId="33E55AE8" w:rsidR="00336318" w:rsidRPr="00D5007E" w:rsidRDefault="00336318" w:rsidP="00336318">
            <w:pPr>
              <w:pStyle w:val="BodyText"/>
              <w:keepNext/>
              <w:keepLines/>
              <w:spacing w:before="0"/>
              <w:jc w:val="center"/>
              <w:rPr>
                <w:sz w:val="18"/>
                <w:szCs w:val="18"/>
                <w:lang w:val="en-CA"/>
              </w:rPr>
            </w:pPr>
            <w:r w:rsidRPr="00D5007E">
              <w:rPr>
                <w:sz w:val="18"/>
                <w:szCs w:val="18"/>
              </w:rPr>
              <w:t>N/A</w:t>
            </w:r>
          </w:p>
        </w:tc>
        <w:tc>
          <w:tcPr>
            <w:tcW w:w="1440" w:type="dxa"/>
          </w:tcPr>
          <w:p w14:paraId="6B2453D9" w14:textId="44747126" w:rsidR="00336318" w:rsidRPr="00D5007E" w:rsidRDefault="00336318" w:rsidP="00336318">
            <w:pPr>
              <w:pStyle w:val="BodyText"/>
              <w:keepNext/>
              <w:keepLines/>
              <w:spacing w:before="0"/>
              <w:jc w:val="center"/>
              <w:rPr>
                <w:sz w:val="18"/>
                <w:szCs w:val="18"/>
                <w:lang w:val="en-CA"/>
              </w:rPr>
            </w:pPr>
            <w:r w:rsidRPr="00D5007E">
              <w:rPr>
                <w:sz w:val="18"/>
                <w:szCs w:val="18"/>
              </w:rPr>
              <w:t>NI 45-106 2.13 [Petroleum, natural gas and mining properties]</w:t>
            </w:r>
          </w:p>
        </w:tc>
        <w:tc>
          <w:tcPr>
            <w:tcW w:w="1620" w:type="dxa"/>
          </w:tcPr>
          <w:p w14:paraId="6BB19C5F" w14:textId="4225AADA" w:rsidR="00336318" w:rsidRPr="00D5007E" w:rsidRDefault="00336318" w:rsidP="00336318">
            <w:pPr>
              <w:pStyle w:val="BodyText"/>
              <w:keepNext/>
              <w:keepLines/>
              <w:spacing w:before="0"/>
              <w:jc w:val="center"/>
              <w:rPr>
                <w:sz w:val="18"/>
                <w:szCs w:val="18"/>
                <w:lang w:val="en-CA"/>
              </w:rPr>
            </w:pPr>
            <w:r w:rsidRPr="00D5007E">
              <w:rPr>
                <w:sz w:val="18"/>
                <w:szCs w:val="18"/>
              </w:rPr>
              <w:t>Nil</w:t>
            </w:r>
          </w:p>
        </w:tc>
        <w:tc>
          <w:tcPr>
            <w:tcW w:w="1530" w:type="dxa"/>
          </w:tcPr>
          <w:p w14:paraId="17C8E220" w14:textId="60CFAEA3" w:rsidR="00336318" w:rsidRPr="00D5007E" w:rsidRDefault="00336318" w:rsidP="00336318">
            <w:pPr>
              <w:pStyle w:val="BodyText"/>
              <w:keepNext/>
              <w:keepLines/>
              <w:spacing w:before="0"/>
              <w:jc w:val="center"/>
              <w:rPr>
                <w:sz w:val="18"/>
                <w:szCs w:val="18"/>
                <w:lang w:val="en-CA"/>
              </w:rPr>
            </w:pPr>
            <w:r w:rsidRPr="0004729B">
              <w:rPr>
                <w:sz w:val="18"/>
                <w:szCs w:val="18"/>
                <w:lang w:val="en-CA"/>
              </w:rPr>
              <w:t>No relationship</w:t>
            </w:r>
          </w:p>
        </w:tc>
      </w:tr>
      <w:tr w:rsidR="00336318" w14:paraId="5CC91026" w14:textId="77777777" w:rsidTr="00526202">
        <w:tc>
          <w:tcPr>
            <w:tcW w:w="1440" w:type="dxa"/>
          </w:tcPr>
          <w:p w14:paraId="535FCFBF" w14:textId="390AE84A" w:rsidR="00336318" w:rsidRPr="00D5007E" w:rsidRDefault="00336318" w:rsidP="00336318">
            <w:pPr>
              <w:pStyle w:val="BodyText"/>
              <w:keepNext/>
              <w:keepLines/>
              <w:spacing w:before="0"/>
              <w:jc w:val="center"/>
              <w:rPr>
                <w:sz w:val="18"/>
                <w:szCs w:val="18"/>
                <w:lang w:val="en-CA"/>
              </w:rPr>
            </w:pPr>
            <w:r w:rsidRPr="00D5007E">
              <w:rPr>
                <w:sz w:val="18"/>
                <w:szCs w:val="18"/>
                <w:lang w:val="en-CA"/>
              </w:rPr>
              <w:t xml:space="preserve">Nathan </w:t>
            </w:r>
            <w:proofErr w:type="spellStart"/>
            <w:r w:rsidRPr="00D5007E">
              <w:rPr>
                <w:sz w:val="18"/>
                <w:szCs w:val="18"/>
                <w:lang w:val="en-CA"/>
              </w:rPr>
              <w:t>Rotstein</w:t>
            </w:r>
            <w:proofErr w:type="spellEnd"/>
          </w:p>
        </w:tc>
        <w:tc>
          <w:tcPr>
            <w:tcW w:w="1260" w:type="dxa"/>
          </w:tcPr>
          <w:p w14:paraId="1DB1C69A" w14:textId="54C91C3B" w:rsidR="00336318" w:rsidRPr="00D5007E" w:rsidRDefault="00336318" w:rsidP="00336318">
            <w:pPr>
              <w:pStyle w:val="BodyText"/>
              <w:keepNext/>
              <w:keepLines/>
              <w:spacing w:before="0"/>
              <w:jc w:val="center"/>
              <w:rPr>
                <w:sz w:val="18"/>
                <w:szCs w:val="18"/>
              </w:rPr>
            </w:pPr>
            <w:r w:rsidRPr="00D5007E">
              <w:rPr>
                <w:sz w:val="18"/>
                <w:szCs w:val="18"/>
              </w:rPr>
              <w:t>50</w:t>
            </w:r>
            <w:r>
              <w:rPr>
                <w:sz w:val="18"/>
                <w:szCs w:val="18"/>
              </w:rPr>
              <w:t>0</w:t>
            </w:r>
            <w:r w:rsidRPr="00D5007E">
              <w:rPr>
                <w:sz w:val="18"/>
                <w:szCs w:val="18"/>
              </w:rPr>
              <w:t>,000 common shares</w:t>
            </w:r>
          </w:p>
        </w:tc>
        <w:tc>
          <w:tcPr>
            <w:tcW w:w="1260" w:type="dxa"/>
          </w:tcPr>
          <w:p w14:paraId="481CD138" w14:textId="58C67E3A" w:rsidR="00336318" w:rsidRPr="00D5007E" w:rsidRDefault="00336318" w:rsidP="00336318">
            <w:pPr>
              <w:pStyle w:val="BodyText"/>
              <w:keepNext/>
              <w:keepLines/>
              <w:spacing w:before="0"/>
              <w:jc w:val="center"/>
              <w:rPr>
                <w:sz w:val="18"/>
                <w:szCs w:val="18"/>
              </w:rPr>
            </w:pPr>
            <w:r>
              <w:rPr>
                <w:sz w:val="18"/>
                <w:szCs w:val="18"/>
              </w:rPr>
              <w:t>185,000</w:t>
            </w:r>
          </w:p>
        </w:tc>
        <w:tc>
          <w:tcPr>
            <w:tcW w:w="1440" w:type="dxa"/>
          </w:tcPr>
          <w:p w14:paraId="149331EE" w14:textId="67576992" w:rsidR="00336318" w:rsidRPr="00D5007E" w:rsidRDefault="00336318" w:rsidP="00336318">
            <w:pPr>
              <w:pStyle w:val="BodyText"/>
              <w:keepNext/>
              <w:keepLines/>
              <w:spacing w:before="0"/>
              <w:jc w:val="center"/>
              <w:rPr>
                <w:sz w:val="18"/>
                <w:szCs w:val="18"/>
              </w:rPr>
            </w:pPr>
            <w:r w:rsidRPr="00D5007E">
              <w:rPr>
                <w:sz w:val="18"/>
                <w:szCs w:val="18"/>
              </w:rPr>
              <w:t>N/A</w:t>
            </w:r>
          </w:p>
        </w:tc>
        <w:tc>
          <w:tcPr>
            <w:tcW w:w="1440" w:type="dxa"/>
          </w:tcPr>
          <w:p w14:paraId="6DEF301B" w14:textId="1F7A05F2" w:rsidR="00336318" w:rsidRPr="00D5007E" w:rsidRDefault="00336318" w:rsidP="00336318">
            <w:pPr>
              <w:pStyle w:val="BodyText"/>
              <w:keepNext/>
              <w:keepLines/>
              <w:spacing w:before="0"/>
              <w:jc w:val="center"/>
              <w:rPr>
                <w:sz w:val="18"/>
                <w:szCs w:val="18"/>
              </w:rPr>
            </w:pPr>
            <w:r w:rsidRPr="00D5007E">
              <w:rPr>
                <w:sz w:val="18"/>
                <w:szCs w:val="18"/>
              </w:rPr>
              <w:t>NI 45-106 2.13 [Petroleum, natural gas and mining properties]</w:t>
            </w:r>
          </w:p>
        </w:tc>
        <w:tc>
          <w:tcPr>
            <w:tcW w:w="1620" w:type="dxa"/>
          </w:tcPr>
          <w:p w14:paraId="0C1561F0" w14:textId="2742CAB7" w:rsidR="00336318" w:rsidRPr="00D5007E" w:rsidRDefault="00336318" w:rsidP="00336318">
            <w:pPr>
              <w:pStyle w:val="BodyText"/>
              <w:keepNext/>
              <w:keepLines/>
              <w:spacing w:before="0"/>
              <w:jc w:val="center"/>
              <w:rPr>
                <w:sz w:val="18"/>
                <w:szCs w:val="18"/>
              </w:rPr>
            </w:pPr>
            <w:r w:rsidRPr="00D5007E">
              <w:rPr>
                <w:sz w:val="18"/>
                <w:szCs w:val="18"/>
              </w:rPr>
              <w:t>Nil</w:t>
            </w:r>
          </w:p>
        </w:tc>
        <w:tc>
          <w:tcPr>
            <w:tcW w:w="1530" w:type="dxa"/>
          </w:tcPr>
          <w:p w14:paraId="2B5AFDD8" w14:textId="29B4A7BB" w:rsidR="00336318" w:rsidRPr="00D5007E" w:rsidRDefault="00336318" w:rsidP="00336318">
            <w:pPr>
              <w:pStyle w:val="BodyText"/>
              <w:keepNext/>
              <w:keepLines/>
              <w:spacing w:before="0"/>
              <w:jc w:val="center"/>
              <w:rPr>
                <w:sz w:val="18"/>
                <w:szCs w:val="18"/>
              </w:rPr>
            </w:pPr>
            <w:r w:rsidRPr="0004729B">
              <w:rPr>
                <w:sz w:val="18"/>
                <w:szCs w:val="18"/>
                <w:lang w:val="en-CA"/>
              </w:rPr>
              <w:t>No relationship</w:t>
            </w:r>
          </w:p>
        </w:tc>
      </w:tr>
      <w:tr w:rsidR="00336318" w14:paraId="53ED7B45" w14:textId="77777777" w:rsidTr="00526202">
        <w:tc>
          <w:tcPr>
            <w:tcW w:w="1440" w:type="dxa"/>
          </w:tcPr>
          <w:p w14:paraId="74059D63" w14:textId="77777777" w:rsidR="00336318" w:rsidRPr="00D5007E" w:rsidRDefault="00336318" w:rsidP="00336318">
            <w:pPr>
              <w:pStyle w:val="TableParagraph"/>
              <w:spacing w:before="139"/>
              <w:ind w:left="39"/>
              <w:rPr>
                <w:sz w:val="18"/>
                <w:szCs w:val="18"/>
              </w:rPr>
            </w:pPr>
            <w:proofErr w:type="spellStart"/>
            <w:r w:rsidRPr="00D5007E">
              <w:rPr>
                <w:color w:val="110F13"/>
                <w:w w:val="105"/>
                <w:sz w:val="18"/>
                <w:szCs w:val="18"/>
              </w:rPr>
              <w:t>Zadkiel</w:t>
            </w:r>
            <w:proofErr w:type="spellEnd"/>
            <w:r w:rsidRPr="00D5007E">
              <w:rPr>
                <w:color w:val="110F13"/>
                <w:w w:val="105"/>
                <w:sz w:val="18"/>
                <w:szCs w:val="18"/>
              </w:rPr>
              <w:t xml:space="preserve"> Holdings Inc.</w:t>
            </w:r>
          </w:p>
          <w:p w14:paraId="2C85FD02" w14:textId="77777777" w:rsidR="00336318" w:rsidRPr="00D5007E" w:rsidRDefault="00336318" w:rsidP="00336318">
            <w:pPr>
              <w:pStyle w:val="BodyText"/>
              <w:keepNext/>
              <w:keepLines/>
              <w:spacing w:before="0"/>
              <w:jc w:val="center"/>
              <w:rPr>
                <w:sz w:val="18"/>
                <w:szCs w:val="18"/>
                <w:lang w:val="en-CA"/>
              </w:rPr>
            </w:pPr>
          </w:p>
        </w:tc>
        <w:tc>
          <w:tcPr>
            <w:tcW w:w="1260" w:type="dxa"/>
          </w:tcPr>
          <w:p w14:paraId="2B47FF02" w14:textId="1BCE6137" w:rsidR="00336318" w:rsidRPr="00D5007E" w:rsidRDefault="00336318" w:rsidP="00336318">
            <w:pPr>
              <w:pStyle w:val="BodyText"/>
              <w:keepNext/>
              <w:keepLines/>
              <w:spacing w:before="0"/>
              <w:jc w:val="center"/>
              <w:rPr>
                <w:sz w:val="18"/>
                <w:szCs w:val="18"/>
              </w:rPr>
            </w:pPr>
            <w:r>
              <w:rPr>
                <w:sz w:val="18"/>
                <w:szCs w:val="18"/>
              </w:rPr>
              <w:t>3</w:t>
            </w:r>
            <w:r w:rsidRPr="00D5007E">
              <w:rPr>
                <w:sz w:val="18"/>
                <w:szCs w:val="18"/>
              </w:rPr>
              <w:t>75,000 common shares</w:t>
            </w:r>
          </w:p>
        </w:tc>
        <w:tc>
          <w:tcPr>
            <w:tcW w:w="1260" w:type="dxa"/>
          </w:tcPr>
          <w:p w14:paraId="040EBBEF" w14:textId="67CB7140" w:rsidR="00336318" w:rsidRPr="00D5007E" w:rsidRDefault="00336318" w:rsidP="00336318">
            <w:pPr>
              <w:pStyle w:val="BodyText"/>
              <w:keepNext/>
              <w:keepLines/>
              <w:spacing w:before="0"/>
              <w:jc w:val="center"/>
              <w:rPr>
                <w:sz w:val="18"/>
                <w:szCs w:val="18"/>
              </w:rPr>
            </w:pPr>
            <w:r>
              <w:rPr>
                <w:sz w:val="18"/>
                <w:szCs w:val="18"/>
              </w:rPr>
              <w:t>138,750</w:t>
            </w:r>
          </w:p>
        </w:tc>
        <w:tc>
          <w:tcPr>
            <w:tcW w:w="1440" w:type="dxa"/>
          </w:tcPr>
          <w:p w14:paraId="444C68E3" w14:textId="07B2FBD8" w:rsidR="00336318" w:rsidRPr="00D5007E" w:rsidRDefault="00336318" w:rsidP="00336318">
            <w:pPr>
              <w:pStyle w:val="BodyText"/>
              <w:keepNext/>
              <w:keepLines/>
              <w:spacing w:before="0"/>
              <w:jc w:val="center"/>
              <w:rPr>
                <w:sz w:val="18"/>
                <w:szCs w:val="18"/>
              </w:rPr>
            </w:pPr>
            <w:r w:rsidRPr="00D5007E">
              <w:rPr>
                <w:sz w:val="18"/>
                <w:szCs w:val="18"/>
              </w:rPr>
              <w:t>N/A</w:t>
            </w:r>
          </w:p>
        </w:tc>
        <w:tc>
          <w:tcPr>
            <w:tcW w:w="1440" w:type="dxa"/>
          </w:tcPr>
          <w:p w14:paraId="4260949F" w14:textId="787438C6" w:rsidR="00336318" w:rsidRPr="00D5007E" w:rsidRDefault="00336318" w:rsidP="00336318">
            <w:pPr>
              <w:pStyle w:val="BodyText"/>
              <w:keepNext/>
              <w:keepLines/>
              <w:spacing w:before="0"/>
              <w:jc w:val="center"/>
              <w:rPr>
                <w:sz w:val="18"/>
                <w:szCs w:val="18"/>
              </w:rPr>
            </w:pPr>
            <w:r w:rsidRPr="00D5007E">
              <w:rPr>
                <w:sz w:val="18"/>
                <w:szCs w:val="18"/>
              </w:rPr>
              <w:t>NI 45-106 2.13 [Petroleum, natural gas and mining properties]</w:t>
            </w:r>
          </w:p>
        </w:tc>
        <w:tc>
          <w:tcPr>
            <w:tcW w:w="1620" w:type="dxa"/>
          </w:tcPr>
          <w:p w14:paraId="0E326E88" w14:textId="56DEA669" w:rsidR="00336318" w:rsidRPr="00D5007E" w:rsidRDefault="00336318" w:rsidP="00336318">
            <w:pPr>
              <w:pStyle w:val="BodyText"/>
              <w:keepNext/>
              <w:keepLines/>
              <w:spacing w:before="0"/>
              <w:jc w:val="center"/>
              <w:rPr>
                <w:sz w:val="18"/>
                <w:szCs w:val="18"/>
              </w:rPr>
            </w:pPr>
            <w:r>
              <w:rPr>
                <w:sz w:val="18"/>
                <w:szCs w:val="18"/>
              </w:rPr>
              <w:t>75,000</w:t>
            </w:r>
          </w:p>
        </w:tc>
        <w:tc>
          <w:tcPr>
            <w:tcW w:w="1530" w:type="dxa"/>
          </w:tcPr>
          <w:p w14:paraId="3FC717EB" w14:textId="413CBFBB" w:rsidR="00336318" w:rsidRPr="00D5007E" w:rsidRDefault="00336318" w:rsidP="00336318">
            <w:pPr>
              <w:pStyle w:val="BodyText"/>
              <w:keepNext/>
              <w:keepLines/>
              <w:spacing w:before="0"/>
              <w:jc w:val="center"/>
              <w:rPr>
                <w:sz w:val="18"/>
                <w:szCs w:val="18"/>
              </w:rPr>
            </w:pPr>
            <w:r w:rsidRPr="0004729B">
              <w:rPr>
                <w:sz w:val="18"/>
                <w:szCs w:val="18"/>
                <w:lang w:val="en-CA"/>
              </w:rPr>
              <w:t>No relationship</w:t>
            </w:r>
          </w:p>
        </w:tc>
      </w:tr>
      <w:tr w:rsidR="00336318" w14:paraId="7932AD50" w14:textId="77777777" w:rsidTr="00526202">
        <w:tc>
          <w:tcPr>
            <w:tcW w:w="1440" w:type="dxa"/>
          </w:tcPr>
          <w:p w14:paraId="2CAC5224" w14:textId="77777777" w:rsidR="00336318" w:rsidRPr="00D5007E" w:rsidRDefault="00336318" w:rsidP="00336318">
            <w:pPr>
              <w:widowControl w:val="0"/>
              <w:autoSpaceDE w:val="0"/>
              <w:autoSpaceDN w:val="0"/>
              <w:spacing w:before="139"/>
              <w:ind w:left="35"/>
              <w:rPr>
                <w:sz w:val="18"/>
                <w:szCs w:val="18"/>
              </w:rPr>
            </w:pPr>
            <w:r w:rsidRPr="00D5007E">
              <w:rPr>
                <w:color w:val="110F13"/>
                <w:w w:val="105"/>
                <w:sz w:val="18"/>
                <w:szCs w:val="18"/>
              </w:rPr>
              <w:t>514 Finance</w:t>
            </w:r>
            <w:r w:rsidRPr="00D5007E">
              <w:rPr>
                <w:color w:val="110F13"/>
                <w:spacing w:val="-23"/>
                <w:w w:val="105"/>
                <w:sz w:val="18"/>
                <w:szCs w:val="18"/>
              </w:rPr>
              <w:t xml:space="preserve"> </w:t>
            </w:r>
            <w:r w:rsidRPr="00D5007E">
              <w:rPr>
                <w:color w:val="110F13"/>
                <w:w w:val="105"/>
                <w:sz w:val="18"/>
                <w:szCs w:val="18"/>
              </w:rPr>
              <w:t>Inc.</w:t>
            </w:r>
          </w:p>
          <w:p w14:paraId="2E1B43E9" w14:textId="77777777" w:rsidR="00336318" w:rsidRPr="00D5007E" w:rsidRDefault="00336318" w:rsidP="00336318">
            <w:pPr>
              <w:pStyle w:val="BodyText"/>
              <w:keepNext/>
              <w:keepLines/>
              <w:spacing w:before="0"/>
              <w:jc w:val="center"/>
              <w:rPr>
                <w:sz w:val="18"/>
                <w:szCs w:val="18"/>
                <w:lang w:val="en-CA"/>
              </w:rPr>
            </w:pPr>
          </w:p>
        </w:tc>
        <w:tc>
          <w:tcPr>
            <w:tcW w:w="1260" w:type="dxa"/>
          </w:tcPr>
          <w:p w14:paraId="6709169C" w14:textId="1F01B1DC" w:rsidR="00336318" w:rsidRPr="00D5007E" w:rsidRDefault="00336318" w:rsidP="00336318">
            <w:pPr>
              <w:pStyle w:val="BodyText"/>
              <w:keepNext/>
              <w:keepLines/>
              <w:spacing w:before="0"/>
              <w:jc w:val="center"/>
              <w:rPr>
                <w:sz w:val="18"/>
                <w:szCs w:val="18"/>
              </w:rPr>
            </w:pPr>
            <w:r>
              <w:rPr>
                <w:sz w:val="18"/>
                <w:szCs w:val="18"/>
              </w:rPr>
              <w:t>3</w:t>
            </w:r>
            <w:r w:rsidRPr="00D5007E">
              <w:rPr>
                <w:sz w:val="18"/>
                <w:szCs w:val="18"/>
              </w:rPr>
              <w:t>75,000 common shares</w:t>
            </w:r>
          </w:p>
        </w:tc>
        <w:tc>
          <w:tcPr>
            <w:tcW w:w="1260" w:type="dxa"/>
          </w:tcPr>
          <w:p w14:paraId="62B55E20" w14:textId="0BB97394" w:rsidR="00336318" w:rsidRPr="00D5007E" w:rsidRDefault="00336318" w:rsidP="00336318">
            <w:pPr>
              <w:pStyle w:val="BodyText"/>
              <w:keepNext/>
              <w:keepLines/>
              <w:spacing w:before="0"/>
              <w:jc w:val="center"/>
              <w:rPr>
                <w:sz w:val="18"/>
                <w:szCs w:val="18"/>
              </w:rPr>
            </w:pPr>
            <w:r>
              <w:rPr>
                <w:sz w:val="18"/>
                <w:szCs w:val="18"/>
              </w:rPr>
              <w:t>138,750</w:t>
            </w:r>
          </w:p>
        </w:tc>
        <w:tc>
          <w:tcPr>
            <w:tcW w:w="1440" w:type="dxa"/>
          </w:tcPr>
          <w:p w14:paraId="62E8CA57" w14:textId="206968F1" w:rsidR="00336318" w:rsidRPr="00D5007E" w:rsidRDefault="00336318" w:rsidP="00336318">
            <w:pPr>
              <w:pStyle w:val="BodyText"/>
              <w:keepNext/>
              <w:keepLines/>
              <w:spacing w:before="0"/>
              <w:jc w:val="center"/>
              <w:rPr>
                <w:sz w:val="18"/>
                <w:szCs w:val="18"/>
              </w:rPr>
            </w:pPr>
            <w:r w:rsidRPr="00D5007E">
              <w:rPr>
                <w:sz w:val="18"/>
                <w:szCs w:val="18"/>
              </w:rPr>
              <w:t>N/A</w:t>
            </w:r>
          </w:p>
        </w:tc>
        <w:tc>
          <w:tcPr>
            <w:tcW w:w="1440" w:type="dxa"/>
          </w:tcPr>
          <w:p w14:paraId="17A747D8" w14:textId="06EBA086" w:rsidR="00336318" w:rsidRPr="00D5007E" w:rsidRDefault="00336318" w:rsidP="00336318">
            <w:pPr>
              <w:pStyle w:val="BodyText"/>
              <w:keepNext/>
              <w:keepLines/>
              <w:spacing w:before="0"/>
              <w:jc w:val="center"/>
              <w:rPr>
                <w:sz w:val="18"/>
                <w:szCs w:val="18"/>
              </w:rPr>
            </w:pPr>
            <w:r w:rsidRPr="00D5007E">
              <w:rPr>
                <w:sz w:val="18"/>
                <w:szCs w:val="18"/>
              </w:rPr>
              <w:t>NI 45-106 2.13 [Petroleum, natural gas and mining properties]</w:t>
            </w:r>
          </w:p>
        </w:tc>
        <w:tc>
          <w:tcPr>
            <w:tcW w:w="1620" w:type="dxa"/>
          </w:tcPr>
          <w:p w14:paraId="077BF3F4" w14:textId="1879E649" w:rsidR="00336318" w:rsidRPr="00D5007E" w:rsidRDefault="00336318" w:rsidP="00336318">
            <w:pPr>
              <w:pStyle w:val="BodyText"/>
              <w:keepNext/>
              <w:keepLines/>
              <w:spacing w:before="0"/>
              <w:jc w:val="center"/>
              <w:rPr>
                <w:sz w:val="18"/>
                <w:szCs w:val="18"/>
              </w:rPr>
            </w:pPr>
            <w:r w:rsidRPr="00D5007E">
              <w:rPr>
                <w:sz w:val="18"/>
                <w:szCs w:val="18"/>
              </w:rPr>
              <w:t>Nil</w:t>
            </w:r>
          </w:p>
        </w:tc>
        <w:tc>
          <w:tcPr>
            <w:tcW w:w="1530" w:type="dxa"/>
          </w:tcPr>
          <w:p w14:paraId="394A79E2" w14:textId="1D5F5144" w:rsidR="00336318" w:rsidRPr="00D5007E" w:rsidRDefault="00336318" w:rsidP="00336318">
            <w:pPr>
              <w:pStyle w:val="BodyText"/>
              <w:keepNext/>
              <w:keepLines/>
              <w:spacing w:before="0"/>
              <w:jc w:val="center"/>
              <w:rPr>
                <w:sz w:val="18"/>
                <w:szCs w:val="18"/>
              </w:rPr>
            </w:pPr>
            <w:r w:rsidRPr="0004729B">
              <w:rPr>
                <w:sz w:val="18"/>
                <w:szCs w:val="18"/>
                <w:lang w:val="en-CA"/>
              </w:rPr>
              <w:t>No relationship</w:t>
            </w:r>
          </w:p>
        </w:tc>
      </w:tr>
    </w:tbl>
    <w:p w14:paraId="54162914" w14:textId="77777777" w:rsidR="00EA4133" w:rsidRPr="003C6A54" w:rsidRDefault="00EA4133" w:rsidP="003C6A54">
      <w:pPr>
        <w:pStyle w:val="BodyText"/>
        <w:numPr>
          <w:ilvl w:val="0"/>
          <w:numId w:val="17"/>
        </w:numPr>
        <w:tabs>
          <w:tab w:val="clear" w:pos="720"/>
          <w:tab w:val="left" w:pos="540"/>
        </w:tabs>
        <w:spacing w:before="120"/>
        <w:ind w:left="540" w:hanging="353"/>
        <w:rPr>
          <w:rFonts w:ascii="Arial" w:hAnsi="Arial"/>
          <w:sz w:val="20"/>
        </w:rPr>
      </w:pPr>
      <w:r w:rsidRPr="003C6A54">
        <w:rPr>
          <w:rFonts w:ascii="Arial" w:hAnsi="Arial"/>
          <w:sz w:val="20"/>
        </w:rPr>
        <w:t>Indicate if Related Person</w:t>
      </w:r>
    </w:p>
    <w:p w14:paraId="7132B76F" w14:textId="77777777" w:rsidR="003C6A54" w:rsidRPr="003C6A54" w:rsidRDefault="003C6A54" w:rsidP="003C6A54">
      <w:pPr>
        <w:pStyle w:val="BodyText"/>
        <w:numPr>
          <w:ilvl w:val="0"/>
          <w:numId w:val="17"/>
        </w:numPr>
        <w:tabs>
          <w:tab w:val="clear" w:pos="720"/>
          <w:tab w:val="left" w:pos="540"/>
        </w:tabs>
        <w:spacing w:before="0"/>
        <w:ind w:left="547"/>
        <w:rPr>
          <w:rFonts w:ascii="Arial" w:hAnsi="Arial"/>
          <w:sz w:val="20"/>
        </w:rPr>
      </w:pPr>
      <w:r w:rsidRPr="003C6A54">
        <w:rPr>
          <w:rFonts w:ascii="Arial" w:hAnsi="Arial"/>
          <w:color w:val="000000"/>
          <w:sz w:val="20"/>
          <w:u w:val="single"/>
        </w:rPr>
        <w:t xml:space="preserve">The dollar value </w:t>
      </w:r>
      <w:r w:rsidR="00992120">
        <w:rPr>
          <w:rFonts w:ascii="Arial" w:hAnsi="Arial"/>
          <w:color w:val="000000"/>
          <w:sz w:val="20"/>
          <w:u w:val="single"/>
        </w:rPr>
        <w:t>per s</w:t>
      </w:r>
      <w:r w:rsidRPr="003C6A54">
        <w:rPr>
          <w:rFonts w:ascii="Arial" w:hAnsi="Arial"/>
          <w:color w:val="000000"/>
          <w:sz w:val="20"/>
          <w:u w:val="single"/>
        </w:rPr>
        <w:t xml:space="preserve">hare will depend on the </w:t>
      </w:r>
      <w:r>
        <w:rPr>
          <w:rFonts w:ascii="Arial" w:hAnsi="Arial"/>
          <w:color w:val="000000"/>
          <w:sz w:val="20"/>
          <w:u w:val="single"/>
        </w:rPr>
        <w:t xml:space="preserve">market </w:t>
      </w:r>
      <w:r w:rsidRPr="003C6A54">
        <w:rPr>
          <w:rFonts w:ascii="Arial" w:hAnsi="Arial"/>
          <w:color w:val="000000"/>
          <w:sz w:val="20"/>
          <w:u w:val="single"/>
        </w:rPr>
        <w:t>price of the Issuer</w:t>
      </w:r>
      <w:r>
        <w:rPr>
          <w:rFonts w:ascii="Arial" w:hAnsi="Arial"/>
          <w:color w:val="000000"/>
          <w:sz w:val="20"/>
          <w:u w:val="single"/>
        </w:rPr>
        <w:t>’s share</w:t>
      </w:r>
      <w:r w:rsidR="00830CDB">
        <w:rPr>
          <w:rFonts w:ascii="Arial" w:hAnsi="Arial"/>
          <w:color w:val="000000"/>
          <w:sz w:val="20"/>
          <w:u w:val="single"/>
        </w:rPr>
        <w:t>s</w:t>
      </w:r>
      <w:r w:rsidRPr="003C6A54">
        <w:rPr>
          <w:rFonts w:ascii="Arial" w:hAnsi="Arial"/>
          <w:color w:val="000000"/>
          <w:sz w:val="20"/>
          <w:u w:val="single"/>
        </w:rPr>
        <w:t xml:space="preserve"> at the time of issuance of the shares</w:t>
      </w:r>
      <w:r w:rsidRPr="003C6A54">
        <w:rPr>
          <w:rFonts w:ascii="Arial" w:hAnsi="Arial"/>
          <w:color w:val="000000"/>
          <w:sz w:val="20"/>
        </w:rPr>
        <w:t>.</w:t>
      </w:r>
    </w:p>
    <w:p w14:paraId="41B40EFE" w14:textId="77777777" w:rsidR="00A37C1D" w:rsidRDefault="00A37C1D" w:rsidP="00A37C1D">
      <w:pPr>
        <w:pStyle w:val="List"/>
        <w:tabs>
          <w:tab w:val="left" w:pos="9180"/>
        </w:tabs>
        <w:spacing w:before="0"/>
        <w:ind w:left="0" w:firstLine="0"/>
        <w:jc w:val="both"/>
        <w:rPr>
          <w:rFonts w:ascii="Arial" w:hAnsi="Arial"/>
          <w:color w:val="000000"/>
        </w:rPr>
      </w:pPr>
    </w:p>
    <w:p w14:paraId="2901553F" w14:textId="77777777" w:rsidR="00AE33FC" w:rsidRDefault="00AE33FC">
      <w:pPr>
        <w:rPr>
          <w:rFonts w:ascii="Arial" w:hAnsi="Arial"/>
          <w:color w:val="000000"/>
          <w:sz w:val="24"/>
          <w:lang w:val="en-GB"/>
        </w:rPr>
      </w:pPr>
      <w:r>
        <w:rPr>
          <w:rFonts w:ascii="Arial" w:hAnsi="Arial"/>
          <w:color w:val="000000"/>
        </w:rPr>
        <w:br w:type="page"/>
      </w:r>
    </w:p>
    <w:p w14:paraId="33AFEEE1" w14:textId="38301E25" w:rsidR="00A37C1D" w:rsidRDefault="00EA4133" w:rsidP="00A37C1D">
      <w:pPr>
        <w:pStyle w:val="List"/>
        <w:numPr>
          <w:ilvl w:val="0"/>
          <w:numId w:val="16"/>
        </w:numPr>
        <w:tabs>
          <w:tab w:val="left" w:pos="1080"/>
          <w:tab w:val="left" w:pos="9180"/>
        </w:tabs>
        <w:spacing w:before="0"/>
        <w:jc w:val="both"/>
        <w:rPr>
          <w:rFonts w:ascii="Arial" w:hAnsi="Arial"/>
          <w:color w:val="000000"/>
        </w:rPr>
      </w:pPr>
      <w:r w:rsidRPr="00A37C1D">
        <w:rPr>
          <w:rFonts w:ascii="Arial" w:hAnsi="Arial"/>
          <w:color w:val="000000"/>
        </w:rPr>
        <w:lastRenderedPageBreak/>
        <w:t xml:space="preserve">Details of the steps taken by the Issuer to ensure that the </w:t>
      </w:r>
      <w:r w:rsidR="003C6A54">
        <w:rPr>
          <w:rFonts w:ascii="Arial" w:hAnsi="Arial"/>
          <w:color w:val="000000"/>
        </w:rPr>
        <w:t>Optionor</w:t>
      </w:r>
      <w:r w:rsidRPr="00A37C1D">
        <w:rPr>
          <w:rFonts w:ascii="Arial" w:hAnsi="Arial"/>
          <w:color w:val="000000"/>
        </w:rPr>
        <w:t xml:space="preserve"> has good title to the assets being acquired: </w:t>
      </w:r>
    </w:p>
    <w:p w14:paraId="7F6C07F3" w14:textId="77777777" w:rsidR="00A37C1D" w:rsidRDefault="00A37C1D" w:rsidP="00A37C1D">
      <w:pPr>
        <w:pStyle w:val="List"/>
        <w:tabs>
          <w:tab w:val="left" w:pos="9180"/>
        </w:tabs>
        <w:spacing w:before="0"/>
        <w:ind w:firstLine="0"/>
        <w:jc w:val="both"/>
        <w:rPr>
          <w:rFonts w:ascii="Arial" w:hAnsi="Arial"/>
          <w:color w:val="000000"/>
        </w:rPr>
      </w:pPr>
    </w:p>
    <w:p w14:paraId="6E79E9CA" w14:textId="5DDEE47A" w:rsidR="00EA4133" w:rsidRPr="00410710" w:rsidRDefault="00336318" w:rsidP="00336318">
      <w:pPr>
        <w:pStyle w:val="List"/>
        <w:keepNext/>
        <w:keepLines/>
        <w:tabs>
          <w:tab w:val="left" w:pos="1080"/>
          <w:tab w:val="left" w:pos="9180"/>
        </w:tabs>
        <w:spacing w:before="0"/>
        <w:ind w:firstLine="0"/>
        <w:jc w:val="both"/>
        <w:rPr>
          <w:color w:val="000000"/>
          <w:sz w:val="22"/>
          <w:szCs w:val="22"/>
        </w:rPr>
      </w:pPr>
      <w:r w:rsidRPr="00410710">
        <w:rPr>
          <w:color w:val="000000"/>
          <w:sz w:val="22"/>
          <w:szCs w:val="22"/>
        </w:rPr>
        <w:t>The Company</w:t>
      </w:r>
      <w:r w:rsidR="00410710">
        <w:rPr>
          <w:color w:val="000000"/>
          <w:sz w:val="22"/>
          <w:szCs w:val="22"/>
        </w:rPr>
        <w:t xml:space="preserve"> </w:t>
      </w:r>
      <w:r w:rsidRPr="00410710">
        <w:rPr>
          <w:color w:val="000000"/>
          <w:sz w:val="22"/>
          <w:szCs w:val="22"/>
        </w:rPr>
        <w:t>c</w:t>
      </w:r>
      <w:r w:rsidRPr="00410710">
        <w:rPr>
          <w:color w:val="000000"/>
          <w:sz w:val="22"/>
          <w:szCs w:val="22"/>
        </w:rPr>
        <w:t>onfirm</w:t>
      </w:r>
      <w:r w:rsidRPr="00410710">
        <w:rPr>
          <w:color w:val="000000"/>
          <w:sz w:val="22"/>
          <w:szCs w:val="22"/>
        </w:rPr>
        <w:t xml:space="preserve">ed </w:t>
      </w:r>
      <w:r w:rsidR="00410710">
        <w:rPr>
          <w:color w:val="000000"/>
          <w:sz w:val="22"/>
          <w:szCs w:val="22"/>
        </w:rPr>
        <w:t xml:space="preserve">the claims were in good standing and held by the Sellers. </w:t>
      </w:r>
      <w:r w:rsidR="00AE33FC">
        <w:rPr>
          <w:color w:val="000000"/>
          <w:sz w:val="22"/>
          <w:szCs w:val="22"/>
        </w:rPr>
        <w:t>This c</w:t>
      </w:r>
      <w:r w:rsidR="00410710">
        <w:rPr>
          <w:color w:val="000000"/>
          <w:sz w:val="22"/>
          <w:szCs w:val="22"/>
        </w:rPr>
        <w:t xml:space="preserve">onfirmation was </w:t>
      </w:r>
      <w:r w:rsidR="000C0B3D">
        <w:rPr>
          <w:color w:val="000000"/>
          <w:sz w:val="22"/>
          <w:szCs w:val="22"/>
        </w:rPr>
        <w:t>made</w:t>
      </w:r>
      <w:r w:rsidR="00410710">
        <w:rPr>
          <w:color w:val="000000"/>
          <w:sz w:val="22"/>
          <w:szCs w:val="22"/>
        </w:rPr>
        <w:t xml:space="preserve"> through the online portal</w:t>
      </w:r>
      <w:r w:rsidR="000C0B3D">
        <w:rPr>
          <w:color w:val="000000"/>
          <w:sz w:val="22"/>
          <w:szCs w:val="22"/>
        </w:rPr>
        <w:t xml:space="preserve"> by the Company’s geo-technical team</w:t>
      </w:r>
      <w:r w:rsidR="00AE33FC">
        <w:rPr>
          <w:color w:val="000000"/>
          <w:sz w:val="22"/>
          <w:szCs w:val="22"/>
        </w:rPr>
        <w:t xml:space="preserve"> and conf</w:t>
      </w:r>
      <w:r w:rsidR="009B0451">
        <w:rPr>
          <w:color w:val="000000"/>
          <w:sz w:val="22"/>
          <w:szCs w:val="22"/>
        </w:rPr>
        <w:t xml:space="preserve">irmed by </w:t>
      </w:r>
      <w:r w:rsidR="00AE33FC">
        <w:rPr>
          <w:color w:val="000000"/>
          <w:sz w:val="22"/>
          <w:szCs w:val="22"/>
        </w:rPr>
        <w:t>management</w:t>
      </w:r>
      <w:r w:rsidR="00410710">
        <w:rPr>
          <w:color w:val="000000"/>
          <w:sz w:val="22"/>
          <w:szCs w:val="22"/>
        </w:rPr>
        <w:t>.</w:t>
      </w:r>
    </w:p>
    <w:p w14:paraId="560AD59B" w14:textId="77777777"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78B17272" w14:textId="77777777"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r w:rsidR="007C4F86">
        <w:rPr>
          <w:rFonts w:ascii="Arial" w:hAnsi="Arial"/>
        </w:rPr>
        <w:t>and</w:t>
      </w:r>
      <w:r w:rsidR="005A17C3">
        <w:rPr>
          <w:rFonts w:ascii="Arial" w:hAnsi="Arial"/>
        </w:rPr>
        <w:t xml:space="preserve"> </w:t>
      </w:r>
      <w:r w:rsidR="007C4F86">
        <w:rPr>
          <w:rFonts w:ascii="Arial" w:hAnsi="Arial"/>
        </w:rPr>
        <w:t>i</w:t>
      </w:r>
      <w:r>
        <w:rPr>
          <w:rFonts w:ascii="Arial" w:hAnsi="Arial"/>
        </w:rPr>
        <w:t xml:space="preserve">f a corporation, identify persons owning or exercising voting control over 20% or more of the voting shares if known to the Issuer): </w:t>
      </w:r>
      <w:r w:rsidR="00B81093">
        <w:rPr>
          <w:rFonts w:ascii="Arial" w:hAnsi="Arial"/>
          <w:u w:val="single"/>
        </w:rPr>
        <w:t>N/A</w:t>
      </w:r>
      <w:r w:rsidR="00B81093">
        <w:rPr>
          <w:rFonts w:ascii="Arial" w:hAnsi="Arial"/>
        </w:rPr>
        <w:t>.</w:t>
      </w:r>
    </w:p>
    <w:p w14:paraId="4A808922" w14:textId="77777777"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14:paraId="4019B1CC" w14:textId="77777777"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14:paraId="34C6ADC9" w14:textId="77777777"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14:paraId="4505C738" w14:textId="77777777"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14:paraId="09B888F6" w14:textId="77777777"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Pr>
          <w:rFonts w:ascii="Arial" w:hAnsi="Arial"/>
          <w:u w:val="single"/>
        </w:rPr>
        <w:tab/>
      </w:r>
      <w:r>
        <w:rPr>
          <w:rFonts w:ascii="Arial" w:hAnsi="Arial"/>
        </w:rPr>
        <w:t xml:space="preserve"> .</w:t>
      </w:r>
    </w:p>
    <w:p w14:paraId="076B0223"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sidR="00B81093">
        <w:rPr>
          <w:rFonts w:ascii="Arial" w:hAnsi="Arial"/>
          <w:color w:val="000000"/>
          <w:u w:val="single"/>
        </w:rPr>
        <w:t>N/A</w:t>
      </w:r>
      <w:r w:rsidR="00B81093">
        <w:rPr>
          <w:rFonts w:ascii="Arial" w:hAnsi="Arial"/>
          <w:color w:val="000000"/>
        </w:rPr>
        <w:t>.</w:t>
      </w:r>
    </w:p>
    <w:p w14:paraId="2F3DB81B" w14:textId="77777777" w:rsidR="00821E4E" w:rsidRDefault="00821E4E" w:rsidP="00821E4E">
      <w:pPr>
        <w:pStyle w:val="List"/>
        <w:tabs>
          <w:tab w:val="left" w:pos="9180"/>
        </w:tabs>
        <w:spacing w:before="0"/>
        <w:ind w:firstLine="0"/>
        <w:jc w:val="both"/>
        <w:rPr>
          <w:rFonts w:ascii="Arial" w:hAnsi="Arial"/>
          <w:color w:val="000000"/>
        </w:rPr>
      </w:pPr>
    </w:p>
    <w:p w14:paraId="6DCCB0E8" w14:textId="77777777" w:rsidR="00EA4133" w:rsidRPr="00B81093" w:rsidRDefault="00EA4133" w:rsidP="00403306">
      <w:pPr>
        <w:pStyle w:val="List"/>
        <w:numPr>
          <w:ilvl w:val="0"/>
          <w:numId w:val="16"/>
        </w:numPr>
        <w:tabs>
          <w:tab w:val="left" w:pos="9180"/>
        </w:tabs>
        <w:spacing w:before="0"/>
        <w:jc w:val="both"/>
        <w:rPr>
          <w:rFonts w:ascii="Arial" w:hAnsi="Arial"/>
          <w:color w:val="000000"/>
        </w:rPr>
      </w:pPr>
      <w:r w:rsidRPr="00B81093">
        <w:rPr>
          <w:rFonts w:ascii="Arial" w:hAnsi="Arial"/>
          <w:color w:val="000000"/>
        </w:rPr>
        <w:t xml:space="preserve">If applicable, indicate whether the acquisition is the acquisition of an interest in property contiguous to or otherwise related to any other asset acquired in the last 12 months. </w:t>
      </w:r>
      <w:r w:rsidR="00B81093" w:rsidRPr="00B81093">
        <w:rPr>
          <w:rFonts w:ascii="Arial" w:hAnsi="Arial"/>
          <w:color w:val="000000"/>
          <w:u w:val="single"/>
        </w:rPr>
        <w:t>N/A</w:t>
      </w:r>
      <w:r w:rsidRPr="00B81093">
        <w:rPr>
          <w:rFonts w:ascii="Arial" w:hAnsi="Arial"/>
          <w:color w:val="000000"/>
        </w:rPr>
        <w:t xml:space="preserve"> .</w:t>
      </w:r>
    </w:p>
    <w:p w14:paraId="60ABB0F6" w14:textId="77777777" w:rsidR="00821E4E" w:rsidRDefault="00821E4E">
      <w:pPr>
        <w:pStyle w:val="List"/>
        <w:tabs>
          <w:tab w:val="left" w:pos="1080"/>
        </w:tabs>
        <w:ind w:left="0" w:firstLine="0"/>
        <w:rPr>
          <w:rFonts w:ascii="Arial" w:hAnsi="Arial"/>
          <w:b/>
        </w:rPr>
      </w:pPr>
      <w:r>
        <w:rPr>
          <w:rFonts w:ascii="Arial" w:hAnsi="Arial"/>
          <w:b/>
        </w:rPr>
        <w:br w:type="page"/>
      </w:r>
    </w:p>
    <w:p w14:paraId="35B0B0CC" w14:textId="77777777" w:rsidR="00EA4133" w:rsidRDefault="00EA4133">
      <w:pPr>
        <w:pStyle w:val="List"/>
        <w:tabs>
          <w:tab w:val="left" w:pos="1080"/>
        </w:tabs>
        <w:ind w:left="0" w:firstLine="0"/>
        <w:rPr>
          <w:rFonts w:ascii="Arial" w:hAnsi="Arial"/>
        </w:rPr>
      </w:pPr>
      <w:r>
        <w:rPr>
          <w:rFonts w:ascii="Arial" w:hAnsi="Arial"/>
          <w:b/>
        </w:rPr>
        <w:lastRenderedPageBreak/>
        <w:t>Certificate Of Compliance</w:t>
      </w:r>
    </w:p>
    <w:p w14:paraId="567B5D5F" w14:textId="77777777" w:rsidR="00EA4133" w:rsidRDefault="00EA4133">
      <w:pPr>
        <w:pStyle w:val="BodyText"/>
        <w:rPr>
          <w:rFonts w:ascii="Arial" w:hAnsi="Arial"/>
        </w:rPr>
      </w:pPr>
      <w:r>
        <w:rPr>
          <w:rFonts w:ascii="Arial" w:hAnsi="Arial"/>
        </w:rPr>
        <w:t>The undersigned hereby certifies that:</w:t>
      </w:r>
    </w:p>
    <w:p w14:paraId="55B9E87E" w14:textId="77777777"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58190197" w14:textId="77777777" w:rsidR="00EA4133" w:rsidRDefault="00C4200D">
      <w:pPr>
        <w:pStyle w:val="List"/>
        <w:numPr>
          <w:ilvl w:val="0"/>
          <w:numId w:val="7"/>
        </w:numPr>
        <w:jc w:val="both"/>
        <w:rPr>
          <w:rFonts w:ascii="Arial" w:hAnsi="Arial"/>
        </w:rPr>
      </w:pPr>
      <w:r>
        <w:rPr>
          <w:rFonts w:ascii="ArialMT" w:hAnsi="ArialMT" w:cs="ArialMT"/>
          <w:szCs w:val="24"/>
        </w:rPr>
        <w:t>To the best of the undersigned’s knowledge and belief, a</w:t>
      </w:r>
      <w:r w:rsidR="00EA4133">
        <w:rPr>
          <w:rFonts w:ascii="Arial" w:hAnsi="Arial"/>
        </w:rPr>
        <w:t>s of the date hereof there is not material information concerning the Issuer which has not been publicly disclosed.</w:t>
      </w:r>
    </w:p>
    <w:p w14:paraId="525ED333" w14:textId="77777777" w:rsidR="00C500F0" w:rsidRDefault="00C500F0" w:rsidP="00C4200D">
      <w:pPr>
        <w:pStyle w:val="List"/>
        <w:spacing w:before="0"/>
        <w:ind w:firstLine="0"/>
        <w:jc w:val="both"/>
        <w:rPr>
          <w:rFonts w:ascii="Arial" w:hAnsi="Arial"/>
        </w:rPr>
      </w:pPr>
    </w:p>
    <w:p w14:paraId="1AD92119" w14:textId="77777777" w:rsidR="00C500F0" w:rsidRDefault="00C4200D" w:rsidP="00C500F0">
      <w:pPr>
        <w:pStyle w:val="ListParagraph"/>
        <w:numPr>
          <w:ilvl w:val="0"/>
          <w:numId w:val="7"/>
        </w:numPr>
        <w:rPr>
          <w:rFonts w:ascii="Arial" w:hAnsi="Arial" w:cs="Arial"/>
          <w:sz w:val="24"/>
          <w:szCs w:val="24"/>
        </w:rPr>
      </w:pPr>
      <w:r>
        <w:rPr>
          <w:rFonts w:ascii="Arial" w:hAnsi="Arial" w:cs="Arial"/>
          <w:sz w:val="24"/>
          <w:szCs w:val="24"/>
        </w:rPr>
        <w:t>T</w:t>
      </w:r>
      <w:r w:rsidR="00C500F0" w:rsidRPr="00C500F0">
        <w:rPr>
          <w:rFonts w:ascii="Arial" w:hAnsi="Arial" w:cs="Arial"/>
          <w:sz w:val="24"/>
          <w:szCs w:val="24"/>
        </w:rPr>
        <w:t>he Issuer has obtained the express written consent of each applicable individual to:</w:t>
      </w:r>
    </w:p>
    <w:p w14:paraId="16D78032" w14:textId="77777777" w:rsidR="00C500F0" w:rsidRPr="00C500F0" w:rsidRDefault="00C500F0" w:rsidP="00C500F0">
      <w:pPr>
        <w:pStyle w:val="ListParagraph"/>
        <w:rPr>
          <w:rFonts w:ascii="Arial" w:hAnsi="Arial" w:cs="Arial"/>
          <w:sz w:val="24"/>
          <w:szCs w:val="24"/>
        </w:rPr>
      </w:pPr>
    </w:p>
    <w:p w14:paraId="645DB5E9" w14:textId="77777777"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14:paraId="7A188AE0" w14:textId="77777777"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14:paraId="1A94AE69" w14:textId="77777777"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w:t>
      </w:r>
      <w:r w:rsidR="00C4200D">
        <w:rPr>
          <w:rFonts w:ascii="Arial" w:hAnsi="Arial"/>
        </w:rPr>
        <w:t>,</w:t>
      </w:r>
      <w:r w:rsidR="00C4200D" w:rsidRPr="00C4200D">
        <w:rPr>
          <w:rFonts w:ascii="ArialMT" w:hAnsi="ArialMT" w:cs="ArialMT"/>
          <w:szCs w:val="24"/>
        </w:rPr>
        <w:t xml:space="preserve"> </w:t>
      </w:r>
      <w:r w:rsidR="00C4200D">
        <w:rPr>
          <w:rFonts w:ascii="ArialMT" w:hAnsi="ArialMT" w:cs="ArialMT"/>
          <w:szCs w:val="24"/>
        </w:rPr>
        <w:t xml:space="preserve">to the best of the undersigned’s knowledge and belief, </w:t>
      </w:r>
      <w:r>
        <w:rPr>
          <w:rFonts w:ascii="Arial" w:hAnsi="Arial"/>
        </w:rPr>
        <w:t xml:space="preserve">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54F3AF83" w14:textId="77777777" w:rsidR="00EA4133" w:rsidRDefault="00C4200D">
      <w:pPr>
        <w:pStyle w:val="List"/>
        <w:numPr>
          <w:ilvl w:val="0"/>
          <w:numId w:val="7"/>
        </w:numPr>
        <w:jc w:val="both"/>
        <w:rPr>
          <w:rFonts w:ascii="Arial" w:hAnsi="Arial"/>
        </w:rPr>
      </w:pPr>
      <w:r>
        <w:rPr>
          <w:rFonts w:ascii="ArialMT" w:hAnsi="ArialMT" w:cs="ArialMT"/>
          <w:szCs w:val="24"/>
        </w:rPr>
        <w:t>To the best of the undersigned’s knowledge and belief, a</w:t>
      </w:r>
      <w:r w:rsidR="00EA4133">
        <w:rPr>
          <w:rFonts w:ascii="Arial" w:hAnsi="Arial"/>
        </w:rPr>
        <w:t xml:space="preserve">ll of the information in this Form 9 Notice of </w:t>
      </w:r>
      <w:r w:rsidR="00CF076A">
        <w:rPr>
          <w:rFonts w:ascii="Arial" w:hAnsi="Arial"/>
        </w:rPr>
        <w:t>Issuance of Securities</w:t>
      </w:r>
      <w:r w:rsidR="00EA4133">
        <w:rPr>
          <w:rFonts w:ascii="Arial" w:hAnsi="Arial"/>
        </w:rPr>
        <w:t xml:space="preserve"> is true.</w:t>
      </w:r>
    </w:p>
    <w:p w14:paraId="23A1055D" w14:textId="790B042B"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410710">
        <w:rPr>
          <w:rFonts w:ascii="Arial" w:hAnsi="Arial"/>
          <w:u w:val="single"/>
        </w:rPr>
        <w:t>March 15</w:t>
      </w:r>
      <w:r w:rsidR="00D87164">
        <w:rPr>
          <w:rFonts w:ascii="Arial" w:hAnsi="Arial"/>
          <w:u w:val="single"/>
        </w:rPr>
        <w:t>,</w:t>
      </w:r>
      <w:r w:rsidR="00C4200D">
        <w:rPr>
          <w:rFonts w:ascii="Arial" w:hAnsi="Arial"/>
          <w:u w:val="single"/>
        </w:rPr>
        <w:t xml:space="preserve"> 20</w:t>
      </w:r>
      <w:r w:rsidR="00972721">
        <w:rPr>
          <w:rFonts w:ascii="Arial" w:hAnsi="Arial"/>
          <w:u w:val="single"/>
        </w:rPr>
        <w:t>2</w:t>
      </w:r>
      <w:r w:rsidR="008D0DE7">
        <w:rPr>
          <w:rFonts w:ascii="Arial" w:hAnsi="Arial"/>
          <w:u w:val="single"/>
        </w:rPr>
        <w:t>1</w:t>
      </w:r>
      <w:r>
        <w:rPr>
          <w:rFonts w:ascii="Arial" w:hAnsi="Arial"/>
        </w:rPr>
        <w:t>.</w:t>
      </w:r>
    </w:p>
    <w:p w14:paraId="73579347" w14:textId="2C7274F0" w:rsidR="00EA4133" w:rsidRDefault="00EA4133">
      <w:pPr>
        <w:pStyle w:val="List"/>
        <w:tabs>
          <w:tab w:val="left" w:pos="9180"/>
        </w:tabs>
        <w:ind w:left="5760" w:hanging="5760"/>
        <w:rPr>
          <w:rFonts w:ascii="Arial" w:hAnsi="Arial"/>
        </w:rPr>
      </w:pPr>
      <w:r>
        <w:rPr>
          <w:rFonts w:ascii="Arial" w:hAnsi="Arial"/>
        </w:rPr>
        <w:tab/>
      </w:r>
      <w:r w:rsidR="00AE33FC">
        <w:rPr>
          <w:rFonts w:ascii="Arial" w:hAnsi="Arial"/>
          <w:u w:val="single"/>
        </w:rPr>
        <w:t>James Mackie</w:t>
      </w:r>
      <w:r>
        <w:rPr>
          <w:rFonts w:ascii="Arial" w:hAnsi="Arial"/>
          <w:u w:val="single"/>
        </w:rPr>
        <w:tab/>
      </w:r>
      <w:r>
        <w:rPr>
          <w:rFonts w:ascii="Arial" w:hAnsi="Arial"/>
          <w:u w:val="single"/>
        </w:rPr>
        <w:br/>
      </w:r>
      <w:r>
        <w:rPr>
          <w:rFonts w:ascii="Arial" w:hAnsi="Arial"/>
        </w:rPr>
        <w:t>Name of Director or Senior Officer</w:t>
      </w:r>
    </w:p>
    <w:p w14:paraId="01BA0A7A" w14:textId="159D50E2" w:rsidR="00EA4133" w:rsidRDefault="00EA4133">
      <w:pPr>
        <w:pStyle w:val="List"/>
        <w:tabs>
          <w:tab w:val="left" w:pos="9180"/>
          <w:tab w:val="left" w:pos="9360"/>
        </w:tabs>
        <w:ind w:left="5760" w:hanging="5760"/>
        <w:rPr>
          <w:rFonts w:ascii="Arial" w:hAnsi="Arial"/>
        </w:rPr>
      </w:pPr>
      <w:r>
        <w:rPr>
          <w:rFonts w:ascii="Arial" w:hAnsi="Arial"/>
        </w:rPr>
        <w:tab/>
      </w:r>
      <w:r w:rsidR="0061161D" w:rsidRPr="00455AF0">
        <w:rPr>
          <w:rFonts w:ascii="Arial" w:hAnsi="Arial"/>
          <w:u w:val="single"/>
        </w:rPr>
        <w:t xml:space="preserve">/s/ </w:t>
      </w:r>
      <w:r w:rsidR="006A1FF1">
        <w:rPr>
          <w:rFonts w:ascii="Arial" w:hAnsi="Arial"/>
          <w:i/>
          <w:iCs/>
          <w:u w:val="single"/>
        </w:rPr>
        <w:t>“</w:t>
      </w:r>
      <w:r w:rsidR="00AE33FC">
        <w:rPr>
          <w:rFonts w:ascii="Arial" w:hAnsi="Arial"/>
          <w:i/>
          <w:iCs/>
          <w:u w:val="single"/>
        </w:rPr>
        <w:t>James Mackie</w:t>
      </w:r>
      <w:r w:rsidR="006A1FF1">
        <w:rPr>
          <w:rFonts w:ascii="Arial" w:hAnsi="Arial"/>
          <w:i/>
          <w:iCs/>
          <w:u w:val="single"/>
        </w:rPr>
        <w:t>”</w:t>
      </w:r>
      <w:r>
        <w:rPr>
          <w:rFonts w:ascii="Arial" w:hAnsi="Arial"/>
          <w:u w:val="single"/>
        </w:rPr>
        <w:tab/>
      </w:r>
      <w:r>
        <w:rPr>
          <w:rFonts w:ascii="Arial" w:hAnsi="Arial"/>
        </w:rPr>
        <w:br/>
        <w:t>Signature</w:t>
      </w:r>
    </w:p>
    <w:p w14:paraId="59308B36" w14:textId="64EB768E" w:rsidR="00C500F0" w:rsidRDefault="00EA4133">
      <w:pPr>
        <w:pStyle w:val="List"/>
        <w:tabs>
          <w:tab w:val="left" w:pos="9180"/>
          <w:tab w:val="left" w:pos="9360"/>
        </w:tabs>
        <w:ind w:left="5760" w:hanging="5760"/>
        <w:rPr>
          <w:rFonts w:ascii="Arial" w:hAnsi="Arial"/>
        </w:rPr>
      </w:pPr>
      <w:r>
        <w:rPr>
          <w:rFonts w:ascii="Arial" w:hAnsi="Arial"/>
        </w:rPr>
        <w:tab/>
      </w:r>
      <w:r w:rsidR="00AE33FC">
        <w:rPr>
          <w:rFonts w:ascii="Arial" w:hAnsi="Arial"/>
          <w:u w:val="single"/>
        </w:rPr>
        <w:t>Corporate Secretary</w:t>
      </w:r>
      <w:r>
        <w:rPr>
          <w:rFonts w:ascii="Arial" w:hAnsi="Arial"/>
          <w:u w:val="single"/>
        </w:rPr>
        <w:tab/>
      </w:r>
      <w:r>
        <w:rPr>
          <w:rFonts w:ascii="Arial" w:hAnsi="Arial"/>
        </w:rPr>
        <w:br/>
        <w:t>Official Capacity</w:t>
      </w:r>
    </w:p>
    <w:p w14:paraId="36598CDB" w14:textId="77777777" w:rsidR="00C4200D" w:rsidRDefault="00C4200D">
      <w:pPr>
        <w:rPr>
          <w:rFonts w:ascii="Arial" w:eastAsia="Calibri" w:hAnsi="Arial" w:cs="Arial"/>
          <w:b/>
          <w:sz w:val="24"/>
          <w:szCs w:val="24"/>
        </w:rPr>
      </w:pPr>
      <w:r>
        <w:rPr>
          <w:rFonts w:ascii="Arial" w:eastAsia="Calibri" w:hAnsi="Arial" w:cs="Arial"/>
          <w:b/>
          <w:sz w:val="24"/>
          <w:szCs w:val="24"/>
        </w:rPr>
        <w:br w:type="page"/>
      </w:r>
    </w:p>
    <w:p w14:paraId="247D902B"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lastRenderedPageBreak/>
        <w:t>Appendix A</w:t>
      </w:r>
    </w:p>
    <w:p w14:paraId="0010769A"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14:paraId="12A28F2C"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14:paraId="015B3852"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individual is suitable to be associated with a Listed Issuer;</w:t>
      </w:r>
    </w:p>
    <w:p w14:paraId="238C5ECD"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issuer is suitable for listing;</w:t>
      </w:r>
    </w:p>
    <w:p w14:paraId="5B1DAAEB"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14:paraId="1C32E156"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proceedings; </w:t>
      </w:r>
    </w:p>
    <w:p w14:paraId="66FB67DF"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14:paraId="55CCC8BA"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14:paraId="2C3D64EF"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14:paraId="4A55E4BD"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14:paraId="5C34FE2D"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14:paraId="7807E42E"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14:paraId="61C99EC3"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14:paraId="0EDC87F8" w14:textId="77777777" w:rsidR="00AB03F7" w:rsidRPr="00C500F0" w:rsidRDefault="00AB03F7" w:rsidP="00C500F0">
      <w:pPr>
        <w:pStyle w:val="List"/>
        <w:tabs>
          <w:tab w:val="left" w:pos="9180"/>
          <w:tab w:val="left" w:pos="9360"/>
        </w:tabs>
        <w:ind w:left="5760" w:hanging="5760"/>
        <w:jc w:val="both"/>
        <w:rPr>
          <w:rFonts w:ascii="Arial" w:hAnsi="Arial"/>
          <w:szCs w:val="24"/>
        </w:rPr>
      </w:pPr>
    </w:p>
    <w:sectPr w:rsidR="00AB03F7" w:rsidRPr="00C500F0" w:rsidSect="00905E2D">
      <w:footerReference w:type="default" r:id="rId9"/>
      <w:footerReference w:type="first" r:id="rId10"/>
      <w:pgSz w:w="12240" w:h="15840" w:code="1"/>
      <w:pgMar w:top="1152"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225D5" w14:textId="77777777" w:rsidR="00821134" w:rsidRDefault="00821134">
      <w:r>
        <w:separator/>
      </w:r>
    </w:p>
  </w:endnote>
  <w:endnote w:type="continuationSeparator" w:id="0">
    <w:p w14:paraId="3C0A1990" w14:textId="77777777" w:rsidR="00821134" w:rsidRDefault="00821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egoe UI 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MT">
    <w:altName w:val="Arial"/>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C8CEB" w14:textId="77777777" w:rsidR="00EA4133" w:rsidRDefault="0030578D" w:rsidP="008003B9">
    <w:pPr>
      <w:tabs>
        <w:tab w:val="center" w:pos="4674"/>
        <w:tab w:val="left" w:pos="8460"/>
      </w:tabs>
      <w:jc w:val="center"/>
      <w:rPr>
        <w:rStyle w:val="PageNumber"/>
        <w:rFonts w:ascii="Arial" w:hAnsi="Arial" w:cs="Arial"/>
        <w:b/>
      </w:rPr>
    </w:pPr>
    <w:r>
      <w:rPr>
        <w:noProof/>
      </w:rPr>
      <mc:AlternateContent>
        <mc:Choice Requires="wps">
          <w:drawing>
            <wp:anchor distT="4294967295" distB="4294967295" distL="114300" distR="114300" simplePos="0" relativeHeight="251657728" behindDoc="0" locked="0" layoutInCell="1" allowOverlap="1" wp14:anchorId="3D1FAADB" wp14:editId="02EA6DDA">
              <wp:simplePos x="0" y="0"/>
              <wp:positionH relativeFrom="column">
                <wp:posOffset>51435</wp:posOffset>
              </wp:positionH>
              <wp:positionV relativeFrom="paragraph">
                <wp:posOffset>-20321</wp:posOffset>
              </wp:positionV>
              <wp:extent cx="5863590" cy="0"/>
              <wp:effectExtent l="0" t="0" r="381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8635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062A3F4" id="Line 3" o:spid="_x0000_s1026" style="position:absolute;flip:x;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keTugEAAF0DAAAOAAAAZHJzL2Uyb0RvYy54bWysk89uGyEQxu+V8g6Ie7yOI0fJyusckqY9&#10;uK2lpA8w5o8XFRgE2Lt++w7YcZL2VnUPCJiPHzPfsIv70Vm2VzEZ9B2/mkw5U16gNH7b8Z8vT5e3&#10;nKUMXoJFrzp+UInfLy8+LYbQqhn2aKWKjCA+tUPoeJ9zaJsmiV45SBMMylNQY3SQaRm3jYwwEN3Z&#10;Zjad3jQDRhkiCpUS7T4eg3xZ+VorkX9onVRmtuOUW65jrOOmjM1yAe02QuiNOKUB/5CFA+Pp0jPq&#10;ETKwXTR/oZwRERPqPBHoGtTaCFVroGqupn9U89xDULUWMieFs03p/2HF9/06MiOpd5x5cNSilfGK&#10;XRdnhpBaEjz4dSy1idE/hxWKX4lizYdgWaRApM3wDSVBYJexGjLq6Ji2JnwtVxQMFc3G2oHDuQNq&#10;zEzQ5vz25np+R40Sr7EG2oIoB0NM+YtCx8qk45byrEDYr1IuKb1Jitzjk7G2Nth6NnT8bj6b1wMJ&#10;rZElWGQpbjcPNrI9lCdSv1I7wT7IIu68rLBegfx8mmcw9jgnvfUnW4oTR/c2KA/rWHDFIephBZ/e&#10;W3kk79dV9fZXLH8DAAD//wMAUEsDBBQABgAIAAAAIQA4e1703wAAAAwBAAAPAAAAZHJzL2Rvd25y&#10;ZXYueG1sTE9LS8NAEL4L/odlBG/t5oHSptmU4usiCK3R8yY7TUKzsyG7TeO/d8SDXgZmvm++R76d&#10;bS8mHH3nSEG8jEAg1c501Cgo358XKxA+aDK6d4QKvtDDtri+ynVm3IX2OB1CI1iEfKYVtCEMmZS+&#10;btFqv3QDEmNHN1odeB0baUZ9YXHbyySK7qXVHbFDqwd8aLE+Hc5Wwe7z9Sl9myrrerNuyg9jy+gl&#10;Uer2Zn7c8NhtQAScw98H/HTg/FBwsMqdyXjRK1jFTFSwSBMQDK/T+A5E9XuQRS7/lyi+AQAA//8D&#10;AFBLAQItABQABgAIAAAAIQC2gziS/gAAAOEBAAATAAAAAAAAAAAAAAAAAAAAAABbQ29udGVudF9U&#10;eXBlc10ueG1sUEsBAi0AFAAGAAgAAAAhADj9If/WAAAAlAEAAAsAAAAAAAAAAAAAAAAALwEAAF9y&#10;ZWxzLy5yZWxzUEsBAi0AFAAGAAgAAAAhAEHqR5O6AQAAXQMAAA4AAAAAAAAAAAAAAAAALgIAAGRy&#10;cy9lMm9Eb2MueG1sUEsBAi0AFAAGAAgAAAAhADh7XvTfAAAADAEAAA8AAAAAAAAAAAAAAAAAFAQA&#10;AGRycy9kb3ducmV2LnhtbFBLBQYAAAAABAAEAPMAAAAgBQAAAAA=&#10;">
              <o:lock v:ext="edit" shapetype="f"/>
            </v:line>
          </w:pict>
        </mc:Fallback>
      </mc:AlternateConten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14:paraId="1266E067" w14:textId="77777777"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14:paraId="0FBB7868" w14:textId="77777777" w:rsidR="00EA4133"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14:paraId="2606EEF9" w14:textId="77777777"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9C1EC2">
      <w:rPr>
        <w:rStyle w:val="PageNumber"/>
        <w:rFonts w:ascii="Arial" w:hAnsi="Arial" w:cs="Arial"/>
        <w:noProof/>
        <w:sz w:val="16"/>
        <w:szCs w:val="16"/>
      </w:rPr>
      <w:t>1</w:t>
    </w:r>
    <w:r w:rsidR="000C7CEC"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CD5AF" w14:textId="747BCAE3" w:rsidR="00EA4133" w:rsidRDefault="00821134">
    <w:pPr>
      <w:pStyle w:val="Footer"/>
    </w:pPr>
    <w:r>
      <w:fldChar w:fldCharType="begin"/>
    </w:r>
    <w:r>
      <w:instrText xml:space="preserve"> DOCPROPERTY FOOTERPATH \* MERGEFORMAT </w:instrText>
    </w:r>
    <w:r>
      <w:fldChar w:fldCharType="separate"/>
    </w:r>
    <w:r w:rsidR="00A112CA">
      <w:t>3214.001\0180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871C8" w14:textId="77777777" w:rsidR="00821134" w:rsidRDefault="00821134">
      <w:r>
        <w:separator/>
      </w:r>
    </w:p>
  </w:footnote>
  <w:footnote w:type="continuationSeparator" w:id="0">
    <w:p w14:paraId="5F167839" w14:textId="77777777" w:rsidR="00821134" w:rsidRDefault="008211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1CBC1495"/>
    <w:multiLevelType w:val="hybridMultilevel"/>
    <w:tmpl w:val="E972563A"/>
    <w:lvl w:ilvl="0" w:tplc="45A8A5F2">
      <w:start w:val="1"/>
      <w:numFmt w:val="decimal"/>
      <w:lvlText w:val="(%1)"/>
      <w:lvlJc w:val="left"/>
      <w:pPr>
        <w:ind w:left="1080" w:hanging="72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5"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6"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7"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4364B8"/>
    <w:multiLevelType w:val="hybridMultilevel"/>
    <w:tmpl w:val="6784CF9E"/>
    <w:lvl w:ilvl="0" w:tplc="2200C59C">
      <w:start w:val="1"/>
      <w:numFmt w:val="lowerLetter"/>
      <w:lvlText w:val="(%1)"/>
      <w:lvlJc w:val="left"/>
      <w:pPr>
        <w:ind w:left="2160" w:hanging="10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10" w15:restartNumberingAfterBreak="0">
    <w:nsid w:val="488D17AB"/>
    <w:multiLevelType w:val="hybridMultilevel"/>
    <w:tmpl w:val="E972563A"/>
    <w:lvl w:ilvl="0" w:tplc="45A8A5F2">
      <w:start w:val="1"/>
      <w:numFmt w:val="decimal"/>
      <w:lvlText w:val="(%1)"/>
      <w:lvlJc w:val="left"/>
      <w:pPr>
        <w:ind w:left="1080" w:hanging="72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2"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3"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4"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5"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6"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7" w15:restartNumberingAfterBreak="0">
    <w:nsid w:val="76BB4793"/>
    <w:multiLevelType w:val="singleLevel"/>
    <w:tmpl w:val="63ECD7DA"/>
    <w:lvl w:ilvl="0">
      <w:start w:val="1"/>
      <w:numFmt w:val="lowerLetter"/>
      <w:lvlText w:val="(%1)"/>
      <w:lvlJc w:val="left"/>
      <w:pPr>
        <w:tabs>
          <w:tab w:val="num" w:pos="2160"/>
        </w:tabs>
        <w:ind w:left="2160" w:hanging="1080"/>
      </w:pPr>
      <w:rPr>
        <w:rFonts w:hint="default"/>
        <w:u w:val="none"/>
      </w:rPr>
    </w:lvl>
  </w:abstractNum>
  <w:abstractNum w:abstractNumId="18"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7A196E4E"/>
    <w:multiLevelType w:val="hybridMultilevel"/>
    <w:tmpl w:val="CBCCDD3C"/>
    <w:lvl w:ilvl="0" w:tplc="EF043156">
      <w:start w:val="1"/>
      <w:numFmt w:val="decimal"/>
      <w:lvlText w:val="%1."/>
      <w:lvlJc w:val="left"/>
      <w:pPr>
        <w:ind w:left="720" w:hanging="360"/>
      </w:pPr>
      <w:rPr>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5"/>
  </w:num>
  <w:num w:numId="3">
    <w:abstractNumId w:val="12"/>
  </w:num>
  <w:num w:numId="4">
    <w:abstractNumId w:val="16"/>
  </w:num>
  <w:num w:numId="5">
    <w:abstractNumId w:val="14"/>
  </w:num>
  <w:num w:numId="6">
    <w:abstractNumId w:val="0"/>
  </w:num>
  <w:num w:numId="7">
    <w:abstractNumId w:val="13"/>
  </w:num>
  <w:num w:numId="8">
    <w:abstractNumId w:val="6"/>
  </w:num>
  <w:num w:numId="9">
    <w:abstractNumId w:val="9"/>
  </w:num>
  <w:num w:numId="10">
    <w:abstractNumId w:val="5"/>
  </w:num>
  <w:num w:numId="11">
    <w:abstractNumId w:val="17"/>
  </w:num>
  <w:num w:numId="12">
    <w:abstractNumId w:val="20"/>
  </w:num>
  <w:num w:numId="13">
    <w:abstractNumId w:val="4"/>
  </w:num>
  <w:num w:numId="14">
    <w:abstractNumId w:val="11"/>
  </w:num>
  <w:num w:numId="15">
    <w:abstractNumId w:val="1"/>
  </w:num>
  <w:num w:numId="16">
    <w:abstractNumId w:val="18"/>
  </w:num>
  <w:num w:numId="17">
    <w:abstractNumId w:val="7"/>
  </w:num>
  <w:num w:numId="18">
    <w:abstractNumId w:val="19"/>
  </w:num>
  <w:num w:numId="19">
    <w:abstractNumId w:val="13"/>
    <w:lvlOverride w:ilvl="0">
      <w:startOverride w:val="2"/>
    </w:lvlOverride>
  </w:num>
  <w:num w:numId="20">
    <w:abstractNumId w:val="10"/>
  </w:num>
  <w:num w:numId="21">
    <w:abstractNumId w:val="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B3"/>
    <w:rsid w:val="00003125"/>
    <w:rsid w:val="00005062"/>
    <w:rsid w:val="0001060A"/>
    <w:rsid w:val="00023D8B"/>
    <w:rsid w:val="0004554A"/>
    <w:rsid w:val="00084403"/>
    <w:rsid w:val="000B64EF"/>
    <w:rsid w:val="000B7D18"/>
    <w:rsid w:val="000C0B3D"/>
    <w:rsid w:val="000C34EF"/>
    <w:rsid w:val="000C7CEC"/>
    <w:rsid w:val="000D6A85"/>
    <w:rsid w:val="000F4592"/>
    <w:rsid w:val="0010782D"/>
    <w:rsid w:val="00116314"/>
    <w:rsid w:val="00122D6D"/>
    <w:rsid w:val="001325F5"/>
    <w:rsid w:val="00165EEE"/>
    <w:rsid w:val="0017239B"/>
    <w:rsid w:val="00173F0B"/>
    <w:rsid w:val="00186DA5"/>
    <w:rsid w:val="0019678A"/>
    <w:rsid w:val="001A4CC9"/>
    <w:rsid w:val="001B7E15"/>
    <w:rsid w:val="001D301B"/>
    <w:rsid w:val="00204386"/>
    <w:rsid w:val="00211C8C"/>
    <w:rsid w:val="002413CF"/>
    <w:rsid w:val="00241623"/>
    <w:rsid w:val="002444E6"/>
    <w:rsid w:val="002557FD"/>
    <w:rsid w:val="002560F1"/>
    <w:rsid w:val="002727D6"/>
    <w:rsid w:val="00276924"/>
    <w:rsid w:val="00284EBF"/>
    <w:rsid w:val="002C02C3"/>
    <w:rsid w:val="002F0416"/>
    <w:rsid w:val="00303B5A"/>
    <w:rsid w:val="0030578D"/>
    <w:rsid w:val="00305EB6"/>
    <w:rsid w:val="00326D55"/>
    <w:rsid w:val="00336318"/>
    <w:rsid w:val="003431FD"/>
    <w:rsid w:val="0035331C"/>
    <w:rsid w:val="00360098"/>
    <w:rsid w:val="003A0B6B"/>
    <w:rsid w:val="003A3A51"/>
    <w:rsid w:val="003C3460"/>
    <w:rsid w:val="003C6A54"/>
    <w:rsid w:val="003C6D7E"/>
    <w:rsid w:val="003E2D88"/>
    <w:rsid w:val="00410710"/>
    <w:rsid w:val="00455AF0"/>
    <w:rsid w:val="00456624"/>
    <w:rsid w:val="004574A9"/>
    <w:rsid w:val="004A1403"/>
    <w:rsid w:val="004A3859"/>
    <w:rsid w:val="004A7D49"/>
    <w:rsid w:val="004B214D"/>
    <w:rsid w:val="005229B9"/>
    <w:rsid w:val="00526202"/>
    <w:rsid w:val="00544BCF"/>
    <w:rsid w:val="00546B2F"/>
    <w:rsid w:val="00565076"/>
    <w:rsid w:val="005A17C3"/>
    <w:rsid w:val="005B3AFE"/>
    <w:rsid w:val="005C3032"/>
    <w:rsid w:val="005D00E3"/>
    <w:rsid w:val="005F4DF9"/>
    <w:rsid w:val="0061161D"/>
    <w:rsid w:val="00617A0E"/>
    <w:rsid w:val="0062717F"/>
    <w:rsid w:val="00632FE7"/>
    <w:rsid w:val="00634C82"/>
    <w:rsid w:val="0064771D"/>
    <w:rsid w:val="006655EF"/>
    <w:rsid w:val="00687115"/>
    <w:rsid w:val="00692260"/>
    <w:rsid w:val="00694273"/>
    <w:rsid w:val="006A1FF1"/>
    <w:rsid w:val="006B0128"/>
    <w:rsid w:val="006B04DF"/>
    <w:rsid w:val="006D399D"/>
    <w:rsid w:val="006F51BF"/>
    <w:rsid w:val="00727353"/>
    <w:rsid w:val="0073202F"/>
    <w:rsid w:val="00744170"/>
    <w:rsid w:val="0075347B"/>
    <w:rsid w:val="007568B3"/>
    <w:rsid w:val="00757C7E"/>
    <w:rsid w:val="00774F50"/>
    <w:rsid w:val="00775D96"/>
    <w:rsid w:val="00785BCA"/>
    <w:rsid w:val="00795AB3"/>
    <w:rsid w:val="007B0425"/>
    <w:rsid w:val="007C4F86"/>
    <w:rsid w:val="007D0E02"/>
    <w:rsid w:val="008003B9"/>
    <w:rsid w:val="00801F2D"/>
    <w:rsid w:val="00810AD3"/>
    <w:rsid w:val="00821134"/>
    <w:rsid w:val="00821E4E"/>
    <w:rsid w:val="008265B9"/>
    <w:rsid w:val="00830CDB"/>
    <w:rsid w:val="00840B45"/>
    <w:rsid w:val="00841539"/>
    <w:rsid w:val="00867BEF"/>
    <w:rsid w:val="008923E8"/>
    <w:rsid w:val="00894990"/>
    <w:rsid w:val="008B6312"/>
    <w:rsid w:val="008C28F0"/>
    <w:rsid w:val="008C577F"/>
    <w:rsid w:val="008D0DE7"/>
    <w:rsid w:val="008E4995"/>
    <w:rsid w:val="008F27FF"/>
    <w:rsid w:val="00905E2D"/>
    <w:rsid w:val="00907C4F"/>
    <w:rsid w:val="009136E7"/>
    <w:rsid w:val="009466F0"/>
    <w:rsid w:val="00956893"/>
    <w:rsid w:val="00972721"/>
    <w:rsid w:val="0097763E"/>
    <w:rsid w:val="009776B1"/>
    <w:rsid w:val="00980D99"/>
    <w:rsid w:val="00992120"/>
    <w:rsid w:val="009B0451"/>
    <w:rsid w:val="009C1EC2"/>
    <w:rsid w:val="009C5EFF"/>
    <w:rsid w:val="009D1EC4"/>
    <w:rsid w:val="009D2B46"/>
    <w:rsid w:val="009F6014"/>
    <w:rsid w:val="00A00C54"/>
    <w:rsid w:val="00A10285"/>
    <w:rsid w:val="00A112CA"/>
    <w:rsid w:val="00A37C1D"/>
    <w:rsid w:val="00A60DA8"/>
    <w:rsid w:val="00A853D1"/>
    <w:rsid w:val="00A90670"/>
    <w:rsid w:val="00A91B6E"/>
    <w:rsid w:val="00A93530"/>
    <w:rsid w:val="00A9392C"/>
    <w:rsid w:val="00AB03F7"/>
    <w:rsid w:val="00AB4E25"/>
    <w:rsid w:val="00AD5D48"/>
    <w:rsid w:val="00AD6AB1"/>
    <w:rsid w:val="00AE33FC"/>
    <w:rsid w:val="00B25A15"/>
    <w:rsid w:val="00B81093"/>
    <w:rsid w:val="00B923F6"/>
    <w:rsid w:val="00BE2894"/>
    <w:rsid w:val="00C01CF9"/>
    <w:rsid w:val="00C107E3"/>
    <w:rsid w:val="00C10A32"/>
    <w:rsid w:val="00C26C4E"/>
    <w:rsid w:val="00C41E30"/>
    <w:rsid w:val="00C4200D"/>
    <w:rsid w:val="00C500F0"/>
    <w:rsid w:val="00C536D3"/>
    <w:rsid w:val="00C53781"/>
    <w:rsid w:val="00C8431B"/>
    <w:rsid w:val="00CB5D06"/>
    <w:rsid w:val="00CC2519"/>
    <w:rsid w:val="00CF076A"/>
    <w:rsid w:val="00CF2A90"/>
    <w:rsid w:val="00CF5580"/>
    <w:rsid w:val="00CF72A4"/>
    <w:rsid w:val="00D056D2"/>
    <w:rsid w:val="00D5007E"/>
    <w:rsid w:val="00D53F43"/>
    <w:rsid w:val="00D665B7"/>
    <w:rsid w:val="00D87164"/>
    <w:rsid w:val="00D9766D"/>
    <w:rsid w:val="00DA6830"/>
    <w:rsid w:val="00DB2617"/>
    <w:rsid w:val="00DB640C"/>
    <w:rsid w:val="00DB6945"/>
    <w:rsid w:val="00DD1721"/>
    <w:rsid w:val="00DD3DC1"/>
    <w:rsid w:val="00DF0F7A"/>
    <w:rsid w:val="00E05921"/>
    <w:rsid w:val="00E1183A"/>
    <w:rsid w:val="00E27E22"/>
    <w:rsid w:val="00E55E58"/>
    <w:rsid w:val="00E644FB"/>
    <w:rsid w:val="00E828A4"/>
    <w:rsid w:val="00E83A64"/>
    <w:rsid w:val="00E859D0"/>
    <w:rsid w:val="00E97C13"/>
    <w:rsid w:val="00EA4133"/>
    <w:rsid w:val="00EB51F7"/>
    <w:rsid w:val="00EF7A45"/>
    <w:rsid w:val="00F16FBE"/>
    <w:rsid w:val="00F3105D"/>
    <w:rsid w:val="00F33BBE"/>
    <w:rsid w:val="00F45227"/>
    <w:rsid w:val="00F80968"/>
    <w:rsid w:val="00F83BFC"/>
    <w:rsid w:val="00F867FB"/>
    <w:rsid w:val="00FA05E9"/>
    <w:rsid w:val="00FB1992"/>
    <w:rsid w:val="00FB4F24"/>
    <w:rsid w:val="00FC748F"/>
    <w:rsid w:val="00FF5476"/>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693B4E"/>
  <w15:docId w15:val="{37CBA24E-2BF0-6243-8CBB-42240DFC2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CEC"/>
  </w:style>
  <w:style w:type="paragraph" w:styleId="Heading2">
    <w:name w:val="heading 2"/>
    <w:basedOn w:val="BodyText"/>
    <w:next w:val="BodyText"/>
    <w:qFormat/>
    <w:rsid w:val="000C7CEC"/>
    <w:pPr>
      <w:keepNext/>
      <w:ind w:left="1080" w:hanging="1080"/>
      <w:outlineLvl w:val="1"/>
    </w:pPr>
    <w:rPr>
      <w:rFonts w:ascii="Arial" w:hAnsi="Arial"/>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7CEC"/>
    <w:pPr>
      <w:spacing w:before="240"/>
    </w:pPr>
    <w:rPr>
      <w:sz w:val="24"/>
      <w:lang w:val="en-GB"/>
    </w:rPr>
  </w:style>
  <w:style w:type="paragraph" w:styleId="List">
    <w:name w:val="List"/>
    <w:basedOn w:val="BodyText"/>
    <w:rsid w:val="000C7CEC"/>
    <w:pPr>
      <w:ind w:left="1080" w:hanging="1080"/>
    </w:pPr>
  </w:style>
  <w:style w:type="paragraph" w:styleId="List2">
    <w:name w:val="List 2"/>
    <w:basedOn w:val="List"/>
    <w:rsid w:val="000C7CEC"/>
    <w:pPr>
      <w:ind w:left="1800" w:hanging="720"/>
    </w:pPr>
  </w:style>
  <w:style w:type="paragraph" w:styleId="Title">
    <w:name w:val="Title"/>
    <w:basedOn w:val="BodyText"/>
    <w:qFormat/>
    <w:rsid w:val="000C7CEC"/>
    <w:pPr>
      <w:spacing w:after="240"/>
      <w:jc w:val="center"/>
    </w:pPr>
    <w:rPr>
      <w:rFonts w:ascii="Arial" w:hAnsi="Arial"/>
      <w:b/>
      <w:sz w:val="40"/>
    </w:rPr>
  </w:style>
  <w:style w:type="paragraph" w:customStyle="1" w:styleId="amend">
    <w:name w:val="amend"/>
    <w:basedOn w:val="Normal"/>
    <w:rsid w:val="000C7CEC"/>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C7CEC"/>
    <w:pPr>
      <w:tabs>
        <w:tab w:val="center" w:pos="4320"/>
        <w:tab w:val="right" w:pos="8640"/>
      </w:tabs>
    </w:pPr>
  </w:style>
  <w:style w:type="paragraph" w:styleId="Footer">
    <w:name w:val="footer"/>
    <w:basedOn w:val="Normal"/>
    <w:rsid w:val="000C7CEC"/>
    <w:pPr>
      <w:tabs>
        <w:tab w:val="center" w:pos="4320"/>
        <w:tab w:val="right" w:pos="8640"/>
      </w:tabs>
    </w:pPr>
  </w:style>
  <w:style w:type="character" w:styleId="PageNumber">
    <w:name w:val="page number"/>
    <w:basedOn w:val="DefaultParagraphFont"/>
    <w:rsid w:val="000C7CEC"/>
  </w:style>
  <w:style w:type="paragraph" w:styleId="EndnoteText">
    <w:name w:val="endnote text"/>
    <w:basedOn w:val="Normal"/>
    <w:semiHidden/>
    <w:rsid w:val="000C7CEC"/>
    <w:pPr>
      <w:widowControl w:val="0"/>
    </w:pPr>
    <w:rPr>
      <w:rFonts w:ascii="Helv 12pt" w:hAnsi="Helv 12pt"/>
      <w:sz w:val="24"/>
    </w:rPr>
  </w:style>
  <w:style w:type="paragraph" w:styleId="BalloonText">
    <w:name w:val="Balloon Text"/>
    <w:basedOn w:val="Normal"/>
    <w:semiHidden/>
    <w:rsid w:val="000C7CEC"/>
    <w:rPr>
      <w:rFonts w:ascii="Tahoma" w:hAnsi="Tahoma" w:cs="Tahoma"/>
      <w:sz w:val="16"/>
      <w:szCs w:val="16"/>
    </w:rPr>
  </w:style>
  <w:style w:type="paragraph" w:styleId="FootnoteText">
    <w:name w:val="footnote text"/>
    <w:basedOn w:val="Normal"/>
    <w:semiHidden/>
    <w:rsid w:val="000C7CEC"/>
  </w:style>
  <w:style w:type="character" w:styleId="FootnoteReference">
    <w:name w:val="footnote reference"/>
    <w:semiHidden/>
    <w:rsid w:val="000C7CEC"/>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 w:type="paragraph" w:customStyle="1" w:styleId="Default">
    <w:name w:val="Default"/>
    <w:rsid w:val="00801F2D"/>
    <w:pPr>
      <w:autoSpaceDE w:val="0"/>
      <w:autoSpaceDN w:val="0"/>
      <w:adjustRightInd w:val="0"/>
    </w:pPr>
    <w:rPr>
      <w:rFonts w:ascii="Arial" w:hAnsi="Arial" w:cs="Arial"/>
      <w:color w:val="000000"/>
      <w:sz w:val="24"/>
      <w:szCs w:val="24"/>
    </w:rPr>
  </w:style>
  <w:style w:type="paragraph" w:customStyle="1" w:styleId="TableParagraph">
    <w:name w:val="Table Paragraph"/>
    <w:basedOn w:val="Normal"/>
    <w:uiPriority w:val="1"/>
    <w:qFormat/>
    <w:rsid w:val="006F51BF"/>
    <w:pPr>
      <w:widowControl w:val="0"/>
      <w:autoSpaceDE w:val="0"/>
      <w:autoSpaceDN w:val="0"/>
      <w:spacing w:before="18"/>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516666">
      <w:bodyDiv w:val="1"/>
      <w:marLeft w:val="0"/>
      <w:marRight w:val="0"/>
      <w:marTop w:val="0"/>
      <w:marBottom w:val="0"/>
      <w:divBdr>
        <w:top w:val="none" w:sz="0" w:space="0" w:color="auto"/>
        <w:left w:val="none" w:sz="0" w:space="0" w:color="auto"/>
        <w:bottom w:val="none" w:sz="0" w:space="0" w:color="auto"/>
        <w:right w:val="none" w:sz="0" w:space="0" w:color="auto"/>
      </w:divBdr>
    </w:div>
    <w:div w:id="263152987">
      <w:bodyDiv w:val="1"/>
      <w:marLeft w:val="0"/>
      <w:marRight w:val="0"/>
      <w:marTop w:val="0"/>
      <w:marBottom w:val="0"/>
      <w:divBdr>
        <w:top w:val="none" w:sz="0" w:space="0" w:color="auto"/>
        <w:left w:val="none" w:sz="0" w:space="0" w:color="auto"/>
        <w:bottom w:val="none" w:sz="0" w:space="0" w:color="auto"/>
        <w:right w:val="none" w:sz="0" w:space="0" w:color="auto"/>
      </w:divBdr>
    </w:div>
    <w:div w:id="361711021">
      <w:bodyDiv w:val="1"/>
      <w:marLeft w:val="0"/>
      <w:marRight w:val="0"/>
      <w:marTop w:val="0"/>
      <w:marBottom w:val="0"/>
      <w:divBdr>
        <w:top w:val="none" w:sz="0" w:space="0" w:color="auto"/>
        <w:left w:val="none" w:sz="0" w:space="0" w:color="auto"/>
        <w:bottom w:val="none" w:sz="0" w:space="0" w:color="auto"/>
        <w:right w:val="none" w:sz="0" w:space="0" w:color="auto"/>
      </w:divBdr>
    </w:div>
    <w:div w:id="1496725998">
      <w:bodyDiv w:val="1"/>
      <w:marLeft w:val="0"/>
      <w:marRight w:val="0"/>
      <w:marTop w:val="0"/>
      <w:marBottom w:val="0"/>
      <w:divBdr>
        <w:top w:val="none" w:sz="0" w:space="0" w:color="auto"/>
        <w:left w:val="none" w:sz="0" w:space="0" w:color="auto"/>
        <w:bottom w:val="none" w:sz="0" w:space="0" w:color="auto"/>
        <w:right w:val="none" w:sz="0" w:space="0" w:color="auto"/>
      </w:divBdr>
    </w:div>
    <w:div w:id="1860266837">
      <w:bodyDiv w:val="1"/>
      <w:marLeft w:val="0"/>
      <w:marRight w:val="0"/>
      <w:marTop w:val="0"/>
      <w:marBottom w:val="0"/>
      <w:divBdr>
        <w:top w:val="none" w:sz="0" w:space="0" w:color="auto"/>
        <w:left w:val="none" w:sz="0" w:space="0" w:color="auto"/>
        <w:bottom w:val="none" w:sz="0" w:space="0" w:color="auto"/>
        <w:right w:val="none" w:sz="0" w:space="0" w:color="auto"/>
      </w:divBdr>
    </w:div>
    <w:div w:id="1864594070">
      <w:bodyDiv w:val="1"/>
      <w:marLeft w:val="0"/>
      <w:marRight w:val="0"/>
      <w:marTop w:val="0"/>
      <w:marBottom w:val="0"/>
      <w:divBdr>
        <w:top w:val="none" w:sz="0" w:space="0" w:color="auto"/>
        <w:left w:val="none" w:sz="0" w:space="0" w:color="auto"/>
        <w:bottom w:val="none" w:sz="0" w:space="0" w:color="auto"/>
        <w:right w:val="none" w:sz="0" w:space="0" w:color="auto"/>
      </w:divBdr>
    </w:div>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listings@thecs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10</Pages>
  <Words>2286</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James Mackie</cp:lastModifiedBy>
  <cp:revision>7</cp:revision>
  <cp:lastPrinted>2021-03-14T01:42:00Z</cp:lastPrinted>
  <dcterms:created xsi:type="dcterms:W3CDTF">2021-03-14T01:41:00Z</dcterms:created>
  <dcterms:modified xsi:type="dcterms:W3CDTF">2021-03-16T04:55:00Z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