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8738D" w14:textId="77777777" w:rsidR="00640E94" w:rsidRDefault="00A068B8">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bookmarkStart w:id="5" w:name="_GoBack"/>
      <w:bookmarkEnd w:id="5"/>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4BC5C6B5" w14:textId="77777777" w:rsidR="00640E94" w:rsidRDefault="00A068B8">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F73912" w:rsidRPr="00F73912">
        <w:rPr>
          <w:rFonts w:ascii="Arial" w:hAnsi="Arial"/>
          <w:b/>
          <w:color w:val="000000"/>
          <w:u w:val="single"/>
        </w:rPr>
        <w:t>Target Capital Inc.</w:t>
      </w:r>
      <w:r w:rsidR="00186261">
        <w:rPr>
          <w:rFonts w:ascii="Arial" w:hAnsi="Arial"/>
          <w:b/>
          <w:color w:val="000000"/>
        </w:rPr>
        <w:t xml:space="preserve"> </w:t>
      </w:r>
      <w:r>
        <w:rPr>
          <w:rFonts w:ascii="Arial" w:hAnsi="Arial"/>
          <w:color w:val="000000"/>
        </w:rPr>
        <w:t>(the “Issuer”).</w:t>
      </w:r>
    </w:p>
    <w:p w14:paraId="7D64E976" w14:textId="77777777" w:rsidR="00640E94" w:rsidRDefault="00A068B8">
      <w:pPr>
        <w:pStyle w:val="BodyText"/>
        <w:tabs>
          <w:tab w:val="left" w:pos="7920"/>
          <w:tab w:val="left" w:pos="9180"/>
        </w:tabs>
        <w:rPr>
          <w:rFonts w:ascii="Arial" w:hAnsi="Arial"/>
          <w:color w:val="000000"/>
        </w:rPr>
      </w:pPr>
      <w:r>
        <w:rPr>
          <w:rFonts w:ascii="Arial" w:hAnsi="Arial"/>
          <w:color w:val="000000"/>
        </w:rPr>
        <w:t xml:space="preserve">Trading Symbol: </w:t>
      </w:r>
      <w:r w:rsidR="00F73912" w:rsidRPr="00F73912">
        <w:rPr>
          <w:rFonts w:ascii="Arial" w:hAnsi="Arial"/>
          <w:b/>
          <w:color w:val="000000"/>
          <w:u w:val="single"/>
        </w:rPr>
        <w:t>TCI</w:t>
      </w:r>
    </w:p>
    <w:p w14:paraId="235D60A9" w14:textId="77777777" w:rsidR="00640E94" w:rsidRDefault="00A068B8" w:rsidP="00F73912">
      <w:pPr>
        <w:pStyle w:val="BodyText"/>
        <w:tabs>
          <w:tab w:val="left" w:pos="1440"/>
          <w:tab w:val="left" w:pos="9180"/>
        </w:tabs>
        <w:rPr>
          <w:rFonts w:ascii="Arial" w:hAnsi="Arial" w:cs="Arial"/>
          <w:b/>
          <w:szCs w:val="24"/>
          <w:u w:val="single"/>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B95E3C">
        <w:rPr>
          <w:rFonts w:ascii="Arial" w:hAnsi="Arial" w:cs="Arial"/>
          <w:b/>
          <w:szCs w:val="24"/>
          <w:u w:val="single"/>
        </w:rPr>
        <w:t>106,</w:t>
      </w:r>
      <w:r w:rsidR="00017335">
        <w:rPr>
          <w:rFonts w:ascii="Arial" w:hAnsi="Arial" w:cs="Arial"/>
          <w:b/>
          <w:szCs w:val="24"/>
          <w:u w:val="single"/>
        </w:rPr>
        <w:t>715</w:t>
      </w:r>
      <w:r w:rsidR="00B95E3C">
        <w:rPr>
          <w:rFonts w:ascii="Arial" w:hAnsi="Arial" w:cs="Arial"/>
          <w:b/>
          <w:szCs w:val="24"/>
          <w:u w:val="single"/>
        </w:rPr>
        <w:t>,</w:t>
      </w:r>
      <w:r w:rsidR="00017335">
        <w:rPr>
          <w:rFonts w:ascii="Arial" w:hAnsi="Arial" w:cs="Arial"/>
          <w:b/>
          <w:szCs w:val="24"/>
          <w:u w:val="single"/>
        </w:rPr>
        <w:t>629</w:t>
      </w:r>
      <w:r w:rsidR="00F73912" w:rsidRPr="00F73912">
        <w:rPr>
          <w:rFonts w:ascii="Arial" w:hAnsi="Arial" w:cs="Arial"/>
          <w:b/>
          <w:szCs w:val="24"/>
          <w:u w:val="single"/>
        </w:rPr>
        <w:t xml:space="preserve"> common shares</w:t>
      </w:r>
    </w:p>
    <w:p w14:paraId="5051F28F" w14:textId="77777777" w:rsidR="00640E94" w:rsidRDefault="00A068B8">
      <w:pPr>
        <w:pStyle w:val="BodyText"/>
        <w:tabs>
          <w:tab w:val="left" w:pos="7920"/>
          <w:tab w:val="left" w:pos="9180"/>
        </w:tabs>
        <w:rPr>
          <w:rFonts w:ascii="Arial" w:hAnsi="Arial"/>
          <w:color w:val="000000"/>
        </w:rPr>
      </w:pPr>
      <w:r>
        <w:rPr>
          <w:rFonts w:ascii="Arial" w:hAnsi="Arial"/>
          <w:color w:val="000000"/>
        </w:rPr>
        <w:t xml:space="preserve">Date: </w:t>
      </w:r>
      <w:r w:rsidR="00544691">
        <w:rPr>
          <w:rFonts w:ascii="Arial" w:hAnsi="Arial"/>
          <w:b/>
          <w:color w:val="000000"/>
          <w:u w:val="single"/>
        </w:rPr>
        <w:t>May 15</w:t>
      </w:r>
      <w:r w:rsidR="008C2350">
        <w:rPr>
          <w:rFonts w:ascii="Arial" w:hAnsi="Arial"/>
          <w:b/>
          <w:color w:val="000000"/>
          <w:u w:val="single"/>
        </w:rPr>
        <w:t>, 2019</w:t>
      </w:r>
      <w:r w:rsidR="003918C6">
        <w:rPr>
          <w:rFonts w:ascii="Arial" w:hAnsi="Arial"/>
          <w:b/>
          <w:color w:val="000000"/>
          <w:u w:val="single"/>
        </w:rPr>
        <w:t xml:space="preserve"> (for the period ending </w:t>
      </w:r>
      <w:r w:rsidR="00544691">
        <w:rPr>
          <w:rFonts w:ascii="Arial" w:hAnsi="Arial"/>
          <w:b/>
          <w:color w:val="000000"/>
          <w:u w:val="single"/>
        </w:rPr>
        <w:t>April 30</w:t>
      </w:r>
      <w:r w:rsidR="00D577F4">
        <w:rPr>
          <w:rFonts w:ascii="Arial" w:hAnsi="Arial"/>
          <w:b/>
          <w:color w:val="000000"/>
          <w:u w:val="single"/>
        </w:rPr>
        <w:t>, 2019</w:t>
      </w:r>
      <w:r w:rsidR="003918C6">
        <w:rPr>
          <w:rFonts w:ascii="Arial" w:hAnsi="Arial"/>
          <w:b/>
          <w:color w:val="000000"/>
          <w:u w:val="single"/>
        </w:rPr>
        <w:t>)</w:t>
      </w:r>
    </w:p>
    <w:p w14:paraId="72D33682" w14:textId="77777777" w:rsidR="00640E94" w:rsidRDefault="00A068B8">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2BDEFBE9" w14:textId="77777777" w:rsidR="00640E94" w:rsidRDefault="00A068B8">
      <w:pPr>
        <w:pStyle w:val="BodyText"/>
        <w:tabs>
          <w:tab w:val="left" w:pos="7920"/>
          <w:tab w:val="left" w:pos="9180"/>
        </w:tabs>
        <w:jc w:val="both"/>
        <w:rPr>
          <w:rFonts w:ascii="Arial" w:hAnsi="Arial"/>
          <w:color w:val="000000"/>
        </w:rPr>
      </w:pPr>
      <w:r>
        <w:rPr>
          <w:rFonts w:ascii="Arial" w:hAnsi="Arial"/>
          <w:color w:val="000000"/>
        </w:rPr>
        <w:t xml:space="preserve">This report is intended to keep investors and the market informed of the Issuer’s ongoing business and management activities that occurred during the preceding month.  Do not discuss goals or </w:t>
      </w:r>
      <w:proofErr w:type="gramStart"/>
      <w:r>
        <w:rPr>
          <w:rFonts w:ascii="Arial" w:hAnsi="Arial"/>
          <w:color w:val="000000"/>
        </w:rPr>
        <w:t>future plans</w:t>
      </w:r>
      <w:proofErr w:type="gramEnd"/>
      <w:r>
        <w:rPr>
          <w:rFonts w:ascii="Arial" w:hAnsi="Arial"/>
          <w:color w:val="000000"/>
        </w:rPr>
        <w:t xml:space="preserve"> unless they have crystallized to the point that they are "material information" as defined in the Policies. The discussion in this report must be factual, balanced and non-promotional.</w:t>
      </w:r>
    </w:p>
    <w:p w14:paraId="2472D5AA" w14:textId="77777777" w:rsidR="00640E94" w:rsidRDefault="00A068B8">
      <w:pPr>
        <w:pStyle w:val="BodyText"/>
        <w:tabs>
          <w:tab w:val="left" w:pos="7920"/>
          <w:tab w:val="left" w:pos="9180"/>
        </w:tabs>
        <w:rPr>
          <w:rFonts w:ascii="Arial" w:hAnsi="Arial"/>
          <w:color w:val="000000"/>
        </w:rPr>
      </w:pPr>
      <w:r>
        <w:rPr>
          <w:rFonts w:ascii="Arial" w:hAnsi="Arial"/>
          <w:b/>
          <w:color w:val="000000"/>
        </w:rPr>
        <w:t>General Instructions</w:t>
      </w:r>
    </w:p>
    <w:p w14:paraId="647BA130" w14:textId="77777777" w:rsidR="00640E94" w:rsidRDefault="00A068B8">
      <w:pPr>
        <w:pStyle w:val="BodyText"/>
        <w:numPr>
          <w:ilvl w:val="0"/>
          <w:numId w:val="26"/>
        </w:numPr>
        <w:tabs>
          <w:tab w:val="left" w:pos="1440"/>
          <w:tab w:val="left" w:pos="7920"/>
          <w:tab w:val="left" w:pos="9180"/>
        </w:tabs>
        <w:rPr>
          <w:rFonts w:ascii="Arial" w:hAnsi="Arial"/>
          <w:color w:val="000000"/>
        </w:rPr>
      </w:pPr>
      <w:r>
        <w:rPr>
          <w:rFonts w:ascii="Arial" w:hAnsi="Arial"/>
          <w:color w:val="000000"/>
        </w:rPr>
        <w:t xml:space="preserve">Prepare this Monthly Progress Report using the format set out below.  The sequence of questions must not be </w:t>
      </w:r>
      <w:proofErr w:type="gramStart"/>
      <w:r>
        <w:rPr>
          <w:rFonts w:ascii="Arial" w:hAnsi="Arial"/>
          <w:color w:val="000000"/>
        </w:rPr>
        <w:t>altered</w:t>
      </w:r>
      <w:proofErr w:type="gramEnd"/>
      <w:r>
        <w:rPr>
          <w:rFonts w:ascii="Arial" w:hAnsi="Arial"/>
          <w:color w:val="000000"/>
        </w:rPr>
        <w:t xml:space="preserve"> nor should questions be omitted or left unanswered.  The answers to the items must be in narrative form.  State when the answer to any item is negative or not applicable to the Issuer.  The title to each item must precede the answer.</w:t>
      </w:r>
    </w:p>
    <w:p w14:paraId="75E3A4BF" w14:textId="77777777" w:rsidR="00640E94" w:rsidRDefault="00A068B8">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39342C52" w14:textId="77777777" w:rsidR="00640E94" w:rsidRDefault="00A068B8">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21952639" w14:textId="77777777" w:rsidR="00640E94" w:rsidRDefault="00A068B8">
      <w:pPr>
        <w:pStyle w:val="List"/>
        <w:keepLines/>
        <w:spacing w:before="120"/>
        <w:ind w:left="0" w:firstLine="0"/>
        <w:rPr>
          <w:rFonts w:ascii="Arial" w:hAnsi="Arial"/>
          <w:b/>
        </w:rPr>
      </w:pPr>
      <w:r>
        <w:rPr>
          <w:rFonts w:ascii="Arial" w:hAnsi="Arial"/>
          <w:b/>
        </w:rPr>
        <w:t>Report on Business</w:t>
      </w:r>
    </w:p>
    <w:p w14:paraId="71E829C7" w14:textId="77777777" w:rsidR="00B61E62" w:rsidRPr="00AD1C2F" w:rsidRDefault="00A068B8" w:rsidP="00B61E62">
      <w:pPr>
        <w:pStyle w:val="List"/>
        <w:numPr>
          <w:ilvl w:val="0"/>
          <w:numId w:val="28"/>
        </w:numPr>
        <w:spacing w:before="120"/>
        <w:jc w:val="both"/>
        <w:rPr>
          <w:rFonts w:ascii="Arial" w:hAnsi="Arial" w:cs="Arial"/>
          <w:szCs w:val="22"/>
        </w:rPr>
      </w:pPr>
      <w:r>
        <w:rPr>
          <w:rFonts w:ascii="Arial" w:hAnsi="Arial"/>
        </w:rPr>
        <w:t>Provide a general overview and discussion of the development of the Issuer’s business and operations over the previous month.  Where the Issuer was inactive disclose this fact.</w:t>
      </w:r>
    </w:p>
    <w:p w14:paraId="7297A5A9" w14:textId="77777777" w:rsidR="00D577F4" w:rsidRDefault="00A068B8" w:rsidP="00D577F4">
      <w:pPr>
        <w:spacing w:before="240" w:line="220" w:lineRule="exact"/>
        <w:ind w:left="720" w:right="93"/>
        <w:jc w:val="both"/>
        <w:rPr>
          <w:rFonts w:ascii="Arial" w:eastAsia="Arial" w:hAnsi="Arial" w:cs="Arial"/>
          <w:b/>
          <w:color w:val="000000"/>
          <w:sz w:val="24"/>
          <w:szCs w:val="24"/>
          <w:u w:val="single"/>
        </w:rPr>
      </w:pPr>
      <w:r w:rsidRPr="008D6C87">
        <w:rPr>
          <w:rFonts w:ascii="Arial" w:eastAsia="Arial" w:hAnsi="Arial" w:cs="Arial"/>
          <w:b/>
          <w:color w:val="000000"/>
          <w:sz w:val="24"/>
          <w:szCs w:val="24"/>
          <w:u w:val="single"/>
        </w:rPr>
        <w:t>The Issuer continues to explore and evaluate strategic alternatives to enhance shareholder value</w:t>
      </w:r>
      <w:r w:rsidR="00591E43">
        <w:rPr>
          <w:rFonts w:ascii="Arial" w:eastAsia="Arial" w:hAnsi="Arial" w:cs="Arial"/>
          <w:b/>
          <w:color w:val="000000"/>
          <w:sz w:val="24"/>
          <w:szCs w:val="24"/>
          <w:u w:val="single"/>
        </w:rPr>
        <w:t>.</w:t>
      </w:r>
      <w:r>
        <w:rPr>
          <w:rFonts w:ascii="Arial" w:eastAsia="Arial" w:hAnsi="Arial" w:cs="Arial"/>
          <w:b/>
          <w:color w:val="000000"/>
          <w:sz w:val="24"/>
          <w:szCs w:val="24"/>
          <w:u w:val="single"/>
        </w:rPr>
        <w:t xml:space="preserve">  </w:t>
      </w:r>
    </w:p>
    <w:p w14:paraId="3EBB33AA" w14:textId="77777777" w:rsidR="00640E94" w:rsidRDefault="00A068B8" w:rsidP="000F2D03">
      <w:pPr>
        <w:pStyle w:val="List"/>
        <w:keepNext/>
        <w:keepLines/>
        <w:numPr>
          <w:ilvl w:val="0"/>
          <w:numId w:val="28"/>
        </w:numPr>
        <w:spacing w:before="120"/>
        <w:jc w:val="both"/>
        <w:rPr>
          <w:rFonts w:ascii="Arial" w:hAnsi="Arial"/>
        </w:rPr>
      </w:pPr>
      <w:r>
        <w:rPr>
          <w:rFonts w:ascii="Arial" w:hAnsi="Arial"/>
        </w:rPr>
        <w:t>Provide a general overview and discussion of the activities of management.</w:t>
      </w:r>
    </w:p>
    <w:p w14:paraId="2EB9D08F" w14:textId="77777777" w:rsidR="00F3607E" w:rsidRDefault="00F3607E" w:rsidP="00544691">
      <w:pPr>
        <w:spacing w:line="220" w:lineRule="exact"/>
        <w:ind w:right="93"/>
        <w:jc w:val="both"/>
        <w:rPr>
          <w:rFonts w:ascii="Arial" w:eastAsia="Arial" w:hAnsi="Arial" w:cs="Arial"/>
          <w:b/>
          <w:color w:val="000000"/>
          <w:sz w:val="24"/>
          <w:szCs w:val="24"/>
          <w:u w:val="single"/>
        </w:rPr>
      </w:pPr>
    </w:p>
    <w:p w14:paraId="2982C296" w14:textId="77777777" w:rsidR="00F3607E" w:rsidRDefault="00A068B8" w:rsidP="00D577F4">
      <w:pPr>
        <w:spacing w:line="220" w:lineRule="exact"/>
        <w:ind w:left="720" w:right="93"/>
        <w:jc w:val="both"/>
        <w:rPr>
          <w:rFonts w:ascii="Arial" w:eastAsia="Arial" w:hAnsi="Arial" w:cs="Arial"/>
          <w:b/>
          <w:color w:val="000000"/>
          <w:sz w:val="24"/>
          <w:szCs w:val="24"/>
          <w:u w:val="single"/>
        </w:rPr>
      </w:pPr>
      <w:r>
        <w:rPr>
          <w:rFonts w:ascii="Arial" w:eastAsia="Arial" w:hAnsi="Arial" w:cs="Arial"/>
          <w:b/>
          <w:color w:val="000000"/>
          <w:sz w:val="24"/>
          <w:szCs w:val="24"/>
          <w:u w:val="single"/>
        </w:rPr>
        <w:lastRenderedPageBreak/>
        <w:t xml:space="preserve">The Issuer </w:t>
      </w:r>
      <w:r w:rsidRPr="00F0217E">
        <w:rPr>
          <w:rFonts w:ascii="Arial" w:eastAsia="Arial" w:hAnsi="Arial" w:cs="Arial"/>
          <w:b/>
          <w:color w:val="000000"/>
          <w:sz w:val="24"/>
          <w:szCs w:val="24"/>
          <w:u w:val="single"/>
        </w:rPr>
        <w:t>continue</w:t>
      </w:r>
      <w:r>
        <w:rPr>
          <w:rFonts w:ascii="Arial" w:eastAsia="Arial" w:hAnsi="Arial" w:cs="Arial"/>
          <w:b/>
          <w:color w:val="000000"/>
          <w:sz w:val="24"/>
          <w:szCs w:val="24"/>
          <w:u w:val="single"/>
        </w:rPr>
        <w:t>s</w:t>
      </w:r>
      <w:r w:rsidRPr="00F0217E">
        <w:rPr>
          <w:rFonts w:ascii="Arial" w:eastAsia="Arial" w:hAnsi="Arial" w:cs="Arial"/>
          <w:b/>
          <w:color w:val="000000"/>
          <w:sz w:val="24"/>
          <w:szCs w:val="24"/>
          <w:u w:val="single"/>
        </w:rPr>
        <w:t xml:space="preserve"> to explore and evaluate strategic alternatives to enhance shareholder value.</w:t>
      </w:r>
    </w:p>
    <w:p w14:paraId="186FB6A8" w14:textId="77777777" w:rsidR="007F0536" w:rsidRDefault="007F0536" w:rsidP="00D577F4">
      <w:pPr>
        <w:spacing w:line="220" w:lineRule="exact"/>
        <w:ind w:left="720" w:right="93"/>
        <w:jc w:val="both"/>
        <w:rPr>
          <w:rFonts w:ascii="Arial" w:eastAsia="Arial" w:hAnsi="Arial" w:cs="Arial"/>
          <w:b/>
          <w:color w:val="000000"/>
          <w:sz w:val="24"/>
          <w:szCs w:val="24"/>
          <w:u w:val="single"/>
        </w:rPr>
      </w:pPr>
    </w:p>
    <w:p w14:paraId="10BF0D6C" w14:textId="77777777" w:rsidR="00E7683C" w:rsidRDefault="00A068B8" w:rsidP="00E7683C">
      <w:pPr>
        <w:pStyle w:val="List"/>
        <w:numPr>
          <w:ilvl w:val="0"/>
          <w:numId w:val="28"/>
        </w:numPr>
        <w:spacing w:before="120"/>
        <w:jc w:val="both"/>
        <w:rPr>
          <w:rFonts w:ascii="Arial" w:hAnsi="Arial"/>
        </w:rPr>
      </w:pPr>
      <w:r>
        <w:rPr>
          <w:rFonts w:ascii="Arial" w:hAnsi="Arial"/>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0C72992B" w14:textId="77777777" w:rsidR="00032B28" w:rsidRDefault="00A068B8" w:rsidP="00032B28">
      <w:pPr>
        <w:pStyle w:val="List"/>
        <w:spacing w:before="120"/>
        <w:ind w:hanging="360"/>
        <w:jc w:val="both"/>
        <w:rPr>
          <w:rFonts w:ascii="Arial" w:hAnsi="Arial"/>
          <w:b/>
          <w:u w:val="single"/>
        </w:rPr>
      </w:pPr>
      <w:r w:rsidRPr="009A0345">
        <w:rPr>
          <w:rFonts w:ascii="Arial" w:hAnsi="Arial"/>
          <w:b/>
          <w:u w:val="single"/>
        </w:rPr>
        <w:t xml:space="preserve">Nothing to report. </w:t>
      </w:r>
    </w:p>
    <w:p w14:paraId="236AAB30" w14:textId="77777777" w:rsidR="00032B28" w:rsidRPr="00032B28" w:rsidRDefault="00032B28" w:rsidP="00032B28">
      <w:pPr>
        <w:pStyle w:val="List"/>
        <w:spacing w:before="120"/>
        <w:ind w:hanging="360"/>
        <w:jc w:val="both"/>
        <w:rPr>
          <w:rFonts w:ascii="Arial" w:hAnsi="Arial"/>
          <w:b/>
          <w:u w:val="single"/>
        </w:rPr>
      </w:pPr>
    </w:p>
    <w:p w14:paraId="4E361C7D" w14:textId="77777777" w:rsidR="00640E94" w:rsidRDefault="00A068B8">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0CEFCF44" w14:textId="77777777" w:rsidR="00E7683C" w:rsidRPr="009A0345" w:rsidRDefault="00A068B8" w:rsidP="009A0345">
      <w:pPr>
        <w:pStyle w:val="List"/>
        <w:spacing w:before="120"/>
        <w:ind w:left="1800"/>
        <w:jc w:val="both"/>
        <w:rPr>
          <w:rFonts w:ascii="Arial" w:hAnsi="Arial"/>
          <w:b/>
          <w:u w:val="single"/>
        </w:rPr>
      </w:pPr>
      <w:r w:rsidRPr="009A0345">
        <w:rPr>
          <w:rFonts w:ascii="Arial" w:hAnsi="Arial"/>
          <w:b/>
          <w:u w:val="single"/>
        </w:rPr>
        <w:t xml:space="preserve">Nothing to report. </w:t>
      </w:r>
    </w:p>
    <w:p w14:paraId="66EF0DBC" w14:textId="77777777" w:rsidR="009A0345" w:rsidRDefault="009A0345" w:rsidP="009A0345">
      <w:pPr>
        <w:pStyle w:val="List"/>
        <w:spacing w:before="120"/>
        <w:ind w:left="1800"/>
        <w:jc w:val="both"/>
        <w:rPr>
          <w:rFonts w:ascii="Arial" w:hAnsi="Arial"/>
        </w:rPr>
      </w:pPr>
    </w:p>
    <w:p w14:paraId="7BEEE1AD" w14:textId="77777777" w:rsidR="00640E94" w:rsidRDefault="00A068B8">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165497C5" w14:textId="77777777" w:rsidR="00B61E62" w:rsidRDefault="00A068B8" w:rsidP="00201071">
      <w:pPr>
        <w:pStyle w:val="List"/>
        <w:spacing w:before="120"/>
        <w:ind w:left="720" w:firstLine="0"/>
        <w:jc w:val="both"/>
        <w:rPr>
          <w:rFonts w:ascii="Arial" w:hAnsi="Arial"/>
          <w:b/>
          <w:u w:val="single"/>
        </w:rPr>
      </w:pPr>
      <w:r>
        <w:rPr>
          <w:rFonts w:ascii="Arial" w:hAnsi="Arial"/>
          <w:b/>
          <w:u w:val="single"/>
        </w:rPr>
        <w:t>Nothing to report</w:t>
      </w:r>
      <w:r w:rsidR="00F03C83" w:rsidRPr="00201071">
        <w:rPr>
          <w:rFonts w:ascii="Arial" w:hAnsi="Arial"/>
          <w:b/>
          <w:u w:val="single"/>
        </w:rPr>
        <w:t>.</w:t>
      </w:r>
    </w:p>
    <w:p w14:paraId="464F2606" w14:textId="77777777" w:rsidR="00201071" w:rsidRPr="009A0345" w:rsidRDefault="00201071" w:rsidP="00201071">
      <w:pPr>
        <w:pStyle w:val="List"/>
        <w:spacing w:before="120"/>
        <w:jc w:val="both"/>
        <w:rPr>
          <w:rFonts w:ascii="Arial" w:hAnsi="Arial"/>
          <w:b/>
          <w:u w:val="single"/>
        </w:rPr>
      </w:pPr>
    </w:p>
    <w:p w14:paraId="65729CA1" w14:textId="77777777" w:rsidR="00640E94" w:rsidRDefault="00A068B8">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78EFAE44" w14:textId="77777777" w:rsidR="008F3C7D" w:rsidRDefault="00A068B8" w:rsidP="00D34126">
      <w:pPr>
        <w:pStyle w:val="List"/>
        <w:spacing w:before="120"/>
        <w:ind w:left="0" w:firstLine="720"/>
        <w:jc w:val="both"/>
        <w:rPr>
          <w:rFonts w:ascii="Arial" w:hAnsi="Arial"/>
          <w:b/>
          <w:u w:val="single"/>
        </w:rPr>
      </w:pPr>
      <w:r>
        <w:rPr>
          <w:rFonts w:ascii="Arial" w:hAnsi="Arial"/>
          <w:b/>
          <w:u w:val="single"/>
        </w:rPr>
        <w:t>Nothing to report.</w:t>
      </w:r>
    </w:p>
    <w:p w14:paraId="1DFD687B" w14:textId="77777777" w:rsidR="00203F43" w:rsidRPr="00D34126" w:rsidRDefault="00203F43" w:rsidP="00D34126">
      <w:pPr>
        <w:pStyle w:val="List"/>
        <w:spacing w:before="120"/>
        <w:ind w:left="0" w:firstLine="720"/>
        <w:jc w:val="both"/>
        <w:rPr>
          <w:rFonts w:ascii="Arial" w:hAnsi="Arial"/>
          <w:b/>
          <w:u w:val="single"/>
        </w:rPr>
      </w:pPr>
    </w:p>
    <w:p w14:paraId="1D9E013D" w14:textId="77777777" w:rsidR="00640E94" w:rsidRDefault="00A068B8">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w:t>
      </w:r>
      <w:r w:rsidR="00E7683C">
        <w:rPr>
          <w:rFonts w:ascii="Arial" w:hAnsi="Arial"/>
        </w:rPr>
        <w:t>s of the relationship.</w:t>
      </w:r>
    </w:p>
    <w:p w14:paraId="51A250BC" w14:textId="77777777" w:rsidR="00E7683C" w:rsidRDefault="00A068B8" w:rsidP="00184017">
      <w:pPr>
        <w:pStyle w:val="List"/>
        <w:spacing w:before="120"/>
        <w:ind w:left="1800"/>
        <w:jc w:val="both"/>
        <w:rPr>
          <w:rFonts w:ascii="Arial" w:hAnsi="Arial"/>
          <w:b/>
          <w:u w:val="single"/>
        </w:rPr>
      </w:pPr>
      <w:r w:rsidRPr="009A0345">
        <w:rPr>
          <w:rFonts w:ascii="Arial" w:hAnsi="Arial"/>
          <w:b/>
          <w:u w:val="single"/>
        </w:rPr>
        <w:t xml:space="preserve">Nothing to report. </w:t>
      </w:r>
    </w:p>
    <w:p w14:paraId="5B001263" w14:textId="77777777" w:rsidR="00203F43" w:rsidRPr="009A0345" w:rsidRDefault="00203F43" w:rsidP="00184017">
      <w:pPr>
        <w:pStyle w:val="List"/>
        <w:spacing w:before="120"/>
        <w:ind w:left="1800"/>
        <w:jc w:val="both"/>
        <w:rPr>
          <w:rFonts w:ascii="Arial" w:hAnsi="Arial"/>
          <w:b/>
          <w:u w:val="single"/>
        </w:rPr>
      </w:pPr>
    </w:p>
    <w:p w14:paraId="2CCE54DB" w14:textId="77777777" w:rsidR="00640E94" w:rsidRDefault="00A068B8" w:rsidP="00EB3BEB">
      <w:pPr>
        <w:pStyle w:val="List"/>
        <w:keepNext/>
        <w:numPr>
          <w:ilvl w:val="0"/>
          <w:numId w:val="28"/>
        </w:numPr>
        <w:spacing w:before="120"/>
        <w:jc w:val="both"/>
        <w:rPr>
          <w:rFonts w:ascii="Arial" w:hAnsi="Arial"/>
        </w:rPr>
      </w:pPr>
      <w:r>
        <w:rPr>
          <w:rFonts w:ascii="Arial" w:hAnsi="Arial"/>
        </w:rPr>
        <w:t>Describe the acquisition of new customers or loss of customers.</w:t>
      </w:r>
    </w:p>
    <w:p w14:paraId="029A16D3" w14:textId="77777777" w:rsidR="00E7683C" w:rsidRDefault="00A068B8" w:rsidP="00184017">
      <w:pPr>
        <w:pStyle w:val="List"/>
        <w:spacing w:before="120"/>
        <w:ind w:left="0" w:firstLine="720"/>
        <w:jc w:val="both"/>
        <w:rPr>
          <w:rFonts w:ascii="Arial" w:hAnsi="Arial"/>
          <w:b/>
          <w:u w:val="single"/>
        </w:rPr>
      </w:pPr>
      <w:r w:rsidRPr="009A0345">
        <w:rPr>
          <w:rFonts w:ascii="Arial" w:hAnsi="Arial"/>
          <w:b/>
          <w:u w:val="single"/>
        </w:rPr>
        <w:t>Nothing to report.</w:t>
      </w:r>
    </w:p>
    <w:p w14:paraId="6C6A5825" w14:textId="77777777" w:rsidR="00203F43" w:rsidRPr="009A0345" w:rsidRDefault="00203F43" w:rsidP="00184017">
      <w:pPr>
        <w:pStyle w:val="List"/>
        <w:spacing w:before="120"/>
        <w:ind w:left="0" w:firstLine="720"/>
        <w:jc w:val="both"/>
        <w:rPr>
          <w:rFonts w:ascii="Arial" w:hAnsi="Arial"/>
          <w:b/>
          <w:u w:val="single"/>
        </w:rPr>
      </w:pPr>
    </w:p>
    <w:p w14:paraId="46C465D3" w14:textId="77777777" w:rsidR="00640E94" w:rsidRDefault="00A068B8">
      <w:pPr>
        <w:pStyle w:val="List"/>
        <w:numPr>
          <w:ilvl w:val="0"/>
          <w:numId w:val="28"/>
        </w:numPr>
        <w:spacing w:before="120"/>
        <w:jc w:val="both"/>
        <w:rPr>
          <w:rFonts w:ascii="Arial" w:hAnsi="Arial"/>
        </w:rPr>
      </w:pPr>
      <w:r>
        <w:rPr>
          <w:rFonts w:ascii="Arial" w:hAnsi="Arial"/>
        </w:rPr>
        <w:lastRenderedPageBreak/>
        <w:t>Describe any new developments or effects on intangible products such as brand names, circulation lists, copyrights, franchises, licenses, patents, software, subscription lists and trade-marks.</w:t>
      </w:r>
    </w:p>
    <w:p w14:paraId="77832D16" w14:textId="77777777" w:rsidR="00E7683C" w:rsidRDefault="00A068B8" w:rsidP="00184017">
      <w:pPr>
        <w:pStyle w:val="List"/>
        <w:spacing w:before="120"/>
        <w:ind w:left="720" w:firstLine="0"/>
        <w:jc w:val="both"/>
        <w:rPr>
          <w:rFonts w:ascii="Arial" w:hAnsi="Arial"/>
          <w:b/>
          <w:u w:val="single"/>
        </w:rPr>
      </w:pPr>
      <w:r w:rsidRPr="009A0345">
        <w:rPr>
          <w:rFonts w:ascii="Arial" w:hAnsi="Arial"/>
          <w:b/>
          <w:u w:val="single"/>
        </w:rPr>
        <w:t xml:space="preserve">Nothing to report. </w:t>
      </w:r>
    </w:p>
    <w:p w14:paraId="7E65923C" w14:textId="77777777" w:rsidR="00203F43" w:rsidRPr="009A0345" w:rsidRDefault="00203F43" w:rsidP="00184017">
      <w:pPr>
        <w:pStyle w:val="List"/>
        <w:spacing w:before="120"/>
        <w:ind w:left="720" w:firstLine="0"/>
        <w:jc w:val="both"/>
        <w:rPr>
          <w:rFonts w:ascii="Arial" w:hAnsi="Arial"/>
          <w:b/>
          <w:u w:val="single"/>
        </w:rPr>
      </w:pPr>
    </w:p>
    <w:p w14:paraId="19A801B5" w14:textId="77777777" w:rsidR="00640E94" w:rsidRDefault="00A068B8">
      <w:pPr>
        <w:pStyle w:val="List"/>
        <w:numPr>
          <w:ilvl w:val="0"/>
          <w:numId w:val="28"/>
        </w:numPr>
        <w:spacing w:before="120"/>
        <w:jc w:val="both"/>
        <w:rPr>
          <w:rFonts w:ascii="Arial" w:hAnsi="Arial"/>
        </w:rPr>
      </w:pPr>
      <w:r>
        <w:rPr>
          <w:rFonts w:ascii="Arial" w:hAnsi="Arial"/>
        </w:rPr>
        <w:t xml:space="preserve">Report on any employee </w:t>
      </w:r>
      <w:proofErr w:type="spellStart"/>
      <w:r>
        <w:rPr>
          <w:rFonts w:ascii="Arial" w:hAnsi="Arial"/>
        </w:rPr>
        <w:t>hirings</w:t>
      </w:r>
      <w:proofErr w:type="spellEnd"/>
      <w:r>
        <w:rPr>
          <w:rFonts w:ascii="Arial" w:hAnsi="Arial"/>
        </w:rPr>
        <w:t>, terminations or lay-offs with details of anticipated length of lay-offs.</w:t>
      </w:r>
    </w:p>
    <w:p w14:paraId="5D56449C" w14:textId="77777777" w:rsidR="00E7683C" w:rsidRDefault="00A068B8" w:rsidP="006540FE">
      <w:pPr>
        <w:pStyle w:val="List"/>
        <w:spacing w:before="120"/>
        <w:ind w:left="0" w:firstLine="720"/>
        <w:jc w:val="both"/>
        <w:rPr>
          <w:rFonts w:ascii="Arial" w:hAnsi="Arial"/>
          <w:b/>
          <w:u w:val="single"/>
        </w:rPr>
      </w:pPr>
      <w:r w:rsidRPr="00184017">
        <w:rPr>
          <w:rFonts w:ascii="Arial" w:hAnsi="Arial"/>
          <w:b/>
          <w:u w:val="single"/>
        </w:rPr>
        <w:t>Nothing to report.</w:t>
      </w:r>
    </w:p>
    <w:p w14:paraId="5192F5EE" w14:textId="77777777" w:rsidR="00203F43" w:rsidRPr="00184017" w:rsidRDefault="00203F43" w:rsidP="006540FE">
      <w:pPr>
        <w:pStyle w:val="List"/>
        <w:spacing w:before="120"/>
        <w:ind w:left="0" w:firstLine="720"/>
        <w:jc w:val="both"/>
        <w:rPr>
          <w:rFonts w:ascii="Arial" w:hAnsi="Arial"/>
          <w:b/>
          <w:u w:val="single"/>
        </w:rPr>
      </w:pPr>
    </w:p>
    <w:p w14:paraId="0DF17C76" w14:textId="77777777" w:rsidR="00640E94" w:rsidRDefault="00A068B8">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04407BE9" w14:textId="77777777" w:rsidR="00E7683C" w:rsidRDefault="00A068B8" w:rsidP="006540FE">
      <w:pPr>
        <w:pStyle w:val="List"/>
        <w:spacing w:before="120"/>
        <w:ind w:left="0" w:firstLine="720"/>
        <w:jc w:val="both"/>
        <w:rPr>
          <w:rFonts w:ascii="Arial" w:hAnsi="Arial"/>
          <w:b/>
          <w:u w:val="single"/>
        </w:rPr>
      </w:pPr>
      <w:r w:rsidRPr="00184017">
        <w:rPr>
          <w:rFonts w:ascii="Arial" w:hAnsi="Arial"/>
          <w:b/>
          <w:u w:val="single"/>
        </w:rPr>
        <w:t>Nothing to report.</w:t>
      </w:r>
    </w:p>
    <w:p w14:paraId="38DE403C" w14:textId="77777777" w:rsidR="00203F43" w:rsidRPr="00184017" w:rsidRDefault="00203F43" w:rsidP="006540FE">
      <w:pPr>
        <w:pStyle w:val="List"/>
        <w:spacing w:before="120"/>
        <w:ind w:left="0" w:firstLine="720"/>
        <w:jc w:val="both"/>
        <w:rPr>
          <w:rFonts w:ascii="Arial" w:hAnsi="Arial"/>
          <w:b/>
          <w:u w:val="single"/>
        </w:rPr>
      </w:pPr>
    </w:p>
    <w:p w14:paraId="4153062E" w14:textId="77777777" w:rsidR="00640E94" w:rsidRDefault="00A068B8">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2920D805" w14:textId="77777777" w:rsidR="00E7683C" w:rsidRDefault="00A068B8" w:rsidP="006540FE">
      <w:pPr>
        <w:pStyle w:val="List"/>
        <w:spacing w:before="120"/>
        <w:ind w:hanging="360"/>
        <w:jc w:val="both"/>
        <w:rPr>
          <w:rFonts w:ascii="Arial" w:hAnsi="Arial"/>
          <w:b/>
          <w:u w:val="single"/>
        </w:rPr>
      </w:pPr>
      <w:r w:rsidRPr="00184017">
        <w:rPr>
          <w:rFonts w:ascii="Arial" w:hAnsi="Arial"/>
          <w:b/>
          <w:u w:val="single"/>
        </w:rPr>
        <w:t>Nothing to report.</w:t>
      </w:r>
    </w:p>
    <w:p w14:paraId="6C0C1254" w14:textId="77777777" w:rsidR="00203F43" w:rsidRPr="00184017" w:rsidRDefault="00203F43" w:rsidP="006540FE">
      <w:pPr>
        <w:pStyle w:val="List"/>
        <w:spacing w:before="120"/>
        <w:ind w:hanging="360"/>
        <w:jc w:val="both"/>
        <w:rPr>
          <w:rFonts w:ascii="Arial" w:hAnsi="Arial"/>
          <w:b/>
          <w:u w:val="single"/>
        </w:rPr>
      </w:pPr>
    </w:p>
    <w:p w14:paraId="26280A8B" w14:textId="77777777" w:rsidR="006540FE" w:rsidRDefault="00A068B8" w:rsidP="006540FE">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69292ADE" w14:textId="77777777" w:rsidR="00184017" w:rsidRDefault="00A068B8" w:rsidP="00184017">
      <w:pPr>
        <w:pStyle w:val="List"/>
        <w:spacing w:before="120"/>
        <w:ind w:left="720" w:firstLine="0"/>
        <w:jc w:val="both"/>
        <w:rPr>
          <w:rFonts w:ascii="Arial" w:hAnsi="Arial"/>
          <w:b/>
          <w:u w:val="single"/>
        </w:rPr>
      </w:pPr>
      <w:r>
        <w:rPr>
          <w:rFonts w:ascii="Arial" w:hAnsi="Arial"/>
          <w:b/>
          <w:u w:val="single"/>
        </w:rPr>
        <w:t>Nothing to report.</w:t>
      </w:r>
    </w:p>
    <w:p w14:paraId="6B5E8593" w14:textId="77777777" w:rsidR="00203F43" w:rsidRDefault="00203F43" w:rsidP="00184017">
      <w:pPr>
        <w:pStyle w:val="List"/>
        <w:spacing w:before="120"/>
        <w:ind w:left="720" w:firstLine="0"/>
        <w:jc w:val="both"/>
        <w:rPr>
          <w:rFonts w:ascii="Arial" w:hAnsi="Arial"/>
        </w:rPr>
      </w:pPr>
    </w:p>
    <w:p w14:paraId="24374D11" w14:textId="77777777" w:rsidR="00640E94" w:rsidRDefault="00A068B8">
      <w:pPr>
        <w:pStyle w:val="List"/>
        <w:numPr>
          <w:ilvl w:val="0"/>
          <w:numId w:val="28"/>
        </w:numPr>
        <w:spacing w:before="120"/>
        <w:jc w:val="both"/>
        <w:rPr>
          <w:rFonts w:ascii="Arial" w:hAnsi="Arial"/>
        </w:rPr>
      </w:pPr>
      <w:r>
        <w:rPr>
          <w:rFonts w:ascii="Arial" w:hAnsi="Arial"/>
        </w:rPr>
        <w:t>Provide details of any securities issued and options or warrants granted.</w:t>
      </w:r>
    </w:p>
    <w:p w14:paraId="789457F8" w14:textId="77777777" w:rsidR="00BC58BC" w:rsidRDefault="00BC58BC" w:rsidP="00AF73B0">
      <w:pPr>
        <w:pStyle w:val="List"/>
        <w:spacing w:before="120"/>
        <w:ind w:left="720" w:firstLine="0"/>
        <w:jc w:val="both"/>
        <w:rPr>
          <w:rFonts w:ascii="Arial" w:hAnsi="Arial"/>
          <w:b/>
          <w:u w:val="single"/>
        </w:rPr>
      </w:pPr>
    </w:p>
    <w:tbl>
      <w:tblPr>
        <w:tblpPr w:leftFromText="187" w:rightFromText="187"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2250"/>
        <w:gridCol w:w="2430"/>
        <w:gridCol w:w="3528"/>
      </w:tblGrid>
      <w:tr w:rsidR="006501A8" w14:paraId="65F0B464" w14:textId="77777777" w:rsidTr="00E4205F">
        <w:tc>
          <w:tcPr>
            <w:tcW w:w="1368" w:type="dxa"/>
          </w:tcPr>
          <w:p w14:paraId="6DFFBA47" w14:textId="77777777" w:rsidR="00640E94" w:rsidRDefault="00A068B8" w:rsidP="00E4205F">
            <w:pPr>
              <w:pStyle w:val="List"/>
              <w:tabs>
                <w:tab w:val="left" w:pos="360"/>
              </w:tabs>
              <w:spacing w:before="0" w:line="280" w:lineRule="exact"/>
              <w:ind w:left="0" w:firstLine="0"/>
              <w:jc w:val="center"/>
              <w:rPr>
                <w:rFonts w:ascii="Arial" w:hAnsi="Arial"/>
                <w:b/>
              </w:rPr>
            </w:pPr>
            <w:r>
              <w:rPr>
                <w:rFonts w:ascii="Arial" w:hAnsi="Arial"/>
                <w:b/>
              </w:rPr>
              <w:t>Security</w:t>
            </w:r>
          </w:p>
        </w:tc>
        <w:tc>
          <w:tcPr>
            <w:tcW w:w="2250" w:type="dxa"/>
          </w:tcPr>
          <w:p w14:paraId="069A394C" w14:textId="77777777" w:rsidR="00640E94" w:rsidRDefault="00A068B8" w:rsidP="00E4205F">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430" w:type="dxa"/>
          </w:tcPr>
          <w:p w14:paraId="6594C3B1" w14:textId="77777777" w:rsidR="00640E94" w:rsidRDefault="00A068B8" w:rsidP="00E4205F">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3528" w:type="dxa"/>
          </w:tcPr>
          <w:p w14:paraId="17244827" w14:textId="77777777" w:rsidR="00640E94" w:rsidRDefault="00A068B8" w:rsidP="00E4205F">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6501A8" w14:paraId="54440DD2" w14:textId="77777777" w:rsidTr="00E4205F">
        <w:trPr>
          <w:trHeight w:val="1502"/>
        </w:trPr>
        <w:tc>
          <w:tcPr>
            <w:tcW w:w="1368" w:type="dxa"/>
          </w:tcPr>
          <w:p w14:paraId="5E455152" w14:textId="77777777" w:rsidR="00D25606" w:rsidRDefault="00D25606" w:rsidP="00E4205F">
            <w:pPr>
              <w:pStyle w:val="List"/>
              <w:tabs>
                <w:tab w:val="left" w:pos="180"/>
              </w:tabs>
              <w:spacing w:before="0" w:line="280" w:lineRule="exact"/>
              <w:jc w:val="both"/>
              <w:rPr>
                <w:rFonts w:ascii="Arial" w:hAnsi="Arial"/>
              </w:rPr>
            </w:pPr>
          </w:p>
        </w:tc>
        <w:tc>
          <w:tcPr>
            <w:tcW w:w="2250" w:type="dxa"/>
          </w:tcPr>
          <w:p w14:paraId="244D8D55" w14:textId="77777777" w:rsidR="00535DE1" w:rsidRDefault="00535DE1" w:rsidP="005E67B6">
            <w:pPr>
              <w:pStyle w:val="List"/>
              <w:tabs>
                <w:tab w:val="left" w:pos="162"/>
              </w:tabs>
              <w:spacing w:before="0" w:line="280" w:lineRule="exact"/>
              <w:ind w:left="72" w:firstLine="0"/>
              <w:rPr>
                <w:rFonts w:ascii="Arial" w:hAnsi="Arial"/>
              </w:rPr>
            </w:pPr>
          </w:p>
        </w:tc>
        <w:tc>
          <w:tcPr>
            <w:tcW w:w="2430" w:type="dxa"/>
          </w:tcPr>
          <w:p w14:paraId="4E33C7DA" w14:textId="77777777" w:rsidR="00535DE1" w:rsidRDefault="00535DE1" w:rsidP="005E67B6">
            <w:pPr>
              <w:pStyle w:val="List"/>
              <w:tabs>
                <w:tab w:val="left" w:pos="360"/>
              </w:tabs>
              <w:spacing w:before="0" w:line="280" w:lineRule="exact"/>
              <w:ind w:left="0" w:firstLine="0"/>
              <w:rPr>
                <w:rFonts w:ascii="Arial" w:hAnsi="Arial"/>
              </w:rPr>
            </w:pPr>
          </w:p>
        </w:tc>
        <w:tc>
          <w:tcPr>
            <w:tcW w:w="3528" w:type="dxa"/>
          </w:tcPr>
          <w:p w14:paraId="3386C519" w14:textId="77777777" w:rsidR="00535DE1" w:rsidRDefault="00535DE1" w:rsidP="00711BD8">
            <w:pPr>
              <w:pStyle w:val="List"/>
              <w:tabs>
                <w:tab w:val="left" w:pos="360"/>
              </w:tabs>
              <w:spacing w:before="0" w:line="280" w:lineRule="exact"/>
              <w:ind w:left="0" w:firstLine="0"/>
              <w:rPr>
                <w:rFonts w:ascii="Arial" w:hAnsi="Arial"/>
              </w:rPr>
            </w:pPr>
          </w:p>
        </w:tc>
      </w:tr>
    </w:tbl>
    <w:p w14:paraId="51D324E7" w14:textId="77777777" w:rsidR="00640E94" w:rsidRDefault="00A068B8" w:rsidP="004364F9">
      <w:pPr>
        <w:pStyle w:val="List"/>
        <w:numPr>
          <w:ilvl w:val="0"/>
          <w:numId w:val="29"/>
        </w:numPr>
        <w:tabs>
          <w:tab w:val="left" w:pos="360"/>
        </w:tabs>
        <w:spacing w:before="120"/>
        <w:jc w:val="both"/>
        <w:rPr>
          <w:rFonts w:ascii="Arial" w:hAnsi="Arial"/>
          <w:i/>
        </w:rPr>
      </w:pPr>
      <w:r>
        <w:rPr>
          <w:rFonts w:ascii="Arial" w:hAnsi="Arial"/>
          <w:i/>
        </w:rPr>
        <w:t>State aggregate proceeds and intended allocation of proceeds.</w:t>
      </w:r>
    </w:p>
    <w:p w14:paraId="2C3B962C" w14:textId="77777777" w:rsidR="004364F9" w:rsidRDefault="004364F9" w:rsidP="00AD1C2F">
      <w:pPr>
        <w:pStyle w:val="List"/>
        <w:tabs>
          <w:tab w:val="left" w:pos="360"/>
        </w:tabs>
        <w:spacing w:before="120"/>
        <w:ind w:left="0" w:firstLine="0"/>
        <w:jc w:val="both"/>
        <w:rPr>
          <w:rFonts w:ascii="Arial" w:hAnsi="Arial"/>
          <w:i/>
        </w:rPr>
      </w:pPr>
    </w:p>
    <w:p w14:paraId="04FCF12D" w14:textId="77777777" w:rsidR="00D34126" w:rsidRDefault="00A068B8" w:rsidP="00D34126">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76BD00FE" w14:textId="77777777" w:rsidR="004364F9" w:rsidRPr="004364F9" w:rsidRDefault="00A068B8" w:rsidP="004364F9">
      <w:pPr>
        <w:pStyle w:val="List"/>
        <w:keepNext/>
        <w:keepLines/>
        <w:spacing w:before="120"/>
        <w:ind w:left="720" w:firstLine="0"/>
        <w:jc w:val="both"/>
        <w:rPr>
          <w:rFonts w:ascii="Arial" w:hAnsi="Arial"/>
          <w:b/>
          <w:u w:val="single"/>
        </w:rPr>
      </w:pPr>
      <w:r w:rsidRPr="004364F9">
        <w:rPr>
          <w:rFonts w:ascii="Arial" w:hAnsi="Arial"/>
          <w:b/>
          <w:u w:val="single"/>
        </w:rPr>
        <w:t xml:space="preserve">Nothing to report. </w:t>
      </w:r>
    </w:p>
    <w:p w14:paraId="4BDC1293" w14:textId="77777777" w:rsidR="00D34126" w:rsidRPr="00D34126" w:rsidRDefault="00D34126" w:rsidP="00D34126">
      <w:pPr>
        <w:pStyle w:val="List"/>
        <w:keepNext/>
        <w:keepLines/>
        <w:spacing w:before="120"/>
        <w:ind w:left="720" w:firstLine="0"/>
        <w:jc w:val="both"/>
        <w:rPr>
          <w:rFonts w:ascii="Arial" w:hAnsi="Arial"/>
        </w:rPr>
      </w:pPr>
    </w:p>
    <w:p w14:paraId="54C16672" w14:textId="77777777" w:rsidR="00640E94" w:rsidRDefault="00A068B8">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1A84037A" w14:textId="77777777" w:rsidR="00D34126" w:rsidRPr="004364F9" w:rsidRDefault="00D34126" w:rsidP="00D34126">
      <w:pPr>
        <w:pStyle w:val="ListParagraph"/>
        <w:rPr>
          <w:rFonts w:ascii="Arial" w:hAnsi="Arial"/>
          <w:sz w:val="24"/>
          <w:szCs w:val="24"/>
        </w:rPr>
      </w:pPr>
    </w:p>
    <w:p w14:paraId="55860D8D" w14:textId="77777777" w:rsidR="00D34126" w:rsidRPr="004364F9" w:rsidRDefault="00A068B8" w:rsidP="004364F9">
      <w:pPr>
        <w:pStyle w:val="ListParagraph"/>
        <w:rPr>
          <w:rFonts w:ascii="Arial" w:hAnsi="Arial"/>
          <w:b/>
          <w:u w:val="single"/>
        </w:rPr>
      </w:pPr>
      <w:r>
        <w:rPr>
          <w:rFonts w:ascii="Arial" w:hAnsi="Arial"/>
          <w:b/>
          <w:sz w:val="24"/>
          <w:szCs w:val="24"/>
          <w:u w:val="single"/>
        </w:rPr>
        <w:lastRenderedPageBreak/>
        <w:t>Nothing to report.</w:t>
      </w:r>
    </w:p>
    <w:p w14:paraId="12C2B6D6" w14:textId="77777777" w:rsidR="00D34126" w:rsidRDefault="00D34126" w:rsidP="00D34126">
      <w:pPr>
        <w:pStyle w:val="List"/>
        <w:keepNext/>
        <w:keepLines/>
        <w:spacing w:before="120"/>
        <w:ind w:left="0" w:firstLine="0"/>
        <w:jc w:val="both"/>
        <w:rPr>
          <w:rFonts w:ascii="Arial" w:hAnsi="Arial"/>
        </w:rPr>
      </w:pPr>
    </w:p>
    <w:p w14:paraId="52ECF6B3" w14:textId="77777777" w:rsidR="00640E94" w:rsidRDefault="00A068B8">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67C10B64" w14:textId="77777777" w:rsidR="004364F9" w:rsidRDefault="004364F9" w:rsidP="00D34126">
      <w:pPr>
        <w:pStyle w:val="ListParagraph"/>
        <w:rPr>
          <w:rFonts w:ascii="Arial" w:hAnsi="Arial"/>
          <w:b/>
          <w:sz w:val="24"/>
          <w:szCs w:val="24"/>
          <w:u w:val="single"/>
        </w:rPr>
      </w:pPr>
    </w:p>
    <w:p w14:paraId="73DED76A" w14:textId="77777777" w:rsidR="00D34126" w:rsidRPr="00D34126" w:rsidRDefault="00A068B8" w:rsidP="00D34126">
      <w:pPr>
        <w:pStyle w:val="ListParagraph"/>
        <w:rPr>
          <w:rFonts w:eastAsia="Arial"/>
          <w:b/>
          <w:i/>
          <w:color w:val="000000"/>
          <w:sz w:val="24"/>
          <w:szCs w:val="24"/>
          <w:u w:val="single"/>
        </w:rPr>
      </w:pPr>
      <w:r w:rsidRPr="00D34126">
        <w:rPr>
          <w:rFonts w:ascii="Arial" w:hAnsi="Arial"/>
          <w:b/>
          <w:sz w:val="24"/>
          <w:szCs w:val="24"/>
          <w:u w:val="single"/>
        </w:rPr>
        <w:t xml:space="preserve">Future legislative and regulatory developments in the medical and recreational marijuana sector are likely to impact the Issuer’s corporate strategies. </w:t>
      </w:r>
    </w:p>
    <w:p w14:paraId="46FAE06A" w14:textId="77777777" w:rsidR="003D4F5A" w:rsidRPr="003D4F5A" w:rsidRDefault="003D4F5A" w:rsidP="00D34126">
      <w:pPr>
        <w:pStyle w:val="List"/>
        <w:keepNext/>
        <w:spacing w:before="120"/>
        <w:ind w:left="720" w:firstLine="0"/>
        <w:rPr>
          <w:rFonts w:ascii="Arial" w:hAnsi="Arial"/>
          <w:szCs w:val="24"/>
        </w:rPr>
      </w:pPr>
    </w:p>
    <w:p w14:paraId="2180135C" w14:textId="77777777" w:rsidR="00640E94" w:rsidRDefault="00A068B8" w:rsidP="00D34126">
      <w:pPr>
        <w:pStyle w:val="List"/>
        <w:keepNext/>
        <w:spacing w:before="120"/>
        <w:ind w:left="720" w:firstLine="0"/>
        <w:rPr>
          <w:rFonts w:ascii="Arial" w:hAnsi="Arial"/>
          <w:b/>
        </w:rPr>
      </w:pPr>
      <w:r>
        <w:rPr>
          <w:rFonts w:ascii="Arial" w:hAnsi="Arial"/>
          <w:b/>
        </w:rPr>
        <w:t xml:space="preserve">Certificate </w:t>
      </w:r>
      <w:proofErr w:type="gramStart"/>
      <w:r>
        <w:rPr>
          <w:rFonts w:ascii="Arial" w:hAnsi="Arial"/>
          <w:b/>
        </w:rPr>
        <w:t>Of</w:t>
      </w:r>
      <w:proofErr w:type="gramEnd"/>
      <w:r>
        <w:rPr>
          <w:rFonts w:ascii="Arial" w:hAnsi="Arial"/>
          <w:b/>
        </w:rPr>
        <w:t xml:space="preserve"> Compliance</w:t>
      </w:r>
    </w:p>
    <w:p w14:paraId="49736386" w14:textId="77777777" w:rsidR="00640E94" w:rsidRDefault="00A068B8">
      <w:pPr>
        <w:pStyle w:val="BodyText"/>
        <w:keepNext/>
        <w:rPr>
          <w:rFonts w:ascii="Arial" w:hAnsi="Arial"/>
        </w:rPr>
      </w:pPr>
      <w:r>
        <w:rPr>
          <w:rFonts w:ascii="Arial" w:hAnsi="Arial"/>
        </w:rPr>
        <w:t>The undersigned hereby certifies that:</w:t>
      </w:r>
    </w:p>
    <w:p w14:paraId="6ABDE0DF" w14:textId="77777777" w:rsidR="00640E94" w:rsidRDefault="00A068B8">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1168B902" w14:textId="77777777" w:rsidR="00640E94" w:rsidRDefault="00A068B8">
      <w:pPr>
        <w:pStyle w:val="List"/>
        <w:numPr>
          <w:ilvl w:val="0"/>
          <w:numId w:val="23"/>
        </w:numPr>
        <w:jc w:val="both"/>
        <w:rPr>
          <w:rFonts w:ascii="Arial" w:hAnsi="Arial"/>
        </w:rPr>
      </w:pPr>
      <w:r>
        <w:rPr>
          <w:rFonts w:ascii="Arial" w:hAnsi="Arial"/>
        </w:rPr>
        <w:t xml:space="preserve">As of the date hereof there </w:t>
      </w:r>
      <w:proofErr w:type="gramStart"/>
      <w:r>
        <w:rPr>
          <w:rFonts w:ascii="Arial" w:hAnsi="Arial"/>
        </w:rPr>
        <w:t>were</w:t>
      </w:r>
      <w:proofErr w:type="gramEnd"/>
      <w:r>
        <w:rPr>
          <w:rFonts w:ascii="Arial" w:hAnsi="Arial"/>
        </w:rPr>
        <w:t xml:space="preserve"> is no material information concerning the Issuer which has not been publicly disclosed.</w:t>
      </w:r>
    </w:p>
    <w:p w14:paraId="798E4E13" w14:textId="77777777" w:rsidR="00640E94" w:rsidRDefault="00A068B8">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w:t>
      </w:r>
      <w:proofErr w:type="gramStart"/>
      <w:r>
        <w:rPr>
          <w:rFonts w:ascii="Arial" w:hAnsi="Arial"/>
        </w:rPr>
        <w:t>is in compliance with</w:t>
      </w:r>
      <w:proofErr w:type="gramEnd"/>
      <w:r>
        <w:rPr>
          <w:rFonts w:ascii="Arial" w:hAnsi="Arial"/>
        </w:rPr>
        <w:t xml:space="preserve">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635632A0" w14:textId="77777777" w:rsidR="00BC58BC" w:rsidRDefault="00A068B8">
      <w:pPr>
        <w:pStyle w:val="List"/>
        <w:numPr>
          <w:ilvl w:val="0"/>
          <w:numId w:val="23"/>
        </w:numPr>
        <w:jc w:val="both"/>
        <w:rPr>
          <w:rFonts w:ascii="Arial" w:hAnsi="Arial"/>
        </w:rPr>
      </w:pPr>
      <w:proofErr w:type="gramStart"/>
      <w:r>
        <w:rPr>
          <w:rFonts w:ascii="Arial" w:hAnsi="Arial"/>
        </w:rPr>
        <w:t>All of</w:t>
      </w:r>
      <w:proofErr w:type="gramEnd"/>
      <w:r>
        <w:rPr>
          <w:rFonts w:ascii="Arial" w:hAnsi="Arial"/>
        </w:rPr>
        <w:t xml:space="preserve"> the information in this Form 7 Monthly Progress Report is true.</w:t>
      </w:r>
    </w:p>
    <w:p w14:paraId="7CE10A8C" w14:textId="77777777" w:rsidR="00BC58BC" w:rsidRDefault="00A068B8">
      <w:pPr>
        <w:rPr>
          <w:rFonts w:ascii="Arial" w:hAnsi="Arial"/>
          <w:sz w:val="24"/>
          <w:lang w:val="en-GB"/>
        </w:rPr>
      </w:pPr>
      <w:r>
        <w:rPr>
          <w:rFonts w:ascii="Arial" w:hAnsi="Arial"/>
        </w:rPr>
        <w:br w:type="page"/>
      </w:r>
    </w:p>
    <w:p w14:paraId="605EA8AD" w14:textId="77777777" w:rsidR="00640E94" w:rsidRDefault="00A068B8">
      <w:pPr>
        <w:pStyle w:val="BodyText"/>
        <w:tabs>
          <w:tab w:val="left" w:pos="4680"/>
          <w:tab w:val="left" w:pos="7200"/>
        </w:tabs>
        <w:spacing w:before="480"/>
        <w:jc w:val="both"/>
        <w:rPr>
          <w:rFonts w:ascii="Arial" w:hAnsi="Arial"/>
        </w:rPr>
      </w:pPr>
      <w:r>
        <w:rPr>
          <w:rFonts w:ascii="Arial" w:hAnsi="Arial"/>
        </w:rPr>
        <w:lastRenderedPageBreak/>
        <w:t xml:space="preserve">Dated </w:t>
      </w:r>
      <w:r w:rsidR="00544691">
        <w:rPr>
          <w:rFonts w:ascii="Arial" w:hAnsi="Arial"/>
          <w:u w:val="single"/>
        </w:rPr>
        <w:t>May 15</w:t>
      </w:r>
      <w:r w:rsidR="00AC6EE4">
        <w:rPr>
          <w:rFonts w:ascii="Arial" w:hAnsi="Arial"/>
          <w:u w:val="single"/>
        </w:rPr>
        <w:t>, 201</w:t>
      </w:r>
      <w:r w:rsidR="006F41C5">
        <w:rPr>
          <w:rFonts w:ascii="Arial" w:hAnsi="Arial"/>
          <w:u w:val="single"/>
        </w:rPr>
        <w:t>9</w:t>
      </w:r>
      <w:r w:rsidR="00AC6EE4">
        <w:rPr>
          <w:rFonts w:ascii="Arial" w:hAnsi="Arial"/>
          <w:u w:val="single"/>
        </w:rPr>
        <w:t>.</w:t>
      </w:r>
    </w:p>
    <w:p w14:paraId="2A79CC97" w14:textId="77777777" w:rsidR="00640E94" w:rsidRDefault="00A068B8" w:rsidP="001B1A6A">
      <w:pPr>
        <w:pStyle w:val="List"/>
        <w:tabs>
          <w:tab w:val="left" w:pos="9180"/>
        </w:tabs>
        <w:ind w:left="5040" w:hanging="5040"/>
        <w:rPr>
          <w:rFonts w:ascii="Arial" w:hAnsi="Arial"/>
        </w:rPr>
      </w:pPr>
      <w:r>
        <w:rPr>
          <w:rFonts w:ascii="Arial" w:hAnsi="Arial"/>
        </w:rPr>
        <w:tab/>
      </w:r>
      <w:r w:rsidR="002F727F">
        <w:rPr>
          <w:rFonts w:ascii="Arial" w:hAnsi="Arial"/>
          <w:u w:val="single"/>
        </w:rPr>
        <w:t>Dave Cheadle</w:t>
      </w:r>
      <w:r>
        <w:rPr>
          <w:rFonts w:ascii="Arial" w:hAnsi="Arial"/>
          <w:u w:val="single"/>
        </w:rPr>
        <w:tab/>
      </w:r>
      <w:r>
        <w:rPr>
          <w:rFonts w:ascii="Arial" w:hAnsi="Arial"/>
          <w:u w:val="single"/>
        </w:rPr>
        <w:br/>
      </w:r>
      <w:r>
        <w:rPr>
          <w:rFonts w:ascii="Arial" w:hAnsi="Arial"/>
        </w:rPr>
        <w:t>Name of Director or Senior Officer</w:t>
      </w:r>
    </w:p>
    <w:p w14:paraId="1DAA8B3C" w14:textId="004432C7" w:rsidR="00640E94" w:rsidRDefault="00A068B8" w:rsidP="001B1A6A">
      <w:pPr>
        <w:pStyle w:val="List"/>
        <w:tabs>
          <w:tab w:val="left" w:pos="9180"/>
          <w:tab w:val="left" w:pos="9360"/>
        </w:tabs>
        <w:ind w:left="5040" w:hanging="5040"/>
        <w:rPr>
          <w:rFonts w:ascii="Arial" w:hAnsi="Arial"/>
        </w:rPr>
      </w:pPr>
      <w:r>
        <w:rPr>
          <w:rFonts w:ascii="Arial" w:hAnsi="Arial"/>
        </w:rPr>
        <w:tab/>
      </w:r>
      <w:r w:rsidR="00131E8F" w:rsidRPr="00131E8F">
        <w:rPr>
          <w:rFonts w:ascii="Arial" w:hAnsi="Arial"/>
          <w:u w:val="single"/>
        </w:rPr>
        <w:t>(signed) “</w:t>
      </w:r>
      <w:r w:rsidR="00131E8F" w:rsidRPr="00131E8F">
        <w:rPr>
          <w:rFonts w:ascii="Arial" w:hAnsi="Arial"/>
          <w:i/>
          <w:u w:val="single"/>
        </w:rPr>
        <w:t>Dave Cheadle</w:t>
      </w:r>
      <w:r w:rsidR="00131E8F" w:rsidRPr="00131E8F">
        <w:rPr>
          <w:rFonts w:ascii="Arial" w:hAnsi="Arial"/>
          <w:u w:val="single"/>
        </w:rPr>
        <w:t>”</w:t>
      </w:r>
      <w:r w:rsidR="00913505">
        <w:rPr>
          <w:rFonts w:ascii="Arial" w:hAnsi="Arial"/>
          <w:u w:val="single"/>
        </w:rPr>
        <w:tab/>
      </w:r>
      <w:r>
        <w:rPr>
          <w:rFonts w:ascii="Arial" w:hAnsi="Arial"/>
        </w:rPr>
        <w:br/>
        <w:t>Signature</w:t>
      </w:r>
    </w:p>
    <w:p w14:paraId="32AC3020" w14:textId="77777777" w:rsidR="001B1A6A" w:rsidRDefault="001B1A6A" w:rsidP="001B1A6A">
      <w:pPr>
        <w:pStyle w:val="List"/>
        <w:tabs>
          <w:tab w:val="left" w:pos="9180"/>
          <w:tab w:val="left" w:pos="9360"/>
        </w:tabs>
        <w:ind w:left="5040" w:hanging="5040"/>
        <w:rPr>
          <w:rFonts w:ascii="Arial" w:hAnsi="Arial"/>
        </w:rPr>
      </w:pPr>
    </w:p>
    <w:p w14:paraId="12BEFF5D" w14:textId="77777777" w:rsidR="00640E94" w:rsidRDefault="00A068B8" w:rsidP="001B1A6A">
      <w:pPr>
        <w:pStyle w:val="BodyText"/>
        <w:tabs>
          <w:tab w:val="left" w:pos="9180"/>
        </w:tabs>
        <w:spacing w:before="0"/>
        <w:ind w:left="5040" w:hanging="5040"/>
        <w:rPr>
          <w:rFonts w:ascii="Arial" w:hAnsi="Arial"/>
        </w:rPr>
      </w:pPr>
      <w:r w:rsidRPr="001B1A6A">
        <w:rPr>
          <w:rFonts w:ascii="Arial" w:hAnsi="Arial"/>
        </w:rPr>
        <w:tab/>
      </w:r>
      <w:r>
        <w:rPr>
          <w:rFonts w:ascii="Arial" w:hAnsi="Arial"/>
          <w:u w:val="single"/>
        </w:rPr>
        <w:t xml:space="preserve">Chief </w:t>
      </w:r>
      <w:r w:rsidR="002F727F">
        <w:rPr>
          <w:rFonts w:ascii="Arial" w:hAnsi="Arial"/>
          <w:u w:val="single"/>
        </w:rPr>
        <w:t xml:space="preserve">Financial </w:t>
      </w:r>
      <w:r>
        <w:rPr>
          <w:rFonts w:ascii="Arial" w:hAnsi="Arial"/>
          <w:u w:val="single"/>
        </w:rPr>
        <w:t>Officer</w:t>
      </w:r>
      <w:r>
        <w:rPr>
          <w:rFonts w:ascii="Arial" w:hAnsi="Arial"/>
          <w:u w:val="single"/>
        </w:rPr>
        <w:tab/>
      </w:r>
      <w:r>
        <w:rPr>
          <w:rFonts w:ascii="Arial" w:hAnsi="Arial"/>
        </w:rPr>
        <w:br/>
        <w:t>Official Capacity</w:t>
      </w:r>
      <w:bookmarkEnd w:id="4"/>
    </w:p>
    <w:p w14:paraId="44574E0E" w14:textId="77777777"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3888"/>
        <w:gridCol w:w="990"/>
        <w:gridCol w:w="1800"/>
        <w:gridCol w:w="2898"/>
      </w:tblGrid>
      <w:tr w:rsidR="006501A8" w14:paraId="18781D3E" w14:textId="77777777">
        <w:tc>
          <w:tcPr>
            <w:tcW w:w="4878" w:type="dxa"/>
            <w:gridSpan w:val="2"/>
            <w:tcBorders>
              <w:top w:val="single" w:sz="18" w:space="0" w:color="auto"/>
              <w:bottom w:val="nil"/>
              <w:right w:val="single" w:sz="18" w:space="0" w:color="auto"/>
            </w:tcBorders>
          </w:tcPr>
          <w:p w14:paraId="645A3C8F" w14:textId="77777777" w:rsidR="00640E94" w:rsidRDefault="00A068B8">
            <w:pPr>
              <w:pStyle w:val="BodyText"/>
              <w:spacing w:before="0"/>
              <w:rPr>
                <w:rFonts w:ascii="Arial" w:hAnsi="Arial"/>
                <w:b/>
                <w:i/>
              </w:rPr>
            </w:pPr>
            <w:r>
              <w:rPr>
                <w:rFonts w:ascii="Arial" w:hAnsi="Arial"/>
                <w:b/>
                <w:i/>
              </w:rPr>
              <w:t>Issuer Details</w:t>
            </w:r>
          </w:p>
          <w:p w14:paraId="74D2331B" w14:textId="77777777" w:rsidR="00640E94" w:rsidRDefault="00A068B8">
            <w:pPr>
              <w:pStyle w:val="BodyText"/>
              <w:spacing w:before="0"/>
              <w:rPr>
                <w:rFonts w:ascii="Arial" w:hAnsi="Arial"/>
              </w:rPr>
            </w:pPr>
            <w:r>
              <w:rPr>
                <w:rFonts w:ascii="Arial" w:hAnsi="Arial"/>
              </w:rPr>
              <w:t>Name of Issuer</w:t>
            </w:r>
          </w:p>
          <w:p w14:paraId="3EFF87FF" w14:textId="77777777" w:rsidR="00640E94" w:rsidRPr="001B1A6A" w:rsidRDefault="00A068B8" w:rsidP="001B1A6A">
            <w:pPr>
              <w:pStyle w:val="BodyText"/>
              <w:spacing w:before="0"/>
              <w:rPr>
                <w:rFonts w:ascii="Arial" w:hAnsi="Arial"/>
              </w:rPr>
            </w:pPr>
            <w:r w:rsidRPr="001B1A6A">
              <w:rPr>
                <w:rFonts w:ascii="Arial" w:hAnsi="Arial"/>
              </w:rPr>
              <w:t>Target Capital Inc.</w:t>
            </w:r>
          </w:p>
        </w:tc>
        <w:tc>
          <w:tcPr>
            <w:tcW w:w="1800" w:type="dxa"/>
            <w:tcBorders>
              <w:top w:val="single" w:sz="18" w:space="0" w:color="auto"/>
              <w:left w:val="single" w:sz="18" w:space="0" w:color="auto"/>
              <w:bottom w:val="nil"/>
              <w:right w:val="single" w:sz="18" w:space="0" w:color="auto"/>
            </w:tcBorders>
          </w:tcPr>
          <w:p w14:paraId="6C111EC5" w14:textId="77777777" w:rsidR="00640E94" w:rsidRDefault="00A068B8">
            <w:pPr>
              <w:pStyle w:val="BodyText"/>
              <w:spacing w:before="0"/>
              <w:rPr>
                <w:rFonts w:ascii="Arial" w:hAnsi="Arial"/>
              </w:rPr>
            </w:pPr>
            <w:r>
              <w:rPr>
                <w:rFonts w:ascii="Arial" w:hAnsi="Arial"/>
              </w:rPr>
              <w:t>For  Month End</w:t>
            </w:r>
          </w:p>
          <w:p w14:paraId="67D6634D" w14:textId="77777777" w:rsidR="001B1A6A" w:rsidRDefault="00A068B8" w:rsidP="00AD1C2F">
            <w:pPr>
              <w:pStyle w:val="BodyText"/>
              <w:spacing w:before="0"/>
              <w:rPr>
                <w:rFonts w:ascii="Arial" w:hAnsi="Arial"/>
              </w:rPr>
            </w:pPr>
            <w:r>
              <w:rPr>
                <w:rFonts w:ascii="Arial" w:hAnsi="Arial"/>
              </w:rPr>
              <w:t xml:space="preserve">April </w:t>
            </w:r>
            <w:r w:rsidR="00D577F4">
              <w:rPr>
                <w:rFonts w:ascii="Arial" w:hAnsi="Arial"/>
              </w:rPr>
              <w:t>2019</w:t>
            </w:r>
          </w:p>
        </w:tc>
        <w:tc>
          <w:tcPr>
            <w:tcW w:w="2898" w:type="dxa"/>
            <w:tcBorders>
              <w:top w:val="single" w:sz="18" w:space="0" w:color="auto"/>
              <w:left w:val="single" w:sz="18" w:space="0" w:color="auto"/>
              <w:bottom w:val="nil"/>
            </w:tcBorders>
          </w:tcPr>
          <w:p w14:paraId="26AC6501" w14:textId="77777777" w:rsidR="00640E94" w:rsidRDefault="00A068B8">
            <w:pPr>
              <w:pStyle w:val="BodyText"/>
              <w:spacing w:before="0"/>
              <w:rPr>
                <w:rFonts w:ascii="Arial" w:hAnsi="Arial"/>
              </w:rPr>
            </w:pPr>
            <w:r>
              <w:rPr>
                <w:rFonts w:ascii="Arial" w:hAnsi="Arial"/>
              </w:rPr>
              <w:t>Date of Report</w:t>
            </w:r>
          </w:p>
          <w:p w14:paraId="3EAB9DA5" w14:textId="77777777" w:rsidR="00640E94" w:rsidRDefault="00A068B8">
            <w:pPr>
              <w:pStyle w:val="BodyText"/>
              <w:spacing w:before="0"/>
              <w:rPr>
                <w:rFonts w:ascii="Arial" w:hAnsi="Arial"/>
              </w:rPr>
            </w:pPr>
            <w:r>
              <w:rPr>
                <w:rFonts w:ascii="Arial" w:hAnsi="Arial"/>
              </w:rPr>
              <w:t>YY/MM/D</w:t>
            </w:r>
          </w:p>
          <w:p w14:paraId="58CBAB51" w14:textId="77777777" w:rsidR="001B1A6A" w:rsidRPr="00393852" w:rsidRDefault="00A068B8" w:rsidP="00171A5C">
            <w:pPr>
              <w:pStyle w:val="BodyText"/>
              <w:spacing w:before="0"/>
              <w:rPr>
                <w:rFonts w:ascii="Arial" w:hAnsi="Arial" w:cs="Arial"/>
              </w:rPr>
            </w:pPr>
            <w:r w:rsidRPr="00393852">
              <w:rPr>
                <w:rFonts w:ascii="Arial" w:hAnsi="Arial" w:cs="Arial"/>
              </w:rPr>
              <w:t>1</w:t>
            </w:r>
            <w:r w:rsidR="006F41C5">
              <w:rPr>
                <w:rFonts w:ascii="Arial" w:hAnsi="Arial" w:cs="Arial"/>
              </w:rPr>
              <w:t>9</w:t>
            </w:r>
            <w:r w:rsidRPr="00393852">
              <w:rPr>
                <w:rFonts w:ascii="Arial" w:hAnsi="Arial" w:cs="Arial"/>
              </w:rPr>
              <w:t>/</w:t>
            </w:r>
            <w:r w:rsidR="006F41C5">
              <w:rPr>
                <w:rFonts w:ascii="Arial" w:hAnsi="Arial" w:cs="Arial"/>
              </w:rPr>
              <w:t>0</w:t>
            </w:r>
            <w:r>
              <w:rPr>
                <w:rFonts w:ascii="Arial" w:hAnsi="Arial" w:cs="Arial"/>
              </w:rPr>
              <w:t>5</w:t>
            </w:r>
            <w:r w:rsidR="00F94431" w:rsidRPr="00393852">
              <w:rPr>
                <w:rFonts w:ascii="Arial" w:hAnsi="Arial" w:cs="Arial"/>
              </w:rPr>
              <w:t>/</w:t>
            </w:r>
            <w:r>
              <w:rPr>
                <w:rFonts w:ascii="Arial" w:hAnsi="Arial" w:cs="Arial"/>
              </w:rPr>
              <w:t>15</w:t>
            </w:r>
          </w:p>
        </w:tc>
      </w:tr>
      <w:tr w:rsidR="006501A8" w14:paraId="4D86FB90" w14:textId="77777777">
        <w:trPr>
          <w:cantSplit/>
        </w:trPr>
        <w:tc>
          <w:tcPr>
            <w:tcW w:w="9576" w:type="dxa"/>
            <w:gridSpan w:val="4"/>
            <w:tcBorders>
              <w:top w:val="single" w:sz="18" w:space="0" w:color="auto"/>
              <w:bottom w:val="single" w:sz="18" w:space="0" w:color="auto"/>
            </w:tcBorders>
          </w:tcPr>
          <w:p w14:paraId="53068CB1" w14:textId="77777777" w:rsidR="00640E94" w:rsidRDefault="00A068B8">
            <w:pPr>
              <w:pStyle w:val="BodyText"/>
              <w:spacing w:before="0"/>
              <w:rPr>
                <w:rFonts w:ascii="Arial" w:hAnsi="Arial"/>
              </w:rPr>
            </w:pPr>
            <w:r>
              <w:rPr>
                <w:rFonts w:ascii="Arial" w:hAnsi="Arial"/>
              </w:rPr>
              <w:t>Issuer Address</w:t>
            </w:r>
          </w:p>
          <w:p w14:paraId="3D5052D8" w14:textId="77777777" w:rsidR="00640E94" w:rsidRDefault="00A068B8" w:rsidP="007F0536">
            <w:pPr>
              <w:pStyle w:val="BodyText"/>
              <w:spacing w:before="0"/>
              <w:rPr>
                <w:rFonts w:ascii="Arial" w:hAnsi="Arial"/>
              </w:rPr>
            </w:pPr>
            <w:r>
              <w:rPr>
                <w:rFonts w:ascii="Arial" w:hAnsi="Arial"/>
              </w:rPr>
              <w:t xml:space="preserve">Suite </w:t>
            </w:r>
            <w:r w:rsidR="007F0536">
              <w:rPr>
                <w:rFonts w:ascii="Arial" w:hAnsi="Arial"/>
              </w:rPr>
              <w:t>4</w:t>
            </w:r>
            <w:r>
              <w:rPr>
                <w:rFonts w:ascii="Arial" w:hAnsi="Arial"/>
              </w:rPr>
              <w:t>30</w:t>
            </w:r>
            <w:r w:rsidR="007F0536">
              <w:rPr>
                <w:rFonts w:ascii="Arial" w:hAnsi="Arial"/>
              </w:rPr>
              <w:t>0</w:t>
            </w:r>
            <w:r>
              <w:rPr>
                <w:rFonts w:ascii="Arial" w:hAnsi="Arial"/>
              </w:rPr>
              <w:t xml:space="preserve">, </w:t>
            </w:r>
            <w:r w:rsidRPr="00A068B8">
              <w:rPr>
                <w:rFonts w:ascii="Arial" w:hAnsi="Arial"/>
              </w:rPr>
              <w:t>888 3rd</w:t>
            </w:r>
            <w:r w:rsidR="007F0536">
              <w:rPr>
                <w:rFonts w:ascii="Arial" w:hAnsi="Arial"/>
              </w:rPr>
              <w:t xml:space="preserve"> </w:t>
            </w:r>
            <w:r>
              <w:rPr>
                <w:rFonts w:ascii="Arial" w:hAnsi="Arial"/>
              </w:rPr>
              <w:t xml:space="preserve">Street SW </w:t>
            </w:r>
          </w:p>
        </w:tc>
      </w:tr>
      <w:tr w:rsidR="006501A8" w14:paraId="4AB6F3E2" w14:textId="77777777" w:rsidTr="00EA2440">
        <w:tc>
          <w:tcPr>
            <w:tcW w:w="3888" w:type="dxa"/>
            <w:tcBorders>
              <w:top w:val="single" w:sz="18" w:space="0" w:color="auto"/>
              <w:bottom w:val="single" w:sz="18" w:space="0" w:color="auto"/>
              <w:right w:val="single" w:sz="18" w:space="0" w:color="auto"/>
            </w:tcBorders>
          </w:tcPr>
          <w:p w14:paraId="4E6DAE03" w14:textId="77777777" w:rsidR="00640E94" w:rsidRDefault="00A068B8">
            <w:pPr>
              <w:pStyle w:val="BodyText"/>
              <w:spacing w:before="0"/>
              <w:rPr>
                <w:rFonts w:ascii="Arial" w:hAnsi="Arial"/>
              </w:rPr>
            </w:pPr>
            <w:r>
              <w:rPr>
                <w:rFonts w:ascii="Arial" w:hAnsi="Arial"/>
              </w:rPr>
              <w:t>City/Province/Postal Code</w:t>
            </w:r>
          </w:p>
          <w:p w14:paraId="60B975BD" w14:textId="77777777" w:rsidR="00640E94" w:rsidRDefault="00A068B8" w:rsidP="007F0536">
            <w:pPr>
              <w:pStyle w:val="BodyText"/>
              <w:spacing w:before="0"/>
              <w:rPr>
                <w:rFonts w:ascii="Arial" w:hAnsi="Arial"/>
              </w:rPr>
            </w:pPr>
            <w:r>
              <w:rPr>
                <w:rFonts w:ascii="Arial" w:hAnsi="Arial"/>
              </w:rPr>
              <w:t>Calgary/AB/</w:t>
            </w:r>
            <w:r>
              <w:t xml:space="preserve"> </w:t>
            </w:r>
            <w:r w:rsidRPr="00A068B8">
              <w:rPr>
                <w:rFonts w:ascii="Arial" w:hAnsi="Arial"/>
              </w:rPr>
              <w:t>T2P 5C5</w:t>
            </w:r>
          </w:p>
        </w:tc>
        <w:tc>
          <w:tcPr>
            <w:tcW w:w="2790" w:type="dxa"/>
            <w:gridSpan w:val="2"/>
            <w:tcBorders>
              <w:top w:val="single" w:sz="18" w:space="0" w:color="auto"/>
              <w:left w:val="single" w:sz="18" w:space="0" w:color="auto"/>
              <w:bottom w:val="single" w:sz="18" w:space="0" w:color="auto"/>
              <w:right w:val="single" w:sz="18" w:space="0" w:color="auto"/>
            </w:tcBorders>
          </w:tcPr>
          <w:p w14:paraId="45E6CCE5" w14:textId="77777777" w:rsidR="00640E94" w:rsidRDefault="00A068B8">
            <w:pPr>
              <w:pStyle w:val="BodyText"/>
              <w:spacing w:before="0"/>
              <w:rPr>
                <w:rFonts w:ascii="Arial" w:hAnsi="Arial"/>
              </w:rPr>
            </w:pPr>
            <w:r>
              <w:rPr>
                <w:rFonts w:ascii="Arial" w:hAnsi="Arial"/>
              </w:rPr>
              <w:t>Issuer Fax No.</w:t>
            </w:r>
          </w:p>
          <w:p w14:paraId="424F42FC" w14:textId="77777777" w:rsidR="00640E94" w:rsidRDefault="00A068B8">
            <w:pPr>
              <w:pStyle w:val="BodyText"/>
              <w:spacing w:before="0"/>
              <w:rPr>
                <w:rFonts w:ascii="Arial" w:hAnsi="Arial"/>
              </w:rPr>
            </w:pPr>
            <w:r>
              <w:rPr>
                <w:rFonts w:ascii="Arial" w:hAnsi="Arial"/>
              </w:rPr>
              <w:t>(     )</w:t>
            </w:r>
          </w:p>
        </w:tc>
        <w:tc>
          <w:tcPr>
            <w:tcW w:w="2898" w:type="dxa"/>
            <w:tcBorders>
              <w:top w:val="single" w:sz="18" w:space="0" w:color="auto"/>
              <w:left w:val="single" w:sz="18" w:space="0" w:color="auto"/>
              <w:bottom w:val="single" w:sz="18" w:space="0" w:color="auto"/>
            </w:tcBorders>
          </w:tcPr>
          <w:p w14:paraId="75C9968F" w14:textId="77777777" w:rsidR="00640E94" w:rsidRDefault="00A068B8">
            <w:pPr>
              <w:pStyle w:val="BodyText"/>
              <w:spacing w:before="0"/>
              <w:rPr>
                <w:rFonts w:ascii="Arial" w:hAnsi="Arial"/>
              </w:rPr>
            </w:pPr>
            <w:r>
              <w:rPr>
                <w:rFonts w:ascii="Arial" w:hAnsi="Arial"/>
              </w:rPr>
              <w:t>Issuer Telephone No.</w:t>
            </w:r>
          </w:p>
          <w:p w14:paraId="51A1E40F" w14:textId="77777777" w:rsidR="00640E94" w:rsidRDefault="00A068B8" w:rsidP="00EA2440">
            <w:pPr>
              <w:pStyle w:val="BodyText"/>
              <w:spacing w:before="0"/>
              <w:rPr>
                <w:rFonts w:ascii="Arial" w:hAnsi="Arial"/>
              </w:rPr>
            </w:pPr>
            <w:r>
              <w:rPr>
                <w:rFonts w:ascii="Arial" w:hAnsi="Arial"/>
              </w:rPr>
              <w:t>(403) 351-1779</w:t>
            </w:r>
          </w:p>
        </w:tc>
      </w:tr>
      <w:tr w:rsidR="006501A8" w14:paraId="3A8EEBB6" w14:textId="77777777" w:rsidTr="00EA2440">
        <w:tc>
          <w:tcPr>
            <w:tcW w:w="3888" w:type="dxa"/>
            <w:tcBorders>
              <w:top w:val="single" w:sz="18" w:space="0" w:color="auto"/>
              <w:bottom w:val="single" w:sz="18" w:space="0" w:color="auto"/>
              <w:right w:val="single" w:sz="18" w:space="0" w:color="auto"/>
            </w:tcBorders>
          </w:tcPr>
          <w:p w14:paraId="67B6F62C" w14:textId="77777777" w:rsidR="00640E94" w:rsidRDefault="00A068B8">
            <w:pPr>
              <w:pStyle w:val="BodyText"/>
              <w:spacing w:before="0"/>
              <w:rPr>
                <w:rFonts w:ascii="Arial" w:hAnsi="Arial"/>
              </w:rPr>
            </w:pPr>
            <w:r>
              <w:rPr>
                <w:rFonts w:ascii="Arial" w:hAnsi="Arial"/>
              </w:rPr>
              <w:t>Contact Name</w:t>
            </w:r>
          </w:p>
          <w:p w14:paraId="710EE45A" w14:textId="77777777" w:rsidR="00EA2440" w:rsidRDefault="00A068B8">
            <w:pPr>
              <w:pStyle w:val="BodyText"/>
              <w:spacing w:before="0"/>
              <w:rPr>
                <w:rFonts w:ascii="Arial" w:hAnsi="Arial"/>
              </w:rPr>
            </w:pPr>
            <w:r>
              <w:rPr>
                <w:rFonts w:ascii="Arial" w:hAnsi="Arial"/>
              </w:rPr>
              <w:t>Dave Cheadle</w:t>
            </w:r>
          </w:p>
        </w:tc>
        <w:tc>
          <w:tcPr>
            <w:tcW w:w="2790" w:type="dxa"/>
            <w:gridSpan w:val="2"/>
            <w:tcBorders>
              <w:top w:val="single" w:sz="18" w:space="0" w:color="auto"/>
              <w:left w:val="single" w:sz="18" w:space="0" w:color="auto"/>
              <w:bottom w:val="single" w:sz="18" w:space="0" w:color="auto"/>
              <w:right w:val="single" w:sz="18" w:space="0" w:color="auto"/>
            </w:tcBorders>
          </w:tcPr>
          <w:p w14:paraId="635B3FE3" w14:textId="77777777" w:rsidR="00640E94" w:rsidRDefault="00A068B8">
            <w:pPr>
              <w:pStyle w:val="BodyText"/>
              <w:spacing w:before="0"/>
              <w:rPr>
                <w:rFonts w:ascii="Arial" w:hAnsi="Arial"/>
              </w:rPr>
            </w:pPr>
            <w:r>
              <w:rPr>
                <w:rFonts w:ascii="Arial" w:hAnsi="Arial"/>
              </w:rPr>
              <w:t>Contact Position</w:t>
            </w:r>
          </w:p>
          <w:p w14:paraId="3EAED695" w14:textId="77777777" w:rsidR="001B1A6A" w:rsidRDefault="00A068B8" w:rsidP="002F727F">
            <w:pPr>
              <w:pStyle w:val="BodyText"/>
              <w:spacing w:before="0"/>
              <w:rPr>
                <w:rFonts w:ascii="Arial" w:hAnsi="Arial"/>
              </w:rPr>
            </w:pPr>
            <w:r>
              <w:rPr>
                <w:rFonts w:ascii="Arial" w:hAnsi="Arial"/>
              </w:rPr>
              <w:t xml:space="preserve">Chief </w:t>
            </w:r>
            <w:r w:rsidR="002F727F">
              <w:rPr>
                <w:rFonts w:ascii="Arial" w:hAnsi="Arial"/>
              </w:rPr>
              <w:t xml:space="preserve">Financial </w:t>
            </w:r>
            <w:r>
              <w:rPr>
                <w:rFonts w:ascii="Arial" w:hAnsi="Arial"/>
              </w:rPr>
              <w:t>Officer</w:t>
            </w:r>
          </w:p>
        </w:tc>
        <w:tc>
          <w:tcPr>
            <w:tcW w:w="2898" w:type="dxa"/>
            <w:tcBorders>
              <w:top w:val="single" w:sz="18" w:space="0" w:color="auto"/>
              <w:left w:val="single" w:sz="18" w:space="0" w:color="auto"/>
              <w:bottom w:val="single" w:sz="18" w:space="0" w:color="auto"/>
            </w:tcBorders>
          </w:tcPr>
          <w:p w14:paraId="546AFA47" w14:textId="77777777" w:rsidR="00640E94" w:rsidRDefault="00A068B8">
            <w:pPr>
              <w:pStyle w:val="BodyText"/>
              <w:spacing w:before="0"/>
              <w:rPr>
                <w:rFonts w:ascii="Arial" w:hAnsi="Arial"/>
              </w:rPr>
            </w:pPr>
            <w:r>
              <w:rPr>
                <w:rFonts w:ascii="Arial" w:hAnsi="Arial"/>
              </w:rPr>
              <w:t>Contact Telephone No.</w:t>
            </w:r>
          </w:p>
          <w:p w14:paraId="27106211" w14:textId="77777777" w:rsidR="00032B28" w:rsidRDefault="00A068B8">
            <w:pPr>
              <w:pStyle w:val="BodyText"/>
              <w:spacing w:before="0"/>
              <w:rPr>
                <w:rFonts w:ascii="Arial" w:hAnsi="Arial"/>
              </w:rPr>
            </w:pPr>
            <w:r>
              <w:rPr>
                <w:rFonts w:ascii="Arial" w:hAnsi="Arial"/>
              </w:rPr>
              <w:t>(403) 351-1779</w:t>
            </w:r>
          </w:p>
        </w:tc>
      </w:tr>
      <w:tr w:rsidR="006501A8" w14:paraId="7A39150F" w14:textId="77777777" w:rsidTr="00EA2440">
        <w:trPr>
          <w:cantSplit/>
        </w:trPr>
        <w:tc>
          <w:tcPr>
            <w:tcW w:w="3888" w:type="dxa"/>
            <w:tcBorders>
              <w:top w:val="single" w:sz="18" w:space="0" w:color="auto"/>
              <w:bottom w:val="single" w:sz="18" w:space="0" w:color="auto"/>
              <w:right w:val="single" w:sz="18" w:space="0" w:color="auto"/>
            </w:tcBorders>
          </w:tcPr>
          <w:p w14:paraId="17F56E2D" w14:textId="77777777" w:rsidR="00640E94" w:rsidRDefault="00A068B8">
            <w:pPr>
              <w:pStyle w:val="BodyText"/>
              <w:spacing w:before="0"/>
              <w:rPr>
                <w:rFonts w:ascii="Arial" w:hAnsi="Arial"/>
              </w:rPr>
            </w:pPr>
            <w:r>
              <w:rPr>
                <w:rFonts w:ascii="Arial" w:hAnsi="Arial"/>
              </w:rPr>
              <w:t>Contact Email Address</w:t>
            </w:r>
          </w:p>
          <w:p w14:paraId="3D906BA5" w14:textId="77777777" w:rsidR="00640E94" w:rsidRDefault="00A068B8">
            <w:pPr>
              <w:pStyle w:val="BodyText"/>
              <w:spacing w:before="0"/>
              <w:rPr>
                <w:rFonts w:ascii="Arial" w:hAnsi="Arial"/>
              </w:rPr>
            </w:pPr>
            <w:r>
              <w:rPr>
                <w:rFonts w:ascii="Arial" w:hAnsi="Arial"/>
              </w:rPr>
              <w:t>dave</w:t>
            </w:r>
            <w:r w:rsidR="00EA2440">
              <w:rPr>
                <w:rFonts w:ascii="Arial" w:hAnsi="Arial"/>
              </w:rPr>
              <w:t>@bsmc.ca</w:t>
            </w:r>
          </w:p>
        </w:tc>
        <w:tc>
          <w:tcPr>
            <w:tcW w:w="5688" w:type="dxa"/>
            <w:gridSpan w:val="3"/>
            <w:tcBorders>
              <w:top w:val="single" w:sz="18" w:space="0" w:color="auto"/>
              <w:left w:val="single" w:sz="18" w:space="0" w:color="auto"/>
              <w:bottom w:val="single" w:sz="18" w:space="0" w:color="auto"/>
            </w:tcBorders>
          </w:tcPr>
          <w:p w14:paraId="687E74BA" w14:textId="77777777" w:rsidR="00640E94" w:rsidRDefault="00A068B8">
            <w:pPr>
              <w:pStyle w:val="BodyText"/>
              <w:spacing w:before="0"/>
              <w:rPr>
                <w:rFonts w:ascii="Arial" w:hAnsi="Arial"/>
              </w:rPr>
            </w:pPr>
            <w:r>
              <w:rPr>
                <w:rFonts w:ascii="Arial" w:hAnsi="Arial"/>
              </w:rPr>
              <w:t>Web Site Address</w:t>
            </w:r>
          </w:p>
          <w:p w14:paraId="5650F0F7" w14:textId="77777777" w:rsidR="00640E94" w:rsidRDefault="00A068B8" w:rsidP="0010165C">
            <w:pPr>
              <w:pStyle w:val="BodyText"/>
              <w:spacing w:before="0"/>
              <w:rPr>
                <w:rFonts w:ascii="Arial" w:hAnsi="Arial"/>
              </w:rPr>
            </w:pPr>
            <w:r>
              <w:rPr>
                <w:rFonts w:ascii="Arial" w:hAnsi="Arial"/>
              </w:rPr>
              <w:t>www</w:t>
            </w:r>
            <w:r w:rsidR="0010165C">
              <w:rPr>
                <w:rFonts w:ascii="Arial" w:hAnsi="Arial"/>
              </w:rPr>
              <w:t>.cbi2</w:t>
            </w:r>
            <w:r>
              <w:rPr>
                <w:rFonts w:ascii="Arial" w:hAnsi="Arial"/>
              </w:rPr>
              <w:t>.com</w:t>
            </w:r>
          </w:p>
        </w:tc>
      </w:tr>
    </w:tbl>
    <w:bookmarkStart w:id="6" w:name="xx"/>
    <w:bookmarkStart w:id="7" w:name="docsstamplast"/>
    <w:p w14:paraId="7AE9DEC6" w14:textId="77777777" w:rsidR="002858D0" w:rsidRPr="00F24144" w:rsidRDefault="002858D0" w:rsidP="00AA152F">
      <w:pPr>
        <w:framePr w:w="2948" w:wrap="around" w:vAnchor="page" w:hAnchor="margin" w:yAlign="bottom" w:anchorLock="1"/>
        <w:spacing w:after="360"/>
        <w:rPr>
          <w:rFonts w:ascii="Arial" w:hAnsi="Arial" w:cs="Arial"/>
          <w:sz w:val="12"/>
        </w:rPr>
      </w:pPr>
      <w:r w:rsidRPr="00F24144">
        <w:rPr>
          <w:rFonts w:ascii="Arial" w:hAnsi="Arial" w:cs="Arial"/>
          <w:sz w:val="12"/>
        </w:rPr>
        <w:fldChar w:fldCharType="begin"/>
      </w:r>
      <w:r w:rsidRPr="00F24144">
        <w:rPr>
          <w:rFonts w:ascii="Arial" w:hAnsi="Arial" w:cs="Arial"/>
          <w:sz w:val="12"/>
        </w:rPr>
        <w:instrText xml:space="preserve"> DOCPROPERTY "SEDocID"  \* MERGEFORMAT </w:instrText>
      </w:r>
      <w:r w:rsidRPr="00F24144">
        <w:rPr>
          <w:rFonts w:ascii="Arial" w:hAnsi="Arial" w:cs="Arial"/>
          <w:sz w:val="12"/>
        </w:rPr>
        <w:fldChar w:fldCharType="separate"/>
      </w:r>
      <w:r w:rsidR="00131E8F" w:rsidRPr="00131E8F">
        <w:rPr>
          <w:rFonts w:ascii="Arial" w:hAnsi="Arial" w:cs="Arial"/>
          <w:b/>
          <w:sz w:val="12"/>
        </w:rPr>
        <w:t>109993564 v2</w:t>
      </w:r>
      <w:r w:rsidRPr="00F24144">
        <w:rPr>
          <w:rFonts w:ascii="Arial" w:hAnsi="Arial" w:cs="Arial"/>
          <w:sz w:val="12"/>
        </w:rPr>
        <w:fldChar w:fldCharType="end"/>
      </w:r>
    </w:p>
    <w:bookmarkEnd w:id="6"/>
    <w:bookmarkEnd w:id="7"/>
    <w:p w14:paraId="79145BB8" w14:textId="77777777" w:rsidR="00640E94" w:rsidRDefault="00640E94" w:rsidP="00922A46">
      <w:pPr>
        <w:pStyle w:val="BodyText"/>
      </w:pPr>
    </w:p>
    <w:sectPr w:rsidR="00640E94" w:rsidSect="000A1AB1">
      <w:headerReference w:type="even" r:id="rId8"/>
      <w:headerReference w:type="default" r:id="rId9"/>
      <w:footerReference w:type="even" r:id="rId10"/>
      <w:footerReference w:type="default" r:id="rId11"/>
      <w:headerReference w:type="first" r:id="rId12"/>
      <w:footerReference w:type="first" r:id="rId13"/>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2B8F56" w14:textId="77777777" w:rsidR="00F45A52" w:rsidRDefault="00A068B8">
      <w:r>
        <w:separator/>
      </w:r>
    </w:p>
  </w:endnote>
  <w:endnote w:type="continuationSeparator" w:id="0">
    <w:p w14:paraId="585CD7FD" w14:textId="77777777" w:rsidR="00F45A52" w:rsidRDefault="00A06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altName w:val="Bookman Old Style"/>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BDAA6" w14:textId="77777777" w:rsidR="00131E8F" w:rsidRDefault="00131E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944AE" w14:textId="77777777" w:rsidR="00640E94" w:rsidRDefault="00640E94">
    <w:pPr>
      <w:pStyle w:val="Footer"/>
      <w:tabs>
        <w:tab w:val="clear" w:pos="4320"/>
        <w:tab w:val="clear" w:pos="8640"/>
        <w:tab w:val="center" w:pos="4680"/>
        <w:tab w:val="right" w:pos="9360"/>
      </w:tabs>
      <w:rPr>
        <w:b/>
      </w:rPr>
    </w:pPr>
  </w:p>
  <w:p w14:paraId="241CA1A7" w14:textId="77777777" w:rsidR="00640E94" w:rsidRDefault="00A068B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60288" behindDoc="0" locked="0" layoutInCell="1" allowOverlap="1" wp14:anchorId="3BACD933" wp14:editId="711544FA">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5F0B92" id="Line 7"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Pr>
        <w:rFonts w:ascii="Arial" w:hAnsi="Arial" w:cs="Arial"/>
        <w:b/>
      </w:rPr>
      <w:t>FORM 7 – MONTHLY PROGRESS REPORT</w:t>
    </w:r>
  </w:p>
  <w:p w14:paraId="7972405B" w14:textId="77777777" w:rsidR="00640E94" w:rsidRPr="006D1A06" w:rsidRDefault="00A068B8"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2F1BE835" w14:textId="77777777" w:rsidR="00640E94" w:rsidRPr="006D1A06" w:rsidRDefault="00A068B8"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510D7">
      <w:rPr>
        <w:rStyle w:val="PageNumber"/>
        <w:rFonts w:ascii="Arial" w:hAnsi="Arial" w:cs="Arial"/>
        <w:noProof/>
        <w:sz w:val="16"/>
        <w:szCs w:val="16"/>
      </w:rPr>
      <w:t>5</w:t>
    </w:r>
    <w:r w:rsidRPr="006D1A06">
      <w:rPr>
        <w:rStyle w:val="PageNumbe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CA3F4" w14:textId="77777777" w:rsidR="00640E94" w:rsidRDefault="00640E94">
    <w:pPr>
      <w:pStyle w:val="Footer"/>
      <w:tabs>
        <w:tab w:val="clear" w:pos="4320"/>
        <w:tab w:val="clear" w:pos="8640"/>
        <w:tab w:val="center" w:pos="4680"/>
        <w:tab w:val="right" w:pos="9360"/>
      </w:tabs>
      <w:rPr>
        <w:b/>
      </w:rPr>
    </w:pPr>
  </w:p>
  <w:p w14:paraId="209AA53A" w14:textId="77777777" w:rsidR="00640E94" w:rsidRDefault="00A068B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580427A6" wp14:editId="3271FCD2">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72101B" id="Line 5"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Pr>
        <w:rFonts w:ascii="Arial" w:hAnsi="Arial" w:cs="Arial"/>
        <w:b/>
      </w:rPr>
      <w:t>FORM 7</w:t>
    </w:r>
    <w:r w:rsidR="00635E9A">
      <w:rPr>
        <w:rFonts w:ascii="Arial" w:hAnsi="Arial" w:cs="Arial"/>
        <w:b/>
      </w:rPr>
      <w:t xml:space="preserve"> – MONTHLY PROGRESS REPORT</w:t>
    </w:r>
  </w:p>
  <w:p w14:paraId="67C176E3" w14:textId="77777777" w:rsidR="000A1AB1" w:rsidRPr="00635E9A" w:rsidRDefault="00A068B8"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03FAD3FC" w14:textId="77777777" w:rsidR="00640E94" w:rsidRPr="00635E9A" w:rsidRDefault="00A068B8"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913505">
      <w:rPr>
        <w:rStyle w:val="PageNumber"/>
        <w:rFonts w:ascii="Arial" w:hAnsi="Arial" w:cs="Arial"/>
        <w:noProof/>
        <w:sz w:val="16"/>
        <w:szCs w:val="16"/>
      </w:rPr>
      <w:t>5</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01F584" w14:textId="77777777" w:rsidR="00F45A52" w:rsidRDefault="00A068B8">
      <w:r>
        <w:separator/>
      </w:r>
    </w:p>
  </w:footnote>
  <w:footnote w:type="continuationSeparator" w:id="0">
    <w:p w14:paraId="6E3573EE" w14:textId="77777777" w:rsidR="00F45A52" w:rsidRDefault="00A068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1E235" w14:textId="77777777" w:rsidR="00640E94" w:rsidRDefault="00A068B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13505">
      <w:rPr>
        <w:rStyle w:val="PageNumber"/>
        <w:noProof/>
      </w:rPr>
      <w:t>5</w:t>
    </w:r>
    <w:r>
      <w:rPr>
        <w:rStyle w:val="PageNumber"/>
      </w:rPr>
      <w:fldChar w:fldCharType="end"/>
    </w:r>
  </w:p>
  <w:p w14:paraId="7E0FE3BE"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6B2B0" w14:textId="77777777" w:rsidR="00640E94" w:rsidRDefault="002858D0">
    <w:pPr>
      <w:pStyle w:val="Header"/>
      <w:tabs>
        <w:tab w:val="clear" w:pos="8640"/>
        <w:tab w:val="right" w:pos="7830"/>
      </w:tabs>
      <w:jc w:val="right"/>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9A022" w14:textId="77777777" w:rsidR="00131E8F" w:rsidRDefault="00131E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15:restartNumberingAfterBreak="0">
    <w:nsid w:val="64B96A11"/>
    <w:multiLevelType w:val="hybridMultilevel"/>
    <w:tmpl w:val="CF62923E"/>
    <w:lvl w:ilvl="0" w:tplc="28C8E16E">
      <w:start w:val="1"/>
      <w:numFmt w:val="bullet"/>
      <w:lvlText w:val=""/>
      <w:lvlJc w:val="left"/>
      <w:pPr>
        <w:ind w:left="720" w:hanging="360"/>
      </w:pPr>
      <w:rPr>
        <w:rFonts w:ascii="Symbol" w:hAnsi="Symbol" w:hint="default"/>
      </w:rPr>
    </w:lvl>
    <w:lvl w:ilvl="1" w:tplc="D264EEE0" w:tentative="1">
      <w:start w:val="1"/>
      <w:numFmt w:val="bullet"/>
      <w:lvlText w:val="o"/>
      <w:lvlJc w:val="left"/>
      <w:pPr>
        <w:ind w:left="1440" w:hanging="360"/>
      </w:pPr>
      <w:rPr>
        <w:rFonts w:ascii="Courier New" w:hAnsi="Courier New" w:cs="Courier New" w:hint="default"/>
      </w:rPr>
    </w:lvl>
    <w:lvl w:ilvl="2" w:tplc="CC1E34A0" w:tentative="1">
      <w:start w:val="1"/>
      <w:numFmt w:val="bullet"/>
      <w:lvlText w:val=""/>
      <w:lvlJc w:val="left"/>
      <w:pPr>
        <w:ind w:left="2160" w:hanging="360"/>
      </w:pPr>
      <w:rPr>
        <w:rFonts w:ascii="Wingdings" w:hAnsi="Wingdings" w:hint="default"/>
      </w:rPr>
    </w:lvl>
    <w:lvl w:ilvl="3" w:tplc="4FAAA6A2" w:tentative="1">
      <w:start w:val="1"/>
      <w:numFmt w:val="bullet"/>
      <w:lvlText w:val=""/>
      <w:lvlJc w:val="left"/>
      <w:pPr>
        <w:ind w:left="2880" w:hanging="360"/>
      </w:pPr>
      <w:rPr>
        <w:rFonts w:ascii="Symbol" w:hAnsi="Symbol" w:hint="default"/>
      </w:rPr>
    </w:lvl>
    <w:lvl w:ilvl="4" w:tplc="0B7602D6" w:tentative="1">
      <w:start w:val="1"/>
      <w:numFmt w:val="bullet"/>
      <w:lvlText w:val="o"/>
      <w:lvlJc w:val="left"/>
      <w:pPr>
        <w:ind w:left="3600" w:hanging="360"/>
      </w:pPr>
      <w:rPr>
        <w:rFonts w:ascii="Courier New" w:hAnsi="Courier New" w:cs="Courier New" w:hint="default"/>
      </w:rPr>
    </w:lvl>
    <w:lvl w:ilvl="5" w:tplc="1508455C" w:tentative="1">
      <w:start w:val="1"/>
      <w:numFmt w:val="bullet"/>
      <w:lvlText w:val=""/>
      <w:lvlJc w:val="left"/>
      <w:pPr>
        <w:ind w:left="4320" w:hanging="360"/>
      </w:pPr>
      <w:rPr>
        <w:rFonts w:ascii="Wingdings" w:hAnsi="Wingdings" w:hint="default"/>
      </w:rPr>
    </w:lvl>
    <w:lvl w:ilvl="6" w:tplc="525CF2F8" w:tentative="1">
      <w:start w:val="1"/>
      <w:numFmt w:val="bullet"/>
      <w:lvlText w:val=""/>
      <w:lvlJc w:val="left"/>
      <w:pPr>
        <w:ind w:left="5040" w:hanging="360"/>
      </w:pPr>
      <w:rPr>
        <w:rFonts w:ascii="Symbol" w:hAnsi="Symbol" w:hint="default"/>
      </w:rPr>
    </w:lvl>
    <w:lvl w:ilvl="7" w:tplc="B6020800" w:tentative="1">
      <w:start w:val="1"/>
      <w:numFmt w:val="bullet"/>
      <w:lvlText w:val="o"/>
      <w:lvlJc w:val="left"/>
      <w:pPr>
        <w:ind w:left="5760" w:hanging="360"/>
      </w:pPr>
      <w:rPr>
        <w:rFonts w:ascii="Courier New" w:hAnsi="Courier New" w:cs="Courier New" w:hint="default"/>
      </w:rPr>
    </w:lvl>
    <w:lvl w:ilvl="8" w:tplc="4404AB1E" w:tentative="1">
      <w:start w:val="1"/>
      <w:numFmt w:val="bullet"/>
      <w:lvlText w:val=""/>
      <w:lvlJc w:val="left"/>
      <w:pPr>
        <w:ind w:left="6480" w:hanging="360"/>
      </w:pPr>
      <w:rPr>
        <w:rFonts w:ascii="Wingdings" w:hAnsi="Wingdings" w:hint="default"/>
      </w:r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15:restartNumberingAfterBreak="0">
    <w:nsid w:val="7BBD51C5"/>
    <w:multiLevelType w:val="hybridMultilevel"/>
    <w:tmpl w:val="EC180D8C"/>
    <w:lvl w:ilvl="0" w:tplc="C9020D28">
      <w:start w:val="1"/>
      <w:numFmt w:val="decimal"/>
      <w:lvlText w:val="(%1)"/>
      <w:lvlJc w:val="left"/>
      <w:pPr>
        <w:ind w:left="720" w:hanging="360"/>
      </w:pPr>
      <w:rPr>
        <w:rFonts w:hint="default"/>
      </w:rPr>
    </w:lvl>
    <w:lvl w:ilvl="1" w:tplc="209680F6" w:tentative="1">
      <w:start w:val="1"/>
      <w:numFmt w:val="lowerLetter"/>
      <w:lvlText w:val="%2."/>
      <w:lvlJc w:val="left"/>
      <w:pPr>
        <w:ind w:left="1440" w:hanging="360"/>
      </w:pPr>
    </w:lvl>
    <w:lvl w:ilvl="2" w:tplc="F028E280" w:tentative="1">
      <w:start w:val="1"/>
      <w:numFmt w:val="lowerRoman"/>
      <w:lvlText w:val="%3."/>
      <w:lvlJc w:val="right"/>
      <w:pPr>
        <w:ind w:left="2160" w:hanging="180"/>
      </w:pPr>
    </w:lvl>
    <w:lvl w:ilvl="3" w:tplc="C752150E" w:tentative="1">
      <w:start w:val="1"/>
      <w:numFmt w:val="decimal"/>
      <w:lvlText w:val="%4."/>
      <w:lvlJc w:val="left"/>
      <w:pPr>
        <w:ind w:left="2880" w:hanging="360"/>
      </w:pPr>
    </w:lvl>
    <w:lvl w:ilvl="4" w:tplc="0D5E31F6" w:tentative="1">
      <w:start w:val="1"/>
      <w:numFmt w:val="lowerLetter"/>
      <w:lvlText w:val="%5."/>
      <w:lvlJc w:val="left"/>
      <w:pPr>
        <w:ind w:left="3600" w:hanging="360"/>
      </w:pPr>
    </w:lvl>
    <w:lvl w:ilvl="5" w:tplc="37E25DDA" w:tentative="1">
      <w:start w:val="1"/>
      <w:numFmt w:val="lowerRoman"/>
      <w:lvlText w:val="%6."/>
      <w:lvlJc w:val="right"/>
      <w:pPr>
        <w:ind w:left="4320" w:hanging="180"/>
      </w:pPr>
    </w:lvl>
    <w:lvl w:ilvl="6" w:tplc="D506CE5A" w:tentative="1">
      <w:start w:val="1"/>
      <w:numFmt w:val="decimal"/>
      <w:lvlText w:val="%7."/>
      <w:lvlJc w:val="left"/>
      <w:pPr>
        <w:ind w:left="5040" w:hanging="360"/>
      </w:pPr>
    </w:lvl>
    <w:lvl w:ilvl="7" w:tplc="D158A5B8" w:tentative="1">
      <w:start w:val="1"/>
      <w:numFmt w:val="lowerLetter"/>
      <w:lvlText w:val="%8."/>
      <w:lvlJc w:val="left"/>
      <w:pPr>
        <w:ind w:left="5760" w:hanging="360"/>
      </w:pPr>
    </w:lvl>
    <w:lvl w:ilvl="8" w:tplc="2FC89A8E" w:tentative="1">
      <w:start w:val="1"/>
      <w:numFmt w:val="lowerRoman"/>
      <w:lvlText w:val="%9."/>
      <w:lvlJc w:val="right"/>
      <w:pPr>
        <w:ind w:left="6480" w:hanging="180"/>
      </w:pPr>
    </w:lvl>
  </w:abstractNum>
  <w:abstractNum w:abstractNumId="27"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8"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9" w15:restartNumberingAfterBreak="0">
    <w:nsid w:val="7F4851AE"/>
    <w:multiLevelType w:val="hybridMultilevel"/>
    <w:tmpl w:val="857EA95E"/>
    <w:lvl w:ilvl="0" w:tplc="77D8214A">
      <w:start w:val="1"/>
      <w:numFmt w:val="bullet"/>
      <w:lvlText w:val=""/>
      <w:lvlJc w:val="left"/>
      <w:pPr>
        <w:ind w:left="900" w:hanging="360"/>
      </w:pPr>
      <w:rPr>
        <w:rFonts w:ascii="Symbol" w:hAnsi="Symbol" w:hint="default"/>
      </w:rPr>
    </w:lvl>
    <w:lvl w:ilvl="1" w:tplc="76BC88E6" w:tentative="1">
      <w:start w:val="1"/>
      <w:numFmt w:val="bullet"/>
      <w:lvlText w:val="o"/>
      <w:lvlJc w:val="left"/>
      <w:pPr>
        <w:ind w:left="1620" w:hanging="360"/>
      </w:pPr>
      <w:rPr>
        <w:rFonts w:ascii="Courier New" w:hAnsi="Courier New" w:cs="Courier New" w:hint="default"/>
      </w:rPr>
    </w:lvl>
    <w:lvl w:ilvl="2" w:tplc="7DA81BAA" w:tentative="1">
      <w:start w:val="1"/>
      <w:numFmt w:val="bullet"/>
      <w:lvlText w:val=""/>
      <w:lvlJc w:val="left"/>
      <w:pPr>
        <w:ind w:left="2340" w:hanging="360"/>
      </w:pPr>
      <w:rPr>
        <w:rFonts w:ascii="Wingdings" w:hAnsi="Wingdings" w:hint="default"/>
      </w:rPr>
    </w:lvl>
    <w:lvl w:ilvl="3" w:tplc="CB8070CE" w:tentative="1">
      <w:start w:val="1"/>
      <w:numFmt w:val="bullet"/>
      <w:lvlText w:val=""/>
      <w:lvlJc w:val="left"/>
      <w:pPr>
        <w:ind w:left="3060" w:hanging="360"/>
      </w:pPr>
      <w:rPr>
        <w:rFonts w:ascii="Symbol" w:hAnsi="Symbol" w:hint="default"/>
      </w:rPr>
    </w:lvl>
    <w:lvl w:ilvl="4" w:tplc="23D633F4" w:tentative="1">
      <w:start w:val="1"/>
      <w:numFmt w:val="bullet"/>
      <w:lvlText w:val="o"/>
      <w:lvlJc w:val="left"/>
      <w:pPr>
        <w:ind w:left="3780" w:hanging="360"/>
      </w:pPr>
      <w:rPr>
        <w:rFonts w:ascii="Courier New" w:hAnsi="Courier New" w:cs="Courier New" w:hint="default"/>
      </w:rPr>
    </w:lvl>
    <w:lvl w:ilvl="5" w:tplc="9118CAF4" w:tentative="1">
      <w:start w:val="1"/>
      <w:numFmt w:val="bullet"/>
      <w:lvlText w:val=""/>
      <w:lvlJc w:val="left"/>
      <w:pPr>
        <w:ind w:left="4500" w:hanging="360"/>
      </w:pPr>
      <w:rPr>
        <w:rFonts w:ascii="Wingdings" w:hAnsi="Wingdings" w:hint="default"/>
      </w:rPr>
    </w:lvl>
    <w:lvl w:ilvl="6" w:tplc="6DF23580" w:tentative="1">
      <w:start w:val="1"/>
      <w:numFmt w:val="bullet"/>
      <w:lvlText w:val=""/>
      <w:lvlJc w:val="left"/>
      <w:pPr>
        <w:ind w:left="5220" w:hanging="360"/>
      </w:pPr>
      <w:rPr>
        <w:rFonts w:ascii="Symbol" w:hAnsi="Symbol" w:hint="default"/>
      </w:rPr>
    </w:lvl>
    <w:lvl w:ilvl="7" w:tplc="D34830B8" w:tentative="1">
      <w:start w:val="1"/>
      <w:numFmt w:val="bullet"/>
      <w:lvlText w:val="o"/>
      <w:lvlJc w:val="left"/>
      <w:pPr>
        <w:ind w:left="5940" w:hanging="360"/>
      </w:pPr>
      <w:rPr>
        <w:rFonts w:ascii="Courier New" w:hAnsi="Courier New" w:cs="Courier New" w:hint="default"/>
      </w:rPr>
    </w:lvl>
    <w:lvl w:ilvl="8" w:tplc="85BAD996" w:tentative="1">
      <w:start w:val="1"/>
      <w:numFmt w:val="bullet"/>
      <w:lvlText w:val=""/>
      <w:lvlJc w:val="left"/>
      <w:pPr>
        <w:ind w:left="6660" w:hanging="360"/>
      </w:pPr>
      <w:rPr>
        <w:rFonts w:ascii="Wingdings" w:hAnsi="Wingdings" w:hint="default"/>
      </w:rPr>
    </w:lvl>
  </w:abstractNum>
  <w:abstractNum w:abstractNumId="30"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5"/>
  </w:num>
  <w:num w:numId="9">
    <w:abstractNumId w:val="19"/>
  </w:num>
  <w:num w:numId="10">
    <w:abstractNumId w:val="10"/>
  </w:num>
  <w:num w:numId="11">
    <w:abstractNumId w:val="13"/>
  </w:num>
  <w:num w:numId="12">
    <w:abstractNumId w:val="14"/>
  </w:num>
  <w:num w:numId="13">
    <w:abstractNumId w:val="28"/>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4"/>
  </w:num>
  <w:num w:numId="21">
    <w:abstractNumId w:val="1"/>
  </w:num>
  <w:num w:numId="22">
    <w:abstractNumId w:val="0"/>
  </w:num>
  <w:num w:numId="23">
    <w:abstractNumId w:val="21"/>
  </w:num>
  <w:num w:numId="24">
    <w:abstractNumId w:val="18"/>
  </w:num>
  <w:num w:numId="25">
    <w:abstractNumId w:val="4"/>
  </w:num>
  <w:num w:numId="26">
    <w:abstractNumId w:val="27"/>
  </w:num>
  <w:num w:numId="27">
    <w:abstractNumId w:val="30"/>
  </w:num>
  <w:num w:numId="28">
    <w:abstractNumId w:val="5"/>
  </w:num>
  <w:num w:numId="29">
    <w:abstractNumId w:val="26"/>
  </w:num>
  <w:num w:numId="30">
    <w:abstractNumId w:val="23"/>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ManageDocInfoCache(0)" w:val="109993564"/>
    <w:docVar w:name="IManageDocInfoCache(1)" w:val="2"/>
    <w:docVar w:name="IManageDocInfoCache(2)" w:val="SEDOCS"/>
    <w:docVar w:name="IManageDocInfoCache(3)" w:val="LAYTONB"/>
    <w:docVar w:name="IManageDocInfoCache(4)" w:val="145692"/>
    <w:docVar w:name="IManageDocInfoCache(5)" w:val="1456921001"/>
    <w:docVar w:name="IManageDocInfoCache(6)" w:val="Target_-_CSE_Form_7_-_April_2019"/>
  </w:docVars>
  <w:rsids>
    <w:rsidRoot w:val="00A47914"/>
    <w:rsid w:val="00017335"/>
    <w:rsid w:val="00032B28"/>
    <w:rsid w:val="000510D7"/>
    <w:rsid w:val="00070DE7"/>
    <w:rsid w:val="000710CF"/>
    <w:rsid w:val="00094A88"/>
    <w:rsid w:val="000A1AB1"/>
    <w:rsid w:val="000B4362"/>
    <w:rsid w:val="000F2D03"/>
    <w:rsid w:val="0010165C"/>
    <w:rsid w:val="001060B9"/>
    <w:rsid w:val="00131E8F"/>
    <w:rsid w:val="00171A5C"/>
    <w:rsid w:val="0018043D"/>
    <w:rsid w:val="00184017"/>
    <w:rsid w:val="00186261"/>
    <w:rsid w:val="001A2C70"/>
    <w:rsid w:val="001B1A6A"/>
    <w:rsid w:val="001D1613"/>
    <w:rsid w:val="001E72D1"/>
    <w:rsid w:val="001E7A7C"/>
    <w:rsid w:val="001F7FA4"/>
    <w:rsid w:val="00201071"/>
    <w:rsid w:val="00203F43"/>
    <w:rsid w:val="00265B7D"/>
    <w:rsid w:val="00270DF7"/>
    <w:rsid w:val="00274188"/>
    <w:rsid w:val="002858D0"/>
    <w:rsid w:val="00294534"/>
    <w:rsid w:val="002A4F20"/>
    <w:rsid w:val="002C281E"/>
    <w:rsid w:val="002F00EB"/>
    <w:rsid w:val="002F727F"/>
    <w:rsid w:val="003332F9"/>
    <w:rsid w:val="003343BF"/>
    <w:rsid w:val="003669A9"/>
    <w:rsid w:val="00367D08"/>
    <w:rsid w:val="00371A64"/>
    <w:rsid w:val="00383591"/>
    <w:rsid w:val="00387FA8"/>
    <w:rsid w:val="003918C6"/>
    <w:rsid w:val="00393852"/>
    <w:rsid w:val="003C5678"/>
    <w:rsid w:val="003D4F5A"/>
    <w:rsid w:val="003F3F51"/>
    <w:rsid w:val="00414B50"/>
    <w:rsid w:val="004364F9"/>
    <w:rsid w:val="0045669B"/>
    <w:rsid w:val="004A2C87"/>
    <w:rsid w:val="00513FC8"/>
    <w:rsid w:val="00517019"/>
    <w:rsid w:val="00522C81"/>
    <w:rsid w:val="00535DE1"/>
    <w:rsid w:val="00544691"/>
    <w:rsid w:val="005453C8"/>
    <w:rsid w:val="0055073F"/>
    <w:rsid w:val="00565A01"/>
    <w:rsid w:val="005814F2"/>
    <w:rsid w:val="00585BED"/>
    <w:rsid w:val="00591E43"/>
    <w:rsid w:val="005B7926"/>
    <w:rsid w:val="005E67B6"/>
    <w:rsid w:val="005F6D8F"/>
    <w:rsid w:val="00620E7F"/>
    <w:rsid w:val="00633ED3"/>
    <w:rsid w:val="00635E9A"/>
    <w:rsid w:val="00640E94"/>
    <w:rsid w:val="006501A8"/>
    <w:rsid w:val="006540FE"/>
    <w:rsid w:val="00657446"/>
    <w:rsid w:val="006818C0"/>
    <w:rsid w:val="006D10EF"/>
    <w:rsid w:val="006D1A06"/>
    <w:rsid w:val="006F41C5"/>
    <w:rsid w:val="00705338"/>
    <w:rsid w:val="00711BD8"/>
    <w:rsid w:val="00777083"/>
    <w:rsid w:val="007902BD"/>
    <w:rsid w:val="00791CE0"/>
    <w:rsid w:val="00791FF8"/>
    <w:rsid w:val="007F0536"/>
    <w:rsid w:val="008343D1"/>
    <w:rsid w:val="00861D02"/>
    <w:rsid w:val="008812BE"/>
    <w:rsid w:val="008B7E92"/>
    <w:rsid w:val="008C0399"/>
    <w:rsid w:val="008C2350"/>
    <w:rsid w:val="008D6C87"/>
    <w:rsid w:val="008F3C7D"/>
    <w:rsid w:val="00913505"/>
    <w:rsid w:val="00922A46"/>
    <w:rsid w:val="00931B6D"/>
    <w:rsid w:val="0093385E"/>
    <w:rsid w:val="00961EC3"/>
    <w:rsid w:val="00970AC2"/>
    <w:rsid w:val="00974C89"/>
    <w:rsid w:val="009A0345"/>
    <w:rsid w:val="009C6B10"/>
    <w:rsid w:val="009D3801"/>
    <w:rsid w:val="00A02014"/>
    <w:rsid w:val="00A068B8"/>
    <w:rsid w:val="00A33B15"/>
    <w:rsid w:val="00A47914"/>
    <w:rsid w:val="00A92426"/>
    <w:rsid w:val="00AC6EE4"/>
    <w:rsid w:val="00AD17EB"/>
    <w:rsid w:val="00AD1C2F"/>
    <w:rsid w:val="00AF73B0"/>
    <w:rsid w:val="00B61E62"/>
    <w:rsid w:val="00B95E3C"/>
    <w:rsid w:val="00BC58BC"/>
    <w:rsid w:val="00BE5E3C"/>
    <w:rsid w:val="00C17BD3"/>
    <w:rsid w:val="00C27A18"/>
    <w:rsid w:val="00C6383E"/>
    <w:rsid w:val="00C95D07"/>
    <w:rsid w:val="00CC28A2"/>
    <w:rsid w:val="00CD3DE5"/>
    <w:rsid w:val="00CE5B1D"/>
    <w:rsid w:val="00CF7311"/>
    <w:rsid w:val="00D25606"/>
    <w:rsid w:val="00D34126"/>
    <w:rsid w:val="00D44406"/>
    <w:rsid w:val="00D4726C"/>
    <w:rsid w:val="00D475F5"/>
    <w:rsid w:val="00D577F4"/>
    <w:rsid w:val="00D832F6"/>
    <w:rsid w:val="00D86788"/>
    <w:rsid w:val="00E043D6"/>
    <w:rsid w:val="00E248B3"/>
    <w:rsid w:val="00E36141"/>
    <w:rsid w:val="00E4205F"/>
    <w:rsid w:val="00E472F0"/>
    <w:rsid w:val="00E75BE3"/>
    <w:rsid w:val="00E7683C"/>
    <w:rsid w:val="00E83E58"/>
    <w:rsid w:val="00E85A20"/>
    <w:rsid w:val="00E90ED7"/>
    <w:rsid w:val="00EA2440"/>
    <w:rsid w:val="00EB3BEB"/>
    <w:rsid w:val="00ED1C8B"/>
    <w:rsid w:val="00EF53D6"/>
    <w:rsid w:val="00F0217E"/>
    <w:rsid w:val="00F024F4"/>
    <w:rsid w:val="00F03C83"/>
    <w:rsid w:val="00F3607E"/>
    <w:rsid w:val="00F45A52"/>
    <w:rsid w:val="00F73912"/>
    <w:rsid w:val="00F94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5F37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7391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customStyle="1" w:styleId="Heading1Char">
    <w:name w:val="Heading 1 Char"/>
    <w:basedOn w:val="DefaultParagraphFont"/>
    <w:link w:val="Heading1"/>
    <w:uiPriority w:val="9"/>
    <w:rsid w:val="00F73912"/>
    <w:rPr>
      <w:rFonts w:asciiTheme="majorHAnsi" w:eastAsiaTheme="majorEastAsia" w:hAnsiTheme="majorHAnsi" w:cstheme="majorBidi"/>
      <w:b/>
      <w:bCs/>
      <w:color w:val="365F91" w:themeColor="accent1" w:themeShade="BF"/>
      <w:sz w:val="28"/>
      <w:szCs w:val="28"/>
    </w:rPr>
  </w:style>
  <w:style w:type="character" w:customStyle="1" w:styleId="BodyTextChar">
    <w:name w:val="Body Text Char"/>
    <w:link w:val="BodyText"/>
    <w:rsid w:val="00F73912"/>
    <w:rPr>
      <w:sz w:val="24"/>
      <w:lang w:val="en-GB"/>
    </w:rPr>
  </w:style>
  <w:style w:type="paragraph" w:styleId="ListParagraph">
    <w:name w:val="List Paragraph"/>
    <w:basedOn w:val="Normal"/>
    <w:uiPriority w:val="34"/>
    <w:qFormat/>
    <w:rsid w:val="00E7683C"/>
    <w:pPr>
      <w:ind w:left="720"/>
      <w:contextualSpacing/>
    </w:pPr>
  </w:style>
  <w:style w:type="paragraph" w:customStyle="1" w:styleId="MTTable">
    <w:name w:val="MTTable"/>
    <w:basedOn w:val="Normal"/>
    <w:qFormat/>
    <w:rsid w:val="00032B28"/>
    <w:pPr>
      <w:spacing w:before="60" w:after="60"/>
    </w:pPr>
    <w:rPr>
      <w:rFonts w:ascii="Arial" w:eastAsiaTheme="minorHAnsi" w:hAnsi="Arial" w:cstheme="minorBidi"/>
      <w:szCs w:val="22"/>
      <w:lang w:val="en-CA"/>
    </w:rPr>
  </w:style>
  <w:style w:type="character" w:customStyle="1" w:styleId="DocID">
    <w:name w:val="DocID"/>
    <w:basedOn w:val="DefaultParagraphFont"/>
    <w:rsid w:val="00931B6D"/>
    <w:rPr>
      <w:rFonts w:ascii="Arial" w:hAnsi="Arial" w:cs="Arial"/>
      <w:b w:val="0"/>
      <w:i w:val="0"/>
      <w:caps w:val="0"/>
      <w:vanish w:val="0"/>
      <w:color w:val="000000"/>
      <w:sz w:val="1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D9B63-7FDE-4A0B-9519-AC50790A2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1071</Words>
  <Characters>5832</Characters>
  <Application>Microsoft Office Word</Application>
  <DocSecurity>4</DocSecurity>
  <Lines>486</Lines>
  <Paragraphs>313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1900-01-01T07:00:00Z</cp:lastPrinted>
  <dcterms:created xsi:type="dcterms:W3CDTF">2019-05-15T15:55:00Z</dcterms:created>
  <dcterms:modified xsi:type="dcterms:W3CDTF">2019-05-15T15:55:00Z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AutoUpdate">
    <vt:lpwstr>LAST</vt:lpwstr>
  </property>
  <property fmtid="{D5CDD505-2E9C-101B-9397-08002B2CF9AE}" pid="3" name="SEDocID">
    <vt:lpwstr>109993564 v2</vt:lpwstr>
  </property>
</Properties>
</file>