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792D99DC"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B97ED9">
        <w:rPr>
          <w:rFonts w:asciiTheme="minorHAnsi" w:hAnsiTheme="minorHAnsi" w:cstheme="minorHAnsi"/>
          <w:b/>
          <w:bCs/>
          <w:color w:val="000000"/>
          <w:sz w:val="22"/>
          <w:szCs w:val="22"/>
          <w:u w:val="single"/>
        </w:rPr>
        <w:t>22,616,226</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3A8ABAD3"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744555">
        <w:rPr>
          <w:rFonts w:asciiTheme="minorHAnsi" w:hAnsiTheme="minorHAnsi" w:cstheme="minorHAnsi"/>
          <w:b/>
          <w:bCs/>
          <w:color w:val="000000"/>
          <w:sz w:val="22"/>
          <w:szCs w:val="22"/>
          <w:u w:val="single"/>
        </w:rPr>
        <w:t>October 31</w:t>
      </w:r>
      <w:r w:rsidR="00F13497">
        <w:rPr>
          <w:rFonts w:asciiTheme="minorHAnsi" w:hAnsiTheme="minorHAnsi" w:cstheme="minorHAnsi"/>
          <w:b/>
          <w:bCs/>
          <w:color w:val="000000"/>
          <w:sz w:val="22"/>
          <w:szCs w:val="22"/>
          <w:u w:val="single"/>
        </w:rPr>
        <w:t>,</w:t>
      </w:r>
      <w:r w:rsidR="001625DB">
        <w:rPr>
          <w:rFonts w:asciiTheme="minorHAnsi" w:hAnsiTheme="minorHAnsi" w:cstheme="minorHAnsi"/>
          <w:b/>
          <w:bCs/>
          <w:color w:val="000000"/>
          <w:sz w:val="22"/>
          <w:szCs w:val="22"/>
          <w:u w:val="single"/>
        </w:rPr>
        <w:t xml:space="preserve"> 2020</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099099F5" w:rsidR="00115CBA" w:rsidRDefault="00264BBC" w:rsidP="00931B16">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0B6F03AE" w14:textId="77777777" w:rsidR="00E256ED" w:rsidRDefault="00E256ED" w:rsidP="00931B16">
      <w:pPr>
        <w:pStyle w:val="BodyText"/>
        <w:spacing w:before="120"/>
        <w:ind w:left="720"/>
        <w:jc w:val="both"/>
        <w:rPr>
          <w:rFonts w:asciiTheme="minorHAnsi" w:hAnsiTheme="minorHAnsi" w:cstheme="minorHAnsi"/>
          <w:b/>
          <w:bCs/>
          <w:sz w:val="22"/>
          <w:szCs w:val="22"/>
        </w:rPr>
      </w:pPr>
    </w:p>
    <w:p w14:paraId="1DDA9DC5" w14:textId="4638D0FE" w:rsidR="00AE43B0" w:rsidRDefault="00640E94" w:rsidP="00AE43B0">
      <w:pPr>
        <w:pStyle w:val="List"/>
        <w:numPr>
          <w:ilvl w:val="0"/>
          <w:numId w:val="39"/>
        </w:numPr>
        <w:spacing w:before="1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0CB677CB" w14:textId="77777777" w:rsidR="00F8426F" w:rsidRDefault="00F8426F" w:rsidP="00F8426F">
      <w:pPr>
        <w:pStyle w:val="List"/>
        <w:spacing w:before="120"/>
        <w:ind w:left="720" w:firstLine="0"/>
        <w:jc w:val="both"/>
        <w:rPr>
          <w:rFonts w:asciiTheme="minorHAnsi" w:hAnsiTheme="minorHAnsi" w:cstheme="minorHAnsi"/>
          <w:sz w:val="22"/>
          <w:szCs w:val="22"/>
        </w:rPr>
      </w:pPr>
    </w:p>
    <w:p w14:paraId="263A7DFF" w14:textId="77777777" w:rsidR="00AE43B0" w:rsidRDefault="009E0F9E" w:rsidP="00AE43B0">
      <w:pPr>
        <w:pStyle w:val="List"/>
        <w:spacing w:before="120"/>
        <w:ind w:left="720" w:firstLine="0"/>
        <w:jc w:val="both"/>
        <w:rPr>
          <w:rFonts w:asciiTheme="minorHAnsi" w:hAnsiTheme="minorHAnsi" w:cstheme="minorHAnsi"/>
          <w:b/>
          <w:bCs/>
          <w:sz w:val="22"/>
          <w:szCs w:val="22"/>
        </w:rPr>
      </w:pPr>
      <w:r w:rsidRPr="00AE43B0">
        <w:rPr>
          <w:rFonts w:asciiTheme="minorHAnsi" w:hAnsiTheme="minorHAnsi" w:cstheme="minorHAnsi"/>
          <w:b/>
          <w:bCs/>
          <w:sz w:val="22"/>
          <w:szCs w:val="22"/>
        </w:rPr>
        <w:t>On October 7, 2020, the Issuer announced its intention to compl</w:t>
      </w:r>
      <w:r w:rsidR="00C44FAF" w:rsidRPr="00AE43B0">
        <w:rPr>
          <w:rFonts w:asciiTheme="minorHAnsi" w:hAnsiTheme="minorHAnsi" w:cstheme="minorHAnsi"/>
          <w:b/>
          <w:bCs/>
          <w:sz w:val="22"/>
          <w:szCs w:val="22"/>
        </w:rPr>
        <w:t xml:space="preserve">ete </w:t>
      </w:r>
      <w:r w:rsidR="00AE43B0" w:rsidRPr="00AE43B0">
        <w:rPr>
          <w:rFonts w:asciiTheme="minorHAnsi" w:hAnsiTheme="minorHAnsi" w:cstheme="minorHAnsi"/>
          <w:b/>
          <w:bCs/>
          <w:sz w:val="22"/>
          <w:szCs w:val="22"/>
        </w:rPr>
        <w:t>an Overnight Marketed</w:t>
      </w:r>
      <w:r w:rsidR="00C44FAF" w:rsidRPr="00AE43B0">
        <w:rPr>
          <w:rFonts w:asciiTheme="minorHAnsi" w:hAnsiTheme="minorHAnsi" w:cstheme="minorHAnsi"/>
          <w:b/>
          <w:bCs/>
          <w:sz w:val="22"/>
          <w:szCs w:val="22"/>
        </w:rPr>
        <w:t xml:space="preserve"> </w:t>
      </w:r>
      <w:r w:rsidR="00AE43B0" w:rsidRPr="00AE43B0">
        <w:rPr>
          <w:rFonts w:asciiTheme="minorHAnsi" w:hAnsiTheme="minorHAnsi" w:cstheme="minorHAnsi"/>
          <w:b/>
          <w:bCs/>
          <w:sz w:val="22"/>
          <w:szCs w:val="22"/>
        </w:rPr>
        <w:t>F</w:t>
      </w:r>
      <w:r w:rsidR="00C44FAF" w:rsidRPr="00AE43B0">
        <w:rPr>
          <w:rFonts w:asciiTheme="minorHAnsi" w:hAnsiTheme="minorHAnsi" w:cstheme="minorHAnsi"/>
          <w:b/>
          <w:bCs/>
          <w:sz w:val="22"/>
          <w:szCs w:val="22"/>
        </w:rPr>
        <w:t xml:space="preserve">inancing.  </w:t>
      </w:r>
      <w:r w:rsidR="00AE43B0" w:rsidRPr="00AE43B0">
        <w:rPr>
          <w:rFonts w:asciiTheme="minorHAnsi" w:hAnsiTheme="minorHAnsi" w:cstheme="minorHAnsi"/>
          <w:b/>
          <w:bCs/>
          <w:sz w:val="22"/>
          <w:szCs w:val="22"/>
        </w:rPr>
        <w:t xml:space="preserve">On October 27, 2020, the Issuer filed a final prospectus in respect of the financing.  </w:t>
      </w:r>
    </w:p>
    <w:p w14:paraId="4C27E2A8" w14:textId="49E25753" w:rsidR="00AE43B0" w:rsidRDefault="00C44FAF" w:rsidP="00AE43B0">
      <w:pPr>
        <w:pStyle w:val="List"/>
        <w:spacing w:before="120"/>
        <w:ind w:left="720" w:firstLine="0"/>
        <w:jc w:val="both"/>
        <w:rPr>
          <w:rFonts w:asciiTheme="minorHAnsi" w:eastAsia="Calibri" w:hAnsiTheme="minorHAnsi" w:cstheme="minorHAnsi"/>
          <w:b/>
          <w:bCs/>
          <w:sz w:val="22"/>
          <w:szCs w:val="22"/>
          <w:lang w:val="en-CA"/>
        </w:rPr>
      </w:pPr>
      <w:r w:rsidRPr="00AE43B0">
        <w:rPr>
          <w:rFonts w:asciiTheme="minorHAnsi" w:hAnsiTheme="minorHAnsi" w:cstheme="minorHAnsi"/>
          <w:b/>
          <w:bCs/>
          <w:sz w:val="22"/>
          <w:szCs w:val="22"/>
        </w:rPr>
        <w:t>Subsequent to month end</w:t>
      </w:r>
      <w:r w:rsidR="00F8426F">
        <w:rPr>
          <w:rFonts w:asciiTheme="minorHAnsi" w:hAnsiTheme="minorHAnsi" w:cstheme="minorHAnsi"/>
          <w:b/>
          <w:bCs/>
          <w:sz w:val="22"/>
          <w:szCs w:val="22"/>
        </w:rPr>
        <w:t xml:space="preserve"> and on November 2, 2020,</w:t>
      </w:r>
      <w:r w:rsidRPr="00AE43B0">
        <w:rPr>
          <w:rFonts w:asciiTheme="minorHAnsi" w:hAnsiTheme="minorHAnsi" w:cstheme="minorHAnsi"/>
          <w:b/>
          <w:bCs/>
          <w:sz w:val="22"/>
          <w:szCs w:val="22"/>
        </w:rPr>
        <w:t xml:space="preserve"> the Issuer closed final terms of the financing consisting of </w:t>
      </w:r>
      <w:r w:rsidRPr="00AE43B0">
        <w:rPr>
          <w:rFonts w:asciiTheme="minorHAnsi" w:eastAsia="Calibri" w:hAnsiTheme="minorHAnsi" w:cstheme="minorHAnsi"/>
          <w:b/>
          <w:bCs/>
          <w:sz w:val="22"/>
          <w:szCs w:val="22"/>
          <w:lang w:val="en-CA"/>
        </w:rPr>
        <w:t>17,777,165 units of the Company (the “Units”) at a price of $0.36 per Unit for aggregate gross proceeds of $6,399,779.40 (the “Offering”), including the partial exercise of the Agents’ over-allotment option.</w:t>
      </w:r>
    </w:p>
    <w:p w14:paraId="5903E2E2" w14:textId="77777777" w:rsidR="00F8426F" w:rsidRDefault="00C44FAF" w:rsidP="00F8426F">
      <w:pPr>
        <w:pStyle w:val="List"/>
        <w:spacing w:before="120"/>
        <w:ind w:left="720" w:firstLine="0"/>
        <w:jc w:val="both"/>
        <w:rPr>
          <w:rFonts w:asciiTheme="minorHAnsi" w:eastAsia="Calibri" w:hAnsiTheme="minorHAnsi" w:cstheme="minorHAnsi"/>
          <w:b/>
          <w:bCs/>
          <w:sz w:val="22"/>
          <w:szCs w:val="22"/>
          <w:lang w:val="en-CA"/>
        </w:rPr>
      </w:pPr>
      <w:r w:rsidRPr="00C44FAF">
        <w:rPr>
          <w:rFonts w:asciiTheme="minorHAnsi" w:eastAsia="Calibri" w:hAnsiTheme="minorHAnsi" w:cstheme="minorHAnsi"/>
          <w:b/>
          <w:bCs/>
          <w:sz w:val="22"/>
          <w:szCs w:val="22"/>
          <w:lang w:val="en-CA"/>
        </w:rPr>
        <w:t xml:space="preserve">Each Unit is comprised of one common share (each, a “Subordinated Voting Share”) and one share purchase warrant (each, a “Warrant”).  Each Warrant entitles the holder to purchase one Subordinated Voting Share at an exercise price of $0.45 until November 2, 2023.  </w:t>
      </w:r>
    </w:p>
    <w:p w14:paraId="66958E89" w14:textId="77777777" w:rsidR="00F8426F" w:rsidRPr="00F8426F" w:rsidRDefault="00F8426F" w:rsidP="00F8426F">
      <w:pPr>
        <w:pStyle w:val="List"/>
        <w:spacing w:before="120"/>
        <w:ind w:left="720" w:firstLine="0"/>
        <w:jc w:val="both"/>
        <w:rPr>
          <w:rFonts w:asciiTheme="minorHAnsi" w:hAnsiTheme="minorHAnsi" w:cstheme="minorHAnsi"/>
          <w:b/>
          <w:bCs/>
          <w:sz w:val="22"/>
          <w:szCs w:val="22"/>
        </w:rPr>
      </w:pPr>
      <w:r w:rsidRPr="00F8426F">
        <w:rPr>
          <w:rFonts w:asciiTheme="minorHAnsi" w:hAnsiTheme="minorHAnsi" w:cstheme="minorHAnsi"/>
          <w:b/>
          <w:bCs/>
          <w:sz w:val="22"/>
          <w:szCs w:val="22"/>
        </w:rPr>
        <w:t>The Offering was conducted on a commercially reasonable “best efforts” basis by Beacon Securities Limited, as lead agent and sole bookrunner, on its own behalf and on behalf of a syndicate of agents including Canaccord Genuity Corp. (collectively, the “Agents”).</w:t>
      </w:r>
    </w:p>
    <w:p w14:paraId="359346A5" w14:textId="65691E7F" w:rsidR="00F8426F" w:rsidRPr="00F8426F" w:rsidRDefault="00F8426F" w:rsidP="00F8426F">
      <w:pPr>
        <w:pStyle w:val="List"/>
        <w:spacing w:before="120"/>
        <w:ind w:left="720" w:firstLine="0"/>
        <w:jc w:val="both"/>
        <w:rPr>
          <w:rFonts w:asciiTheme="minorHAnsi" w:hAnsiTheme="minorHAnsi" w:cstheme="minorHAnsi"/>
          <w:b/>
          <w:bCs/>
          <w:sz w:val="22"/>
          <w:szCs w:val="22"/>
        </w:rPr>
      </w:pPr>
      <w:r w:rsidRPr="00F8426F">
        <w:rPr>
          <w:rFonts w:asciiTheme="minorHAnsi" w:hAnsiTheme="minorHAnsi" w:cstheme="minorHAnsi"/>
          <w:b/>
          <w:bCs/>
          <w:sz w:val="22"/>
          <w:szCs w:val="22"/>
        </w:rPr>
        <w:t xml:space="preserve">As compensation, the </w:t>
      </w:r>
      <w:r>
        <w:rPr>
          <w:rFonts w:asciiTheme="minorHAnsi" w:hAnsiTheme="minorHAnsi" w:cstheme="minorHAnsi"/>
          <w:b/>
          <w:bCs/>
          <w:sz w:val="22"/>
          <w:szCs w:val="22"/>
        </w:rPr>
        <w:t>Issuer</w:t>
      </w:r>
      <w:r w:rsidRPr="00F8426F">
        <w:rPr>
          <w:rFonts w:asciiTheme="minorHAnsi" w:hAnsiTheme="minorHAnsi" w:cstheme="minorHAnsi"/>
          <w:b/>
          <w:bCs/>
          <w:sz w:val="22"/>
          <w:szCs w:val="22"/>
        </w:rPr>
        <w:t xml:space="preserve"> paid to the Agents a cash fee of approximately $438,534 and issued to the Agents an aggregate of 1,218,152 share purchase warrants (the “Agents’ Warrants”). Each Agents’ Warrant entitles the holder thereof to purchase one Subordinated Voting Share at an exercise price of $0.36 per Subordinated Voting Share until November 2, 2023.</w:t>
      </w:r>
    </w:p>
    <w:p w14:paraId="2F22384C" w14:textId="5A7E9C23" w:rsidR="00F8426F" w:rsidRPr="00F8426F" w:rsidRDefault="00F8426F" w:rsidP="00F8426F">
      <w:pPr>
        <w:pStyle w:val="List"/>
        <w:spacing w:before="120"/>
        <w:ind w:left="720" w:firstLine="0"/>
        <w:jc w:val="both"/>
        <w:rPr>
          <w:rFonts w:asciiTheme="minorHAnsi" w:eastAsia="Calibri" w:hAnsiTheme="minorHAnsi" w:cstheme="minorHAnsi"/>
          <w:b/>
          <w:bCs/>
          <w:sz w:val="22"/>
          <w:szCs w:val="22"/>
          <w:lang w:val="en-CA"/>
        </w:rPr>
      </w:pPr>
      <w:r w:rsidRPr="00F8426F">
        <w:rPr>
          <w:rFonts w:asciiTheme="minorHAnsi" w:hAnsiTheme="minorHAnsi" w:cstheme="minorHAnsi"/>
          <w:b/>
          <w:bCs/>
          <w:sz w:val="22"/>
          <w:szCs w:val="22"/>
        </w:rPr>
        <w:t xml:space="preserve">The Units were offered and sold by way of a short form prospectus filed in each of the provinces of Canada (other than Québec). The proceeds raised from the sale of Units under the Offering are expected to be used by the </w:t>
      </w:r>
      <w:r>
        <w:rPr>
          <w:rFonts w:asciiTheme="minorHAnsi" w:hAnsiTheme="minorHAnsi" w:cstheme="minorHAnsi"/>
          <w:b/>
          <w:bCs/>
          <w:sz w:val="22"/>
          <w:szCs w:val="22"/>
        </w:rPr>
        <w:t>Issuer</w:t>
      </w:r>
      <w:r w:rsidRPr="00F8426F">
        <w:rPr>
          <w:rFonts w:asciiTheme="minorHAnsi" w:hAnsiTheme="minorHAnsi" w:cstheme="minorHAnsi"/>
          <w:b/>
          <w:bCs/>
          <w:sz w:val="22"/>
          <w:szCs w:val="22"/>
        </w:rPr>
        <w:t xml:space="preserve"> for working capital and corporate expansion purposes, as more particularly set out in the final short form prospectus dated October 27, 2020</w:t>
      </w:r>
      <w:r>
        <w:rPr>
          <w:rFonts w:asciiTheme="minorHAnsi" w:hAnsiTheme="minorHAnsi" w:cstheme="minorHAnsi"/>
          <w:b/>
          <w:bCs/>
          <w:sz w:val="22"/>
          <w:szCs w:val="22"/>
        </w:rPr>
        <w:t>.</w:t>
      </w:r>
    </w:p>
    <w:p w14:paraId="7C1C604B" w14:textId="5F98BF98" w:rsidR="00AE43B0" w:rsidRDefault="00F8426F" w:rsidP="00AE43B0">
      <w:pPr>
        <w:pStyle w:val="List"/>
        <w:spacing w:before="120"/>
        <w:ind w:left="720" w:firstLine="0"/>
        <w:jc w:val="both"/>
        <w:rPr>
          <w:rFonts w:asciiTheme="minorHAnsi" w:eastAsia="Calibri" w:hAnsiTheme="minorHAnsi" w:cstheme="minorHAnsi"/>
          <w:b/>
          <w:bCs/>
          <w:sz w:val="22"/>
          <w:szCs w:val="22"/>
          <w:lang w:val="en-CA"/>
        </w:rPr>
      </w:pPr>
      <w:r>
        <w:rPr>
          <w:rFonts w:asciiTheme="minorHAnsi" w:eastAsia="Calibri" w:hAnsiTheme="minorHAnsi" w:cstheme="minorHAnsi"/>
          <w:b/>
          <w:bCs/>
          <w:sz w:val="22"/>
          <w:szCs w:val="22"/>
          <w:lang w:val="en-CA"/>
        </w:rPr>
        <w:t>In addition</w:t>
      </w:r>
      <w:r w:rsidR="00AE43B0" w:rsidRPr="00AE43B0">
        <w:rPr>
          <w:rFonts w:asciiTheme="minorHAnsi" w:eastAsia="Calibri" w:hAnsiTheme="minorHAnsi" w:cstheme="minorHAnsi"/>
          <w:b/>
          <w:bCs/>
          <w:sz w:val="22"/>
          <w:szCs w:val="22"/>
          <w:lang w:val="en-CA"/>
        </w:rPr>
        <w:t xml:space="preserve">, the Issuer closed a concurrent non-brokered private placement of units, with economic terms identical to the Units, pursuant to which the Issuer issued 4,064,500 units for gross proceeds of $1,463,220 (the “Concurrent Private Placement”). </w:t>
      </w:r>
    </w:p>
    <w:p w14:paraId="74C5C6FC" w14:textId="3A5CA823" w:rsidR="00F8426F" w:rsidRDefault="00AE43B0" w:rsidP="00F8426F">
      <w:pPr>
        <w:pStyle w:val="List"/>
        <w:spacing w:before="120"/>
        <w:ind w:left="720" w:firstLine="0"/>
        <w:jc w:val="both"/>
        <w:rPr>
          <w:rFonts w:asciiTheme="minorHAnsi" w:eastAsia="Calibri" w:hAnsiTheme="minorHAnsi" w:cstheme="minorHAnsi"/>
          <w:b/>
          <w:bCs/>
          <w:sz w:val="22"/>
          <w:szCs w:val="22"/>
          <w:lang w:val="en-CA"/>
        </w:rPr>
      </w:pPr>
      <w:r w:rsidRPr="00AE43B0">
        <w:rPr>
          <w:rFonts w:asciiTheme="minorHAnsi" w:eastAsia="Calibri" w:hAnsiTheme="minorHAnsi" w:cstheme="minorHAnsi"/>
          <w:b/>
          <w:bCs/>
          <w:sz w:val="22"/>
          <w:szCs w:val="22"/>
          <w:lang w:val="en-CA"/>
        </w:rPr>
        <w:t xml:space="preserve">Further to the Issuer’s news release dated October 7, 2020, two holders of the 10% secured non-convertible debentures of the Issuer due December 31, 2021 (the “Debentures”) redeemed 20% of the principal amount of their respective Debentures (an aggregate amount of $1,463,220) and used the proceeds to participate in the Concurrent Private Placement. </w:t>
      </w:r>
    </w:p>
    <w:p w14:paraId="175DF66A" w14:textId="6EDB7935" w:rsidR="00AE43B0" w:rsidRPr="00AE43B0" w:rsidRDefault="00AE43B0" w:rsidP="00F8426F">
      <w:pPr>
        <w:pStyle w:val="List"/>
        <w:spacing w:before="120"/>
        <w:ind w:left="720" w:firstLine="0"/>
        <w:jc w:val="both"/>
        <w:rPr>
          <w:rFonts w:asciiTheme="minorHAnsi" w:hAnsiTheme="minorHAnsi" w:cstheme="minorHAnsi"/>
          <w:sz w:val="22"/>
          <w:szCs w:val="22"/>
        </w:rPr>
      </w:pPr>
      <w:r w:rsidRPr="00AE43B0">
        <w:rPr>
          <w:rFonts w:asciiTheme="minorHAnsi" w:eastAsia="Calibri" w:hAnsiTheme="minorHAnsi" w:cstheme="minorHAnsi"/>
          <w:b/>
          <w:bCs/>
          <w:sz w:val="22"/>
          <w:szCs w:val="22"/>
          <w:lang w:val="en-CA"/>
        </w:rPr>
        <w:t>Accordingly, the proceeds from the Concurrent Private Placement are not new funds available to the Issuer; rather, the funds retired $1,463,220 of the principal amount of the Debentures. The securities issued pursuant to the Concurrent Private Placement are subject to resale restrictions, including a Canadian four-month hold period. No fees or compensation are payable to the Agents in connection with the Concurrent Private Placement.</w:t>
      </w:r>
    </w:p>
    <w:p w14:paraId="0AC2F45D" w14:textId="77777777" w:rsidR="00AE43B0" w:rsidRPr="00AE43B0" w:rsidRDefault="00AE43B0" w:rsidP="00AE43B0">
      <w:pPr>
        <w:ind w:left="288" w:right="288"/>
        <w:jc w:val="both"/>
        <w:rPr>
          <w:rFonts w:asciiTheme="minorHAnsi" w:eastAsia="Calibri" w:hAnsiTheme="minorHAnsi" w:cstheme="minorHAnsi"/>
          <w:b/>
          <w:bCs/>
          <w:sz w:val="22"/>
          <w:szCs w:val="22"/>
          <w:lang w:val="en-CA"/>
        </w:rPr>
      </w:pPr>
    </w:p>
    <w:p w14:paraId="3730862B" w14:textId="77777777" w:rsidR="00744555" w:rsidRPr="00AE43B0" w:rsidRDefault="00744555" w:rsidP="00174064">
      <w:pPr>
        <w:pStyle w:val="List"/>
        <w:spacing w:before="120"/>
        <w:ind w:left="0" w:firstLine="0"/>
        <w:jc w:val="both"/>
        <w:rPr>
          <w:rFonts w:asciiTheme="minorHAnsi" w:hAnsiTheme="minorHAnsi" w:cstheme="minorHAnsi"/>
          <w:b/>
          <w:bCs/>
          <w:sz w:val="22"/>
          <w:szCs w:val="22"/>
        </w:rPr>
      </w:pPr>
    </w:p>
    <w:p w14:paraId="3EE946E9" w14:textId="77777777" w:rsidR="00174064" w:rsidRPr="00AE43B0" w:rsidRDefault="00174064" w:rsidP="00D57A9C">
      <w:pPr>
        <w:pStyle w:val="List"/>
        <w:spacing w:before="120"/>
        <w:ind w:left="0" w:firstLine="0"/>
        <w:jc w:val="both"/>
        <w:rPr>
          <w:rFonts w:asciiTheme="minorHAnsi" w:hAnsiTheme="minorHAnsi" w:cstheme="minorHAnsi"/>
          <w:b/>
          <w:sz w:val="22"/>
          <w:szCs w:val="22"/>
        </w:rPr>
      </w:pPr>
    </w:p>
    <w:p w14:paraId="58561CA8" w14:textId="77777777" w:rsidR="00174064" w:rsidRPr="00DC2F50" w:rsidRDefault="00174064">
      <w:pPr>
        <w:pStyle w:val="List"/>
        <w:spacing w:before="120"/>
        <w:ind w:left="720" w:firstLine="0"/>
        <w:jc w:val="both"/>
        <w:rPr>
          <w:rFonts w:asciiTheme="minorHAnsi" w:hAnsiTheme="minorHAnsi" w:cstheme="minorHAnsi"/>
          <w:b/>
          <w:sz w:val="22"/>
          <w:szCs w:val="22"/>
        </w:rPr>
      </w:pPr>
    </w:p>
    <w:p w14:paraId="7831D084" w14:textId="134EEBBA"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5B5EDED" w14:textId="3880FE64" w:rsidR="00FA1663" w:rsidRPr="008D4EA7" w:rsidRDefault="008D4EA7"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4EA7">
        <w:rPr>
          <w:rFonts w:asciiTheme="minorHAnsi" w:hAnsiTheme="minorHAnsi" w:cstheme="minorHAnsi"/>
          <w:b/>
          <w:bCs/>
          <w:sz w:val="22"/>
          <w:szCs w:val="22"/>
        </w:rPr>
        <w:t>None</w:t>
      </w:r>
    </w:p>
    <w:p w14:paraId="4A5979F8" w14:textId="4E254B3C" w:rsidR="00D27558" w:rsidRPr="00D90E4F"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003958D7" w:rsidRPr="00D90E4F">
        <w:rPr>
          <w:rFonts w:asciiTheme="minorHAnsi" w:hAnsiTheme="minorHAnsi" w:cstheme="minorHAnsi"/>
          <w:b/>
          <w:bCs/>
          <w:sz w:val="22"/>
          <w:szCs w:val="22"/>
        </w:rPr>
        <w:t xml:space="preserve"> </w:t>
      </w:r>
    </w:p>
    <w:p w14:paraId="51B67B55" w14:textId="6180B039" w:rsidR="00FA1663" w:rsidRPr="00D90E4F" w:rsidRDefault="00FA1663" w:rsidP="007516CB">
      <w:pPr>
        <w:pStyle w:val="List"/>
        <w:spacing w:before="120"/>
        <w:ind w:left="720" w:firstLine="0"/>
        <w:jc w:val="both"/>
        <w:rPr>
          <w:rFonts w:asciiTheme="minorHAnsi" w:hAnsiTheme="minorHAnsi" w:cstheme="minorHAnsi"/>
          <w:b/>
          <w:bCs/>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65C51D53" w14:textId="77777777" w:rsidR="00E256ED" w:rsidRDefault="00E256ED">
      <w:pPr>
        <w:pStyle w:val="List"/>
        <w:spacing w:before="120"/>
        <w:ind w:left="720" w:hanging="720"/>
        <w:jc w:val="both"/>
        <w:rPr>
          <w:rFonts w:asciiTheme="minorHAnsi" w:hAnsiTheme="minorHAnsi" w:cstheme="minorHAnsi"/>
          <w:sz w:val="22"/>
          <w:szCs w:val="22"/>
        </w:rPr>
      </w:pP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46CC7BC8" w14:textId="77777777" w:rsidR="00E256ED" w:rsidRDefault="00E256ED" w:rsidP="004E3DFA">
      <w:pPr>
        <w:pStyle w:val="List"/>
        <w:spacing w:before="120"/>
        <w:ind w:left="720" w:hanging="720"/>
        <w:jc w:val="both"/>
        <w:rPr>
          <w:rFonts w:asciiTheme="minorHAnsi" w:hAnsiTheme="minorHAnsi" w:cstheme="minorHAnsi"/>
          <w:b/>
          <w:sz w:val="22"/>
          <w:szCs w:val="22"/>
        </w:rPr>
      </w:pPr>
    </w:p>
    <w:p w14:paraId="1971F1B5" w14:textId="092609B4" w:rsidR="00FA1663" w:rsidRDefault="00FA1663"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               None</w:t>
      </w:r>
    </w:p>
    <w:p w14:paraId="262502FF" w14:textId="537DB77F" w:rsidR="00264BBC"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4AEF3E9" w14:textId="77777777" w:rsidR="00E256ED" w:rsidRPr="00232E8F" w:rsidRDefault="00E256ED">
      <w:pPr>
        <w:pStyle w:val="List"/>
        <w:spacing w:before="120"/>
        <w:ind w:left="720" w:hanging="720"/>
        <w:jc w:val="both"/>
        <w:rPr>
          <w:rFonts w:ascii="Calibri" w:hAnsi="Calibri" w:cs="Calibri"/>
          <w:sz w:val="22"/>
          <w:szCs w:val="22"/>
        </w:rPr>
      </w:pP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517E7D75" w14:textId="7C9FD65B" w:rsidR="00E256ED" w:rsidRDefault="00E256ED" w:rsidP="00770CDD">
      <w:pPr>
        <w:pStyle w:val="List"/>
        <w:spacing w:before="120"/>
        <w:ind w:left="720" w:hanging="720"/>
        <w:jc w:val="both"/>
        <w:rPr>
          <w:rFonts w:asciiTheme="minorHAnsi" w:hAnsiTheme="minorHAnsi" w:cstheme="minorHAnsi"/>
          <w:sz w:val="22"/>
          <w:szCs w:val="22"/>
        </w:rPr>
      </w:pPr>
    </w:p>
    <w:p w14:paraId="1AEF4DA2" w14:textId="77777777" w:rsidR="00E256ED" w:rsidRDefault="00E256ED" w:rsidP="00770CDD">
      <w:pPr>
        <w:pStyle w:val="List"/>
        <w:spacing w:before="120"/>
        <w:ind w:left="720" w:hanging="720"/>
        <w:jc w:val="both"/>
        <w:rPr>
          <w:rFonts w:asciiTheme="minorHAnsi" w:hAnsiTheme="minorHAnsi" w:cstheme="minorHAnsi"/>
          <w:sz w:val="22"/>
          <w:szCs w:val="22"/>
        </w:rPr>
      </w:pPr>
    </w:p>
    <w:p w14:paraId="718D1E73" w14:textId="173E5ECE" w:rsidR="00B97ED9" w:rsidRPr="008D77AB"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3A85E1FF" w14:textId="3D3BCEAD" w:rsidR="00E256ED" w:rsidRDefault="00E256ED">
      <w:pPr>
        <w:pStyle w:val="List"/>
        <w:spacing w:before="120"/>
        <w:ind w:left="720" w:hanging="720"/>
        <w:jc w:val="both"/>
        <w:rPr>
          <w:rFonts w:asciiTheme="minorHAnsi" w:hAnsiTheme="minorHAnsi" w:cstheme="minorHAnsi"/>
          <w:b/>
          <w:sz w:val="22"/>
          <w:szCs w:val="22"/>
        </w:rPr>
      </w:pPr>
    </w:p>
    <w:p w14:paraId="3A7490E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24E891EA"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932923B" w14:textId="74209B33" w:rsidR="00E256ED" w:rsidRDefault="00E256ED">
      <w:pPr>
        <w:pStyle w:val="List"/>
        <w:spacing w:before="120"/>
        <w:ind w:left="720" w:hanging="720"/>
        <w:jc w:val="both"/>
        <w:rPr>
          <w:rFonts w:asciiTheme="minorHAnsi" w:hAnsiTheme="minorHAnsi" w:cstheme="minorHAnsi"/>
          <w:sz w:val="22"/>
          <w:szCs w:val="22"/>
        </w:rPr>
      </w:pPr>
    </w:p>
    <w:p w14:paraId="21EEF575"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96CE679" w14:textId="2A3029A2" w:rsidR="00AE1178" w:rsidRDefault="00AE1178" w:rsidP="003B3E52">
      <w:pPr>
        <w:pStyle w:val="List"/>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C413CED" w14:textId="7DCB1EB2" w:rsidR="00E256ED" w:rsidRDefault="00E256ED" w:rsidP="00E8062B">
      <w:pPr>
        <w:pStyle w:val="List"/>
        <w:spacing w:before="120"/>
        <w:ind w:left="720" w:hanging="720"/>
        <w:jc w:val="both"/>
        <w:rPr>
          <w:rFonts w:asciiTheme="minorHAnsi" w:hAnsiTheme="minorHAnsi" w:cstheme="minorHAnsi"/>
          <w:sz w:val="22"/>
          <w:szCs w:val="22"/>
        </w:rPr>
      </w:pPr>
    </w:p>
    <w:p w14:paraId="74658141" w14:textId="77777777" w:rsidR="00E256ED" w:rsidRPr="004245BE" w:rsidRDefault="00E256ED" w:rsidP="00E8062B">
      <w:pPr>
        <w:pStyle w:val="List"/>
        <w:spacing w:before="120"/>
        <w:ind w:left="720" w:hanging="720"/>
        <w:jc w:val="both"/>
        <w:rPr>
          <w:rFonts w:asciiTheme="minorHAnsi" w:hAnsiTheme="minorHAnsi" w:cstheme="minorHAnsi"/>
          <w:sz w:val="22"/>
          <w:szCs w:val="22"/>
        </w:rPr>
      </w:pP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66018EF2" w14:textId="64D5CA3B" w:rsidR="00E256ED" w:rsidRDefault="00E256ED">
      <w:pPr>
        <w:pStyle w:val="List"/>
        <w:spacing w:before="120"/>
        <w:ind w:left="720" w:hanging="720"/>
        <w:jc w:val="both"/>
        <w:rPr>
          <w:rFonts w:asciiTheme="minorHAnsi" w:hAnsiTheme="minorHAnsi" w:cstheme="minorHAnsi"/>
          <w:b/>
          <w:sz w:val="22"/>
          <w:szCs w:val="22"/>
        </w:rPr>
      </w:pPr>
    </w:p>
    <w:p w14:paraId="78BC1DF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54498346" w14:textId="77777777" w:rsidR="00E256ED" w:rsidRPr="004245BE" w:rsidRDefault="00E256ED" w:rsidP="00931B16">
      <w:pPr>
        <w:pStyle w:val="List"/>
        <w:spacing w:before="120"/>
        <w:ind w:left="720" w:hanging="720"/>
        <w:jc w:val="both"/>
        <w:rPr>
          <w:rFonts w:asciiTheme="minorHAnsi" w:hAnsiTheme="minorHAnsi" w:cstheme="minorHAnsi"/>
          <w:sz w:val="22"/>
          <w:szCs w:val="22"/>
        </w:rPr>
      </w:pP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B7FEC81" w14:textId="77777777" w:rsidR="00E256ED" w:rsidRPr="004245BE" w:rsidRDefault="00E256ED">
      <w:pPr>
        <w:pStyle w:val="List"/>
        <w:spacing w:before="120"/>
        <w:ind w:left="720" w:hanging="720"/>
        <w:jc w:val="both"/>
        <w:rPr>
          <w:rFonts w:asciiTheme="minorHAnsi" w:hAnsiTheme="minorHAnsi" w:cstheme="minorHAnsi"/>
          <w:sz w:val="22"/>
          <w:szCs w:val="22"/>
        </w:rPr>
      </w:pP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15A0E4A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586FF789" w14:textId="6ACC9D79" w:rsidR="00E256ED" w:rsidRDefault="00F8426F">
      <w:pPr>
        <w:pStyle w:val="List"/>
        <w:spacing w:before="120"/>
        <w:ind w:left="720" w:hanging="720"/>
        <w:jc w:val="both"/>
        <w:rPr>
          <w:rFonts w:asciiTheme="minorHAnsi" w:hAnsiTheme="minorHAnsi" w:cstheme="minorHAnsi"/>
          <w:sz w:val="22"/>
          <w:szCs w:val="22"/>
        </w:rPr>
      </w:pPr>
      <w:r>
        <w:rPr>
          <w:rFonts w:asciiTheme="minorHAnsi" w:hAnsiTheme="minorHAnsi" w:cstheme="minorHAnsi"/>
          <w:sz w:val="22"/>
          <w:szCs w:val="22"/>
        </w:rPr>
        <w:t xml:space="preserve">               </w:t>
      </w:r>
    </w:p>
    <w:p w14:paraId="46C22D55" w14:textId="60DABDBF" w:rsidR="00F8426F" w:rsidRPr="00F8426F" w:rsidRDefault="00F8426F">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F8426F">
        <w:rPr>
          <w:rFonts w:asciiTheme="minorHAnsi" w:hAnsiTheme="minorHAnsi" w:cstheme="minorHAnsi"/>
          <w:b/>
          <w:bCs/>
          <w:sz w:val="22"/>
          <w:szCs w:val="22"/>
        </w:rPr>
        <w:t>See Item 2 above.</w:t>
      </w:r>
    </w:p>
    <w:p w14:paraId="7E076B61" w14:textId="0DD88658" w:rsidR="004E3DFA" w:rsidRPr="00A76E93" w:rsidRDefault="004E3DFA">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17E4B8E1" w14:textId="77777777" w:rsidR="00F47297" w:rsidRPr="004E3DFA" w:rsidRDefault="00F47297">
      <w:pPr>
        <w:pStyle w:val="List"/>
        <w:spacing w:before="120"/>
        <w:ind w:left="720" w:hanging="720"/>
        <w:jc w:val="both"/>
        <w:rPr>
          <w:rFonts w:asciiTheme="minorHAnsi" w:hAnsiTheme="minorHAnsi" w:cstheme="minorHAnsi"/>
          <w:b/>
          <w:bCs/>
          <w:sz w:val="22"/>
          <w:szCs w:val="22"/>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0E510B1" w14:textId="7EBE32C2" w:rsidR="00E256ED" w:rsidRDefault="00E256ED">
      <w:pPr>
        <w:pStyle w:val="List"/>
        <w:spacing w:before="120"/>
        <w:ind w:left="720" w:hanging="720"/>
        <w:jc w:val="both"/>
        <w:rPr>
          <w:rFonts w:asciiTheme="minorHAnsi" w:hAnsiTheme="minorHAnsi" w:cstheme="minorHAnsi"/>
          <w:sz w:val="22"/>
          <w:szCs w:val="22"/>
        </w:rPr>
      </w:pPr>
    </w:p>
    <w:p w14:paraId="61AE4239" w14:textId="77777777" w:rsidR="00E256ED" w:rsidRPr="004245BE" w:rsidRDefault="00E256ED">
      <w:pPr>
        <w:pStyle w:val="List"/>
        <w:spacing w:before="120"/>
        <w:ind w:left="720" w:hanging="720"/>
        <w:jc w:val="both"/>
        <w:rPr>
          <w:rFonts w:asciiTheme="minorHAnsi" w:hAnsiTheme="minorHAnsi" w:cstheme="minorHAnsi"/>
          <w:sz w:val="22"/>
          <w:szCs w:val="22"/>
        </w:rPr>
      </w:pP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6E802240"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69E2346" w14:textId="6BBBF3E4" w:rsidR="00E256ED" w:rsidRDefault="00E256ED">
      <w:pPr>
        <w:pStyle w:val="List"/>
        <w:spacing w:before="120"/>
        <w:ind w:left="720" w:hanging="720"/>
        <w:jc w:val="both"/>
        <w:rPr>
          <w:rFonts w:asciiTheme="minorHAnsi" w:hAnsiTheme="minorHAnsi" w:cstheme="minorHAnsi"/>
          <w:sz w:val="22"/>
          <w:szCs w:val="22"/>
        </w:rPr>
      </w:pPr>
    </w:p>
    <w:p w14:paraId="24886C43" w14:textId="77777777" w:rsidR="00E256ED" w:rsidRPr="004245BE" w:rsidRDefault="00E256ED">
      <w:pPr>
        <w:pStyle w:val="List"/>
        <w:spacing w:before="120"/>
        <w:ind w:left="720" w:hanging="720"/>
        <w:jc w:val="both"/>
        <w:rPr>
          <w:rFonts w:asciiTheme="minorHAnsi" w:hAnsiTheme="minorHAnsi" w:cstheme="minorHAnsi"/>
          <w:sz w:val="22"/>
          <w:szCs w:val="22"/>
        </w:rPr>
      </w:pPr>
    </w:p>
    <w:p w14:paraId="59C13415" w14:textId="7A96485F" w:rsidR="00450EC4" w:rsidRDefault="00450EC4" w:rsidP="00DB4680">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72636190" w14:textId="69A2D7A8" w:rsidR="00174064" w:rsidRDefault="00174064" w:rsidP="00DB4680">
      <w:pPr>
        <w:pStyle w:val="List"/>
        <w:spacing w:before="120"/>
        <w:ind w:left="720" w:firstLine="0"/>
        <w:jc w:val="both"/>
        <w:rPr>
          <w:rFonts w:asciiTheme="minorHAnsi" w:hAnsiTheme="minorHAnsi" w:cstheme="minorHAnsi"/>
          <w:b/>
          <w:sz w:val="22"/>
          <w:szCs w:val="22"/>
        </w:rPr>
      </w:pPr>
    </w:p>
    <w:p w14:paraId="27383C19" w14:textId="33664C6C" w:rsidR="00174064" w:rsidRDefault="00174064" w:rsidP="00DB4680">
      <w:pPr>
        <w:pStyle w:val="List"/>
        <w:spacing w:before="120"/>
        <w:ind w:left="720" w:firstLine="0"/>
        <w:jc w:val="both"/>
        <w:rPr>
          <w:rFonts w:asciiTheme="minorHAnsi" w:hAnsiTheme="minorHAnsi" w:cstheme="minorHAnsi"/>
          <w:b/>
          <w:sz w:val="22"/>
          <w:szCs w:val="22"/>
        </w:rPr>
      </w:pPr>
    </w:p>
    <w:p w14:paraId="768E8DB1" w14:textId="55DEC3EC" w:rsidR="00174064" w:rsidRDefault="00174064" w:rsidP="00DB4680">
      <w:pPr>
        <w:pStyle w:val="List"/>
        <w:spacing w:before="120"/>
        <w:ind w:left="720" w:firstLine="0"/>
        <w:jc w:val="both"/>
        <w:rPr>
          <w:rFonts w:asciiTheme="minorHAnsi" w:hAnsiTheme="minorHAnsi" w:cstheme="minorHAnsi"/>
          <w:b/>
          <w:sz w:val="22"/>
          <w:szCs w:val="22"/>
        </w:rPr>
      </w:pPr>
    </w:p>
    <w:p w14:paraId="5E0F220E" w14:textId="77777777" w:rsidR="00174064" w:rsidRDefault="00174064" w:rsidP="00DB4680">
      <w:pPr>
        <w:pStyle w:val="List"/>
        <w:spacing w:before="120"/>
        <w:ind w:left="720" w:firstLine="0"/>
        <w:jc w:val="both"/>
        <w:rPr>
          <w:rFonts w:asciiTheme="minorHAnsi" w:hAnsiTheme="minorHAnsi" w:cstheme="minorHAnsi"/>
          <w:b/>
          <w:sz w:val="22"/>
          <w:szCs w:val="22"/>
        </w:rPr>
      </w:pP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51F5E351" w14:textId="611E69EC" w:rsidR="00E256ED" w:rsidRDefault="00E256ED">
      <w:pPr>
        <w:pStyle w:val="List"/>
        <w:spacing w:before="120"/>
        <w:ind w:left="720" w:hanging="720"/>
        <w:jc w:val="both"/>
        <w:rPr>
          <w:rFonts w:asciiTheme="minorHAnsi" w:hAnsiTheme="minorHAnsi" w:cstheme="minorHAnsi"/>
          <w:sz w:val="22"/>
          <w:szCs w:val="22"/>
        </w:rPr>
      </w:pP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6C8D48C5"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F8426F">
        <w:rPr>
          <w:rFonts w:asciiTheme="minorHAnsi" w:hAnsiTheme="minorHAnsi" w:cstheme="minorHAnsi"/>
          <w:b/>
          <w:sz w:val="22"/>
          <w:szCs w:val="22"/>
        </w:rPr>
        <w:t>November 6</w:t>
      </w:r>
      <w:r w:rsidR="00167F30">
        <w:rPr>
          <w:rFonts w:asciiTheme="minorHAnsi" w:hAnsiTheme="minorHAnsi" w:cstheme="minorHAnsi"/>
          <w:b/>
          <w:sz w:val="22"/>
          <w:szCs w:val="22"/>
        </w:rPr>
        <w:t>,</w:t>
      </w:r>
      <w:r w:rsidR="00B97ED9">
        <w:rPr>
          <w:rFonts w:asciiTheme="minorHAnsi" w:hAnsiTheme="minorHAnsi" w:cstheme="minorHAnsi"/>
          <w:b/>
          <w:sz w:val="22"/>
          <w:szCs w:val="22"/>
        </w:rPr>
        <w:t xml:space="preserve"> </w:t>
      </w:r>
      <w:r w:rsidR="005E2A62">
        <w:rPr>
          <w:rFonts w:asciiTheme="minorHAnsi" w:hAnsiTheme="minorHAnsi" w:cstheme="minorHAnsi"/>
          <w:b/>
          <w:sz w:val="22"/>
          <w:szCs w:val="22"/>
        </w:rPr>
        <w:t>2020</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029B1E1C"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noProof/>
          <w:sz w:val="22"/>
          <w:szCs w:val="22"/>
        </w:rPr>
        <w:drawing>
          <wp:inline distT="0" distB="0" distL="0" distR="0" wp14:anchorId="13DEBB2B" wp14:editId="62BF0D6E">
            <wp:extent cx="1962150" cy="701617"/>
            <wp:effectExtent l="0" t="0" r="0" b="381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269" cy="706308"/>
                    </a:xfrm>
                    <a:prstGeom prst="rect">
                      <a:avLst/>
                    </a:prstGeom>
                  </pic:spPr>
                </pic:pic>
              </a:graphicData>
            </a:graphic>
          </wp:inline>
        </w:drawing>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0EBB6411" w:rsidR="00414E69" w:rsidRPr="008F1BB6" w:rsidRDefault="00F8426F">
            <w:pPr>
              <w:pStyle w:val="BodyText"/>
              <w:spacing w:before="0"/>
              <w:rPr>
                <w:rFonts w:asciiTheme="minorHAnsi" w:hAnsiTheme="minorHAnsi" w:cstheme="minorHAnsi"/>
                <w:bCs/>
                <w:sz w:val="22"/>
                <w:szCs w:val="22"/>
              </w:rPr>
            </w:pPr>
            <w:r>
              <w:rPr>
                <w:rFonts w:asciiTheme="minorHAnsi" w:hAnsiTheme="minorHAnsi" w:cstheme="minorHAnsi"/>
                <w:bCs/>
                <w:sz w:val="22"/>
                <w:szCs w:val="22"/>
              </w:rPr>
              <w:t>October</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3741B363"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sidR="008D4EA7">
              <w:rPr>
                <w:rFonts w:asciiTheme="minorHAnsi" w:hAnsiTheme="minorHAnsi" w:cstheme="minorHAnsi"/>
                <w:bCs/>
                <w:sz w:val="22"/>
                <w:szCs w:val="22"/>
              </w:rPr>
              <w:t>1</w:t>
            </w:r>
            <w:r w:rsidR="00F8426F">
              <w:rPr>
                <w:rFonts w:asciiTheme="minorHAnsi" w:hAnsiTheme="minorHAnsi" w:cstheme="minorHAnsi"/>
                <w:bCs/>
                <w:sz w:val="22"/>
                <w:szCs w:val="22"/>
              </w:rPr>
              <w:t>1</w:t>
            </w:r>
            <w:r w:rsidR="00DC4327">
              <w:rPr>
                <w:rFonts w:asciiTheme="minorHAnsi" w:hAnsiTheme="minorHAnsi" w:cstheme="minorHAnsi"/>
                <w:bCs/>
                <w:sz w:val="22"/>
                <w:szCs w:val="22"/>
              </w:rPr>
              <w:t>/</w:t>
            </w:r>
            <w:r w:rsidR="008D4EA7">
              <w:rPr>
                <w:rFonts w:asciiTheme="minorHAnsi" w:hAnsiTheme="minorHAnsi" w:cstheme="minorHAnsi"/>
                <w:bCs/>
                <w:sz w:val="22"/>
                <w:szCs w:val="22"/>
              </w:rPr>
              <w:t>06</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5436E0" w:rsidP="00AF3215">
            <w:pPr>
              <w:pStyle w:val="BodyText"/>
              <w:spacing w:before="0"/>
              <w:rPr>
                <w:rFonts w:asciiTheme="minorHAnsi" w:hAnsiTheme="minorHAnsi" w:cstheme="minorHAnsi"/>
                <w:bCs/>
                <w:sz w:val="22"/>
                <w:szCs w:val="22"/>
              </w:rPr>
            </w:pPr>
            <w:hyperlink r:id="rId9"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5436E0">
            <w:pPr>
              <w:pStyle w:val="BodyText"/>
              <w:spacing w:before="0"/>
              <w:rPr>
                <w:rFonts w:asciiTheme="minorHAnsi" w:hAnsiTheme="minorHAnsi" w:cstheme="minorHAnsi"/>
                <w:bCs/>
                <w:sz w:val="22"/>
                <w:szCs w:val="22"/>
              </w:rPr>
            </w:pPr>
            <w:hyperlink r:id="rId10"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CB21" w14:textId="77777777" w:rsidR="00716E93" w:rsidRDefault="00716E93">
      <w:r>
        <w:separator/>
      </w:r>
    </w:p>
  </w:endnote>
  <w:endnote w:type="continuationSeparator" w:id="0">
    <w:p w14:paraId="29AE49C3" w14:textId="77777777" w:rsidR="00716E93" w:rsidRDefault="0071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FB0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AF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76F5" w14:textId="77777777" w:rsidR="00716E93" w:rsidRDefault="00716E93">
      <w:r>
        <w:separator/>
      </w:r>
    </w:p>
  </w:footnote>
  <w:footnote w:type="continuationSeparator" w:id="0">
    <w:p w14:paraId="1EDF0E59" w14:textId="77777777" w:rsidR="00716E93" w:rsidRDefault="0071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30A1B"/>
    <w:rsid w:val="00042888"/>
    <w:rsid w:val="000445FB"/>
    <w:rsid w:val="00050DC2"/>
    <w:rsid w:val="00050E6E"/>
    <w:rsid w:val="000541EF"/>
    <w:rsid w:val="00091B73"/>
    <w:rsid w:val="00093E35"/>
    <w:rsid w:val="000A1AB1"/>
    <w:rsid w:val="000B0C62"/>
    <w:rsid w:val="000B68CF"/>
    <w:rsid w:val="000B7F5D"/>
    <w:rsid w:val="000C4986"/>
    <w:rsid w:val="000D06EE"/>
    <w:rsid w:val="000D6883"/>
    <w:rsid w:val="000D7FE3"/>
    <w:rsid w:val="000E7EE6"/>
    <w:rsid w:val="000F37D7"/>
    <w:rsid w:val="000F7267"/>
    <w:rsid w:val="000F73AE"/>
    <w:rsid w:val="00103BEE"/>
    <w:rsid w:val="0010403A"/>
    <w:rsid w:val="00115CBA"/>
    <w:rsid w:val="00123B65"/>
    <w:rsid w:val="00130338"/>
    <w:rsid w:val="001306BE"/>
    <w:rsid w:val="00144261"/>
    <w:rsid w:val="00154166"/>
    <w:rsid w:val="001625DB"/>
    <w:rsid w:val="00162788"/>
    <w:rsid w:val="00167F2C"/>
    <w:rsid w:val="00167F30"/>
    <w:rsid w:val="00171327"/>
    <w:rsid w:val="00174064"/>
    <w:rsid w:val="00175ECE"/>
    <w:rsid w:val="001762E3"/>
    <w:rsid w:val="00177096"/>
    <w:rsid w:val="00180FCC"/>
    <w:rsid w:val="00183CD7"/>
    <w:rsid w:val="00193F59"/>
    <w:rsid w:val="0019553C"/>
    <w:rsid w:val="001A6E19"/>
    <w:rsid w:val="001B075E"/>
    <w:rsid w:val="001B3F0D"/>
    <w:rsid w:val="001C22DC"/>
    <w:rsid w:val="001C263F"/>
    <w:rsid w:val="001D0FC8"/>
    <w:rsid w:val="001E047A"/>
    <w:rsid w:val="00201F96"/>
    <w:rsid w:val="00205C78"/>
    <w:rsid w:val="00212EB2"/>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669A9"/>
    <w:rsid w:val="00371A64"/>
    <w:rsid w:val="00371AE1"/>
    <w:rsid w:val="00376332"/>
    <w:rsid w:val="003855D8"/>
    <w:rsid w:val="00387FA8"/>
    <w:rsid w:val="003958D7"/>
    <w:rsid w:val="00395FD3"/>
    <w:rsid w:val="00397187"/>
    <w:rsid w:val="00397277"/>
    <w:rsid w:val="003972FD"/>
    <w:rsid w:val="003A38D7"/>
    <w:rsid w:val="003B3E52"/>
    <w:rsid w:val="003B7077"/>
    <w:rsid w:val="003B7F03"/>
    <w:rsid w:val="003C205C"/>
    <w:rsid w:val="003C7270"/>
    <w:rsid w:val="003D4B6F"/>
    <w:rsid w:val="003E1316"/>
    <w:rsid w:val="003E39A6"/>
    <w:rsid w:val="003F18F9"/>
    <w:rsid w:val="003F3EB7"/>
    <w:rsid w:val="00414E69"/>
    <w:rsid w:val="00415012"/>
    <w:rsid w:val="004245BE"/>
    <w:rsid w:val="004272F6"/>
    <w:rsid w:val="0043254C"/>
    <w:rsid w:val="00435CDA"/>
    <w:rsid w:val="00450EC4"/>
    <w:rsid w:val="0046263E"/>
    <w:rsid w:val="00484132"/>
    <w:rsid w:val="00485B9C"/>
    <w:rsid w:val="00486634"/>
    <w:rsid w:val="00492D56"/>
    <w:rsid w:val="00495D89"/>
    <w:rsid w:val="004960DA"/>
    <w:rsid w:val="004A0576"/>
    <w:rsid w:val="004B6741"/>
    <w:rsid w:val="004B6C60"/>
    <w:rsid w:val="004B6D61"/>
    <w:rsid w:val="004D020E"/>
    <w:rsid w:val="004D1F2A"/>
    <w:rsid w:val="004E0B2E"/>
    <w:rsid w:val="004E3190"/>
    <w:rsid w:val="004E3DFA"/>
    <w:rsid w:val="004F06EE"/>
    <w:rsid w:val="004F0F42"/>
    <w:rsid w:val="004F1093"/>
    <w:rsid w:val="0050030E"/>
    <w:rsid w:val="005076C0"/>
    <w:rsid w:val="005106EA"/>
    <w:rsid w:val="005413C9"/>
    <w:rsid w:val="005453C8"/>
    <w:rsid w:val="0055708B"/>
    <w:rsid w:val="005713C5"/>
    <w:rsid w:val="00590DD9"/>
    <w:rsid w:val="005A3142"/>
    <w:rsid w:val="005A4270"/>
    <w:rsid w:val="005B08DF"/>
    <w:rsid w:val="005B14F4"/>
    <w:rsid w:val="005B2993"/>
    <w:rsid w:val="005B42EB"/>
    <w:rsid w:val="005B58CB"/>
    <w:rsid w:val="005B7FEA"/>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75A1"/>
    <w:rsid w:val="006C0E31"/>
    <w:rsid w:val="006D1A06"/>
    <w:rsid w:val="006D77A3"/>
    <w:rsid w:val="006D7AEF"/>
    <w:rsid w:val="0071566E"/>
    <w:rsid w:val="0071676F"/>
    <w:rsid w:val="00716E93"/>
    <w:rsid w:val="0072360A"/>
    <w:rsid w:val="00726ACE"/>
    <w:rsid w:val="0073156C"/>
    <w:rsid w:val="00744555"/>
    <w:rsid w:val="0074498F"/>
    <w:rsid w:val="007456B0"/>
    <w:rsid w:val="007516CB"/>
    <w:rsid w:val="00756EB0"/>
    <w:rsid w:val="0076478A"/>
    <w:rsid w:val="00770CDD"/>
    <w:rsid w:val="00776AC4"/>
    <w:rsid w:val="007A2C8C"/>
    <w:rsid w:val="007A7E83"/>
    <w:rsid w:val="007C4368"/>
    <w:rsid w:val="007C718F"/>
    <w:rsid w:val="008075C3"/>
    <w:rsid w:val="008141D5"/>
    <w:rsid w:val="00817735"/>
    <w:rsid w:val="00822A25"/>
    <w:rsid w:val="00826995"/>
    <w:rsid w:val="00832F49"/>
    <w:rsid w:val="00837A17"/>
    <w:rsid w:val="0084388D"/>
    <w:rsid w:val="00847F1F"/>
    <w:rsid w:val="00850B59"/>
    <w:rsid w:val="0087452F"/>
    <w:rsid w:val="008809AE"/>
    <w:rsid w:val="008B51FB"/>
    <w:rsid w:val="008B65DE"/>
    <w:rsid w:val="008B7E92"/>
    <w:rsid w:val="008D45C9"/>
    <w:rsid w:val="008D4EA7"/>
    <w:rsid w:val="008D604C"/>
    <w:rsid w:val="008D77AB"/>
    <w:rsid w:val="008E0D9D"/>
    <w:rsid w:val="008E7765"/>
    <w:rsid w:val="008E7CB2"/>
    <w:rsid w:val="008F1BB6"/>
    <w:rsid w:val="008F4058"/>
    <w:rsid w:val="00916295"/>
    <w:rsid w:val="00922A46"/>
    <w:rsid w:val="009256EC"/>
    <w:rsid w:val="00931B16"/>
    <w:rsid w:val="00945C07"/>
    <w:rsid w:val="00965A53"/>
    <w:rsid w:val="009A2C77"/>
    <w:rsid w:val="009A579E"/>
    <w:rsid w:val="009D2952"/>
    <w:rsid w:val="009D46E1"/>
    <w:rsid w:val="009E065B"/>
    <w:rsid w:val="009E0F9E"/>
    <w:rsid w:val="009E1783"/>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76E93"/>
    <w:rsid w:val="00A90E5F"/>
    <w:rsid w:val="00A959A4"/>
    <w:rsid w:val="00AB18E1"/>
    <w:rsid w:val="00AB6911"/>
    <w:rsid w:val="00AD09AA"/>
    <w:rsid w:val="00AE1178"/>
    <w:rsid w:val="00AE43B0"/>
    <w:rsid w:val="00AF3215"/>
    <w:rsid w:val="00B05BD8"/>
    <w:rsid w:val="00B5391F"/>
    <w:rsid w:val="00B57294"/>
    <w:rsid w:val="00B64B28"/>
    <w:rsid w:val="00B70AC7"/>
    <w:rsid w:val="00B930B6"/>
    <w:rsid w:val="00B943DC"/>
    <w:rsid w:val="00B97ED9"/>
    <w:rsid w:val="00BB043B"/>
    <w:rsid w:val="00BC11A2"/>
    <w:rsid w:val="00BD2547"/>
    <w:rsid w:val="00BD6AB4"/>
    <w:rsid w:val="00BF39CB"/>
    <w:rsid w:val="00BF72FC"/>
    <w:rsid w:val="00C07803"/>
    <w:rsid w:val="00C14B5E"/>
    <w:rsid w:val="00C23330"/>
    <w:rsid w:val="00C26C6D"/>
    <w:rsid w:val="00C27A18"/>
    <w:rsid w:val="00C44FAF"/>
    <w:rsid w:val="00C5661B"/>
    <w:rsid w:val="00C6383E"/>
    <w:rsid w:val="00C64416"/>
    <w:rsid w:val="00C64596"/>
    <w:rsid w:val="00C71AF7"/>
    <w:rsid w:val="00C816A7"/>
    <w:rsid w:val="00C85D22"/>
    <w:rsid w:val="00CA32D4"/>
    <w:rsid w:val="00CA646F"/>
    <w:rsid w:val="00CB7B8B"/>
    <w:rsid w:val="00CE10B2"/>
    <w:rsid w:val="00CE2B2A"/>
    <w:rsid w:val="00CF0E8A"/>
    <w:rsid w:val="00CF341B"/>
    <w:rsid w:val="00D216E7"/>
    <w:rsid w:val="00D26E29"/>
    <w:rsid w:val="00D271B8"/>
    <w:rsid w:val="00D27558"/>
    <w:rsid w:val="00D43281"/>
    <w:rsid w:val="00D52BD7"/>
    <w:rsid w:val="00D57A9C"/>
    <w:rsid w:val="00D62569"/>
    <w:rsid w:val="00D63B79"/>
    <w:rsid w:val="00D66ABD"/>
    <w:rsid w:val="00D833E9"/>
    <w:rsid w:val="00D83AA9"/>
    <w:rsid w:val="00D90E4F"/>
    <w:rsid w:val="00D93F9A"/>
    <w:rsid w:val="00DA0BEC"/>
    <w:rsid w:val="00DA130D"/>
    <w:rsid w:val="00DA3074"/>
    <w:rsid w:val="00DA5BF7"/>
    <w:rsid w:val="00DB4680"/>
    <w:rsid w:val="00DC2F50"/>
    <w:rsid w:val="00DC4327"/>
    <w:rsid w:val="00DE01AA"/>
    <w:rsid w:val="00DE468A"/>
    <w:rsid w:val="00DF3058"/>
    <w:rsid w:val="00E01BE3"/>
    <w:rsid w:val="00E121FC"/>
    <w:rsid w:val="00E149B1"/>
    <w:rsid w:val="00E238FA"/>
    <w:rsid w:val="00E256ED"/>
    <w:rsid w:val="00E3416C"/>
    <w:rsid w:val="00E36141"/>
    <w:rsid w:val="00E36C98"/>
    <w:rsid w:val="00E45959"/>
    <w:rsid w:val="00E56A28"/>
    <w:rsid w:val="00E6680B"/>
    <w:rsid w:val="00E66E20"/>
    <w:rsid w:val="00E7274C"/>
    <w:rsid w:val="00E73DB5"/>
    <w:rsid w:val="00E8062B"/>
    <w:rsid w:val="00E83E58"/>
    <w:rsid w:val="00E8674F"/>
    <w:rsid w:val="00EA6329"/>
    <w:rsid w:val="00EC303F"/>
    <w:rsid w:val="00EF3A48"/>
    <w:rsid w:val="00F03E72"/>
    <w:rsid w:val="00F106FA"/>
    <w:rsid w:val="00F12762"/>
    <w:rsid w:val="00F13497"/>
    <w:rsid w:val="00F169FC"/>
    <w:rsid w:val="00F2681B"/>
    <w:rsid w:val="00F3319C"/>
    <w:rsid w:val="00F3539E"/>
    <w:rsid w:val="00F417C7"/>
    <w:rsid w:val="00F47297"/>
    <w:rsid w:val="00F474E5"/>
    <w:rsid w:val="00F477B8"/>
    <w:rsid w:val="00F53C56"/>
    <w:rsid w:val="00F54F94"/>
    <w:rsid w:val="00F64257"/>
    <w:rsid w:val="00F6625F"/>
    <w:rsid w:val="00F8426F"/>
    <w:rsid w:val="00F87B92"/>
    <w:rsid w:val="00F9159C"/>
    <w:rsid w:val="00F92FD5"/>
    <w:rsid w:val="00F960F0"/>
    <w:rsid w:val="00FA1663"/>
    <w:rsid w:val="00FA3EF5"/>
    <w:rsid w:val="00FB4231"/>
    <w:rsid w:val="00FB42BA"/>
    <w:rsid w:val="00FB5715"/>
    <w:rsid w:val="00FC05D7"/>
    <w:rsid w:val="00FC7095"/>
    <w:rsid w:val="00FD48B6"/>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xtScience.com" TargetMode="External"/><Relationship Id="rId4" Type="http://schemas.openxmlformats.org/officeDocument/2006/relationships/settings" Target="settings.xml"/><Relationship Id="rId9" Type="http://schemas.openxmlformats.org/officeDocument/2006/relationships/hyperlink" Target="mailto:Eric@VextScien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2020-11-06T15:48:00Z</dcterms:created>
  <dcterms:modified xsi:type="dcterms:W3CDTF">2020-11-06T15:48:00Z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