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05B45ACF"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341072">
        <w:rPr>
          <w:rFonts w:asciiTheme="minorHAnsi" w:hAnsiTheme="minorHAnsi" w:cstheme="minorHAnsi"/>
          <w:b/>
          <w:bCs/>
          <w:color w:val="000000"/>
          <w:sz w:val="22"/>
          <w:szCs w:val="22"/>
          <w:u w:val="single"/>
        </w:rPr>
        <w:t xml:space="preserve"> </w:t>
      </w:r>
      <w:r w:rsidR="005A3EF3">
        <w:rPr>
          <w:rFonts w:asciiTheme="minorHAnsi" w:hAnsiTheme="minorHAnsi" w:cstheme="minorHAnsi"/>
          <w:b/>
          <w:bCs/>
          <w:color w:val="000000"/>
          <w:sz w:val="22"/>
          <w:szCs w:val="22"/>
          <w:u w:val="single"/>
        </w:rPr>
        <w:t>47,096,791</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2056C187"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85747B">
        <w:rPr>
          <w:rFonts w:asciiTheme="minorHAnsi" w:hAnsiTheme="minorHAnsi" w:cstheme="minorHAnsi"/>
          <w:b/>
          <w:bCs/>
          <w:color w:val="000000"/>
          <w:sz w:val="22"/>
          <w:szCs w:val="22"/>
          <w:u w:val="single"/>
        </w:rPr>
        <w:t>January 31</w:t>
      </w:r>
      <w:r w:rsidR="00AF763E">
        <w:rPr>
          <w:rFonts w:asciiTheme="minorHAnsi" w:hAnsiTheme="minorHAnsi" w:cstheme="minorHAnsi"/>
          <w:b/>
          <w:bCs/>
          <w:color w:val="000000"/>
          <w:sz w:val="22"/>
          <w:szCs w:val="22"/>
          <w:u w:val="single"/>
        </w:rPr>
        <w:t>, 202</w:t>
      </w:r>
      <w:r w:rsidR="005A3EF3">
        <w:rPr>
          <w:rFonts w:asciiTheme="minorHAnsi" w:hAnsiTheme="minorHAnsi" w:cstheme="minorHAnsi"/>
          <w:b/>
          <w:bCs/>
          <w:color w:val="000000"/>
          <w:sz w:val="22"/>
          <w:szCs w:val="22"/>
          <w:u w:val="single"/>
        </w:rPr>
        <w:t>1</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7377283B"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3D4F4D0E" w14:textId="482B45D7" w:rsidR="00702DA7" w:rsidRDefault="00702DA7" w:rsidP="00702DA7">
      <w:pPr>
        <w:pStyle w:val="List"/>
        <w:spacing w:before="120"/>
        <w:ind w:left="720" w:firstLine="0"/>
        <w:jc w:val="both"/>
        <w:rPr>
          <w:rFonts w:asciiTheme="minorHAnsi" w:hAnsiTheme="minorHAnsi" w:cstheme="minorHAnsi"/>
          <w:sz w:val="22"/>
          <w:szCs w:val="22"/>
        </w:rPr>
      </w:pPr>
    </w:p>
    <w:p w14:paraId="316D397B" w14:textId="77777777"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The Issuer, through its wholly owned subsidiaries, is </w:t>
      </w:r>
      <w:r w:rsidRPr="00585045">
        <w:rPr>
          <w:rFonts w:ascii="Calibri" w:hAnsi="Calibri" w:cs="Calibri"/>
          <w:b/>
          <w:bCs/>
          <w:sz w:val="22"/>
          <w:szCs w:val="22"/>
        </w:rPr>
        <w:t xml:space="preserve">a </w:t>
      </w:r>
      <w:r>
        <w:rPr>
          <w:rFonts w:ascii="Calibri" w:hAnsi="Calibri" w:cs="Calibri"/>
          <w:b/>
          <w:bCs/>
          <w:sz w:val="22"/>
          <w:szCs w:val="22"/>
        </w:rPr>
        <w:t>cannabis</w:t>
      </w:r>
      <w:r w:rsidRPr="00585045">
        <w:rPr>
          <w:rFonts w:ascii="Calibri" w:hAnsi="Calibri" w:cs="Calibri"/>
          <w:b/>
          <w:bCs/>
          <w:sz w:val="22"/>
          <w:szCs w:val="22"/>
        </w:rPr>
        <w:t xml:space="preserve"> </w:t>
      </w:r>
      <w:r>
        <w:rPr>
          <w:rFonts w:ascii="Calibri" w:hAnsi="Calibri" w:cs="Calibri"/>
          <w:b/>
          <w:bCs/>
          <w:sz w:val="22"/>
          <w:szCs w:val="22"/>
        </w:rPr>
        <w:t xml:space="preserve">producer and </w:t>
      </w:r>
      <w:r w:rsidRPr="00585045">
        <w:rPr>
          <w:rFonts w:ascii="Calibri" w:hAnsi="Calibri" w:cs="Calibri"/>
          <w:b/>
          <w:bCs/>
          <w:sz w:val="22"/>
          <w:szCs w:val="22"/>
        </w:rPr>
        <w:t>brand</w:t>
      </w:r>
      <w:r>
        <w:rPr>
          <w:rFonts w:ascii="Calibri" w:hAnsi="Calibri" w:cs="Calibri"/>
          <w:b/>
          <w:bCs/>
          <w:sz w:val="22"/>
          <w:szCs w:val="22"/>
        </w:rPr>
        <w:t xml:space="preserve"> </w:t>
      </w:r>
      <w:r w:rsidRPr="00585045">
        <w:rPr>
          <w:rFonts w:ascii="Calibri" w:hAnsi="Calibri" w:cs="Calibri"/>
          <w:b/>
          <w:bCs/>
          <w:sz w:val="22"/>
          <w:szCs w:val="22"/>
        </w:rPr>
        <w:t>leader based in Arizona</w:t>
      </w:r>
      <w:r>
        <w:rPr>
          <w:rFonts w:ascii="Calibri" w:hAnsi="Calibri" w:cs="Calibri"/>
          <w:b/>
          <w:bCs/>
          <w:sz w:val="22"/>
          <w:szCs w:val="22"/>
        </w:rPr>
        <w:t xml:space="preserve"> and other key markets throughout the United States.  The Issuer is focused on leveraging</w:t>
      </w:r>
      <w:r w:rsidRPr="00585045">
        <w:rPr>
          <w:rFonts w:ascii="Calibri" w:hAnsi="Calibri" w:cs="Calibri"/>
          <w:b/>
          <w:bCs/>
          <w:sz w:val="22"/>
          <w:szCs w:val="22"/>
        </w:rPr>
        <w:t xml:space="preserve"> its core expertise in extraction, manufacturing, </w:t>
      </w:r>
      <w:proofErr w:type="gramStart"/>
      <w:r w:rsidRPr="00585045">
        <w:rPr>
          <w:rFonts w:ascii="Calibri" w:hAnsi="Calibri" w:cs="Calibri"/>
          <w:b/>
          <w:bCs/>
          <w:sz w:val="22"/>
          <w:szCs w:val="22"/>
        </w:rPr>
        <w:t>cultivation</w:t>
      </w:r>
      <w:proofErr w:type="gramEnd"/>
      <w:r w:rsidRPr="00585045">
        <w:rPr>
          <w:rFonts w:ascii="Calibri" w:hAnsi="Calibri" w:cs="Calibri"/>
          <w:b/>
          <w:bCs/>
          <w:sz w:val="22"/>
          <w:szCs w:val="22"/>
        </w:rPr>
        <w:t xml:space="preserve"> and marketing </w:t>
      </w:r>
      <w:r>
        <w:rPr>
          <w:rFonts w:ascii="Calibri" w:hAnsi="Calibri" w:cs="Calibri"/>
          <w:b/>
          <w:bCs/>
          <w:sz w:val="22"/>
          <w:szCs w:val="22"/>
        </w:rPr>
        <w:t xml:space="preserve">both to grow within Arizona and </w:t>
      </w:r>
      <w:r w:rsidRPr="00585045">
        <w:rPr>
          <w:rFonts w:ascii="Calibri" w:hAnsi="Calibri" w:cs="Calibri"/>
          <w:b/>
          <w:bCs/>
          <w:sz w:val="22"/>
          <w:szCs w:val="22"/>
        </w:rPr>
        <w:t>to build a profitable multi-state footprint</w:t>
      </w:r>
      <w:r>
        <w:rPr>
          <w:rFonts w:ascii="Calibri" w:hAnsi="Calibri" w:cs="Calibri"/>
          <w:b/>
          <w:bCs/>
          <w:sz w:val="22"/>
          <w:szCs w:val="22"/>
        </w:rPr>
        <w:t xml:space="preserve"> in the U.S. market. </w:t>
      </w:r>
    </w:p>
    <w:p w14:paraId="4642EBC4" w14:textId="29C1E844"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In November 2020, the Issuer closed a USD$6.4mm financing by way of a short form prospectus.  This provided the Issuer with additional working capital to continue to prepare its Arizona operations for the transition to recreational sales in 2021.   On </w:t>
      </w:r>
      <w:proofErr w:type="gramStart"/>
      <w:r>
        <w:rPr>
          <w:rFonts w:ascii="Calibri" w:hAnsi="Calibri" w:cs="Calibri"/>
          <w:b/>
          <w:bCs/>
          <w:sz w:val="22"/>
          <w:szCs w:val="22"/>
        </w:rPr>
        <w:t>January 22, 2021</w:t>
      </w:r>
      <w:proofErr w:type="gramEnd"/>
      <w:r>
        <w:rPr>
          <w:rFonts w:ascii="Calibri" w:hAnsi="Calibri" w:cs="Calibri"/>
          <w:b/>
          <w:bCs/>
          <w:sz w:val="22"/>
          <w:szCs w:val="22"/>
        </w:rPr>
        <w:t xml:space="preserve"> the</w:t>
      </w:r>
      <w:r>
        <w:rPr>
          <w:rFonts w:ascii="Calibri" w:hAnsi="Calibri" w:cs="Calibri"/>
          <w:b/>
          <w:bCs/>
          <w:sz w:val="22"/>
          <w:szCs w:val="22"/>
        </w:rPr>
        <w:t xml:space="preserve"> </w:t>
      </w:r>
      <w:r>
        <w:rPr>
          <w:rFonts w:ascii="Calibri" w:hAnsi="Calibri" w:cs="Calibri"/>
          <w:b/>
          <w:bCs/>
          <w:sz w:val="22"/>
          <w:szCs w:val="22"/>
        </w:rPr>
        <w:t xml:space="preserve">Issuer’s two primary customers received </w:t>
      </w:r>
      <w:r w:rsidRPr="00F274BC">
        <w:rPr>
          <w:rFonts w:ascii="Calibri" w:hAnsi="Calibri" w:cs="Calibri"/>
          <w:b/>
          <w:bCs/>
          <w:sz w:val="22"/>
          <w:szCs w:val="22"/>
        </w:rPr>
        <w:t>approval from the Arizona Department of Health Services to begin selling recreational cannabis</w:t>
      </w:r>
      <w:r>
        <w:rPr>
          <w:rFonts w:ascii="Calibri" w:hAnsi="Calibri" w:cs="Calibri"/>
          <w:b/>
          <w:bCs/>
          <w:sz w:val="22"/>
          <w:szCs w:val="22"/>
        </w:rPr>
        <w:t>.</w:t>
      </w:r>
    </w:p>
    <w:p w14:paraId="105B8E01" w14:textId="437CF138" w:rsidR="00702DA7" w:rsidRDefault="00702DA7" w:rsidP="00702DA7">
      <w:pPr>
        <w:pStyle w:val="BodyText"/>
        <w:spacing w:before="120"/>
        <w:ind w:left="720"/>
        <w:jc w:val="both"/>
        <w:rPr>
          <w:rFonts w:ascii="Calibri" w:hAnsi="Calibri" w:cs="Calibri"/>
          <w:b/>
          <w:bCs/>
          <w:sz w:val="22"/>
          <w:szCs w:val="22"/>
        </w:rPr>
      </w:pPr>
      <w:r>
        <w:rPr>
          <w:rFonts w:ascii="Calibri" w:hAnsi="Calibri" w:cs="Calibri"/>
          <w:b/>
          <w:bCs/>
          <w:sz w:val="22"/>
          <w:szCs w:val="22"/>
        </w:rPr>
        <w:t xml:space="preserve">During the month of </w:t>
      </w:r>
      <w:proofErr w:type="gramStart"/>
      <w:r>
        <w:rPr>
          <w:rFonts w:ascii="Calibri" w:hAnsi="Calibri" w:cs="Calibri"/>
          <w:b/>
          <w:bCs/>
          <w:sz w:val="22"/>
          <w:szCs w:val="22"/>
        </w:rPr>
        <w:t>January</w:t>
      </w:r>
      <w:r>
        <w:rPr>
          <w:rFonts w:ascii="Calibri" w:hAnsi="Calibri" w:cs="Calibri"/>
          <w:b/>
          <w:bCs/>
          <w:sz w:val="22"/>
          <w:szCs w:val="22"/>
        </w:rPr>
        <w:t>,</w:t>
      </w:r>
      <w:proofErr w:type="gramEnd"/>
      <w:r>
        <w:rPr>
          <w:rFonts w:ascii="Calibri" w:hAnsi="Calibri" w:cs="Calibri"/>
          <w:b/>
          <w:bCs/>
          <w:sz w:val="22"/>
          <w:szCs w:val="22"/>
        </w:rPr>
        <w:t xml:space="preserve"> 2021 the Issuer appointed a CFO for its Arizona subsidiary, New Gen Holdings</w:t>
      </w:r>
      <w:r>
        <w:rPr>
          <w:rFonts w:ascii="Calibri" w:hAnsi="Calibri" w:cs="Calibri"/>
          <w:b/>
          <w:bCs/>
          <w:sz w:val="22"/>
          <w:szCs w:val="22"/>
        </w:rPr>
        <w:t xml:space="preserve"> Inc.</w:t>
      </w:r>
      <w:r>
        <w:rPr>
          <w:rFonts w:ascii="Calibri" w:hAnsi="Calibri" w:cs="Calibri"/>
          <w:b/>
          <w:bCs/>
          <w:sz w:val="22"/>
          <w:szCs w:val="22"/>
        </w:rPr>
        <w:t xml:space="preserve">, to support the </w:t>
      </w:r>
      <w:r>
        <w:rPr>
          <w:rFonts w:ascii="Calibri" w:hAnsi="Calibri" w:cs="Calibri"/>
          <w:b/>
          <w:bCs/>
          <w:sz w:val="22"/>
          <w:szCs w:val="22"/>
        </w:rPr>
        <w:t>its</w:t>
      </w:r>
      <w:r>
        <w:rPr>
          <w:rFonts w:ascii="Calibri" w:hAnsi="Calibri" w:cs="Calibri"/>
          <w:b/>
          <w:bCs/>
          <w:sz w:val="22"/>
          <w:szCs w:val="22"/>
        </w:rPr>
        <w:t xml:space="preserve"> growth. On January 13</w:t>
      </w:r>
      <w:r w:rsidRPr="000C6DC8">
        <w:rPr>
          <w:rFonts w:ascii="Calibri" w:hAnsi="Calibri" w:cs="Calibri"/>
          <w:b/>
          <w:bCs/>
          <w:sz w:val="22"/>
          <w:szCs w:val="22"/>
          <w:vertAlign w:val="superscript"/>
        </w:rPr>
        <w:t>th</w:t>
      </w:r>
      <w:r>
        <w:rPr>
          <w:rFonts w:ascii="Calibri" w:hAnsi="Calibri" w:cs="Calibri"/>
          <w:b/>
          <w:bCs/>
          <w:sz w:val="22"/>
          <w:szCs w:val="22"/>
        </w:rPr>
        <w:t xml:space="preserve">, the Issuer announced an $18 </w:t>
      </w:r>
      <w:r>
        <w:rPr>
          <w:rFonts w:ascii="Calibri" w:hAnsi="Calibri" w:cs="Calibri"/>
          <w:b/>
          <w:bCs/>
          <w:sz w:val="22"/>
          <w:szCs w:val="22"/>
        </w:rPr>
        <w:lastRenderedPageBreak/>
        <w:t>million bought deal public offering</w:t>
      </w:r>
      <w:r>
        <w:rPr>
          <w:rFonts w:ascii="Calibri" w:hAnsi="Calibri" w:cs="Calibri"/>
          <w:b/>
          <w:bCs/>
          <w:sz w:val="22"/>
          <w:szCs w:val="22"/>
        </w:rPr>
        <w:t>,</w:t>
      </w:r>
      <w:r>
        <w:rPr>
          <w:rFonts w:ascii="Calibri" w:hAnsi="Calibri" w:cs="Calibri"/>
          <w:b/>
          <w:bCs/>
          <w:sz w:val="22"/>
          <w:szCs w:val="22"/>
        </w:rPr>
        <w:t xml:space="preserve"> which is scheduled to close during February 2021</w:t>
      </w:r>
      <w:r>
        <w:rPr>
          <w:rFonts w:ascii="Calibri" w:hAnsi="Calibri" w:cs="Calibri"/>
          <w:b/>
          <w:bCs/>
          <w:sz w:val="22"/>
          <w:szCs w:val="22"/>
        </w:rPr>
        <w:t>.</w:t>
      </w:r>
      <w:r>
        <w:rPr>
          <w:rFonts w:ascii="Calibri" w:hAnsi="Calibri" w:cs="Calibri"/>
          <w:b/>
          <w:bCs/>
          <w:sz w:val="22"/>
          <w:szCs w:val="22"/>
        </w:rPr>
        <w:t xml:space="preserve"> </w:t>
      </w:r>
      <w:r>
        <w:rPr>
          <w:rFonts w:ascii="Calibri" w:hAnsi="Calibri" w:cs="Calibri"/>
          <w:b/>
          <w:bCs/>
          <w:sz w:val="22"/>
          <w:szCs w:val="22"/>
        </w:rPr>
        <w:t xml:space="preserve"> The proceeds </w:t>
      </w:r>
      <w:r>
        <w:rPr>
          <w:rFonts w:ascii="Calibri" w:hAnsi="Calibri" w:cs="Calibri"/>
          <w:b/>
          <w:bCs/>
          <w:sz w:val="22"/>
          <w:szCs w:val="22"/>
        </w:rPr>
        <w:t xml:space="preserve">will be used for general corporate and working capital purposes to support the Issuer’s growth in Arizona and other States. </w:t>
      </w:r>
    </w:p>
    <w:p w14:paraId="23638100" w14:textId="77777777" w:rsidR="00702DA7" w:rsidRDefault="00702DA7" w:rsidP="00702DA7">
      <w:pPr>
        <w:pStyle w:val="BodyText"/>
        <w:spacing w:before="120"/>
        <w:ind w:left="720"/>
        <w:jc w:val="both"/>
        <w:rPr>
          <w:rFonts w:ascii="Calibri" w:hAnsi="Calibri" w:cs="Calibri"/>
          <w:b/>
          <w:bCs/>
          <w:sz w:val="22"/>
          <w:szCs w:val="22"/>
        </w:rPr>
      </w:pPr>
    </w:p>
    <w:p w14:paraId="3B589F2A" w14:textId="77777777" w:rsidR="00702DA7" w:rsidRDefault="00702DA7" w:rsidP="00702DA7">
      <w:pPr>
        <w:pStyle w:val="BodyText"/>
        <w:pBdr>
          <w:bottom w:val="single" w:sz="12" w:space="1" w:color="auto"/>
        </w:pBdr>
        <w:spacing w:before="120"/>
        <w:ind w:left="720"/>
        <w:jc w:val="both"/>
        <w:rPr>
          <w:rFonts w:ascii="Calibri" w:hAnsi="Calibri" w:cs="Calibri"/>
          <w:b/>
          <w:bCs/>
          <w:sz w:val="22"/>
          <w:szCs w:val="22"/>
        </w:rPr>
      </w:pPr>
    </w:p>
    <w:p w14:paraId="42F7A477" w14:textId="77777777" w:rsidR="00702DA7" w:rsidRDefault="00702DA7" w:rsidP="00AE1178">
      <w:pPr>
        <w:pStyle w:val="BodyText"/>
        <w:spacing w:before="120"/>
        <w:ind w:left="720"/>
        <w:jc w:val="both"/>
        <w:rPr>
          <w:rFonts w:asciiTheme="minorHAnsi" w:hAnsiTheme="minorHAnsi" w:cstheme="minorHAnsi"/>
          <w:b/>
          <w:bCs/>
          <w:sz w:val="22"/>
          <w:szCs w:val="22"/>
        </w:rPr>
      </w:pPr>
    </w:p>
    <w:p w14:paraId="0B6F03AE" w14:textId="1A5E5033" w:rsidR="00E256ED" w:rsidRDefault="00702DA7" w:rsidP="00931B16">
      <w:pPr>
        <w:pStyle w:val="BodyText"/>
        <w:spacing w:before="120"/>
        <w:ind w:left="720"/>
        <w:jc w:val="both"/>
        <w:rPr>
          <w:rFonts w:asciiTheme="minorHAnsi" w:hAnsiTheme="minorHAnsi" w:cstheme="minorHAnsi"/>
          <w:b/>
          <w:bCs/>
          <w:sz w:val="22"/>
          <w:szCs w:val="22"/>
        </w:rPr>
      </w:pPr>
      <w:r>
        <w:rPr>
          <w:rFonts w:asciiTheme="minorHAnsi" w:hAnsiTheme="minorHAnsi" w:cstheme="minorHAnsi"/>
          <w:b/>
          <w:bCs/>
          <w:sz w:val="22"/>
          <w:szCs w:val="22"/>
        </w:rPr>
        <w:t>Issuer</w:t>
      </w:r>
    </w:p>
    <w:p w14:paraId="7433ABC9" w14:textId="793B0A82" w:rsidR="005C58FA" w:rsidRPr="005C58FA" w:rsidRDefault="00640E94" w:rsidP="005C58FA">
      <w:pPr>
        <w:pStyle w:val="List"/>
        <w:numPr>
          <w:ilvl w:val="0"/>
          <w:numId w:val="39"/>
        </w:numPr>
        <w:spacing w:before="120"/>
        <w:jc w:val="both"/>
        <w:rPr>
          <w:rFonts w:asciiTheme="minorHAnsi" w:hAnsiTheme="minorHAnsi" w:cstheme="minorHAnsi"/>
          <w:sz w:val="22"/>
          <w:szCs w:val="22"/>
        </w:rPr>
      </w:pPr>
      <w:r w:rsidRPr="003C205C">
        <w:rPr>
          <w:rFonts w:asciiTheme="minorHAnsi" w:hAnsiTheme="minorHAnsi" w:cstheme="minorHAnsi"/>
          <w:sz w:val="22"/>
          <w:szCs w:val="22"/>
        </w:rPr>
        <w:t xml:space="preserve">Provide a general overview and discussion of the activities of </w:t>
      </w:r>
      <w:r w:rsidRPr="00174064">
        <w:rPr>
          <w:rFonts w:asciiTheme="minorHAnsi" w:hAnsiTheme="minorHAnsi" w:cstheme="minorHAnsi"/>
          <w:sz w:val="22"/>
          <w:szCs w:val="22"/>
        </w:rPr>
        <w:t>manage</w:t>
      </w:r>
      <w:r w:rsidR="00174064" w:rsidRPr="00174064">
        <w:rPr>
          <w:rFonts w:asciiTheme="minorHAnsi" w:hAnsiTheme="minorHAnsi" w:cstheme="minorHAnsi"/>
          <w:sz w:val="22"/>
          <w:szCs w:val="22"/>
        </w:rPr>
        <w:t>men</w:t>
      </w:r>
      <w:r w:rsidR="00744555">
        <w:rPr>
          <w:rFonts w:asciiTheme="minorHAnsi" w:hAnsiTheme="minorHAnsi" w:cstheme="minorHAnsi"/>
          <w:sz w:val="22"/>
          <w:szCs w:val="22"/>
        </w:rPr>
        <w:t>t</w:t>
      </w:r>
      <w:r w:rsidR="009E0F9E">
        <w:rPr>
          <w:rFonts w:asciiTheme="minorHAnsi" w:hAnsiTheme="minorHAnsi" w:cstheme="minorHAnsi"/>
          <w:sz w:val="22"/>
          <w:szCs w:val="22"/>
        </w:rPr>
        <w:t>.</w:t>
      </w:r>
    </w:p>
    <w:p w14:paraId="001782AF" w14:textId="43F37857" w:rsidR="005C58FA" w:rsidRDefault="005C58FA" w:rsidP="005C58FA">
      <w:pPr>
        <w:pStyle w:val="ListParagraph"/>
        <w:ind w:left="720" w:right="288" w:firstLine="0"/>
        <w:jc w:val="both"/>
      </w:pPr>
    </w:p>
    <w:p w14:paraId="6080DAA6" w14:textId="61862F27" w:rsidR="00C72755" w:rsidRPr="00CA25EF" w:rsidRDefault="005A3EF3" w:rsidP="005C58FA">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On </w:t>
      </w:r>
      <w:proofErr w:type="gramStart"/>
      <w:r w:rsidRPr="00CA25EF">
        <w:rPr>
          <w:rFonts w:asciiTheme="minorHAnsi" w:hAnsiTheme="minorHAnsi" w:cstheme="minorHAnsi"/>
          <w:b/>
          <w:bCs/>
        </w:rPr>
        <w:t>January 19, 2021</w:t>
      </w:r>
      <w:proofErr w:type="gramEnd"/>
      <w:r w:rsidRPr="00CA25EF">
        <w:rPr>
          <w:rFonts w:asciiTheme="minorHAnsi" w:hAnsiTheme="minorHAnsi" w:cstheme="minorHAnsi"/>
          <w:b/>
          <w:bCs/>
        </w:rPr>
        <w:t xml:space="preserve"> the Issuer announced that it has filed a preliminary short form prospectus (the "Prospectus"), in connection with its previously announced "bought deal" public offering (the "Offering") of units of the </w:t>
      </w:r>
      <w:r w:rsidR="00702DA7">
        <w:rPr>
          <w:rFonts w:asciiTheme="minorHAnsi" w:hAnsiTheme="minorHAnsi" w:cstheme="minorHAnsi"/>
          <w:b/>
          <w:bCs/>
        </w:rPr>
        <w:t>Issuer</w:t>
      </w:r>
      <w:r w:rsidRPr="00CA25EF">
        <w:rPr>
          <w:rFonts w:asciiTheme="minorHAnsi" w:hAnsiTheme="minorHAnsi" w:cstheme="minorHAnsi"/>
          <w:b/>
          <w:bCs/>
        </w:rPr>
        <w:t xml:space="preserve"> (the "Units"). Pursuant to the underwriting agreement between the </w:t>
      </w:r>
      <w:r w:rsidR="00702DA7">
        <w:rPr>
          <w:rFonts w:asciiTheme="minorHAnsi" w:hAnsiTheme="minorHAnsi" w:cstheme="minorHAnsi"/>
          <w:b/>
          <w:bCs/>
        </w:rPr>
        <w:t>Issuer</w:t>
      </w:r>
      <w:r w:rsidRPr="00CA25EF">
        <w:rPr>
          <w:rFonts w:asciiTheme="minorHAnsi" w:hAnsiTheme="minorHAnsi" w:cstheme="minorHAnsi"/>
          <w:b/>
          <w:bCs/>
        </w:rPr>
        <w:t xml:space="preserve">, Beacon Securities Limited ("Beacon"), as lead underwriter and sole bookrunner, and a syndicate of underwriters including Canaccord Genuity Corp. and Eight Capital (collectively, the "Underwriters"), the Underwriters have agreed to purchase 16,100,000 Units at a price of $1.12 per Unit (the "Offering Price") for aggregate gross proceeds of approximately </w:t>
      </w:r>
      <w:r w:rsidR="00C72755" w:rsidRPr="00CA25EF">
        <w:rPr>
          <w:rFonts w:asciiTheme="minorHAnsi" w:hAnsiTheme="minorHAnsi" w:cstheme="minorHAnsi"/>
          <w:b/>
          <w:bCs/>
        </w:rPr>
        <w:t>CAD</w:t>
      </w:r>
      <w:r w:rsidRPr="00CA25EF">
        <w:rPr>
          <w:rFonts w:asciiTheme="minorHAnsi" w:hAnsiTheme="minorHAnsi" w:cstheme="minorHAnsi"/>
          <w:b/>
          <w:bCs/>
        </w:rPr>
        <w:t>$18 million</w:t>
      </w:r>
      <w:r w:rsidR="00C72755" w:rsidRPr="00CA25EF">
        <w:rPr>
          <w:rFonts w:asciiTheme="minorHAnsi" w:hAnsiTheme="minorHAnsi" w:cstheme="minorHAnsi"/>
          <w:b/>
          <w:bCs/>
        </w:rPr>
        <w:t xml:space="preserve">.  </w:t>
      </w:r>
      <w:r w:rsidRPr="00CA25EF">
        <w:rPr>
          <w:rFonts w:asciiTheme="minorHAnsi" w:hAnsiTheme="minorHAnsi" w:cstheme="minorHAnsi"/>
          <w:b/>
          <w:bCs/>
        </w:rPr>
        <w:t xml:space="preserve">Each Unit will consist of one common share (each, a "Subordinated Voting Share") in the capital of the </w:t>
      </w:r>
      <w:r w:rsidR="00702DA7">
        <w:rPr>
          <w:rFonts w:asciiTheme="minorHAnsi" w:hAnsiTheme="minorHAnsi" w:cstheme="minorHAnsi"/>
          <w:b/>
          <w:bCs/>
        </w:rPr>
        <w:t>Issuer</w:t>
      </w:r>
      <w:r w:rsidRPr="00CA25EF">
        <w:rPr>
          <w:rFonts w:asciiTheme="minorHAnsi" w:hAnsiTheme="minorHAnsi" w:cstheme="minorHAnsi"/>
          <w:b/>
          <w:bCs/>
        </w:rPr>
        <w:t xml:space="preserve"> and one-half of one common share purchase warrant (each whole warrant, a "Warrant") of the </w:t>
      </w:r>
      <w:r w:rsidR="00702DA7">
        <w:rPr>
          <w:rFonts w:asciiTheme="minorHAnsi" w:hAnsiTheme="minorHAnsi" w:cstheme="minorHAnsi"/>
          <w:b/>
          <w:bCs/>
        </w:rPr>
        <w:t>Issuer</w:t>
      </w:r>
      <w:r w:rsidRPr="00CA25EF">
        <w:rPr>
          <w:rFonts w:asciiTheme="minorHAnsi" w:hAnsiTheme="minorHAnsi" w:cstheme="minorHAnsi"/>
          <w:b/>
          <w:bCs/>
        </w:rPr>
        <w:t xml:space="preserve">. Each Warrant will entitle the holder thereof to purchase one Subordinated Voting Share at a price of $1.40 for a period of 36 months from the Closing Date (as defined below), subject to the Accelerated Exercise Period (as defined below), after which time the Warrants will be void and of no value. If, at any time prior to the expiry date of the Warrants, the volume weighted average trading price of the Subordinated Voting Shares on the Canadian Securities Exchange (or such other stock exchange where the Subordinated Voting Shares are then listed) is greater than or equal to $2.50 for a period of 20 consecutive trading days, the </w:t>
      </w:r>
      <w:r w:rsidR="00702DA7">
        <w:rPr>
          <w:rFonts w:asciiTheme="minorHAnsi" w:hAnsiTheme="minorHAnsi" w:cstheme="minorHAnsi"/>
          <w:b/>
          <w:bCs/>
        </w:rPr>
        <w:t>Issuer</w:t>
      </w:r>
      <w:r w:rsidRPr="00CA25EF">
        <w:rPr>
          <w:rFonts w:asciiTheme="minorHAnsi" w:hAnsiTheme="minorHAnsi" w:cstheme="minorHAnsi"/>
          <w:b/>
          <w:bCs/>
        </w:rPr>
        <w:t xml:space="preserve"> may, in its sole discretion, provide written notice to the holders of the Warrants by way of a news release advising that the Warrants will expire at 4:00 p.m. (Toronto Time) on the 30th day following the date of such notice unless exercised by the holders prior to such date (the "Accelerated Exercise Period"). The </w:t>
      </w:r>
      <w:r w:rsidR="00702DA7">
        <w:rPr>
          <w:rFonts w:asciiTheme="minorHAnsi" w:hAnsiTheme="minorHAnsi" w:cstheme="minorHAnsi"/>
          <w:b/>
          <w:bCs/>
        </w:rPr>
        <w:t>Issuer</w:t>
      </w:r>
      <w:r w:rsidRPr="00CA25EF">
        <w:rPr>
          <w:rFonts w:asciiTheme="minorHAnsi" w:hAnsiTheme="minorHAnsi" w:cstheme="minorHAnsi"/>
          <w:b/>
          <w:bCs/>
        </w:rPr>
        <w:t xml:space="preserve"> intends to apply to list the Warrants on the Canadian Securities Exchange. </w:t>
      </w:r>
    </w:p>
    <w:p w14:paraId="1E0CF2C7" w14:textId="77777777" w:rsidR="00C72755" w:rsidRPr="00CA25EF" w:rsidRDefault="00C72755" w:rsidP="005C58FA">
      <w:pPr>
        <w:pStyle w:val="ListParagraph"/>
        <w:ind w:left="720" w:right="288" w:firstLine="0"/>
        <w:jc w:val="both"/>
        <w:rPr>
          <w:rFonts w:asciiTheme="minorHAnsi" w:hAnsiTheme="minorHAnsi" w:cstheme="minorHAnsi"/>
          <w:b/>
          <w:bCs/>
        </w:rPr>
      </w:pPr>
    </w:p>
    <w:p w14:paraId="02591A43" w14:textId="6FAFDD17" w:rsidR="00C72755" w:rsidRPr="00CA25EF" w:rsidRDefault="005A3EF3" w:rsidP="005C58FA">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The </w:t>
      </w:r>
      <w:r w:rsidR="00702DA7">
        <w:rPr>
          <w:rFonts w:asciiTheme="minorHAnsi" w:hAnsiTheme="minorHAnsi" w:cstheme="minorHAnsi"/>
          <w:b/>
          <w:bCs/>
        </w:rPr>
        <w:t>Issuer</w:t>
      </w:r>
      <w:r w:rsidRPr="00CA25EF">
        <w:rPr>
          <w:rFonts w:asciiTheme="minorHAnsi" w:hAnsiTheme="minorHAnsi" w:cstheme="minorHAnsi"/>
          <w:b/>
          <w:bCs/>
        </w:rPr>
        <w:t xml:space="preserve"> has granted the Underwriters an option (the "Over-Allotment Option"), exercisable, in whole or in part, by Beacon, on behalf of the Underwriters, giving notice to the </w:t>
      </w:r>
      <w:r w:rsidR="00702DA7">
        <w:rPr>
          <w:rFonts w:asciiTheme="minorHAnsi" w:hAnsiTheme="minorHAnsi" w:cstheme="minorHAnsi"/>
          <w:b/>
          <w:bCs/>
        </w:rPr>
        <w:t>Issuer</w:t>
      </w:r>
      <w:r w:rsidRPr="00CA25EF">
        <w:rPr>
          <w:rFonts w:asciiTheme="minorHAnsi" w:hAnsiTheme="minorHAnsi" w:cstheme="minorHAnsi"/>
          <w:b/>
          <w:bCs/>
        </w:rPr>
        <w:t xml:space="preserve"> at any time and from time to time up to 30 days following the Closing Date, to purchase, or to find substituted purchasers for, up to an additional number of Units equal to 15% of the Units sold pursuant to the Offering at the Offering Price to cover over-allotments, if any, and for market stabilization purposes. The Over-Allotment Option shall be exercisable to acquire Units, Subordinated Voting Shares or Warrants (or any combination thereof), at the discretion of the Underwriters. </w:t>
      </w:r>
    </w:p>
    <w:p w14:paraId="596D6D8C" w14:textId="77777777" w:rsidR="00C72755" w:rsidRPr="00CA25EF" w:rsidRDefault="00C72755" w:rsidP="005C58FA">
      <w:pPr>
        <w:pStyle w:val="ListParagraph"/>
        <w:ind w:left="720" w:right="288" w:firstLine="0"/>
        <w:jc w:val="both"/>
        <w:rPr>
          <w:rFonts w:asciiTheme="minorHAnsi" w:hAnsiTheme="minorHAnsi" w:cstheme="minorHAnsi"/>
          <w:b/>
          <w:bCs/>
        </w:rPr>
      </w:pPr>
    </w:p>
    <w:p w14:paraId="4FB1D92C" w14:textId="77777777" w:rsidR="00C72755" w:rsidRPr="00CA25EF" w:rsidRDefault="005A3EF3" w:rsidP="005C58FA">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As consideration for their services in connection with the Offering, the Underwriters will receive consideration comprised of (</w:t>
      </w:r>
      <w:proofErr w:type="spellStart"/>
      <w:r w:rsidRPr="00CA25EF">
        <w:rPr>
          <w:rFonts w:asciiTheme="minorHAnsi" w:hAnsiTheme="minorHAnsi" w:cstheme="minorHAnsi"/>
          <w:b/>
          <w:bCs/>
        </w:rPr>
        <w:t>i</w:t>
      </w:r>
      <w:proofErr w:type="spellEnd"/>
      <w:r w:rsidRPr="00CA25EF">
        <w:rPr>
          <w:rFonts w:asciiTheme="minorHAnsi" w:hAnsiTheme="minorHAnsi" w:cstheme="minorHAnsi"/>
          <w:b/>
          <w:bCs/>
        </w:rPr>
        <w:t xml:space="preserve">) a cash fee equal to 7% of the gross proceeds of the Offering (subject to a reduced cash fee equal to 3.5% for those subscriptions identified on a president's list), including proceeds received from the exercise of the Over-Allotment Option, and (ii) share purchase warrants ("Compensation Options") to purchase up to 7% of the number of Units sold in the Offering (subject to a reduced number of Compensation Options equal to 3.5% of the Units sold to subscriptions identified on a president's list), including any additional Units issued upon the Underwriters exercise of the Over-Allotment Option. Each Compensation Option will entitle the holder thereof to purchase one Subordinated Voting Share at the Offering Price for 36 months from the date of issuance. </w:t>
      </w:r>
    </w:p>
    <w:p w14:paraId="1C2B2F32" w14:textId="77777777" w:rsidR="00C72755" w:rsidRPr="00CA25EF" w:rsidRDefault="00C72755" w:rsidP="005C58FA">
      <w:pPr>
        <w:pStyle w:val="ListParagraph"/>
        <w:ind w:left="720" w:right="288" w:firstLine="0"/>
        <w:jc w:val="both"/>
        <w:rPr>
          <w:rFonts w:asciiTheme="minorHAnsi" w:hAnsiTheme="minorHAnsi" w:cstheme="minorHAnsi"/>
          <w:b/>
          <w:bCs/>
        </w:rPr>
      </w:pPr>
    </w:p>
    <w:p w14:paraId="45D04251" w14:textId="48C19CFD" w:rsidR="00C72755" w:rsidRPr="00CA25EF" w:rsidRDefault="005A3EF3" w:rsidP="005C58FA">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The </w:t>
      </w:r>
      <w:r w:rsidR="00702DA7">
        <w:rPr>
          <w:rFonts w:asciiTheme="minorHAnsi" w:hAnsiTheme="minorHAnsi" w:cstheme="minorHAnsi"/>
          <w:b/>
          <w:bCs/>
        </w:rPr>
        <w:t>Issuer</w:t>
      </w:r>
      <w:r w:rsidRPr="00CA25EF">
        <w:rPr>
          <w:rFonts w:asciiTheme="minorHAnsi" w:hAnsiTheme="minorHAnsi" w:cstheme="minorHAnsi"/>
          <w:b/>
          <w:bCs/>
        </w:rPr>
        <w:t xml:space="preserve"> has also agreed to pay the Underwriters a cash work fee of $100,000 and issue to the Underwriters 90,000 transferable work fee options (the "Work Fee Options") on completion of the Offering. Each Work Fee Option will be exercisable to acquire one additional Subordinated Voting Share at the Offering Price for 36 months from the date of issuance. Closing of the Offering and is subject to </w:t>
      </w:r>
      <w:proofErr w:type="gramStart"/>
      <w:r w:rsidRPr="00CA25EF">
        <w:rPr>
          <w:rFonts w:asciiTheme="minorHAnsi" w:hAnsiTheme="minorHAnsi" w:cstheme="minorHAnsi"/>
          <w:b/>
          <w:bCs/>
        </w:rPr>
        <w:t>a number of</w:t>
      </w:r>
      <w:proofErr w:type="gramEnd"/>
      <w:r w:rsidRPr="00CA25EF">
        <w:rPr>
          <w:rFonts w:asciiTheme="minorHAnsi" w:hAnsiTheme="minorHAnsi" w:cstheme="minorHAnsi"/>
          <w:b/>
          <w:bCs/>
        </w:rPr>
        <w:t xml:space="preserve"> conditions, including without limitation, receipt of all regulatory approvals. There can be no assurance as to whether or when the Offering will be completed. </w:t>
      </w:r>
    </w:p>
    <w:p w14:paraId="3D0CB5A0" w14:textId="2BA08DB3" w:rsidR="00C72755" w:rsidRPr="00CA25EF" w:rsidRDefault="00C72755" w:rsidP="005C58FA">
      <w:pPr>
        <w:pStyle w:val="ListParagraph"/>
        <w:ind w:left="720" w:right="288" w:firstLine="0"/>
        <w:jc w:val="both"/>
        <w:rPr>
          <w:rFonts w:asciiTheme="minorHAnsi" w:hAnsiTheme="minorHAnsi" w:cstheme="minorHAnsi"/>
          <w:b/>
          <w:bCs/>
        </w:rPr>
      </w:pPr>
    </w:p>
    <w:p w14:paraId="34C741D2" w14:textId="77E47FA1" w:rsidR="005A3EF3" w:rsidRDefault="00C72755" w:rsidP="00C72755">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In addition to the Offering, the </w:t>
      </w:r>
      <w:r w:rsidR="00702DA7">
        <w:rPr>
          <w:rFonts w:asciiTheme="minorHAnsi" w:hAnsiTheme="minorHAnsi" w:cstheme="minorHAnsi"/>
          <w:b/>
          <w:bCs/>
        </w:rPr>
        <w:t>Issuer</w:t>
      </w:r>
      <w:r w:rsidRPr="00CA25EF">
        <w:rPr>
          <w:rFonts w:asciiTheme="minorHAnsi" w:hAnsiTheme="minorHAnsi" w:cstheme="minorHAnsi"/>
          <w:b/>
          <w:bCs/>
        </w:rPr>
        <w:t xml:space="preserve"> intends to complete a concurrent non-brokered private placement of up to 1,785,715 Units for aggregate gross proceeds of up to approximately $2 million, on or prior to the Closing Date (the "Concurrent Private Placement"). Subscribers subscribing under the Concurrent Private Placement will be purchasing Units, on a non-brokered private placement basis, pursuant to exemptions from the prospectus requirements under applicable securities laws. The Units issued pursuant to the Concurrent Private Placement will be subject to a four-month statutory hold period from the date of issue, subject to certain exempt trades permitted by applicable securities legislation. The Underwriters are not acting in connection with, and no fee or commission will be paid to the Underwriters in respect of, the Units issued under the Concurrent Private Placement. Closing of the Concurrent Private Placement is subject to </w:t>
      </w:r>
      <w:proofErr w:type="gramStart"/>
      <w:r w:rsidRPr="00CA25EF">
        <w:rPr>
          <w:rFonts w:asciiTheme="minorHAnsi" w:hAnsiTheme="minorHAnsi" w:cstheme="minorHAnsi"/>
          <w:b/>
          <w:bCs/>
        </w:rPr>
        <w:t>a number of</w:t>
      </w:r>
      <w:proofErr w:type="gramEnd"/>
      <w:r w:rsidRPr="00CA25EF">
        <w:rPr>
          <w:rFonts w:asciiTheme="minorHAnsi" w:hAnsiTheme="minorHAnsi" w:cstheme="minorHAnsi"/>
          <w:b/>
          <w:bCs/>
        </w:rPr>
        <w:t xml:space="preserve"> conditions, including without limitation, receipt of all regulatory approvals. The proceeds raised from the sale of Units under the Offering and the Concurrent Private Placement are expected to be used by the </w:t>
      </w:r>
      <w:r w:rsidR="00702DA7">
        <w:rPr>
          <w:rFonts w:asciiTheme="minorHAnsi" w:hAnsiTheme="minorHAnsi" w:cstheme="minorHAnsi"/>
          <w:b/>
          <w:bCs/>
        </w:rPr>
        <w:t>Issuer</w:t>
      </w:r>
      <w:r w:rsidRPr="00CA25EF">
        <w:rPr>
          <w:rFonts w:asciiTheme="minorHAnsi" w:hAnsiTheme="minorHAnsi" w:cstheme="minorHAnsi"/>
          <w:b/>
          <w:bCs/>
        </w:rPr>
        <w:t xml:space="preserve"> for corporate expansion projects and general corporate purposes. </w:t>
      </w:r>
    </w:p>
    <w:p w14:paraId="07A0B2BA" w14:textId="3AF53A80" w:rsidR="00E27C14" w:rsidRDefault="00E27C14" w:rsidP="00C72755">
      <w:pPr>
        <w:pStyle w:val="ListParagraph"/>
        <w:ind w:left="720" w:right="288" w:firstLine="0"/>
        <w:jc w:val="both"/>
        <w:rPr>
          <w:rFonts w:asciiTheme="minorHAnsi" w:hAnsiTheme="minorHAnsi" w:cstheme="minorHAnsi"/>
          <w:b/>
          <w:bCs/>
        </w:rPr>
      </w:pPr>
    </w:p>
    <w:p w14:paraId="6CD20B6D" w14:textId="60881ACF" w:rsidR="00E27C14" w:rsidRDefault="00E27C14" w:rsidP="00C72755">
      <w:pPr>
        <w:pStyle w:val="ListParagraph"/>
        <w:ind w:left="720" w:right="288" w:firstLine="0"/>
        <w:jc w:val="both"/>
        <w:rPr>
          <w:rFonts w:asciiTheme="minorHAnsi" w:hAnsiTheme="minorHAnsi" w:cstheme="minorHAnsi"/>
          <w:b/>
          <w:bCs/>
        </w:rPr>
      </w:pPr>
      <w:r>
        <w:rPr>
          <w:rFonts w:asciiTheme="minorHAnsi" w:hAnsiTheme="minorHAnsi" w:cstheme="minorHAnsi"/>
          <w:b/>
          <w:bCs/>
        </w:rPr>
        <w:t>Subsequent Event:</w:t>
      </w:r>
    </w:p>
    <w:p w14:paraId="60795C33" w14:textId="2AD30B09" w:rsidR="00E27C14" w:rsidRDefault="00E27C14" w:rsidP="00C72755">
      <w:pPr>
        <w:pStyle w:val="ListParagraph"/>
        <w:ind w:left="720" w:right="288" w:firstLine="0"/>
        <w:jc w:val="both"/>
        <w:rPr>
          <w:rFonts w:asciiTheme="minorHAnsi" w:hAnsiTheme="minorHAnsi" w:cstheme="minorHAnsi"/>
          <w:b/>
          <w:bCs/>
        </w:rPr>
      </w:pPr>
    </w:p>
    <w:p w14:paraId="7D5B316E" w14:textId="124A3597" w:rsidR="00E27C14" w:rsidRPr="00CA25EF" w:rsidRDefault="00E27C14" w:rsidP="00C72755">
      <w:pPr>
        <w:pStyle w:val="ListParagraph"/>
        <w:ind w:left="720" w:right="288" w:firstLine="0"/>
        <w:jc w:val="both"/>
        <w:rPr>
          <w:rFonts w:asciiTheme="minorHAnsi" w:hAnsiTheme="minorHAnsi" w:cstheme="minorHAnsi"/>
          <w:b/>
          <w:bCs/>
        </w:rPr>
      </w:pPr>
      <w:r>
        <w:rPr>
          <w:rFonts w:asciiTheme="minorHAnsi" w:hAnsiTheme="minorHAnsi" w:cstheme="minorHAnsi"/>
          <w:b/>
          <w:bCs/>
        </w:rPr>
        <w:t xml:space="preserve">On February 3, 2021, the Issuer announced that it filed a final prospectus in respect of the above noted offering and concurrent private placement.  </w:t>
      </w:r>
    </w:p>
    <w:p w14:paraId="373686F0" w14:textId="77777777" w:rsidR="00C72755" w:rsidRPr="00CA25EF" w:rsidRDefault="00C72755" w:rsidP="00C72755">
      <w:pPr>
        <w:pStyle w:val="ListParagraph"/>
        <w:ind w:left="720" w:right="288" w:firstLine="0"/>
        <w:jc w:val="both"/>
        <w:rPr>
          <w:rFonts w:asciiTheme="minorHAnsi" w:hAnsiTheme="minorHAnsi" w:cstheme="minorHAnsi"/>
        </w:rPr>
      </w:pPr>
    </w:p>
    <w:p w14:paraId="7831D084" w14:textId="134EEBBA"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55B5EDED" w14:textId="59018B68" w:rsidR="00FA1663" w:rsidRPr="00CA25EF" w:rsidRDefault="008D4EA7" w:rsidP="00CA25EF">
      <w:pPr>
        <w:pStyle w:val="List"/>
        <w:spacing w:before="120"/>
        <w:ind w:left="720" w:hanging="720"/>
        <w:jc w:val="both"/>
        <w:rPr>
          <w:rFonts w:asciiTheme="minorHAnsi" w:hAnsiTheme="minorHAnsi" w:cstheme="minorHAnsi"/>
          <w:sz w:val="22"/>
          <w:szCs w:val="22"/>
        </w:rPr>
      </w:pPr>
      <w:r>
        <w:rPr>
          <w:rFonts w:asciiTheme="minorHAnsi" w:hAnsiTheme="minorHAnsi" w:cstheme="minorHAnsi"/>
          <w:sz w:val="22"/>
          <w:szCs w:val="22"/>
        </w:rPr>
        <w:t xml:space="preserve">               </w:t>
      </w:r>
      <w:r w:rsidRPr="008D4EA7">
        <w:rPr>
          <w:rFonts w:asciiTheme="minorHAnsi" w:hAnsiTheme="minorHAnsi" w:cstheme="minorHAnsi"/>
          <w:b/>
          <w:bCs/>
          <w:sz w:val="22"/>
          <w:szCs w:val="22"/>
        </w:rPr>
        <w:t>None</w:t>
      </w:r>
    </w:p>
    <w:p w14:paraId="4A5979F8" w14:textId="4E254B3C" w:rsidR="00D27558" w:rsidRPr="00D90E4F"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003958D7" w:rsidRPr="00D90E4F">
        <w:rPr>
          <w:rFonts w:asciiTheme="minorHAnsi" w:hAnsiTheme="minorHAnsi" w:cstheme="minorHAnsi"/>
          <w:b/>
          <w:bCs/>
          <w:sz w:val="22"/>
          <w:szCs w:val="22"/>
        </w:rPr>
        <w:t xml:space="preserve"> </w:t>
      </w:r>
    </w:p>
    <w:p w14:paraId="51B67B55" w14:textId="6180B039" w:rsidR="00FA1663" w:rsidRPr="00D90E4F" w:rsidRDefault="00FA1663" w:rsidP="007516CB">
      <w:pPr>
        <w:pStyle w:val="List"/>
        <w:spacing w:before="120"/>
        <w:ind w:left="720" w:firstLine="0"/>
        <w:jc w:val="both"/>
        <w:rPr>
          <w:rFonts w:asciiTheme="minorHAnsi" w:hAnsiTheme="minorHAnsi" w:cstheme="minorHAnsi"/>
          <w:b/>
          <w:bCs/>
          <w:sz w:val="22"/>
          <w:szCs w:val="22"/>
        </w:rPr>
      </w:pPr>
    </w:p>
    <w:p w14:paraId="4F87349E" w14:textId="3CECDC1D"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65C51D53" w14:textId="77777777" w:rsidR="00E256ED" w:rsidRDefault="00E256ED">
      <w:pPr>
        <w:pStyle w:val="List"/>
        <w:spacing w:before="120"/>
        <w:ind w:left="720" w:hanging="720"/>
        <w:jc w:val="both"/>
        <w:rPr>
          <w:rFonts w:asciiTheme="minorHAnsi" w:hAnsiTheme="minorHAnsi" w:cstheme="minorHAnsi"/>
          <w:sz w:val="22"/>
          <w:szCs w:val="22"/>
        </w:rPr>
      </w:pPr>
    </w:p>
    <w:p w14:paraId="703AC1C5" w14:textId="17B52502" w:rsidR="009E1783"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1B596DE8" w14:textId="77777777" w:rsidR="00CA25EF" w:rsidRPr="00671D32" w:rsidRDefault="00CA25EF" w:rsidP="00E8062B">
      <w:pPr>
        <w:pStyle w:val="List"/>
        <w:spacing w:before="120"/>
        <w:ind w:left="720" w:firstLine="0"/>
        <w:jc w:val="both"/>
        <w:rPr>
          <w:rFonts w:asciiTheme="minorHAnsi" w:hAnsiTheme="minorHAnsi" w:cstheme="minorHAnsi"/>
          <w:b/>
          <w:bCs/>
          <w:sz w:val="22"/>
          <w:szCs w:val="22"/>
        </w:rPr>
      </w:pPr>
    </w:p>
    <w:p w14:paraId="5520D71D" w14:textId="5602DC5B"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46CC7BC8" w14:textId="77777777" w:rsidR="00E256ED" w:rsidRDefault="00E256ED" w:rsidP="004E3DFA">
      <w:pPr>
        <w:pStyle w:val="List"/>
        <w:spacing w:before="120"/>
        <w:ind w:left="720" w:hanging="720"/>
        <w:jc w:val="both"/>
        <w:rPr>
          <w:rFonts w:asciiTheme="minorHAnsi" w:hAnsiTheme="minorHAnsi" w:cstheme="minorHAnsi"/>
          <w:b/>
          <w:sz w:val="22"/>
          <w:szCs w:val="22"/>
        </w:rPr>
      </w:pPr>
    </w:p>
    <w:p w14:paraId="1971F1B5" w14:textId="092609B4" w:rsidR="00FA1663" w:rsidRDefault="00FA1663"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               None</w:t>
      </w:r>
    </w:p>
    <w:p w14:paraId="262502FF" w14:textId="537DB77F" w:rsidR="00264BBC"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p>
    <w:p w14:paraId="7599EAAB" w14:textId="2DB570A3" w:rsidR="00640E94"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4AEF3E9" w14:textId="77777777" w:rsidR="00E256ED" w:rsidRPr="00232E8F" w:rsidRDefault="00E256ED">
      <w:pPr>
        <w:pStyle w:val="List"/>
        <w:spacing w:before="120"/>
        <w:ind w:left="720" w:hanging="720"/>
        <w:jc w:val="both"/>
        <w:rPr>
          <w:rFonts w:ascii="Calibri" w:hAnsi="Calibri" w:cs="Calibri"/>
          <w:sz w:val="22"/>
          <w:szCs w:val="22"/>
        </w:rPr>
      </w:pPr>
    </w:p>
    <w:p w14:paraId="289C2420" w14:textId="50DA2F41" w:rsidR="006771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5D539F83" w14:textId="77777777" w:rsidR="00CA25EF" w:rsidRPr="00232E8F" w:rsidRDefault="00CA25EF">
      <w:pPr>
        <w:pStyle w:val="List"/>
        <w:spacing w:before="120"/>
        <w:ind w:left="720" w:firstLine="0"/>
        <w:jc w:val="both"/>
        <w:rPr>
          <w:rFonts w:ascii="Calibri" w:hAnsi="Calibri" w:cs="Calibri"/>
          <w:b/>
          <w:sz w:val="22"/>
          <w:szCs w:val="22"/>
        </w:rPr>
      </w:pPr>
    </w:p>
    <w:p w14:paraId="4BE7B9DB" w14:textId="66CFEB30"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517E7D75" w14:textId="7C9FD65B" w:rsidR="00E256ED" w:rsidRDefault="00E256ED" w:rsidP="00770CDD">
      <w:pPr>
        <w:pStyle w:val="List"/>
        <w:spacing w:before="120"/>
        <w:ind w:left="720" w:hanging="720"/>
        <w:jc w:val="both"/>
        <w:rPr>
          <w:rFonts w:asciiTheme="minorHAnsi" w:hAnsiTheme="minorHAnsi" w:cstheme="minorHAnsi"/>
          <w:sz w:val="22"/>
          <w:szCs w:val="22"/>
        </w:rPr>
      </w:pPr>
    </w:p>
    <w:p w14:paraId="1AEF4DA2" w14:textId="77777777" w:rsidR="00E256ED" w:rsidRDefault="00E256ED" w:rsidP="00770CDD">
      <w:pPr>
        <w:pStyle w:val="List"/>
        <w:spacing w:before="120"/>
        <w:ind w:left="720" w:hanging="720"/>
        <w:jc w:val="both"/>
        <w:rPr>
          <w:rFonts w:asciiTheme="minorHAnsi" w:hAnsiTheme="minorHAnsi" w:cstheme="minorHAnsi"/>
          <w:sz w:val="22"/>
          <w:szCs w:val="22"/>
        </w:rPr>
      </w:pPr>
    </w:p>
    <w:p w14:paraId="718D1E73" w14:textId="6C1B48B1" w:rsidR="00B97ED9"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6DC0A1EA" w14:textId="77777777" w:rsidR="00CA25EF" w:rsidRPr="008D77AB" w:rsidRDefault="00CA25EF" w:rsidP="00770CDD">
      <w:pPr>
        <w:pStyle w:val="List"/>
        <w:spacing w:before="120"/>
        <w:ind w:left="720" w:hanging="720"/>
        <w:jc w:val="both"/>
        <w:rPr>
          <w:rFonts w:asciiTheme="minorHAnsi" w:hAnsiTheme="minorHAnsi" w:cstheme="minorHAnsi"/>
          <w:b/>
          <w:bCs/>
          <w:sz w:val="22"/>
          <w:szCs w:val="22"/>
        </w:rPr>
      </w:pPr>
    </w:p>
    <w:p w14:paraId="414E1DF8" w14:textId="6981FAF8"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3A85E1FF" w14:textId="3D3BCEAD" w:rsidR="00E256ED" w:rsidRDefault="00E256ED">
      <w:pPr>
        <w:pStyle w:val="List"/>
        <w:spacing w:before="120"/>
        <w:ind w:left="720" w:hanging="720"/>
        <w:jc w:val="both"/>
        <w:rPr>
          <w:rFonts w:asciiTheme="minorHAnsi" w:hAnsiTheme="minorHAnsi" w:cstheme="minorHAnsi"/>
          <w:b/>
          <w:sz w:val="22"/>
          <w:szCs w:val="22"/>
        </w:rPr>
      </w:pPr>
    </w:p>
    <w:p w14:paraId="3A7490E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24E891EA"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3FC464E0" w14:textId="15E12F84" w:rsidR="0036347B" w:rsidRPr="00E15700" w:rsidRDefault="006C2235">
      <w:pPr>
        <w:pStyle w:val="List"/>
        <w:spacing w:before="120"/>
        <w:ind w:left="720" w:hanging="720"/>
        <w:jc w:val="both"/>
        <w:rPr>
          <w:rFonts w:asciiTheme="minorHAnsi" w:hAnsiTheme="minorHAnsi" w:cstheme="minorHAnsi"/>
          <w:b/>
          <w:bCs/>
          <w:sz w:val="22"/>
          <w:szCs w:val="22"/>
        </w:rPr>
      </w:pPr>
      <w:r w:rsidRPr="00F87D4A">
        <w:rPr>
          <w:rFonts w:asciiTheme="minorHAnsi" w:hAnsiTheme="minorHAnsi" w:cstheme="minorHAnsi"/>
          <w:sz w:val="22"/>
          <w:szCs w:val="22"/>
        </w:rPr>
        <w:t xml:space="preserve">              </w:t>
      </w:r>
      <w:r w:rsidR="0036347B" w:rsidRPr="00E15700">
        <w:rPr>
          <w:rFonts w:asciiTheme="minorHAnsi" w:hAnsiTheme="minorHAnsi" w:cstheme="minorHAnsi"/>
          <w:b/>
          <w:bCs/>
          <w:sz w:val="22"/>
          <w:szCs w:val="22"/>
        </w:rPr>
        <w:t>None</w:t>
      </w:r>
    </w:p>
    <w:p w14:paraId="096CE679" w14:textId="0A811A93" w:rsidR="00AE1178" w:rsidRPr="00E15700" w:rsidRDefault="00AE1178" w:rsidP="003B3E52">
      <w:pPr>
        <w:pStyle w:val="List"/>
        <w:spacing w:before="120"/>
        <w:ind w:left="720" w:firstLine="0"/>
        <w:jc w:val="both"/>
        <w:rPr>
          <w:rFonts w:asciiTheme="minorHAnsi" w:hAnsiTheme="minorHAnsi" w:cstheme="minorHAnsi"/>
          <w:b/>
          <w:bCs/>
          <w:sz w:val="22"/>
          <w:szCs w:val="22"/>
        </w:rPr>
      </w:pP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021EB130" w:rsidR="00640E94"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xml:space="preserve">, </w:t>
      </w:r>
      <w:r w:rsidR="00F13497" w:rsidRPr="00CA646F">
        <w:rPr>
          <w:rFonts w:asciiTheme="minorHAnsi" w:hAnsiTheme="minorHAnsi" w:cstheme="minorHAnsi"/>
          <w:sz w:val="22"/>
          <w:szCs w:val="22"/>
        </w:rPr>
        <w:t>terminations,</w:t>
      </w:r>
      <w:r w:rsidR="00640E94" w:rsidRPr="00CA646F">
        <w:rPr>
          <w:rFonts w:asciiTheme="minorHAnsi" w:hAnsiTheme="minorHAnsi" w:cstheme="minorHAnsi"/>
          <w:sz w:val="22"/>
          <w:szCs w:val="22"/>
        </w:rPr>
        <w:t xml:space="preserve">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4C413CED" w14:textId="7DCB1EB2" w:rsidR="00E256ED" w:rsidRDefault="00E256ED" w:rsidP="00E8062B">
      <w:pPr>
        <w:pStyle w:val="List"/>
        <w:spacing w:before="120"/>
        <w:ind w:left="720" w:hanging="720"/>
        <w:jc w:val="both"/>
        <w:rPr>
          <w:rFonts w:asciiTheme="minorHAnsi" w:hAnsiTheme="minorHAnsi" w:cstheme="minorHAnsi"/>
          <w:sz w:val="22"/>
          <w:szCs w:val="22"/>
        </w:rPr>
      </w:pPr>
    </w:p>
    <w:p w14:paraId="74658141" w14:textId="587F8D1E" w:rsidR="00E256ED" w:rsidRPr="004245BE" w:rsidRDefault="00CA25EF" w:rsidP="00E8062B">
      <w:pPr>
        <w:pStyle w:val="List"/>
        <w:spacing w:before="120"/>
        <w:ind w:left="720" w:hanging="720"/>
        <w:jc w:val="both"/>
        <w:rPr>
          <w:rFonts w:asciiTheme="minorHAnsi" w:hAnsiTheme="minorHAnsi" w:cstheme="minorHAnsi"/>
          <w:sz w:val="22"/>
          <w:szCs w:val="22"/>
        </w:rPr>
      </w:pPr>
      <w:r>
        <w:rPr>
          <w:rFonts w:asciiTheme="minorHAnsi" w:hAnsiTheme="minorHAnsi" w:cstheme="minorHAnsi"/>
          <w:sz w:val="22"/>
          <w:szCs w:val="22"/>
        </w:rPr>
        <w:t xml:space="preserve">       </w:t>
      </w: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751C9EB5" w:rsidR="00640E94"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66018EF2" w14:textId="64D5CA3B" w:rsidR="00E256ED" w:rsidRDefault="00E256ED">
      <w:pPr>
        <w:pStyle w:val="List"/>
        <w:spacing w:before="120"/>
        <w:ind w:left="720" w:hanging="720"/>
        <w:jc w:val="both"/>
        <w:rPr>
          <w:rFonts w:asciiTheme="minorHAnsi" w:hAnsiTheme="minorHAnsi" w:cstheme="minorHAnsi"/>
          <w:b/>
          <w:sz w:val="22"/>
          <w:szCs w:val="22"/>
        </w:rPr>
      </w:pPr>
    </w:p>
    <w:p w14:paraId="78BC1DFC" w14:textId="77777777" w:rsidR="00E256ED" w:rsidRPr="004245BE" w:rsidRDefault="00E256ED">
      <w:pPr>
        <w:pStyle w:val="List"/>
        <w:spacing w:before="120"/>
        <w:ind w:left="720" w:hanging="720"/>
        <w:jc w:val="both"/>
        <w:rPr>
          <w:rFonts w:asciiTheme="minorHAnsi" w:hAnsiTheme="minorHAnsi" w:cstheme="minorHAnsi"/>
          <w:b/>
          <w:sz w:val="22"/>
          <w:szCs w:val="22"/>
        </w:rPr>
      </w:pP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63D7439B" w:rsidR="00590DD9"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54498346" w14:textId="77777777" w:rsidR="00E256ED" w:rsidRPr="004245BE" w:rsidRDefault="00E256ED" w:rsidP="00931B16">
      <w:pPr>
        <w:pStyle w:val="List"/>
        <w:spacing w:before="120"/>
        <w:ind w:left="720" w:hanging="720"/>
        <w:jc w:val="both"/>
        <w:rPr>
          <w:rFonts w:asciiTheme="minorHAnsi" w:hAnsiTheme="minorHAnsi" w:cstheme="minorHAnsi"/>
          <w:sz w:val="22"/>
          <w:szCs w:val="22"/>
        </w:rPr>
      </w:pP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233DF8D6" w:rsidR="00BF39CB"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1B7FEC81" w14:textId="77777777" w:rsidR="00E256ED" w:rsidRPr="004245BE" w:rsidRDefault="00E256ED">
      <w:pPr>
        <w:pStyle w:val="List"/>
        <w:spacing w:before="120"/>
        <w:ind w:left="720" w:hanging="720"/>
        <w:jc w:val="both"/>
        <w:rPr>
          <w:rFonts w:asciiTheme="minorHAnsi" w:hAnsiTheme="minorHAnsi" w:cstheme="minorHAnsi"/>
          <w:sz w:val="22"/>
          <w:szCs w:val="22"/>
        </w:rPr>
      </w:pP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743CCAF7"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5B436375" w14:textId="434B77EA" w:rsidR="00E00890" w:rsidRDefault="00E00890">
      <w:pPr>
        <w:pStyle w:val="List"/>
        <w:spacing w:before="120"/>
        <w:ind w:left="720" w:hanging="720"/>
        <w:jc w:val="both"/>
        <w:rPr>
          <w:rFonts w:asciiTheme="minorHAnsi" w:hAnsiTheme="minorHAnsi" w:cstheme="minorHAnsi"/>
          <w:sz w:val="22"/>
          <w:szCs w:val="22"/>
        </w:rPr>
      </w:pPr>
    </w:p>
    <w:p w14:paraId="20D3288B" w14:textId="19C4CDE4" w:rsidR="00C72755" w:rsidRPr="00CA25EF" w:rsidRDefault="00E00890" w:rsidP="00E27C14">
      <w:pPr>
        <w:pStyle w:val="List"/>
        <w:spacing w:before="120"/>
        <w:ind w:left="720" w:hanging="720"/>
        <w:jc w:val="both"/>
        <w:rPr>
          <w:rFonts w:asciiTheme="minorHAnsi" w:hAnsiTheme="minorHAnsi" w:cstheme="minorHAnsi"/>
          <w:b/>
          <w:bCs/>
          <w:sz w:val="22"/>
          <w:szCs w:val="22"/>
        </w:rPr>
      </w:pPr>
      <w:r w:rsidRPr="00CA25EF">
        <w:rPr>
          <w:rFonts w:asciiTheme="minorHAnsi" w:hAnsiTheme="minorHAnsi" w:cstheme="minorHAnsi"/>
          <w:b/>
          <w:bCs/>
          <w:sz w:val="22"/>
          <w:szCs w:val="22"/>
        </w:rPr>
        <w:t xml:space="preserve">             </w:t>
      </w:r>
    </w:p>
    <w:p w14:paraId="62D9A0CB" w14:textId="5FC726AC" w:rsidR="00C72755" w:rsidRPr="00CA25EF" w:rsidRDefault="00C72755" w:rsidP="00C72755">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On January 6, 2021, the Issuer granted 140,000 Restricted Share Units (RSU’s) to six employees, who are not insiders of the Issuer.  The RSU’s expire on January 6, 2024.  </w:t>
      </w:r>
    </w:p>
    <w:p w14:paraId="51FA88A7" w14:textId="77777777" w:rsidR="00C72755" w:rsidRPr="00CA25EF" w:rsidRDefault="00C72755" w:rsidP="00C72755">
      <w:pPr>
        <w:pStyle w:val="ListParagraph"/>
        <w:ind w:left="720" w:right="288" w:firstLine="0"/>
        <w:jc w:val="both"/>
        <w:rPr>
          <w:rFonts w:asciiTheme="minorHAnsi" w:hAnsiTheme="minorHAnsi" w:cstheme="minorHAnsi"/>
          <w:b/>
          <w:bCs/>
        </w:rPr>
      </w:pPr>
    </w:p>
    <w:p w14:paraId="7003E156" w14:textId="77777777" w:rsidR="00CA25EF" w:rsidRDefault="00C72755" w:rsidP="00C72755">
      <w:pPr>
        <w:pStyle w:val="ListParagraph"/>
        <w:ind w:left="720" w:right="288" w:firstLine="0"/>
        <w:jc w:val="both"/>
        <w:rPr>
          <w:rFonts w:asciiTheme="minorHAnsi" w:hAnsiTheme="minorHAnsi" w:cstheme="minorHAnsi"/>
          <w:b/>
          <w:bCs/>
        </w:rPr>
      </w:pPr>
      <w:r w:rsidRPr="00CA25EF">
        <w:rPr>
          <w:rFonts w:asciiTheme="minorHAnsi" w:hAnsiTheme="minorHAnsi" w:cstheme="minorHAnsi"/>
          <w:b/>
          <w:bCs/>
        </w:rPr>
        <w:t xml:space="preserve">On January 6, 2021, the Issuer granted 285,000 stock options to a consultant and officer of the Issuer.  The options were granted at CAD$1.22 per share and expire on January 6, 2031. </w:t>
      </w:r>
    </w:p>
    <w:p w14:paraId="78F017B6" w14:textId="77777777" w:rsidR="00CA25EF" w:rsidRDefault="00CA25EF" w:rsidP="00C72755">
      <w:pPr>
        <w:pStyle w:val="ListParagraph"/>
        <w:ind w:left="720" w:right="288" w:firstLine="0"/>
        <w:jc w:val="both"/>
        <w:rPr>
          <w:rFonts w:asciiTheme="minorHAnsi" w:hAnsiTheme="minorHAnsi" w:cstheme="minorHAnsi"/>
          <w:b/>
          <w:bCs/>
        </w:rPr>
      </w:pPr>
    </w:p>
    <w:p w14:paraId="2D146DAC" w14:textId="3747DFA8" w:rsidR="00CA25EF" w:rsidRPr="00C76D75" w:rsidRDefault="00CA25EF" w:rsidP="00CA25EF">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Pr="00CA25EF">
        <w:rPr>
          <w:rFonts w:asciiTheme="minorHAnsi" w:hAnsiTheme="minorHAnsi" w:cstheme="minorHAnsi"/>
          <w:b/>
          <w:bCs/>
          <w:sz w:val="22"/>
          <w:szCs w:val="22"/>
        </w:rPr>
        <w:t>Fro</w:t>
      </w:r>
      <w:r w:rsidRPr="00C76D75">
        <w:rPr>
          <w:rFonts w:asciiTheme="minorHAnsi" w:hAnsiTheme="minorHAnsi" w:cstheme="minorHAnsi"/>
          <w:b/>
          <w:bCs/>
          <w:sz w:val="22"/>
          <w:szCs w:val="22"/>
        </w:rPr>
        <w:t>m January 8, 2021 to January 26, 2021, 390,400 warrants were exercised at a price of CAD$.45 per share for gross proceeds of CAD$175,680.</w:t>
      </w:r>
    </w:p>
    <w:p w14:paraId="6211A27A" w14:textId="77777777" w:rsidR="00C72755" w:rsidRPr="00CA25EF" w:rsidRDefault="00C72755" w:rsidP="00C72755">
      <w:pPr>
        <w:pStyle w:val="ListParagraph"/>
        <w:ind w:left="720" w:right="288" w:firstLine="0"/>
        <w:jc w:val="both"/>
        <w:rPr>
          <w:rFonts w:asciiTheme="minorHAnsi" w:hAnsiTheme="minorHAnsi" w:cstheme="minorHAnsi"/>
          <w:b/>
          <w:bCs/>
        </w:rPr>
      </w:pPr>
    </w:p>
    <w:p w14:paraId="4E5ADF06" w14:textId="5993066C" w:rsidR="00C72755" w:rsidRPr="00CA25EF" w:rsidRDefault="00C72755" w:rsidP="00CA25EF">
      <w:pPr>
        <w:pStyle w:val="List"/>
        <w:spacing w:before="120"/>
        <w:jc w:val="both"/>
        <w:rPr>
          <w:rFonts w:asciiTheme="minorHAnsi" w:hAnsiTheme="minorHAnsi" w:cstheme="minorHAnsi"/>
          <w:b/>
          <w:bCs/>
          <w:sz w:val="22"/>
          <w:szCs w:val="22"/>
        </w:rPr>
      </w:pPr>
    </w:p>
    <w:p w14:paraId="2B234F69" w14:textId="3B907D2C" w:rsidR="00CD7F13" w:rsidRPr="00CD7F13" w:rsidRDefault="00F8426F" w:rsidP="0036347B">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17E4B8E1" w14:textId="1DC8AA10" w:rsidR="00F47297" w:rsidRPr="004E3DFA" w:rsidRDefault="00CD7F13">
      <w:pPr>
        <w:pStyle w:val="List"/>
        <w:spacing w:before="120"/>
        <w:ind w:left="720" w:hanging="720"/>
        <w:jc w:val="both"/>
        <w:rPr>
          <w:rFonts w:asciiTheme="minorHAnsi" w:hAnsiTheme="minorHAnsi" w:cstheme="minorHAnsi"/>
          <w:b/>
          <w:bCs/>
          <w:sz w:val="22"/>
          <w:szCs w:val="22"/>
        </w:rPr>
      </w:pPr>
      <w:r w:rsidRPr="00CD7F13">
        <w:rPr>
          <w:rFonts w:asciiTheme="minorHAnsi" w:hAnsiTheme="minorHAnsi" w:cstheme="minorHAnsi"/>
          <w:b/>
          <w:bCs/>
          <w:sz w:val="22"/>
          <w:szCs w:val="22"/>
        </w:rPr>
        <w:t xml:space="preserve">              </w:t>
      </w:r>
    </w:p>
    <w:p w14:paraId="783D9501" w14:textId="5A78370F"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50E510B1" w14:textId="7EBE32C2" w:rsidR="00E256ED" w:rsidRDefault="00E256ED">
      <w:pPr>
        <w:pStyle w:val="List"/>
        <w:spacing w:before="120"/>
        <w:ind w:left="720" w:hanging="720"/>
        <w:jc w:val="both"/>
        <w:rPr>
          <w:rFonts w:asciiTheme="minorHAnsi" w:hAnsiTheme="minorHAnsi" w:cstheme="minorHAnsi"/>
          <w:sz w:val="22"/>
          <w:szCs w:val="22"/>
        </w:rPr>
      </w:pPr>
    </w:p>
    <w:p w14:paraId="61AE4239" w14:textId="77777777" w:rsidR="00E256ED" w:rsidRPr="004245BE" w:rsidRDefault="00E256ED">
      <w:pPr>
        <w:pStyle w:val="List"/>
        <w:spacing w:before="120"/>
        <w:ind w:left="720" w:hanging="720"/>
        <w:jc w:val="both"/>
        <w:rPr>
          <w:rFonts w:asciiTheme="minorHAnsi" w:hAnsiTheme="minorHAnsi" w:cstheme="minorHAnsi"/>
          <w:sz w:val="22"/>
          <w:szCs w:val="22"/>
        </w:rPr>
      </w:pP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70645B5B" w:rsidR="00DC2F50"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Provide details of any changes in directors, </w:t>
      </w:r>
      <w:r w:rsidR="00F13497" w:rsidRPr="004245BE">
        <w:rPr>
          <w:rFonts w:asciiTheme="minorHAnsi" w:hAnsiTheme="minorHAnsi" w:cstheme="minorHAnsi"/>
          <w:sz w:val="22"/>
          <w:szCs w:val="22"/>
        </w:rPr>
        <w:t>officers,</w:t>
      </w:r>
      <w:r w:rsidR="00640E94" w:rsidRPr="004245BE">
        <w:rPr>
          <w:rFonts w:asciiTheme="minorHAnsi" w:hAnsiTheme="minorHAnsi" w:cstheme="minorHAnsi"/>
          <w:sz w:val="22"/>
          <w:szCs w:val="22"/>
        </w:rPr>
        <w:t xml:space="preserve"> or committee members.</w:t>
      </w:r>
    </w:p>
    <w:p w14:paraId="5511B568" w14:textId="77777777" w:rsidR="00086C7A" w:rsidRDefault="00086C7A">
      <w:pPr>
        <w:pStyle w:val="List"/>
        <w:spacing w:before="120"/>
        <w:ind w:left="720" w:hanging="720"/>
        <w:jc w:val="both"/>
        <w:rPr>
          <w:rFonts w:asciiTheme="minorHAnsi" w:hAnsiTheme="minorHAnsi" w:cstheme="minorHAnsi"/>
          <w:sz w:val="22"/>
          <w:szCs w:val="22"/>
        </w:rPr>
      </w:pPr>
    </w:p>
    <w:p w14:paraId="3489CFA0" w14:textId="236940A8" w:rsidR="00C72755" w:rsidRDefault="00C72755">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00086C7A" w:rsidRPr="00086C7A">
        <w:rPr>
          <w:rFonts w:asciiTheme="minorHAnsi" w:hAnsiTheme="minorHAnsi" w:cstheme="minorHAnsi"/>
          <w:b/>
          <w:bCs/>
          <w:sz w:val="22"/>
          <w:szCs w:val="22"/>
        </w:rPr>
        <w:t xml:space="preserve">On January 6, 2021, the Board of Directors of the Issuer appointed Eric Offenberger, Stephan Bankosz and Jason Thai Nguyen as Directors of New Gen Holdings Inc. (New Gen), the Issuer’s wholly- owned subsidiary. </w:t>
      </w:r>
    </w:p>
    <w:p w14:paraId="17E239C3" w14:textId="77777777" w:rsidR="00086C7A" w:rsidRPr="00086C7A" w:rsidRDefault="00086C7A">
      <w:pPr>
        <w:pStyle w:val="List"/>
        <w:spacing w:before="120"/>
        <w:ind w:left="720" w:hanging="720"/>
        <w:jc w:val="both"/>
        <w:rPr>
          <w:rFonts w:asciiTheme="minorHAnsi" w:hAnsiTheme="minorHAnsi" w:cstheme="minorHAnsi"/>
          <w:b/>
          <w:bCs/>
          <w:sz w:val="22"/>
          <w:szCs w:val="22"/>
        </w:rPr>
      </w:pPr>
    </w:p>
    <w:p w14:paraId="6F86D315" w14:textId="2E1B62D8" w:rsidR="00C72755" w:rsidRPr="00CA25EF" w:rsidRDefault="00C72755">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A25EF">
        <w:rPr>
          <w:rFonts w:asciiTheme="minorHAnsi" w:hAnsiTheme="minorHAnsi" w:cstheme="minorHAnsi"/>
          <w:b/>
          <w:bCs/>
          <w:sz w:val="22"/>
          <w:szCs w:val="22"/>
        </w:rPr>
        <w:t xml:space="preserve">On January </w:t>
      </w:r>
      <w:r w:rsidR="00E00890" w:rsidRPr="00CA25EF">
        <w:rPr>
          <w:rFonts w:asciiTheme="minorHAnsi" w:hAnsiTheme="minorHAnsi" w:cstheme="minorHAnsi"/>
          <w:b/>
          <w:bCs/>
          <w:sz w:val="22"/>
          <w:szCs w:val="22"/>
        </w:rPr>
        <w:t>6</w:t>
      </w:r>
      <w:r w:rsidRPr="00CA25EF">
        <w:rPr>
          <w:rFonts w:asciiTheme="minorHAnsi" w:hAnsiTheme="minorHAnsi" w:cstheme="minorHAnsi"/>
          <w:b/>
          <w:bCs/>
          <w:sz w:val="22"/>
          <w:szCs w:val="22"/>
        </w:rPr>
        <w:t>, 2021, the Board of Directors of the Issuer, appointed Eric Offenberger, CEO of the Issuer</w:t>
      </w:r>
      <w:r w:rsidR="00E27C14">
        <w:rPr>
          <w:rFonts w:asciiTheme="minorHAnsi" w:hAnsiTheme="minorHAnsi" w:cstheme="minorHAnsi"/>
          <w:b/>
          <w:bCs/>
          <w:sz w:val="22"/>
          <w:szCs w:val="22"/>
        </w:rPr>
        <w:t>,</w:t>
      </w:r>
      <w:r w:rsidRPr="00CA25EF">
        <w:rPr>
          <w:rFonts w:asciiTheme="minorHAnsi" w:hAnsiTheme="minorHAnsi" w:cstheme="minorHAnsi"/>
          <w:b/>
          <w:bCs/>
          <w:sz w:val="22"/>
          <w:szCs w:val="22"/>
        </w:rPr>
        <w:t xml:space="preserve"> as CEO </w:t>
      </w:r>
      <w:r w:rsidR="00086C7A">
        <w:rPr>
          <w:rFonts w:asciiTheme="minorHAnsi" w:hAnsiTheme="minorHAnsi" w:cstheme="minorHAnsi"/>
          <w:b/>
          <w:bCs/>
          <w:sz w:val="22"/>
          <w:szCs w:val="22"/>
        </w:rPr>
        <w:t>of New Gen</w:t>
      </w:r>
      <w:r w:rsidR="00E00890" w:rsidRPr="00CA25EF">
        <w:rPr>
          <w:rFonts w:asciiTheme="minorHAnsi" w:hAnsiTheme="minorHAnsi" w:cstheme="minorHAnsi"/>
          <w:b/>
          <w:bCs/>
          <w:sz w:val="22"/>
          <w:szCs w:val="22"/>
        </w:rPr>
        <w:t>.</w:t>
      </w:r>
    </w:p>
    <w:p w14:paraId="7D77C06A" w14:textId="4EBB1056" w:rsidR="00E00890" w:rsidRPr="00CA25EF" w:rsidRDefault="00E00890">
      <w:pPr>
        <w:pStyle w:val="List"/>
        <w:spacing w:before="120"/>
        <w:ind w:left="720" w:hanging="720"/>
        <w:jc w:val="both"/>
        <w:rPr>
          <w:rFonts w:asciiTheme="minorHAnsi" w:hAnsiTheme="minorHAnsi" w:cstheme="minorHAnsi"/>
          <w:b/>
          <w:bCs/>
          <w:sz w:val="22"/>
          <w:szCs w:val="22"/>
        </w:rPr>
      </w:pPr>
      <w:r w:rsidRPr="00CA25EF">
        <w:rPr>
          <w:rFonts w:asciiTheme="minorHAnsi" w:hAnsiTheme="minorHAnsi" w:cstheme="minorHAnsi"/>
          <w:b/>
          <w:bCs/>
          <w:sz w:val="22"/>
          <w:szCs w:val="22"/>
        </w:rPr>
        <w:t xml:space="preserve">            </w:t>
      </w:r>
    </w:p>
    <w:p w14:paraId="796E8CB4" w14:textId="50C0555D" w:rsidR="00E00890" w:rsidRPr="00CA25EF" w:rsidRDefault="00E00890">
      <w:pPr>
        <w:pStyle w:val="List"/>
        <w:spacing w:before="120"/>
        <w:ind w:left="720" w:hanging="720"/>
        <w:jc w:val="both"/>
        <w:rPr>
          <w:rFonts w:asciiTheme="minorHAnsi" w:hAnsiTheme="minorHAnsi" w:cstheme="minorHAnsi"/>
          <w:b/>
          <w:bCs/>
          <w:sz w:val="22"/>
          <w:szCs w:val="22"/>
        </w:rPr>
      </w:pPr>
      <w:r w:rsidRPr="00CA25EF">
        <w:rPr>
          <w:rFonts w:asciiTheme="minorHAnsi" w:hAnsiTheme="minorHAnsi" w:cstheme="minorHAnsi"/>
          <w:b/>
          <w:bCs/>
          <w:sz w:val="22"/>
          <w:szCs w:val="22"/>
        </w:rPr>
        <w:t xml:space="preserve">             On January 6, 2021, the Board of Directors of the Issuer appointed Stephan Bankosz as CFO an</w:t>
      </w:r>
      <w:r w:rsidR="00CA25EF">
        <w:rPr>
          <w:rFonts w:asciiTheme="minorHAnsi" w:hAnsiTheme="minorHAnsi" w:cstheme="minorHAnsi"/>
          <w:b/>
          <w:bCs/>
          <w:sz w:val="22"/>
          <w:szCs w:val="22"/>
        </w:rPr>
        <w:t xml:space="preserve">d </w:t>
      </w:r>
      <w:r w:rsidRPr="00CA25EF">
        <w:rPr>
          <w:rFonts w:asciiTheme="minorHAnsi" w:hAnsiTheme="minorHAnsi" w:cstheme="minorHAnsi"/>
          <w:b/>
          <w:bCs/>
          <w:sz w:val="22"/>
          <w:szCs w:val="22"/>
        </w:rPr>
        <w:t xml:space="preserve">Corporate Secretary of New Gen.  </w:t>
      </w:r>
    </w:p>
    <w:p w14:paraId="369E2346" w14:textId="6BBBF3E4" w:rsidR="00E256ED" w:rsidRPr="00CA25EF" w:rsidRDefault="00E256ED">
      <w:pPr>
        <w:pStyle w:val="List"/>
        <w:spacing w:before="120"/>
        <w:ind w:left="720" w:hanging="720"/>
        <w:jc w:val="both"/>
        <w:rPr>
          <w:rFonts w:asciiTheme="minorHAnsi" w:hAnsiTheme="minorHAnsi" w:cstheme="minorHAnsi"/>
          <w:b/>
          <w:bCs/>
          <w:sz w:val="22"/>
          <w:szCs w:val="22"/>
        </w:rPr>
      </w:pPr>
    </w:p>
    <w:p w14:paraId="06BD8E9E" w14:textId="4B980B85" w:rsidR="004960DA" w:rsidRPr="004245BE" w:rsidRDefault="004960DA" w:rsidP="00E27C14">
      <w:pPr>
        <w:pStyle w:val="List"/>
        <w:spacing w:before="120"/>
        <w:ind w:left="0" w:firstLine="0"/>
        <w:jc w:val="both"/>
        <w:rPr>
          <w:rFonts w:asciiTheme="minorHAnsi" w:hAnsiTheme="minorHAnsi" w:cstheme="minorHAnsi"/>
          <w:b/>
          <w:sz w:val="22"/>
          <w:szCs w:val="22"/>
        </w:rPr>
      </w:pPr>
    </w:p>
    <w:p w14:paraId="6ADD2EF5" w14:textId="20AE18B0" w:rsidR="00640E94"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51F5E351" w14:textId="611E69EC" w:rsidR="00E256ED" w:rsidRDefault="00E256ED">
      <w:pPr>
        <w:pStyle w:val="List"/>
        <w:spacing w:before="120"/>
        <w:ind w:left="720" w:hanging="720"/>
        <w:jc w:val="both"/>
        <w:rPr>
          <w:rFonts w:asciiTheme="minorHAnsi" w:hAnsiTheme="minorHAnsi" w:cstheme="minorHAnsi"/>
          <w:sz w:val="22"/>
          <w:szCs w:val="22"/>
        </w:rPr>
      </w:pPr>
    </w:p>
    <w:p w14:paraId="66D27838" w14:textId="77777777" w:rsidR="00E256ED" w:rsidRPr="004245BE" w:rsidRDefault="00E256ED">
      <w:pPr>
        <w:pStyle w:val="List"/>
        <w:spacing w:before="120"/>
        <w:ind w:left="720" w:hanging="720"/>
        <w:jc w:val="both"/>
        <w:rPr>
          <w:rFonts w:asciiTheme="minorHAnsi" w:hAnsiTheme="minorHAnsi" w:cstheme="minorHAnsi"/>
          <w:sz w:val="22"/>
          <w:szCs w:val="22"/>
        </w:rPr>
      </w:pP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44AEEAB6"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r w:rsidR="00F13497" w:rsidRPr="00296261">
        <w:rPr>
          <w:rFonts w:asciiTheme="minorHAnsi" w:hAnsiTheme="minorHAnsi" w:cstheme="minorHAnsi"/>
          <w:b/>
          <w:bCs/>
          <w:sz w:val="22"/>
          <w:szCs w:val="22"/>
          <w:lang w:val="en-CA" w:eastAsia="en-CA"/>
        </w:rPr>
        <w:t>condition,</w:t>
      </w:r>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321D1F6D"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E00890">
        <w:rPr>
          <w:rFonts w:asciiTheme="minorHAnsi" w:hAnsiTheme="minorHAnsi" w:cstheme="minorHAnsi"/>
          <w:b/>
          <w:sz w:val="22"/>
          <w:szCs w:val="22"/>
        </w:rPr>
        <w:t>February 5, 2021</w:t>
      </w:r>
    </w:p>
    <w:p w14:paraId="2E5A52D4" w14:textId="032D96D8" w:rsidR="00640E94"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070097E4" w14:textId="68405511" w:rsidR="00F8426F" w:rsidRDefault="00CF341B">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 xml:space="preserve">                                                                                                                     </w:t>
      </w:r>
    </w:p>
    <w:p w14:paraId="5A286063" w14:textId="46A690B2" w:rsidR="00640E94" w:rsidRPr="00232E8F" w:rsidRDefault="004F0F42" w:rsidP="00686BA4">
      <w:pPr>
        <w:pStyle w:val="List"/>
        <w:tabs>
          <w:tab w:val="left" w:pos="9180"/>
        </w:tabs>
        <w:ind w:left="5760" w:hanging="5760"/>
        <w:rPr>
          <w:rFonts w:asciiTheme="minorHAnsi" w:hAnsiTheme="minorHAnsi" w:cstheme="minorHAnsi"/>
          <w:bCs/>
          <w:sz w:val="22"/>
          <w:szCs w:val="22"/>
        </w:rPr>
      </w:pPr>
      <w:r>
        <w:rPr>
          <w:rFonts w:asciiTheme="minorHAnsi" w:hAnsiTheme="minorHAnsi" w:cstheme="minorHAnsi"/>
          <w:bCs/>
          <w:sz w:val="22"/>
          <w:szCs w:val="22"/>
        </w:rPr>
        <w:tab/>
      </w:r>
      <w:r w:rsidR="00640E94" w:rsidRPr="008F1BB6">
        <w:rPr>
          <w:rFonts w:asciiTheme="minorHAnsi" w:hAnsiTheme="minorHAnsi" w:cstheme="minorHAnsi"/>
          <w:bCs/>
          <w:sz w:val="22"/>
          <w:szCs w:val="22"/>
        </w:rPr>
        <w:tab/>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384E6247" w:rsidR="00414E69" w:rsidRPr="008F1BB6" w:rsidRDefault="00CA25EF">
            <w:pPr>
              <w:pStyle w:val="BodyText"/>
              <w:spacing w:before="0"/>
              <w:rPr>
                <w:rFonts w:asciiTheme="minorHAnsi" w:hAnsiTheme="minorHAnsi" w:cstheme="minorHAnsi"/>
                <w:bCs/>
                <w:sz w:val="22"/>
                <w:szCs w:val="22"/>
              </w:rPr>
            </w:pPr>
            <w:r>
              <w:rPr>
                <w:rFonts w:asciiTheme="minorHAnsi" w:hAnsiTheme="minorHAnsi" w:cstheme="minorHAnsi"/>
                <w:bCs/>
                <w:sz w:val="22"/>
                <w:szCs w:val="22"/>
              </w:rPr>
              <w:t>January</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w:t>
            </w:r>
            <w:r w:rsidR="00E27C14">
              <w:rPr>
                <w:rFonts w:asciiTheme="minorHAnsi" w:hAnsiTheme="minorHAnsi" w:cstheme="minorHAnsi"/>
                <w:bCs/>
                <w:sz w:val="22"/>
                <w:szCs w:val="22"/>
              </w:rPr>
              <w:t>1</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7BCA445A"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w:t>
            </w:r>
            <w:r w:rsidR="0036347B">
              <w:rPr>
                <w:rFonts w:asciiTheme="minorHAnsi" w:hAnsiTheme="minorHAnsi" w:cstheme="minorHAnsi"/>
                <w:bCs/>
                <w:sz w:val="22"/>
                <w:szCs w:val="22"/>
              </w:rPr>
              <w:t>1</w:t>
            </w:r>
            <w:r w:rsidR="00674843" w:rsidRPr="008F1BB6">
              <w:rPr>
                <w:rFonts w:asciiTheme="minorHAnsi" w:hAnsiTheme="minorHAnsi" w:cstheme="minorHAnsi"/>
                <w:bCs/>
                <w:sz w:val="22"/>
                <w:szCs w:val="22"/>
              </w:rPr>
              <w:t>/</w:t>
            </w:r>
            <w:r w:rsidR="0036347B">
              <w:rPr>
                <w:rFonts w:asciiTheme="minorHAnsi" w:hAnsiTheme="minorHAnsi" w:cstheme="minorHAnsi"/>
                <w:bCs/>
                <w:sz w:val="22"/>
                <w:szCs w:val="22"/>
              </w:rPr>
              <w:t>0</w:t>
            </w:r>
            <w:r w:rsidR="00CA25EF">
              <w:rPr>
                <w:rFonts w:asciiTheme="minorHAnsi" w:hAnsiTheme="minorHAnsi" w:cstheme="minorHAnsi"/>
                <w:bCs/>
                <w:sz w:val="22"/>
                <w:szCs w:val="22"/>
              </w:rPr>
              <w:t>2/05</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9A297E" w:rsidP="00AF3215">
            <w:pPr>
              <w:pStyle w:val="BodyText"/>
              <w:spacing w:before="0"/>
              <w:rPr>
                <w:rFonts w:asciiTheme="minorHAnsi" w:hAnsiTheme="minorHAnsi" w:cstheme="minorHAnsi"/>
                <w:bCs/>
                <w:sz w:val="22"/>
                <w:szCs w:val="22"/>
              </w:rPr>
            </w:pPr>
            <w:hyperlink r:id="rId8"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9A297E">
            <w:pPr>
              <w:pStyle w:val="BodyText"/>
              <w:spacing w:before="0"/>
              <w:rPr>
                <w:rFonts w:asciiTheme="minorHAnsi" w:hAnsiTheme="minorHAnsi" w:cstheme="minorHAnsi"/>
                <w:bCs/>
                <w:sz w:val="22"/>
                <w:szCs w:val="22"/>
              </w:rPr>
            </w:pPr>
            <w:hyperlink r:id="rId9"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62D3" w14:textId="77777777" w:rsidR="009A297E" w:rsidRDefault="009A297E">
      <w:r>
        <w:separator/>
      </w:r>
    </w:p>
  </w:endnote>
  <w:endnote w:type="continuationSeparator" w:id="0">
    <w:p w14:paraId="38AB2AC4" w14:textId="77777777" w:rsidR="009A297E" w:rsidRDefault="009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D62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5DDB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8220" w14:textId="77777777" w:rsidR="009A297E" w:rsidRDefault="009A297E">
      <w:r>
        <w:separator/>
      </w:r>
    </w:p>
  </w:footnote>
  <w:footnote w:type="continuationSeparator" w:id="0">
    <w:p w14:paraId="23DFDFE0" w14:textId="77777777" w:rsidR="009A297E" w:rsidRDefault="009A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68107A"/>
    <w:multiLevelType w:val="hybridMultilevel"/>
    <w:tmpl w:val="9B34AB6C"/>
    <w:lvl w:ilvl="0" w:tplc="C5D642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2"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30"/>
  </w:num>
  <w:num w:numId="7">
    <w:abstractNumId w:val="12"/>
  </w:num>
  <w:num w:numId="8">
    <w:abstractNumId w:val="34"/>
  </w:num>
  <w:num w:numId="9">
    <w:abstractNumId w:val="26"/>
  </w:num>
  <w:num w:numId="10">
    <w:abstractNumId w:val="14"/>
  </w:num>
  <w:num w:numId="11">
    <w:abstractNumId w:val="18"/>
  </w:num>
  <w:num w:numId="12">
    <w:abstractNumId w:val="19"/>
  </w:num>
  <w:num w:numId="13">
    <w:abstractNumId w:val="37"/>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3"/>
  </w:num>
  <w:num w:numId="21">
    <w:abstractNumId w:val="3"/>
  </w:num>
  <w:num w:numId="22">
    <w:abstractNumId w:val="0"/>
  </w:num>
  <w:num w:numId="23">
    <w:abstractNumId w:val="28"/>
  </w:num>
  <w:num w:numId="24">
    <w:abstractNumId w:val="25"/>
  </w:num>
  <w:num w:numId="25">
    <w:abstractNumId w:val="8"/>
  </w:num>
  <w:num w:numId="26">
    <w:abstractNumId w:val="35"/>
  </w:num>
  <w:num w:numId="27">
    <w:abstractNumId w:val="38"/>
  </w:num>
  <w:num w:numId="28">
    <w:abstractNumId w:val="9"/>
  </w:num>
  <w:num w:numId="29">
    <w:abstractNumId w:val="23"/>
  </w:num>
  <w:num w:numId="30">
    <w:abstractNumId w:val="31"/>
  </w:num>
  <w:num w:numId="31">
    <w:abstractNumId w:val="4"/>
  </w:num>
  <w:num w:numId="32">
    <w:abstractNumId w:val="32"/>
  </w:num>
  <w:num w:numId="33">
    <w:abstractNumId w:val="2"/>
  </w:num>
  <w:num w:numId="34">
    <w:abstractNumId w:val="21"/>
  </w:num>
  <w:num w:numId="35">
    <w:abstractNumId w:val="1"/>
  </w:num>
  <w:num w:numId="36">
    <w:abstractNumId w:val="15"/>
  </w:num>
  <w:num w:numId="37">
    <w:abstractNumId w:val="36"/>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6F"/>
    <w:rsid w:val="00001399"/>
    <w:rsid w:val="00003D67"/>
    <w:rsid w:val="000042E2"/>
    <w:rsid w:val="000303AD"/>
    <w:rsid w:val="00030A1B"/>
    <w:rsid w:val="00042888"/>
    <w:rsid w:val="000445FB"/>
    <w:rsid w:val="00050DC2"/>
    <w:rsid w:val="00050E6E"/>
    <w:rsid w:val="000541EF"/>
    <w:rsid w:val="00086C7A"/>
    <w:rsid w:val="00091B73"/>
    <w:rsid w:val="00093E35"/>
    <w:rsid w:val="000A1AB1"/>
    <w:rsid w:val="000B0C62"/>
    <w:rsid w:val="000B68CF"/>
    <w:rsid w:val="000B7F5D"/>
    <w:rsid w:val="000C4986"/>
    <w:rsid w:val="000D06EE"/>
    <w:rsid w:val="000D6883"/>
    <w:rsid w:val="000D7FE3"/>
    <w:rsid w:val="000E1639"/>
    <w:rsid w:val="000E7EE6"/>
    <w:rsid w:val="000F37D7"/>
    <w:rsid w:val="000F7267"/>
    <w:rsid w:val="000F73AE"/>
    <w:rsid w:val="00103BEE"/>
    <w:rsid w:val="0010403A"/>
    <w:rsid w:val="00115CBA"/>
    <w:rsid w:val="00123B65"/>
    <w:rsid w:val="00130338"/>
    <w:rsid w:val="001306BE"/>
    <w:rsid w:val="00144261"/>
    <w:rsid w:val="00147716"/>
    <w:rsid w:val="00154166"/>
    <w:rsid w:val="001625DB"/>
    <w:rsid w:val="00162788"/>
    <w:rsid w:val="00167F2C"/>
    <w:rsid w:val="00167F30"/>
    <w:rsid w:val="00171327"/>
    <w:rsid w:val="00174064"/>
    <w:rsid w:val="00175ECE"/>
    <w:rsid w:val="001762E3"/>
    <w:rsid w:val="00177096"/>
    <w:rsid w:val="00180FCC"/>
    <w:rsid w:val="00183CD7"/>
    <w:rsid w:val="00193F59"/>
    <w:rsid w:val="0019553C"/>
    <w:rsid w:val="001A6E19"/>
    <w:rsid w:val="001B075E"/>
    <w:rsid w:val="001B3F0D"/>
    <w:rsid w:val="001C22DC"/>
    <w:rsid w:val="001C263F"/>
    <w:rsid w:val="001D0FC8"/>
    <w:rsid w:val="001E047A"/>
    <w:rsid w:val="00201F96"/>
    <w:rsid w:val="00205C78"/>
    <w:rsid w:val="00212EB2"/>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41072"/>
    <w:rsid w:val="0036347B"/>
    <w:rsid w:val="003669A9"/>
    <w:rsid w:val="00371A64"/>
    <w:rsid w:val="00371AE1"/>
    <w:rsid w:val="00376332"/>
    <w:rsid w:val="00387FA8"/>
    <w:rsid w:val="003958D7"/>
    <w:rsid w:val="00395FD3"/>
    <w:rsid w:val="00397187"/>
    <w:rsid w:val="00397277"/>
    <w:rsid w:val="003972FD"/>
    <w:rsid w:val="003A38D7"/>
    <w:rsid w:val="003B3E52"/>
    <w:rsid w:val="003B7077"/>
    <w:rsid w:val="003B7F03"/>
    <w:rsid w:val="003C205C"/>
    <w:rsid w:val="003C7270"/>
    <w:rsid w:val="003D4B6F"/>
    <w:rsid w:val="003E1316"/>
    <w:rsid w:val="003E39A6"/>
    <w:rsid w:val="003F18F9"/>
    <w:rsid w:val="003F3EB7"/>
    <w:rsid w:val="00414E69"/>
    <w:rsid w:val="00415012"/>
    <w:rsid w:val="004245BE"/>
    <w:rsid w:val="004272F6"/>
    <w:rsid w:val="0043254C"/>
    <w:rsid w:val="00435CDA"/>
    <w:rsid w:val="00450EB8"/>
    <w:rsid w:val="00450EC4"/>
    <w:rsid w:val="0046263E"/>
    <w:rsid w:val="004746F2"/>
    <w:rsid w:val="00484132"/>
    <w:rsid w:val="00485B9C"/>
    <w:rsid w:val="00486634"/>
    <w:rsid w:val="00492D56"/>
    <w:rsid w:val="00495D89"/>
    <w:rsid w:val="004960DA"/>
    <w:rsid w:val="004A0576"/>
    <w:rsid w:val="004B6741"/>
    <w:rsid w:val="004B6C60"/>
    <w:rsid w:val="004B6D61"/>
    <w:rsid w:val="004C1378"/>
    <w:rsid w:val="004D020E"/>
    <w:rsid w:val="004D1F2A"/>
    <w:rsid w:val="004E0B2E"/>
    <w:rsid w:val="004E3190"/>
    <w:rsid w:val="004E3DFA"/>
    <w:rsid w:val="004F06EE"/>
    <w:rsid w:val="004F0F42"/>
    <w:rsid w:val="004F1093"/>
    <w:rsid w:val="0050030E"/>
    <w:rsid w:val="005076C0"/>
    <w:rsid w:val="005106EA"/>
    <w:rsid w:val="005332CD"/>
    <w:rsid w:val="005413C9"/>
    <w:rsid w:val="005453C8"/>
    <w:rsid w:val="0055708B"/>
    <w:rsid w:val="005713C5"/>
    <w:rsid w:val="00590DD9"/>
    <w:rsid w:val="005A3142"/>
    <w:rsid w:val="005A3EF3"/>
    <w:rsid w:val="005A4270"/>
    <w:rsid w:val="005B08DF"/>
    <w:rsid w:val="005B14F4"/>
    <w:rsid w:val="005B2993"/>
    <w:rsid w:val="005B42EB"/>
    <w:rsid w:val="005B58CB"/>
    <w:rsid w:val="005B7FEA"/>
    <w:rsid w:val="005C58FA"/>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43EA8"/>
    <w:rsid w:val="00667880"/>
    <w:rsid w:val="00671D32"/>
    <w:rsid w:val="00674843"/>
    <w:rsid w:val="0067718F"/>
    <w:rsid w:val="0068049A"/>
    <w:rsid w:val="00684BE9"/>
    <w:rsid w:val="00686BA4"/>
    <w:rsid w:val="006873B0"/>
    <w:rsid w:val="006975A1"/>
    <w:rsid w:val="006C0E31"/>
    <w:rsid w:val="006C2235"/>
    <w:rsid w:val="006C2B6F"/>
    <w:rsid w:val="006D1A06"/>
    <w:rsid w:val="006D77A3"/>
    <w:rsid w:val="006D7AEF"/>
    <w:rsid w:val="00702DA7"/>
    <w:rsid w:val="0071566E"/>
    <w:rsid w:val="0071676F"/>
    <w:rsid w:val="00716E93"/>
    <w:rsid w:val="0072360A"/>
    <w:rsid w:val="00726ACE"/>
    <w:rsid w:val="00727D72"/>
    <w:rsid w:val="0073156C"/>
    <w:rsid w:val="00744555"/>
    <w:rsid w:val="0074498F"/>
    <w:rsid w:val="007456B0"/>
    <w:rsid w:val="007516CB"/>
    <w:rsid w:val="00756EB0"/>
    <w:rsid w:val="0076478A"/>
    <w:rsid w:val="00767CBD"/>
    <w:rsid w:val="00770CDD"/>
    <w:rsid w:val="00776AC4"/>
    <w:rsid w:val="007A2C8C"/>
    <w:rsid w:val="007A7E83"/>
    <w:rsid w:val="007C4368"/>
    <w:rsid w:val="007C718F"/>
    <w:rsid w:val="008075C3"/>
    <w:rsid w:val="008141D5"/>
    <w:rsid w:val="00817735"/>
    <w:rsid w:val="00822A25"/>
    <w:rsid w:val="00826995"/>
    <w:rsid w:val="00832F49"/>
    <w:rsid w:val="00837A17"/>
    <w:rsid w:val="0084388D"/>
    <w:rsid w:val="00847F1F"/>
    <w:rsid w:val="00850B59"/>
    <w:rsid w:val="0085747B"/>
    <w:rsid w:val="0087452F"/>
    <w:rsid w:val="008809AE"/>
    <w:rsid w:val="008B51FB"/>
    <w:rsid w:val="008B65DE"/>
    <w:rsid w:val="008B7E92"/>
    <w:rsid w:val="008D45C9"/>
    <w:rsid w:val="008D4EA7"/>
    <w:rsid w:val="008D604C"/>
    <w:rsid w:val="008D77AB"/>
    <w:rsid w:val="008E0D9D"/>
    <w:rsid w:val="008E7765"/>
    <w:rsid w:val="008E7CB2"/>
    <w:rsid w:val="008F1BB6"/>
    <w:rsid w:val="008F4058"/>
    <w:rsid w:val="00916295"/>
    <w:rsid w:val="00922A46"/>
    <w:rsid w:val="009256EC"/>
    <w:rsid w:val="00931B16"/>
    <w:rsid w:val="00945C07"/>
    <w:rsid w:val="00965A53"/>
    <w:rsid w:val="00974AC8"/>
    <w:rsid w:val="009A297E"/>
    <w:rsid w:val="009A2C77"/>
    <w:rsid w:val="009A579E"/>
    <w:rsid w:val="009D2952"/>
    <w:rsid w:val="009D2C76"/>
    <w:rsid w:val="009D46E1"/>
    <w:rsid w:val="009E065B"/>
    <w:rsid w:val="009E0F9E"/>
    <w:rsid w:val="009E1783"/>
    <w:rsid w:val="009F1387"/>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76E93"/>
    <w:rsid w:val="00A90E5F"/>
    <w:rsid w:val="00A959A4"/>
    <w:rsid w:val="00AB18E1"/>
    <w:rsid w:val="00AB6911"/>
    <w:rsid w:val="00AD09AA"/>
    <w:rsid w:val="00AD585C"/>
    <w:rsid w:val="00AE1178"/>
    <w:rsid w:val="00AE43B0"/>
    <w:rsid w:val="00AF3215"/>
    <w:rsid w:val="00AF763E"/>
    <w:rsid w:val="00B05BD8"/>
    <w:rsid w:val="00B5391F"/>
    <w:rsid w:val="00B57294"/>
    <w:rsid w:val="00B64B28"/>
    <w:rsid w:val="00B70AC7"/>
    <w:rsid w:val="00B930B6"/>
    <w:rsid w:val="00B943DC"/>
    <w:rsid w:val="00B97ED9"/>
    <w:rsid w:val="00BB043B"/>
    <w:rsid w:val="00BC11A2"/>
    <w:rsid w:val="00BD2547"/>
    <w:rsid w:val="00BD6AB4"/>
    <w:rsid w:val="00BF1BA6"/>
    <w:rsid w:val="00BF39CB"/>
    <w:rsid w:val="00BF72FC"/>
    <w:rsid w:val="00C00761"/>
    <w:rsid w:val="00C07803"/>
    <w:rsid w:val="00C12FE8"/>
    <w:rsid w:val="00C14B5E"/>
    <w:rsid w:val="00C23330"/>
    <w:rsid w:val="00C26C6D"/>
    <w:rsid w:val="00C27A18"/>
    <w:rsid w:val="00C44FAF"/>
    <w:rsid w:val="00C5661B"/>
    <w:rsid w:val="00C6383E"/>
    <w:rsid w:val="00C64416"/>
    <w:rsid w:val="00C64596"/>
    <w:rsid w:val="00C71AF7"/>
    <w:rsid w:val="00C72755"/>
    <w:rsid w:val="00C816A7"/>
    <w:rsid w:val="00C85D22"/>
    <w:rsid w:val="00CA25EF"/>
    <w:rsid w:val="00CA32D4"/>
    <w:rsid w:val="00CA646F"/>
    <w:rsid w:val="00CB7B8B"/>
    <w:rsid w:val="00CD7F13"/>
    <w:rsid w:val="00CE10B2"/>
    <w:rsid w:val="00CE2B2A"/>
    <w:rsid w:val="00CF0E8A"/>
    <w:rsid w:val="00CF341B"/>
    <w:rsid w:val="00D216E7"/>
    <w:rsid w:val="00D26E29"/>
    <w:rsid w:val="00D271B8"/>
    <w:rsid w:val="00D27558"/>
    <w:rsid w:val="00D42181"/>
    <w:rsid w:val="00D43281"/>
    <w:rsid w:val="00D52BD7"/>
    <w:rsid w:val="00D57A9C"/>
    <w:rsid w:val="00D62569"/>
    <w:rsid w:val="00D63B79"/>
    <w:rsid w:val="00D66ABD"/>
    <w:rsid w:val="00D833E9"/>
    <w:rsid w:val="00D83AA9"/>
    <w:rsid w:val="00D90E4F"/>
    <w:rsid w:val="00D93F9A"/>
    <w:rsid w:val="00DA0BEC"/>
    <w:rsid w:val="00DA130D"/>
    <w:rsid w:val="00DA3074"/>
    <w:rsid w:val="00DA5BF7"/>
    <w:rsid w:val="00DB4680"/>
    <w:rsid w:val="00DC2F50"/>
    <w:rsid w:val="00DC4327"/>
    <w:rsid w:val="00DE01AA"/>
    <w:rsid w:val="00DE468A"/>
    <w:rsid w:val="00DF3058"/>
    <w:rsid w:val="00E00890"/>
    <w:rsid w:val="00E01BE3"/>
    <w:rsid w:val="00E121FC"/>
    <w:rsid w:val="00E149B1"/>
    <w:rsid w:val="00E15700"/>
    <w:rsid w:val="00E238FA"/>
    <w:rsid w:val="00E256ED"/>
    <w:rsid w:val="00E27C14"/>
    <w:rsid w:val="00E3416C"/>
    <w:rsid w:val="00E36141"/>
    <w:rsid w:val="00E36C98"/>
    <w:rsid w:val="00E45959"/>
    <w:rsid w:val="00E56A28"/>
    <w:rsid w:val="00E6680B"/>
    <w:rsid w:val="00E66E20"/>
    <w:rsid w:val="00E7274C"/>
    <w:rsid w:val="00E73DB5"/>
    <w:rsid w:val="00E8062B"/>
    <w:rsid w:val="00E83E58"/>
    <w:rsid w:val="00E8674F"/>
    <w:rsid w:val="00E86A78"/>
    <w:rsid w:val="00EA3982"/>
    <w:rsid w:val="00EA6329"/>
    <w:rsid w:val="00EC303F"/>
    <w:rsid w:val="00EF3A48"/>
    <w:rsid w:val="00F03E72"/>
    <w:rsid w:val="00F106FA"/>
    <w:rsid w:val="00F12762"/>
    <w:rsid w:val="00F13497"/>
    <w:rsid w:val="00F169FC"/>
    <w:rsid w:val="00F2681B"/>
    <w:rsid w:val="00F3319C"/>
    <w:rsid w:val="00F3539E"/>
    <w:rsid w:val="00F417C7"/>
    <w:rsid w:val="00F47297"/>
    <w:rsid w:val="00F474E5"/>
    <w:rsid w:val="00F477B8"/>
    <w:rsid w:val="00F53C56"/>
    <w:rsid w:val="00F54F94"/>
    <w:rsid w:val="00F64257"/>
    <w:rsid w:val="00F6625F"/>
    <w:rsid w:val="00F8426F"/>
    <w:rsid w:val="00F87B92"/>
    <w:rsid w:val="00F87D4A"/>
    <w:rsid w:val="00F9159C"/>
    <w:rsid w:val="00F92A7E"/>
    <w:rsid w:val="00F92FD5"/>
    <w:rsid w:val="00F960F0"/>
    <w:rsid w:val="00FA1663"/>
    <w:rsid w:val="00FA3EF5"/>
    <w:rsid w:val="00FB4231"/>
    <w:rsid w:val="00FB42BA"/>
    <w:rsid w:val="00FB5715"/>
    <w:rsid w:val="00FC05D7"/>
    <w:rsid w:val="00FC7095"/>
    <w:rsid w:val="00FD021A"/>
    <w:rsid w:val="00FD48B6"/>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VextScien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xtSci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2021-02-04T13:16:00Z</dcterms:created>
  <dcterms:modified xsi:type="dcterms:W3CDTF">2021-02-04T13:16:00Z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