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2DAF9BC5" w:rsidR="00640E94" w:rsidRPr="007E006F"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341072">
        <w:rPr>
          <w:rFonts w:asciiTheme="minorHAnsi" w:hAnsiTheme="minorHAnsi" w:cstheme="minorHAnsi"/>
          <w:b/>
          <w:bCs/>
          <w:color w:val="000000"/>
          <w:sz w:val="22"/>
          <w:szCs w:val="22"/>
          <w:u w:val="single"/>
        </w:rPr>
        <w:t xml:space="preserve"> </w:t>
      </w:r>
      <w:r w:rsidR="00626BDE" w:rsidRPr="007E006F">
        <w:rPr>
          <w:rFonts w:asciiTheme="minorHAnsi" w:hAnsiTheme="minorHAnsi" w:cstheme="minorHAnsi"/>
          <w:b/>
          <w:bCs/>
          <w:color w:val="000000"/>
          <w:sz w:val="22"/>
          <w:szCs w:val="22"/>
          <w:u w:val="single"/>
        </w:rPr>
        <w:t>68,265,524</w:t>
      </w:r>
      <w:r w:rsidR="00A62C5F" w:rsidRPr="007E006F">
        <w:rPr>
          <w:rFonts w:asciiTheme="minorHAnsi" w:hAnsiTheme="minorHAnsi" w:cstheme="minorHAnsi"/>
          <w:b/>
          <w:bCs/>
          <w:color w:val="000000"/>
          <w:sz w:val="22"/>
          <w:szCs w:val="22"/>
          <w:u w:val="single"/>
        </w:rPr>
        <w:t xml:space="preserve"> </w:t>
      </w:r>
      <w:r w:rsidR="004E3190" w:rsidRPr="007E006F">
        <w:rPr>
          <w:rFonts w:asciiTheme="minorHAnsi" w:hAnsiTheme="minorHAnsi" w:cstheme="minorHAnsi"/>
          <w:b/>
          <w:bCs/>
          <w:color w:val="000000"/>
          <w:sz w:val="22"/>
          <w:szCs w:val="22"/>
          <w:u w:val="single"/>
        </w:rPr>
        <w:t>Common Shares</w:t>
      </w:r>
    </w:p>
    <w:p w14:paraId="3FF8B9D9" w14:textId="19066BF0"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7E006F">
        <w:rPr>
          <w:rFonts w:asciiTheme="minorHAnsi" w:hAnsiTheme="minorHAnsi" w:cstheme="minorHAnsi"/>
          <w:color w:val="000000"/>
          <w:sz w:val="22"/>
          <w:szCs w:val="22"/>
        </w:rPr>
        <w:t xml:space="preserve">Date: </w:t>
      </w:r>
      <w:r w:rsidR="0069096C" w:rsidRPr="007E006F">
        <w:rPr>
          <w:rFonts w:asciiTheme="minorHAnsi" w:hAnsiTheme="minorHAnsi" w:cstheme="minorHAnsi"/>
          <w:b/>
          <w:bCs/>
          <w:color w:val="000000"/>
          <w:sz w:val="22"/>
          <w:szCs w:val="22"/>
          <w:u w:val="single"/>
        </w:rPr>
        <w:t>March 31</w:t>
      </w:r>
      <w:r w:rsidR="00AF763E" w:rsidRPr="007E006F">
        <w:rPr>
          <w:rFonts w:asciiTheme="minorHAnsi" w:hAnsiTheme="minorHAnsi" w:cstheme="minorHAnsi"/>
          <w:b/>
          <w:bCs/>
          <w:color w:val="000000"/>
          <w:sz w:val="22"/>
          <w:szCs w:val="22"/>
          <w:u w:val="single"/>
        </w:rPr>
        <w:t>, 202</w:t>
      </w:r>
      <w:r w:rsidR="005A3EF3" w:rsidRPr="007E006F">
        <w:rPr>
          <w:rFonts w:asciiTheme="minorHAnsi" w:hAnsiTheme="minorHAnsi" w:cstheme="minorHAnsi"/>
          <w:b/>
          <w:bCs/>
          <w:color w:val="000000"/>
          <w:sz w:val="22"/>
          <w:szCs w:val="22"/>
          <w:u w:val="single"/>
        </w:rPr>
        <w:t>1</w:t>
      </w:r>
      <w:r w:rsidR="00064568">
        <w:rPr>
          <w:rFonts w:asciiTheme="minorHAnsi" w:hAnsiTheme="minorHAnsi" w:cstheme="minorHAnsi"/>
          <w:b/>
          <w:bCs/>
          <w:color w:val="000000"/>
          <w:sz w:val="22"/>
          <w:szCs w:val="22"/>
          <w:u w:val="single"/>
        </w:rPr>
        <w:t xml:space="preserve"> </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7377283B" w:rsidR="00640E94" w:rsidRDefault="00640E94" w:rsidP="00D21417">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D4F4D0E" w14:textId="482B45D7" w:rsidR="00702DA7" w:rsidRDefault="00702DA7" w:rsidP="00702DA7">
      <w:pPr>
        <w:pStyle w:val="List"/>
        <w:spacing w:before="120"/>
        <w:ind w:left="720" w:firstLine="0"/>
        <w:jc w:val="both"/>
        <w:rPr>
          <w:rFonts w:asciiTheme="minorHAnsi" w:hAnsiTheme="minorHAnsi" w:cstheme="minorHAnsi"/>
          <w:sz w:val="22"/>
          <w:szCs w:val="22"/>
        </w:rPr>
      </w:pPr>
    </w:p>
    <w:p w14:paraId="316D397B" w14:textId="77777777"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The Issuer, through its wholly owned subsidiaries, is </w:t>
      </w:r>
      <w:r w:rsidRPr="00585045">
        <w:rPr>
          <w:rFonts w:ascii="Calibri" w:hAnsi="Calibri" w:cs="Calibri"/>
          <w:b/>
          <w:bCs/>
          <w:sz w:val="22"/>
          <w:szCs w:val="22"/>
        </w:rPr>
        <w:t xml:space="preserve">a </w:t>
      </w:r>
      <w:r>
        <w:rPr>
          <w:rFonts w:ascii="Calibri" w:hAnsi="Calibri" w:cs="Calibri"/>
          <w:b/>
          <w:bCs/>
          <w:sz w:val="22"/>
          <w:szCs w:val="22"/>
        </w:rPr>
        <w:t>cannabis</w:t>
      </w:r>
      <w:r w:rsidRPr="00585045">
        <w:rPr>
          <w:rFonts w:ascii="Calibri" w:hAnsi="Calibri" w:cs="Calibri"/>
          <w:b/>
          <w:bCs/>
          <w:sz w:val="22"/>
          <w:szCs w:val="22"/>
        </w:rPr>
        <w:t xml:space="preserve"> </w:t>
      </w:r>
      <w:r>
        <w:rPr>
          <w:rFonts w:ascii="Calibri" w:hAnsi="Calibri" w:cs="Calibri"/>
          <w:b/>
          <w:bCs/>
          <w:sz w:val="22"/>
          <w:szCs w:val="22"/>
        </w:rPr>
        <w:t xml:space="preserve">producer and </w:t>
      </w:r>
      <w:r w:rsidRPr="00585045">
        <w:rPr>
          <w:rFonts w:ascii="Calibri" w:hAnsi="Calibri" w:cs="Calibri"/>
          <w:b/>
          <w:bCs/>
          <w:sz w:val="22"/>
          <w:szCs w:val="22"/>
        </w:rPr>
        <w:t>brand</w:t>
      </w:r>
      <w:r>
        <w:rPr>
          <w:rFonts w:ascii="Calibri" w:hAnsi="Calibri" w:cs="Calibri"/>
          <w:b/>
          <w:bCs/>
          <w:sz w:val="22"/>
          <w:szCs w:val="22"/>
        </w:rPr>
        <w:t xml:space="preserve"> </w:t>
      </w:r>
      <w:r w:rsidRPr="00585045">
        <w:rPr>
          <w:rFonts w:ascii="Calibri" w:hAnsi="Calibri" w:cs="Calibri"/>
          <w:b/>
          <w:bCs/>
          <w:sz w:val="22"/>
          <w:szCs w:val="22"/>
        </w:rPr>
        <w:t>leader based in Arizona</w:t>
      </w:r>
      <w:r>
        <w:rPr>
          <w:rFonts w:ascii="Calibri" w:hAnsi="Calibri" w:cs="Calibri"/>
          <w:b/>
          <w:bCs/>
          <w:sz w:val="22"/>
          <w:szCs w:val="22"/>
        </w:rPr>
        <w:t xml:space="preserve"> and other key markets throughout the United States.  The Issuer is focused on leveraging</w:t>
      </w:r>
      <w:r w:rsidRPr="00585045">
        <w:rPr>
          <w:rFonts w:ascii="Calibri" w:hAnsi="Calibri" w:cs="Calibri"/>
          <w:b/>
          <w:bCs/>
          <w:sz w:val="22"/>
          <w:szCs w:val="22"/>
        </w:rPr>
        <w:t xml:space="preserve"> its core expertise in extraction, manufacturing, cultivation and marketing </w:t>
      </w:r>
      <w:r>
        <w:rPr>
          <w:rFonts w:ascii="Calibri" w:hAnsi="Calibri" w:cs="Calibri"/>
          <w:b/>
          <w:bCs/>
          <w:sz w:val="22"/>
          <w:szCs w:val="22"/>
        </w:rPr>
        <w:t xml:space="preserve">both to grow within Arizona and </w:t>
      </w:r>
      <w:r w:rsidRPr="00585045">
        <w:rPr>
          <w:rFonts w:ascii="Calibri" w:hAnsi="Calibri" w:cs="Calibri"/>
          <w:b/>
          <w:bCs/>
          <w:sz w:val="22"/>
          <w:szCs w:val="22"/>
        </w:rPr>
        <w:t>to build a profitable multi-state footprint</w:t>
      </w:r>
      <w:r>
        <w:rPr>
          <w:rFonts w:ascii="Calibri" w:hAnsi="Calibri" w:cs="Calibri"/>
          <w:b/>
          <w:bCs/>
          <w:sz w:val="22"/>
          <w:szCs w:val="22"/>
        </w:rPr>
        <w:t xml:space="preserve"> in the U.S. market. </w:t>
      </w:r>
    </w:p>
    <w:p w14:paraId="4642EBC4" w14:textId="29C1E844"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In November 2020, the Issuer closed a USD$6.4mm financing by way of a short form prospectus.  This provided the Issuer with additional working capital to continue to prepare its Arizona operations for the transition to recreational sales in 2021.   On January 22, 2021 the Issuer’s two primary customers received </w:t>
      </w:r>
      <w:r w:rsidRPr="00F274BC">
        <w:rPr>
          <w:rFonts w:ascii="Calibri" w:hAnsi="Calibri" w:cs="Calibri"/>
          <w:b/>
          <w:bCs/>
          <w:sz w:val="22"/>
          <w:szCs w:val="22"/>
        </w:rPr>
        <w:t>approval from the Arizona Department of Health Services to begin selling recreational cannabis</w:t>
      </w:r>
      <w:r>
        <w:rPr>
          <w:rFonts w:ascii="Calibri" w:hAnsi="Calibri" w:cs="Calibri"/>
          <w:b/>
          <w:bCs/>
          <w:sz w:val="22"/>
          <w:szCs w:val="22"/>
        </w:rPr>
        <w:t>.</w:t>
      </w:r>
    </w:p>
    <w:p w14:paraId="105B8E01" w14:textId="0D6BCCD3"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During the month of </w:t>
      </w:r>
      <w:r w:rsidR="00475540">
        <w:rPr>
          <w:rFonts w:ascii="Calibri" w:hAnsi="Calibri" w:cs="Calibri"/>
          <w:b/>
          <w:bCs/>
          <w:sz w:val="22"/>
          <w:szCs w:val="22"/>
        </w:rPr>
        <w:t>January</w:t>
      </w:r>
      <w:r>
        <w:rPr>
          <w:rFonts w:ascii="Calibri" w:hAnsi="Calibri" w:cs="Calibri"/>
          <w:b/>
          <w:bCs/>
          <w:sz w:val="22"/>
          <w:szCs w:val="22"/>
        </w:rPr>
        <w:t xml:space="preserve"> 2021 the Issuer appointed a CFO for its Arizona subsidiary, New Gen Holdings Inc., to support the its growth. On January 13</w:t>
      </w:r>
      <w:r w:rsidRPr="000C6DC8">
        <w:rPr>
          <w:rFonts w:ascii="Calibri" w:hAnsi="Calibri" w:cs="Calibri"/>
          <w:b/>
          <w:bCs/>
          <w:sz w:val="22"/>
          <w:szCs w:val="22"/>
          <w:vertAlign w:val="superscript"/>
        </w:rPr>
        <w:t>th</w:t>
      </w:r>
      <w:r>
        <w:rPr>
          <w:rFonts w:ascii="Calibri" w:hAnsi="Calibri" w:cs="Calibri"/>
          <w:b/>
          <w:bCs/>
          <w:sz w:val="22"/>
          <w:szCs w:val="22"/>
        </w:rPr>
        <w:t xml:space="preserve">, the Issuer announced an $18 </w:t>
      </w:r>
      <w:r>
        <w:rPr>
          <w:rFonts w:ascii="Calibri" w:hAnsi="Calibri" w:cs="Calibri"/>
          <w:b/>
          <w:bCs/>
          <w:sz w:val="22"/>
          <w:szCs w:val="22"/>
        </w:rPr>
        <w:lastRenderedPageBreak/>
        <w:t>million bought deal public offering, which close</w:t>
      </w:r>
      <w:r w:rsidR="007A67A4">
        <w:rPr>
          <w:rFonts w:ascii="Calibri" w:hAnsi="Calibri" w:cs="Calibri"/>
          <w:b/>
          <w:bCs/>
          <w:sz w:val="22"/>
          <w:szCs w:val="22"/>
        </w:rPr>
        <w:t>d</w:t>
      </w:r>
      <w:r>
        <w:rPr>
          <w:rFonts w:ascii="Calibri" w:hAnsi="Calibri" w:cs="Calibri"/>
          <w:b/>
          <w:bCs/>
          <w:sz w:val="22"/>
          <w:szCs w:val="22"/>
        </w:rPr>
        <w:t xml:space="preserve"> during February 2021.  The proceeds will be used for general corporate and working capital purposes to support the Issuer’s growth in Arizona and other States. </w:t>
      </w:r>
    </w:p>
    <w:p w14:paraId="23638100" w14:textId="77777777" w:rsidR="00702DA7" w:rsidRDefault="00702DA7" w:rsidP="00702DA7">
      <w:pPr>
        <w:pStyle w:val="BodyText"/>
        <w:spacing w:before="120"/>
        <w:ind w:left="720"/>
        <w:jc w:val="both"/>
        <w:rPr>
          <w:rFonts w:ascii="Calibri" w:hAnsi="Calibri" w:cs="Calibri"/>
          <w:b/>
          <w:bCs/>
          <w:sz w:val="22"/>
          <w:szCs w:val="22"/>
        </w:rPr>
      </w:pPr>
    </w:p>
    <w:p w14:paraId="7433ABC9" w14:textId="793B0A82" w:rsidR="005C58FA" w:rsidRPr="005C58FA" w:rsidRDefault="00640E94" w:rsidP="00D21417">
      <w:pPr>
        <w:pStyle w:val="List"/>
        <w:numPr>
          <w:ilvl w:val="0"/>
          <w:numId w:val="39"/>
        </w:numPr>
        <w:spacing w:before="120"/>
        <w:ind w:hanging="7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455F40F2" w14:textId="77777777" w:rsidR="00D21417" w:rsidRDefault="00D21417" w:rsidP="00D21417">
      <w:pPr>
        <w:pStyle w:val="List"/>
        <w:spacing w:before="120"/>
        <w:ind w:left="720" w:firstLine="0"/>
        <w:jc w:val="both"/>
        <w:rPr>
          <w:rFonts w:ascii="Calibri" w:hAnsi="Calibri" w:cs="Calibri"/>
          <w:b/>
          <w:sz w:val="22"/>
          <w:szCs w:val="22"/>
        </w:rPr>
      </w:pPr>
    </w:p>
    <w:p w14:paraId="78EF4097" w14:textId="647C584B" w:rsidR="000F7FE8" w:rsidRDefault="000F7FE8" w:rsidP="000F7FE8">
      <w:pPr>
        <w:pStyle w:val="ListParagraph"/>
        <w:ind w:left="720" w:right="288" w:firstLine="0"/>
        <w:jc w:val="both"/>
        <w:rPr>
          <w:rFonts w:asciiTheme="minorHAnsi" w:hAnsiTheme="minorHAnsi" w:cstheme="minorHAnsi"/>
          <w:b/>
          <w:bCs/>
        </w:rPr>
      </w:pPr>
      <w:r>
        <w:rPr>
          <w:rFonts w:asciiTheme="minorHAnsi" w:hAnsiTheme="minorHAnsi" w:cstheme="minorHAnsi"/>
          <w:b/>
          <w:bCs/>
        </w:rPr>
        <w:t xml:space="preserve">On March 10, 2021, the Issuer announced it had appointed Vahan Ajamian, as Chief Financial Officer.  Mr. Ajamian replaced Denise Lok, who has left for personal reasons.  Mr. </w:t>
      </w:r>
      <w:r w:rsidR="00475540">
        <w:rPr>
          <w:rFonts w:asciiTheme="minorHAnsi" w:hAnsiTheme="minorHAnsi" w:cstheme="minorHAnsi"/>
          <w:b/>
          <w:bCs/>
        </w:rPr>
        <w:t>Ajamian</w:t>
      </w:r>
      <w:r>
        <w:rPr>
          <w:rFonts w:asciiTheme="minorHAnsi" w:hAnsiTheme="minorHAnsi" w:cstheme="minorHAnsi"/>
          <w:b/>
          <w:bCs/>
        </w:rPr>
        <w:t xml:space="preserve"> will also assume the responsibilities of Corporate Secretary.  </w:t>
      </w:r>
    </w:p>
    <w:p w14:paraId="0D8DE3E9" w14:textId="77777777" w:rsidR="000F7FE8" w:rsidRDefault="000F7FE8" w:rsidP="000F7FE8">
      <w:pPr>
        <w:pStyle w:val="ListParagraph"/>
        <w:ind w:left="720" w:right="288" w:firstLine="0"/>
        <w:jc w:val="both"/>
        <w:rPr>
          <w:rFonts w:asciiTheme="minorHAnsi" w:hAnsiTheme="minorHAnsi" w:cstheme="minorHAnsi"/>
          <w:b/>
          <w:bCs/>
        </w:rPr>
      </w:pPr>
    </w:p>
    <w:p w14:paraId="176D0949" w14:textId="6265FE8E" w:rsidR="000F7FE8" w:rsidRDefault="000F7FE8" w:rsidP="000F7FE8">
      <w:pPr>
        <w:pStyle w:val="ListParagraph"/>
        <w:ind w:left="720" w:right="288" w:firstLine="0"/>
        <w:jc w:val="both"/>
        <w:rPr>
          <w:rFonts w:asciiTheme="minorHAnsi" w:hAnsiTheme="minorHAnsi" w:cstheme="minorHAnsi"/>
          <w:b/>
          <w:bCs/>
        </w:rPr>
      </w:pPr>
      <w:r>
        <w:rPr>
          <w:rFonts w:asciiTheme="minorHAnsi" w:hAnsiTheme="minorHAnsi" w:cstheme="minorHAnsi"/>
          <w:b/>
          <w:bCs/>
        </w:rPr>
        <w:t xml:space="preserve">On March 15, 2021, the Issuer announced it has </w:t>
      </w:r>
      <w:r w:rsidR="00475540">
        <w:rPr>
          <w:rFonts w:asciiTheme="minorHAnsi" w:hAnsiTheme="minorHAnsi" w:cstheme="minorHAnsi"/>
          <w:b/>
          <w:bCs/>
        </w:rPr>
        <w:t>entered</w:t>
      </w:r>
      <w:r>
        <w:rPr>
          <w:rFonts w:asciiTheme="minorHAnsi" w:hAnsiTheme="minorHAnsi" w:cstheme="minorHAnsi"/>
          <w:b/>
          <w:bCs/>
        </w:rPr>
        <w:t xml:space="preserve"> a letter of intent that will enable it to establish a retail presence in the state of Ohio, through a joint venture with an Ohio limited liability company. </w:t>
      </w:r>
    </w:p>
    <w:p w14:paraId="503EA7F3" w14:textId="77777777" w:rsidR="00D21417" w:rsidRPr="00232E8F" w:rsidRDefault="00D21417" w:rsidP="00D21417">
      <w:pPr>
        <w:pStyle w:val="List"/>
        <w:spacing w:before="120"/>
        <w:ind w:left="720" w:firstLine="0"/>
        <w:jc w:val="both"/>
        <w:rPr>
          <w:rFonts w:ascii="Calibri" w:hAnsi="Calibri" w:cs="Calibri"/>
          <w:b/>
          <w:sz w:val="22"/>
          <w:szCs w:val="22"/>
        </w:rPr>
      </w:pPr>
    </w:p>
    <w:p w14:paraId="7831D084" w14:textId="1D566284"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0D04317" w14:textId="77777777" w:rsidR="005A7E43" w:rsidRDefault="005A7E43" w:rsidP="005A7E43">
      <w:pPr>
        <w:pStyle w:val="List"/>
        <w:spacing w:before="120"/>
        <w:ind w:left="720" w:firstLine="0"/>
        <w:jc w:val="both"/>
        <w:rPr>
          <w:rFonts w:ascii="Calibri" w:hAnsi="Calibri" w:cs="Calibri"/>
          <w:b/>
          <w:sz w:val="22"/>
          <w:szCs w:val="22"/>
        </w:rPr>
      </w:pPr>
    </w:p>
    <w:p w14:paraId="60AAA9F0"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0E463B33" w14:textId="77777777" w:rsidR="005A7E43" w:rsidRPr="00232E8F" w:rsidRDefault="005A7E43" w:rsidP="005A7E43">
      <w:pPr>
        <w:pStyle w:val="List"/>
        <w:spacing w:before="120"/>
        <w:ind w:left="720" w:firstLine="0"/>
        <w:jc w:val="both"/>
        <w:rPr>
          <w:rFonts w:ascii="Calibri" w:hAnsi="Calibri" w:cs="Calibri"/>
          <w:b/>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0E1860AD" w14:textId="77777777" w:rsidR="005A7E43" w:rsidRDefault="005A7E43" w:rsidP="005A7E43">
      <w:pPr>
        <w:pStyle w:val="List"/>
        <w:spacing w:before="120"/>
        <w:ind w:left="720" w:firstLine="0"/>
        <w:jc w:val="both"/>
        <w:rPr>
          <w:rFonts w:ascii="Calibri" w:hAnsi="Calibri" w:cs="Calibri"/>
          <w:b/>
          <w:sz w:val="22"/>
          <w:szCs w:val="22"/>
        </w:rPr>
      </w:pPr>
    </w:p>
    <w:p w14:paraId="584196F3"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748DAC4" w14:textId="77777777" w:rsidR="005A7E43" w:rsidRPr="00232E8F" w:rsidRDefault="005A7E43" w:rsidP="005A7E43">
      <w:pPr>
        <w:pStyle w:val="List"/>
        <w:spacing w:before="120"/>
        <w:ind w:left="720" w:firstLine="0"/>
        <w:jc w:val="both"/>
        <w:rPr>
          <w:rFonts w:ascii="Calibri" w:hAnsi="Calibri" w:cs="Calibri"/>
          <w:b/>
          <w:sz w:val="22"/>
          <w:szCs w:val="22"/>
        </w:rPr>
      </w:pP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241CC995" w14:textId="77777777" w:rsidR="005A7E43" w:rsidRDefault="005A7E43" w:rsidP="005A7E43">
      <w:pPr>
        <w:pStyle w:val="List"/>
        <w:spacing w:before="120"/>
        <w:ind w:left="720" w:firstLine="0"/>
        <w:jc w:val="both"/>
        <w:rPr>
          <w:rFonts w:ascii="Calibri" w:hAnsi="Calibri" w:cs="Calibri"/>
          <w:b/>
          <w:sz w:val="22"/>
          <w:szCs w:val="22"/>
        </w:rPr>
      </w:pPr>
    </w:p>
    <w:p w14:paraId="7F6E1C1C"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3E396D36" w14:textId="77777777" w:rsidR="005A7E43" w:rsidRPr="00232E8F" w:rsidRDefault="005A7E43" w:rsidP="005A7E43">
      <w:pPr>
        <w:pStyle w:val="List"/>
        <w:spacing w:before="120"/>
        <w:ind w:left="720" w:firstLine="0"/>
        <w:jc w:val="both"/>
        <w:rPr>
          <w:rFonts w:ascii="Calibri" w:hAnsi="Calibri" w:cs="Calibri"/>
          <w:b/>
          <w:sz w:val="22"/>
          <w:szCs w:val="22"/>
        </w:rPr>
      </w:pP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00017DE1" w14:textId="77777777" w:rsidR="005A7E43" w:rsidRDefault="005A7E43" w:rsidP="005A7E43">
      <w:pPr>
        <w:pStyle w:val="List"/>
        <w:spacing w:before="120"/>
        <w:ind w:left="720" w:firstLine="0"/>
        <w:jc w:val="both"/>
        <w:rPr>
          <w:rFonts w:ascii="Calibri" w:hAnsi="Calibri" w:cs="Calibri"/>
          <w:b/>
          <w:sz w:val="22"/>
          <w:szCs w:val="22"/>
        </w:rPr>
      </w:pPr>
    </w:p>
    <w:p w14:paraId="5446DE8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3DD4C1CF" w14:textId="77777777" w:rsidR="005A7E43" w:rsidRPr="00232E8F" w:rsidRDefault="005A7E43" w:rsidP="005A7E43">
      <w:pPr>
        <w:pStyle w:val="List"/>
        <w:spacing w:before="120"/>
        <w:ind w:left="720" w:firstLine="0"/>
        <w:jc w:val="both"/>
        <w:rPr>
          <w:rFonts w:ascii="Calibri" w:hAnsi="Calibri" w:cs="Calibri"/>
          <w:b/>
          <w:sz w:val="22"/>
          <w:szCs w:val="22"/>
        </w:rPr>
      </w:pP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4A826466" w14:textId="77777777" w:rsidR="005A7E43" w:rsidRDefault="005A7E43" w:rsidP="005A7E43">
      <w:pPr>
        <w:pStyle w:val="List"/>
        <w:spacing w:before="120"/>
        <w:ind w:left="720" w:firstLine="0"/>
        <w:jc w:val="both"/>
        <w:rPr>
          <w:rFonts w:ascii="Calibri" w:hAnsi="Calibri" w:cs="Calibri"/>
          <w:b/>
          <w:sz w:val="22"/>
          <w:szCs w:val="22"/>
        </w:rPr>
      </w:pPr>
    </w:p>
    <w:p w14:paraId="0752886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0448A29B" w14:textId="77777777" w:rsidR="005A7E43" w:rsidRPr="00232E8F" w:rsidRDefault="005A7E43" w:rsidP="005A7E43">
      <w:pPr>
        <w:pStyle w:val="List"/>
        <w:spacing w:before="120"/>
        <w:ind w:left="720" w:firstLine="0"/>
        <w:jc w:val="both"/>
        <w:rPr>
          <w:rFonts w:ascii="Calibri" w:hAnsi="Calibri" w:cs="Calibri"/>
          <w:b/>
          <w:sz w:val="22"/>
          <w:szCs w:val="22"/>
        </w:rPr>
      </w:pP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0EF52BEB" w14:textId="77777777" w:rsidR="005A7E43" w:rsidRDefault="005A7E43" w:rsidP="005A7E43">
      <w:pPr>
        <w:pStyle w:val="List"/>
        <w:spacing w:before="120"/>
        <w:ind w:left="720" w:firstLine="0"/>
        <w:jc w:val="both"/>
        <w:rPr>
          <w:rFonts w:ascii="Calibri" w:hAnsi="Calibri" w:cs="Calibri"/>
          <w:b/>
          <w:sz w:val="22"/>
          <w:szCs w:val="22"/>
        </w:rPr>
      </w:pPr>
    </w:p>
    <w:p w14:paraId="6EA29BC1"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F3E1C98" w14:textId="77777777" w:rsidR="005A7E43" w:rsidRPr="00232E8F" w:rsidRDefault="005A7E43" w:rsidP="005A7E43">
      <w:pPr>
        <w:pStyle w:val="List"/>
        <w:spacing w:before="120"/>
        <w:ind w:left="720" w:firstLine="0"/>
        <w:jc w:val="both"/>
        <w:rPr>
          <w:rFonts w:ascii="Calibri" w:hAnsi="Calibri" w:cs="Calibri"/>
          <w:b/>
          <w:sz w:val="22"/>
          <w:szCs w:val="22"/>
        </w:rPr>
      </w:pPr>
    </w:p>
    <w:p w14:paraId="6CE088A9" w14:textId="5C4AC0C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2F72906" w14:textId="77777777" w:rsidR="005A7E43" w:rsidRDefault="005A7E43" w:rsidP="005A7E43">
      <w:pPr>
        <w:pStyle w:val="List"/>
        <w:spacing w:before="120"/>
        <w:ind w:left="720" w:firstLine="0"/>
        <w:jc w:val="both"/>
        <w:rPr>
          <w:rFonts w:ascii="Calibri" w:hAnsi="Calibri" w:cs="Calibri"/>
          <w:b/>
          <w:sz w:val="22"/>
          <w:szCs w:val="22"/>
        </w:rPr>
      </w:pPr>
    </w:p>
    <w:p w14:paraId="5119D0B5" w14:textId="47682F9B"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668852C" w14:textId="77777777" w:rsidR="005A7E43" w:rsidRPr="00232E8F" w:rsidRDefault="005A7E43" w:rsidP="005A7E43">
      <w:pPr>
        <w:pStyle w:val="List"/>
        <w:spacing w:before="120"/>
        <w:ind w:left="720" w:firstLine="0"/>
        <w:jc w:val="both"/>
        <w:rPr>
          <w:rFonts w:ascii="Calibri" w:hAnsi="Calibri" w:cs="Calibri"/>
          <w:b/>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1F90A36" w14:textId="77777777" w:rsidR="005A7E43" w:rsidRDefault="005A7E43" w:rsidP="005A7E43">
      <w:pPr>
        <w:pStyle w:val="List"/>
        <w:spacing w:before="120"/>
        <w:ind w:left="720" w:firstLine="0"/>
        <w:jc w:val="both"/>
        <w:rPr>
          <w:rFonts w:ascii="Calibri" w:hAnsi="Calibri" w:cs="Calibri"/>
          <w:b/>
          <w:sz w:val="22"/>
          <w:szCs w:val="22"/>
        </w:rPr>
      </w:pPr>
    </w:p>
    <w:p w14:paraId="0A0987B2"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AA7757B" w14:textId="77777777" w:rsidR="005A7E43" w:rsidRPr="00232E8F" w:rsidRDefault="005A7E43" w:rsidP="005A7E43">
      <w:pPr>
        <w:pStyle w:val="List"/>
        <w:spacing w:before="120"/>
        <w:ind w:left="720" w:firstLine="0"/>
        <w:jc w:val="both"/>
        <w:rPr>
          <w:rFonts w:ascii="Calibri" w:hAnsi="Calibri" w:cs="Calibri"/>
          <w:b/>
          <w:sz w:val="22"/>
          <w:szCs w:val="22"/>
        </w:rPr>
      </w:pP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BDE294E" w14:textId="77777777" w:rsidR="005A7E43" w:rsidRDefault="005A7E43" w:rsidP="005A7E43">
      <w:pPr>
        <w:pStyle w:val="List"/>
        <w:spacing w:before="120"/>
        <w:ind w:left="720" w:firstLine="0"/>
        <w:jc w:val="both"/>
        <w:rPr>
          <w:rFonts w:ascii="Calibri" w:hAnsi="Calibri" w:cs="Calibri"/>
          <w:b/>
          <w:sz w:val="22"/>
          <w:szCs w:val="22"/>
        </w:rPr>
      </w:pPr>
    </w:p>
    <w:p w14:paraId="04E36FE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449A1BA" w14:textId="77777777" w:rsidR="005A7E43" w:rsidRPr="00232E8F" w:rsidRDefault="005A7E43" w:rsidP="005A7E43">
      <w:pPr>
        <w:pStyle w:val="List"/>
        <w:spacing w:before="120"/>
        <w:ind w:left="720" w:firstLine="0"/>
        <w:jc w:val="both"/>
        <w:rPr>
          <w:rFonts w:ascii="Calibri" w:hAnsi="Calibri" w:cs="Calibri"/>
          <w:b/>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7A034ACA" w14:textId="77777777" w:rsidR="005A7E43" w:rsidRDefault="005A7E43" w:rsidP="005A7E43">
      <w:pPr>
        <w:pStyle w:val="List"/>
        <w:spacing w:before="120"/>
        <w:ind w:left="720" w:firstLine="0"/>
        <w:jc w:val="both"/>
        <w:rPr>
          <w:rFonts w:ascii="Calibri" w:hAnsi="Calibri" w:cs="Calibri"/>
          <w:b/>
          <w:sz w:val="22"/>
          <w:szCs w:val="22"/>
        </w:rPr>
      </w:pPr>
    </w:p>
    <w:p w14:paraId="6B592E7A"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5758EB57" w14:textId="77777777" w:rsidR="005A7E43" w:rsidRPr="00232E8F" w:rsidRDefault="005A7E43" w:rsidP="005A7E43">
      <w:pPr>
        <w:pStyle w:val="List"/>
        <w:spacing w:before="120"/>
        <w:ind w:left="720" w:firstLine="0"/>
        <w:jc w:val="both"/>
        <w:rPr>
          <w:rFonts w:ascii="Calibri" w:hAnsi="Calibri" w:cs="Calibri"/>
          <w:b/>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lastRenderedPageBreak/>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F303C3E" w14:textId="77777777" w:rsidR="005A7E43" w:rsidRDefault="005A7E43" w:rsidP="005A7E43">
      <w:pPr>
        <w:pStyle w:val="List"/>
        <w:spacing w:before="120"/>
        <w:ind w:left="720" w:firstLine="0"/>
        <w:jc w:val="both"/>
        <w:rPr>
          <w:rFonts w:ascii="Calibri" w:hAnsi="Calibri" w:cs="Calibri"/>
          <w:b/>
          <w:sz w:val="22"/>
          <w:szCs w:val="22"/>
        </w:rPr>
      </w:pPr>
    </w:p>
    <w:p w14:paraId="1883C761"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12849834" w14:textId="77777777" w:rsidR="005A7E43" w:rsidRPr="00232E8F" w:rsidRDefault="005A7E43" w:rsidP="005A7E43">
      <w:pPr>
        <w:pStyle w:val="List"/>
        <w:spacing w:before="120"/>
        <w:ind w:left="720" w:firstLine="0"/>
        <w:jc w:val="both"/>
        <w:rPr>
          <w:rFonts w:ascii="Calibri" w:hAnsi="Calibri" w:cs="Calibri"/>
          <w:b/>
          <w:sz w:val="22"/>
          <w:szCs w:val="22"/>
        </w:rPr>
      </w:pPr>
    </w:p>
    <w:p w14:paraId="5CFDC6B1" w14:textId="743CCAF7"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11337429" w14:textId="6FC1982E" w:rsidR="002F09EF" w:rsidRDefault="002F09EF" w:rsidP="00C72755">
      <w:pPr>
        <w:pStyle w:val="ListParagraph"/>
        <w:ind w:left="720" w:right="288" w:firstLine="0"/>
        <w:jc w:val="both"/>
        <w:rPr>
          <w:rFonts w:asciiTheme="minorHAnsi" w:hAnsiTheme="minorHAnsi" w:cstheme="minorHAnsi"/>
          <w:b/>
          <w:bCs/>
        </w:rPr>
      </w:pPr>
    </w:p>
    <w:p w14:paraId="70F81797" w14:textId="77777777" w:rsidR="002624DD" w:rsidRDefault="002624DD" w:rsidP="00C72755">
      <w:pPr>
        <w:pStyle w:val="ListParagraph"/>
        <w:ind w:left="720" w:right="288" w:firstLine="0"/>
        <w:jc w:val="both"/>
        <w:rPr>
          <w:rFonts w:asciiTheme="minorHAnsi" w:hAnsiTheme="minorHAnsi" w:cstheme="minorHAnsi"/>
          <w:b/>
          <w:bCs/>
        </w:rPr>
      </w:pPr>
    </w:p>
    <w:p w14:paraId="251C479F" w14:textId="77062372" w:rsidR="00A009F5" w:rsidRDefault="00A009F5" w:rsidP="00A009F5">
      <w:pPr>
        <w:pStyle w:val="ListParagraph"/>
        <w:ind w:left="720" w:right="288" w:firstLine="0"/>
        <w:jc w:val="both"/>
        <w:rPr>
          <w:rFonts w:asciiTheme="minorHAnsi" w:hAnsiTheme="minorHAnsi" w:cstheme="minorHAnsi"/>
          <w:b/>
          <w:bCs/>
        </w:rPr>
      </w:pPr>
      <w:r>
        <w:rPr>
          <w:rFonts w:asciiTheme="minorHAnsi" w:hAnsiTheme="minorHAnsi" w:cstheme="minorHAnsi"/>
          <w:b/>
          <w:bCs/>
        </w:rPr>
        <w:t xml:space="preserve">On March 9, 2021, the Issuer granted </w:t>
      </w:r>
      <w:r w:rsidR="00F753FF">
        <w:rPr>
          <w:rFonts w:asciiTheme="minorHAnsi" w:hAnsiTheme="minorHAnsi" w:cstheme="minorHAnsi"/>
          <w:b/>
          <w:bCs/>
        </w:rPr>
        <w:t>1</w:t>
      </w:r>
      <w:r>
        <w:rPr>
          <w:rFonts w:asciiTheme="minorHAnsi" w:hAnsiTheme="minorHAnsi" w:cstheme="minorHAnsi"/>
          <w:b/>
          <w:bCs/>
        </w:rPr>
        <w:t xml:space="preserve">00,000 options to </w:t>
      </w:r>
      <w:r w:rsidR="00F753FF">
        <w:rPr>
          <w:rFonts w:asciiTheme="minorHAnsi" w:hAnsiTheme="minorHAnsi" w:cstheme="minorHAnsi"/>
          <w:b/>
          <w:bCs/>
        </w:rPr>
        <w:t>a</w:t>
      </w:r>
      <w:r w:rsidR="00A6527B">
        <w:rPr>
          <w:rFonts w:asciiTheme="minorHAnsi" w:hAnsiTheme="minorHAnsi" w:cstheme="minorHAnsi"/>
          <w:b/>
          <w:bCs/>
        </w:rPr>
        <w:t xml:space="preserve"> consultant</w:t>
      </w:r>
      <w:r>
        <w:rPr>
          <w:rFonts w:asciiTheme="minorHAnsi" w:hAnsiTheme="minorHAnsi" w:cstheme="minorHAnsi"/>
          <w:b/>
          <w:bCs/>
        </w:rPr>
        <w:t xml:space="preserve"> of the Issuer at a</w:t>
      </w:r>
      <w:r w:rsidR="00A6527B">
        <w:rPr>
          <w:rFonts w:asciiTheme="minorHAnsi" w:hAnsiTheme="minorHAnsi" w:cstheme="minorHAnsi"/>
          <w:b/>
          <w:bCs/>
        </w:rPr>
        <w:t>n</w:t>
      </w:r>
      <w:r>
        <w:rPr>
          <w:rFonts w:asciiTheme="minorHAnsi" w:hAnsiTheme="minorHAnsi" w:cstheme="minorHAnsi"/>
          <w:b/>
          <w:bCs/>
        </w:rPr>
        <w:t xml:space="preserve"> exercise price of CAD$</w:t>
      </w:r>
      <w:r w:rsidR="00F753FF">
        <w:rPr>
          <w:rFonts w:asciiTheme="minorHAnsi" w:hAnsiTheme="minorHAnsi" w:cstheme="minorHAnsi"/>
          <w:b/>
          <w:bCs/>
        </w:rPr>
        <w:t>0.96</w:t>
      </w:r>
      <w:r>
        <w:rPr>
          <w:rFonts w:asciiTheme="minorHAnsi" w:hAnsiTheme="minorHAnsi" w:cstheme="minorHAnsi"/>
          <w:b/>
          <w:bCs/>
        </w:rPr>
        <w:t xml:space="preserve"> per share and expire </w:t>
      </w:r>
      <w:r w:rsidR="00F753FF">
        <w:rPr>
          <w:rFonts w:asciiTheme="minorHAnsi" w:hAnsiTheme="minorHAnsi" w:cstheme="minorHAnsi"/>
          <w:b/>
          <w:bCs/>
        </w:rPr>
        <w:t>March</w:t>
      </w:r>
      <w:r>
        <w:rPr>
          <w:rFonts w:asciiTheme="minorHAnsi" w:hAnsiTheme="minorHAnsi" w:cstheme="minorHAnsi"/>
          <w:b/>
          <w:bCs/>
        </w:rPr>
        <w:t xml:space="preserve"> 9, 2031.</w:t>
      </w:r>
    </w:p>
    <w:p w14:paraId="7AB1E9D9" w14:textId="77777777" w:rsidR="00403808" w:rsidRDefault="00403808" w:rsidP="00C72755">
      <w:pPr>
        <w:pStyle w:val="ListParagraph"/>
        <w:ind w:left="720" w:right="288" w:firstLine="0"/>
        <w:jc w:val="both"/>
        <w:rPr>
          <w:rFonts w:asciiTheme="minorHAnsi" w:hAnsiTheme="minorHAnsi" w:cstheme="minorHAnsi"/>
          <w:b/>
          <w:bCs/>
        </w:rPr>
      </w:pPr>
    </w:p>
    <w:p w14:paraId="2296E976" w14:textId="12870EEA" w:rsidR="00C66FBB" w:rsidRDefault="00C66FBB" w:rsidP="00C72755">
      <w:pPr>
        <w:pStyle w:val="ListParagraph"/>
        <w:ind w:left="720" w:right="288" w:firstLine="0"/>
        <w:jc w:val="both"/>
        <w:rPr>
          <w:rFonts w:asciiTheme="minorHAnsi" w:hAnsiTheme="minorHAnsi" w:cstheme="minorHAnsi"/>
          <w:b/>
          <w:bCs/>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DF30406" w14:textId="77777777" w:rsidR="005A7E43" w:rsidRDefault="005A7E43" w:rsidP="005A7E43">
      <w:pPr>
        <w:pStyle w:val="List"/>
        <w:spacing w:before="120"/>
        <w:ind w:left="720" w:firstLine="0"/>
        <w:jc w:val="both"/>
        <w:rPr>
          <w:rFonts w:ascii="Calibri" w:hAnsi="Calibri" w:cs="Calibri"/>
          <w:b/>
          <w:sz w:val="22"/>
          <w:szCs w:val="22"/>
        </w:rPr>
      </w:pPr>
    </w:p>
    <w:p w14:paraId="4EEE3884"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3FAEDBB" w14:textId="77777777" w:rsidR="005A7E43" w:rsidRPr="00232E8F" w:rsidRDefault="005A7E43" w:rsidP="005A7E43">
      <w:pPr>
        <w:pStyle w:val="List"/>
        <w:spacing w:before="120"/>
        <w:ind w:left="720" w:firstLine="0"/>
        <w:jc w:val="both"/>
        <w:rPr>
          <w:rFonts w:ascii="Calibri" w:hAnsi="Calibri" w:cs="Calibri"/>
          <w:b/>
          <w:sz w:val="22"/>
          <w:szCs w:val="22"/>
        </w:rPr>
      </w:pPr>
    </w:p>
    <w:p w14:paraId="3258B1AB" w14:textId="70645B5B"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FAB8C71" w14:textId="77777777" w:rsidR="005A7E43" w:rsidRDefault="005A7E43" w:rsidP="005A7E43">
      <w:pPr>
        <w:pStyle w:val="List"/>
        <w:spacing w:before="120"/>
        <w:ind w:left="720" w:firstLine="0"/>
        <w:jc w:val="both"/>
        <w:rPr>
          <w:rFonts w:ascii="Calibri" w:hAnsi="Calibri" w:cs="Calibri"/>
          <w:b/>
          <w:sz w:val="22"/>
          <w:szCs w:val="22"/>
        </w:rPr>
      </w:pPr>
    </w:p>
    <w:p w14:paraId="3337AFA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7A5B7DE0" w14:textId="77777777" w:rsidR="005A7E43" w:rsidRPr="00232E8F" w:rsidRDefault="005A7E43" w:rsidP="005A7E43">
      <w:pPr>
        <w:pStyle w:val="List"/>
        <w:spacing w:before="120"/>
        <w:ind w:left="720" w:firstLine="0"/>
        <w:jc w:val="both"/>
        <w:rPr>
          <w:rFonts w:ascii="Calibri" w:hAnsi="Calibri" w:cs="Calibr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w:t>
      </w:r>
      <w:r w:rsidRPr="00296261">
        <w:rPr>
          <w:rFonts w:asciiTheme="minorHAnsi" w:hAnsiTheme="minorHAnsi" w:cstheme="minorHAnsi"/>
          <w:b/>
          <w:bCs/>
          <w:sz w:val="22"/>
          <w:szCs w:val="22"/>
          <w:lang w:val="en-CA" w:eastAsia="en-CA"/>
        </w:rPr>
        <w:lastRenderedPageBreak/>
        <w:t xml:space="preserve">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Certificate Of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All of the information in this Form 7 Monthly Progress Report is true.</w:t>
      </w:r>
    </w:p>
    <w:p w14:paraId="2B4C6F65" w14:textId="69CD3C65"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254F0C">
        <w:rPr>
          <w:rFonts w:asciiTheme="minorHAnsi" w:hAnsiTheme="minorHAnsi" w:cstheme="minorHAnsi"/>
          <w:b/>
          <w:sz w:val="22"/>
          <w:szCs w:val="22"/>
        </w:rPr>
        <w:t xml:space="preserve">April </w:t>
      </w:r>
      <w:r w:rsidR="00255E93">
        <w:rPr>
          <w:rFonts w:asciiTheme="minorHAnsi" w:hAnsiTheme="minorHAnsi" w:cstheme="minorHAnsi"/>
          <w:b/>
          <w:sz w:val="22"/>
          <w:szCs w:val="22"/>
        </w:rPr>
        <w:t>6</w:t>
      </w:r>
      <w:r w:rsidR="00E00890">
        <w:rPr>
          <w:rFonts w:asciiTheme="minorHAnsi" w:hAnsiTheme="minorHAnsi" w:cstheme="minorHAnsi"/>
          <w:b/>
          <w:sz w:val="22"/>
          <w:szCs w:val="22"/>
        </w:rPr>
        <w:t>, 2021</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68405511"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1A0B86BA" w:rsidR="00414E69" w:rsidRPr="008F1BB6" w:rsidRDefault="00D435C1">
            <w:pPr>
              <w:pStyle w:val="BodyText"/>
              <w:spacing w:before="0"/>
              <w:rPr>
                <w:rFonts w:asciiTheme="minorHAnsi" w:hAnsiTheme="minorHAnsi" w:cstheme="minorHAnsi"/>
                <w:bCs/>
                <w:sz w:val="22"/>
                <w:szCs w:val="22"/>
              </w:rPr>
            </w:pPr>
            <w:r>
              <w:rPr>
                <w:rFonts w:asciiTheme="minorHAnsi" w:hAnsiTheme="minorHAnsi" w:cstheme="minorHAnsi"/>
                <w:bCs/>
                <w:sz w:val="22"/>
                <w:szCs w:val="22"/>
              </w:rPr>
              <w:t>March</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w:t>
            </w:r>
            <w:r w:rsidR="00E27C14">
              <w:rPr>
                <w:rFonts w:asciiTheme="minorHAnsi" w:hAnsiTheme="minorHAnsi" w:cstheme="minorHAnsi"/>
                <w:bCs/>
                <w:sz w:val="22"/>
                <w:szCs w:val="22"/>
              </w:rPr>
              <w:t>1</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31883971"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w:t>
            </w:r>
            <w:r w:rsidR="0036347B">
              <w:rPr>
                <w:rFonts w:asciiTheme="minorHAnsi" w:hAnsiTheme="minorHAnsi" w:cstheme="minorHAnsi"/>
                <w:bCs/>
                <w:sz w:val="22"/>
                <w:szCs w:val="22"/>
              </w:rPr>
              <w:t>1</w:t>
            </w:r>
            <w:r w:rsidR="00674843" w:rsidRPr="008F1BB6">
              <w:rPr>
                <w:rFonts w:asciiTheme="minorHAnsi" w:hAnsiTheme="minorHAnsi" w:cstheme="minorHAnsi"/>
                <w:bCs/>
                <w:sz w:val="22"/>
                <w:szCs w:val="22"/>
              </w:rPr>
              <w:t>/</w:t>
            </w:r>
            <w:r w:rsidR="0036347B">
              <w:rPr>
                <w:rFonts w:asciiTheme="minorHAnsi" w:hAnsiTheme="minorHAnsi" w:cstheme="minorHAnsi"/>
                <w:bCs/>
                <w:sz w:val="22"/>
                <w:szCs w:val="22"/>
              </w:rPr>
              <w:t>0</w:t>
            </w:r>
            <w:r w:rsidR="009B6E8C">
              <w:rPr>
                <w:rFonts w:asciiTheme="minorHAnsi" w:hAnsiTheme="minorHAnsi" w:cstheme="minorHAnsi"/>
                <w:bCs/>
                <w:sz w:val="22"/>
                <w:szCs w:val="22"/>
              </w:rPr>
              <w:t>4</w:t>
            </w:r>
            <w:r w:rsidR="00CA25EF">
              <w:rPr>
                <w:rFonts w:asciiTheme="minorHAnsi" w:hAnsiTheme="minorHAnsi" w:cstheme="minorHAnsi"/>
                <w:bCs/>
                <w:sz w:val="22"/>
                <w:szCs w:val="22"/>
              </w:rPr>
              <w:t>/0</w:t>
            </w:r>
            <w:r w:rsidR="009B6E8C">
              <w:rPr>
                <w:rFonts w:asciiTheme="minorHAnsi" w:hAnsiTheme="minorHAnsi" w:cstheme="minorHAnsi"/>
                <w:bCs/>
                <w:sz w:val="22"/>
                <w:szCs w:val="22"/>
              </w:rPr>
              <w:t>6</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475540" w:rsidP="00AF3215">
            <w:pPr>
              <w:pStyle w:val="BodyText"/>
              <w:spacing w:before="0"/>
              <w:rPr>
                <w:rFonts w:asciiTheme="minorHAnsi" w:hAnsiTheme="minorHAnsi" w:cstheme="minorHAnsi"/>
                <w:bCs/>
                <w:sz w:val="22"/>
                <w:szCs w:val="22"/>
              </w:rPr>
            </w:pPr>
            <w:hyperlink r:id="rId11"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475540">
            <w:pPr>
              <w:pStyle w:val="BodyText"/>
              <w:spacing w:before="0"/>
              <w:rPr>
                <w:rFonts w:asciiTheme="minorHAnsi" w:hAnsiTheme="minorHAnsi" w:cstheme="minorHAnsi"/>
                <w:bCs/>
                <w:sz w:val="22"/>
                <w:szCs w:val="22"/>
              </w:rPr>
            </w:pPr>
            <w:hyperlink r:id="rId12"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5B40C" w14:textId="77777777" w:rsidR="00B81CD7" w:rsidRDefault="00B81CD7">
      <w:r>
        <w:separator/>
      </w:r>
    </w:p>
  </w:endnote>
  <w:endnote w:type="continuationSeparator" w:id="0">
    <w:p w14:paraId="034E1519" w14:textId="77777777" w:rsidR="00B81CD7" w:rsidRDefault="00B8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533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BA3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69AE" w14:textId="77777777" w:rsidR="00B81CD7" w:rsidRDefault="00B81CD7">
      <w:r>
        <w:separator/>
      </w:r>
    </w:p>
  </w:footnote>
  <w:footnote w:type="continuationSeparator" w:id="0">
    <w:p w14:paraId="1C0BFD79" w14:textId="77777777" w:rsidR="00B81CD7" w:rsidRDefault="00B8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6F"/>
    <w:rsid w:val="00001399"/>
    <w:rsid w:val="00003D67"/>
    <w:rsid w:val="000042E2"/>
    <w:rsid w:val="000303AD"/>
    <w:rsid w:val="00030A1B"/>
    <w:rsid w:val="00042888"/>
    <w:rsid w:val="000445FB"/>
    <w:rsid w:val="00050DC2"/>
    <w:rsid w:val="00050E6E"/>
    <w:rsid w:val="000541EF"/>
    <w:rsid w:val="00064568"/>
    <w:rsid w:val="00065A01"/>
    <w:rsid w:val="00086C7A"/>
    <w:rsid w:val="00091B73"/>
    <w:rsid w:val="00093E35"/>
    <w:rsid w:val="000A1AB1"/>
    <w:rsid w:val="000B0C62"/>
    <w:rsid w:val="000B68CF"/>
    <w:rsid w:val="000B7F5D"/>
    <w:rsid w:val="000C4986"/>
    <w:rsid w:val="000D06EE"/>
    <w:rsid w:val="000D6883"/>
    <w:rsid w:val="000D7FE3"/>
    <w:rsid w:val="000E1639"/>
    <w:rsid w:val="000E7EE6"/>
    <w:rsid w:val="000F37D7"/>
    <w:rsid w:val="000F4CC3"/>
    <w:rsid w:val="000F7267"/>
    <w:rsid w:val="000F73AE"/>
    <w:rsid w:val="000F7FE8"/>
    <w:rsid w:val="00103BEE"/>
    <w:rsid w:val="0010403A"/>
    <w:rsid w:val="00115CBA"/>
    <w:rsid w:val="00123B65"/>
    <w:rsid w:val="00130338"/>
    <w:rsid w:val="001306BE"/>
    <w:rsid w:val="00144261"/>
    <w:rsid w:val="00147716"/>
    <w:rsid w:val="00154166"/>
    <w:rsid w:val="001625DB"/>
    <w:rsid w:val="00162788"/>
    <w:rsid w:val="00167F2C"/>
    <w:rsid w:val="00167F30"/>
    <w:rsid w:val="00171327"/>
    <w:rsid w:val="00174064"/>
    <w:rsid w:val="00175ECE"/>
    <w:rsid w:val="001762E3"/>
    <w:rsid w:val="00177096"/>
    <w:rsid w:val="00180FCC"/>
    <w:rsid w:val="00183CD7"/>
    <w:rsid w:val="0019050D"/>
    <w:rsid w:val="00193F59"/>
    <w:rsid w:val="0019553C"/>
    <w:rsid w:val="001A6E19"/>
    <w:rsid w:val="001B075E"/>
    <w:rsid w:val="001B3F0D"/>
    <w:rsid w:val="001C22DC"/>
    <w:rsid w:val="001C263F"/>
    <w:rsid w:val="001D0FC8"/>
    <w:rsid w:val="001E047A"/>
    <w:rsid w:val="001F1E07"/>
    <w:rsid w:val="00201F96"/>
    <w:rsid w:val="00205C78"/>
    <w:rsid w:val="00212EB2"/>
    <w:rsid w:val="00232A94"/>
    <w:rsid w:val="00232E8F"/>
    <w:rsid w:val="00235A9B"/>
    <w:rsid w:val="00236E01"/>
    <w:rsid w:val="00254F0C"/>
    <w:rsid w:val="00255E93"/>
    <w:rsid w:val="002624DD"/>
    <w:rsid w:val="00264BBC"/>
    <w:rsid w:val="0027596B"/>
    <w:rsid w:val="00277135"/>
    <w:rsid w:val="00283D9E"/>
    <w:rsid w:val="00295D07"/>
    <w:rsid w:val="00296261"/>
    <w:rsid w:val="002A0D7E"/>
    <w:rsid w:val="002A21AF"/>
    <w:rsid w:val="002A25D6"/>
    <w:rsid w:val="002A3B0A"/>
    <w:rsid w:val="002A7C90"/>
    <w:rsid w:val="002B5D14"/>
    <w:rsid w:val="002C281E"/>
    <w:rsid w:val="002C3626"/>
    <w:rsid w:val="002C60BD"/>
    <w:rsid w:val="002D3CC8"/>
    <w:rsid w:val="002E4E46"/>
    <w:rsid w:val="002E5F70"/>
    <w:rsid w:val="002F00EB"/>
    <w:rsid w:val="002F09EF"/>
    <w:rsid w:val="002F3703"/>
    <w:rsid w:val="003028C8"/>
    <w:rsid w:val="00306C2D"/>
    <w:rsid w:val="00317F5D"/>
    <w:rsid w:val="003224DD"/>
    <w:rsid w:val="0033203F"/>
    <w:rsid w:val="003325A0"/>
    <w:rsid w:val="00341072"/>
    <w:rsid w:val="00343E49"/>
    <w:rsid w:val="0036347B"/>
    <w:rsid w:val="003669A9"/>
    <w:rsid w:val="00371A64"/>
    <w:rsid w:val="00371AE1"/>
    <w:rsid w:val="00376332"/>
    <w:rsid w:val="003775E3"/>
    <w:rsid w:val="00387FA8"/>
    <w:rsid w:val="003958D7"/>
    <w:rsid w:val="00395FD3"/>
    <w:rsid w:val="00397187"/>
    <w:rsid w:val="00397277"/>
    <w:rsid w:val="003972FD"/>
    <w:rsid w:val="003A38D7"/>
    <w:rsid w:val="003B0BCF"/>
    <w:rsid w:val="003B3E52"/>
    <w:rsid w:val="003B7077"/>
    <w:rsid w:val="003B7F03"/>
    <w:rsid w:val="003C205C"/>
    <w:rsid w:val="003C7270"/>
    <w:rsid w:val="003D4B6F"/>
    <w:rsid w:val="003E1316"/>
    <w:rsid w:val="003E39A6"/>
    <w:rsid w:val="003F18F9"/>
    <w:rsid w:val="003F3EB7"/>
    <w:rsid w:val="003F3EFE"/>
    <w:rsid w:val="00403808"/>
    <w:rsid w:val="00414E69"/>
    <w:rsid w:val="00415012"/>
    <w:rsid w:val="004245BE"/>
    <w:rsid w:val="004272F6"/>
    <w:rsid w:val="0043254C"/>
    <w:rsid w:val="00435CDA"/>
    <w:rsid w:val="00450EB8"/>
    <w:rsid w:val="00450EC4"/>
    <w:rsid w:val="0046263E"/>
    <w:rsid w:val="004746F2"/>
    <w:rsid w:val="00475540"/>
    <w:rsid w:val="00484132"/>
    <w:rsid w:val="00485B9C"/>
    <w:rsid w:val="00486634"/>
    <w:rsid w:val="00492D56"/>
    <w:rsid w:val="00495D89"/>
    <w:rsid w:val="004960DA"/>
    <w:rsid w:val="004A0576"/>
    <w:rsid w:val="004B6741"/>
    <w:rsid w:val="004B6C60"/>
    <w:rsid w:val="004B6D61"/>
    <w:rsid w:val="004C1378"/>
    <w:rsid w:val="004D020E"/>
    <w:rsid w:val="004D1F2A"/>
    <w:rsid w:val="004E0B2E"/>
    <w:rsid w:val="004E3190"/>
    <w:rsid w:val="004E3DFA"/>
    <w:rsid w:val="004E5773"/>
    <w:rsid w:val="004F06EE"/>
    <w:rsid w:val="004F0F42"/>
    <w:rsid w:val="004F1093"/>
    <w:rsid w:val="0050030E"/>
    <w:rsid w:val="005076C0"/>
    <w:rsid w:val="005106EA"/>
    <w:rsid w:val="005332CD"/>
    <w:rsid w:val="005413C9"/>
    <w:rsid w:val="005453C8"/>
    <w:rsid w:val="0055708B"/>
    <w:rsid w:val="005713C5"/>
    <w:rsid w:val="00590DD9"/>
    <w:rsid w:val="005A3142"/>
    <w:rsid w:val="005A3EF3"/>
    <w:rsid w:val="005A4270"/>
    <w:rsid w:val="005A7E43"/>
    <w:rsid w:val="005B08DF"/>
    <w:rsid w:val="005B14F4"/>
    <w:rsid w:val="005B2993"/>
    <w:rsid w:val="005B42EB"/>
    <w:rsid w:val="005B58CB"/>
    <w:rsid w:val="005B7FEA"/>
    <w:rsid w:val="005C58FA"/>
    <w:rsid w:val="005C7E67"/>
    <w:rsid w:val="005D091F"/>
    <w:rsid w:val="005D1AC7"/>
    <w:rsid w:val="005D35DA"/>
    <w:rsid w:val="005E2A62"/>
    <w:rsid w:val="005F1E0A"/>
    <w:rsid w:val="005F6D8F"/>
    <w:rsid w:val="00620E7F"/>
    <w:rsid w:val="006212EF"/>
    <w:rsid w:val="00626BDE"/>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096C"/>
    <w:rsid w:val="006975A1"/>
    <w:rsid w:val="006C0E31"/>
    <w:rsid w:val="006C2235"/>
    <w:rsid w:val="006C2B6F"/>
    <w:rsid w:val="006D1A06"/>
    <w:rsid w:val="006D77A3"/>
    <w:rsid w:val="006D7AEF"/>
    <w:rsid w:val="00702DA7"/>
    <w:rsid w:val="0071566E"/>
    <w:rsid w:val="0071676F"/>
    <w:rsid w:val="00716E93"/>
    <w:rsid w:val="0072360A"/>
    <w:rsid w:val="00726ACE"/>
    <w:rsid w:val="00727D72"/>
    <w:rsid w:val="0073156C"/>
    <w:rsid w:val="00744555"/>
    <w:rsid w:val="0074498F"/>
    <w:rsid w:val="007456B0"/>
    <w:rsid w:val="007516CB"/>
    <w:rsid w:val="00756EB0"/>
    <w:rsid w:val="0076478A"/>
    <w:rsid w:val="00767CBD"/>
    <w:rsid w:val="00770CDD"/>
    <w:rsid w:val="00776AC4"/>
    <w:rsid w:val="007A2C8C"/>
    <w:rsid w:val="007A67A4"/>
    <w:rsid w:val="007A7E83"/>
    <w:rsid w:val="007C4368"/>
    <w:rsid w:val="007C6B26"/>
    <w:rsid w:val="007C718F"/>
    <w:rsid w:val="007E006F"/>
    <w:rsid w:val="008075C3"/>
    <w:rsid w:val="008141D5"/>
    <w:rsid w:val="00817735"/>
    <w:rsid w:val="00822A25"/>
    <w:rsid w:val="00826995"/>
    <w:rsid w:val="00832F49"/>
    <w:rsid w:val="00837A17"/>
    <w:rsid w:val="0084388D"/>
    <w:rsid w:val="00847F1F"/>
    <w:rsid w:val="00850B59"/>
    <w:rsid w:val="0085747B"/>
    <w:rsid w:val="0087452F"/>
    <w:rsid w:val="008809AE"/>
    <w:rsid w:val="008B51FB"/>
    <w:rsid w:val="008B65DE"/>
    <w:rsid w:val="008B7E92"/>
    <w:rsid w:val="008D45C9"/>
    <w:rsid w:val="008D4EA7"/>
    <w:rsid w:val="008D604C"/>
    <w:rsid w:val="008D77AB"/>
    <w:rsid w:val="008E0D9D"/>
    <w:rsid w:val="008E7765"/>
    <w:rsid w:val="008E7CB2"/>
    <w:rsid w:val="008F1BB6"/>
    <w:rsid w:val="008F4058"/>
    <w:rsid w:val="008F6A1C"/>
    <w:rsid w:val="00916295"/>
    <w:rsid w:val="00922A46"/>
    <w:rsid w:val="009256EC"/>
    <w:rsid w:val="00931B16"/>
    <w:rsid w:val="00945A80"/>
    <w:rsid w:val="00945C07"/>
    <w:rsid w:val="00965A53"/>
    <w:rsid w:val="00974AC8"/>
    <w:rsid w:val="009A297E"/>
    <w:rsid w:val="009A2C77"/>
    <w:rsid w:val="009A579E"/>
    <w:rsid w:val="009B6E8C"/>
    <w:rsid w:val="009D2952"/>
    <w:rsid w:val="009D2C76"/>
    <w:rsid w:val="009D46E1"/>
    <w:rsid w:val="009E065B"/>
    <w:rsid w:val="009E0F9E"/>
    <w:rsid w:val="009E1783"/>
    <w:rsid w:val="009F1387"/>
    <w:rsid w:val="00A009F5"/>
    <w:rsid w:val="00A11CFB"/>
    <w:rsid w:val="00A11D82"/>
    <w:rsid w:val="00A21A09"/>
    <w:rsid w:val="00A26E9B"/>
    <w:rsid w:val="00A31F2C"/>
    <w:rsid w:val="00A37B3B"/>
    <w:rsid w:val="00A45BD7"/>
    <w:rsid w:val="00A47914"/>
    <w:rsid w:val="00A560D4"/>
    <w:rsid w:val="00A62C5F"/>
    <w:rsid w:val="00A6527B"/>
    <w:rsid w:val="00A65517"/>
    <w:rsid w:val="00A6686D"/>
    <w:rsid w:val="00A7308A"/>
    <w:rsid w:val="00A74B4C"/>
    <w:rsid w:val="00A76D7E"/>
    <w:rsid w:val="00A76E83"/>
    <w:rsid w:val="00A76E93"/>
    <w:rsid w:val="00A90E5F"/>
    <w:rsid w:val="00A959A4"/>
    <w:rsid w:val="00AB18E1"/>
    <w:rsid w:val="00AB6911"/>
    <w:rsid w:val="00AD09AA"/>
    <w:rsid w:val="00AD585C"/>
    <w:rsid w:val="00AE1178"/>
    <w:rsid w:val="00AE43B0"/>
    <w:rsid w:val="00AF3215"/>
    <w:rsid w:val="00AF763E"/>
    <w:rsid w:val="00B05BD8"/>
    <w:rsid w:val="00B2580C"/>
    <w:rsid w:val="00B5391F"/>
    <w:rsid w:val="00B53C0A"/>
    <w:rsid w:val="00B57294"/>
    <w:rsid w:val="00B64B28"/>
    <w:rsid w:val="00B70AC7"/>
    <w:rsid w:val="00B81CD7"/>
    <w:rsid w:val="00B930B6"/>
    <w:rsid w:val="00B943DC"/>
    <w:rsid w:val="00B97ED9"/>
    <w:rsid w:val="00BB043B"/>
    <w:rsid w:val="00BC11A2"/>
    <w:rsid w:val="00BD2547"/>
    <w:rsid w:val="00BD6AB4"/>
    <w:rsid w:val="00BF1BA6"/>
    <w:rsid w:val="00BF39CB"/>
    <w:rsid w:val="00BF72FC"/>
    <w:rsid w:val="00C00761"/>
    <w:rsid w:val="00C07803"/>
    <w:rsid w:val="00C128D7"/>
    <w:rsid w:val="00C12FE8"/>
    <w:rsid w:val="00C14B5E"/>
    <w:rsid w:val="00C23330"/>
    <w:rsid w:val="00C26C6D"/>
    <w:rsid w:val="00C27A18"/>
    <w:rsid w:val="00C44FAF"/>
    <w:rsid w:val="00C5661B"/>
    <w:rsid w:val="00C6383E"/>
    <w:rsid w:val="00C64416"/>
    <w:rsid w:val="00C64596"/>
    <w:rsid w:val="00C66FBB"/>
    <w:rsid w:val="00C71AF7"/>
    <w:rsid w:val="00C72755"/>
    <w:rsid w:val="00C74D25"/>
    <w:rsid w:val="00C816A7"/>
    <w:rsid w:val="00C85D22"/>
    <w:rsid w:val="00CA25EF"/>
    <w:rsid w:val="00CA32D4"/>
    <w:rsid w:val="00CA646F"/>
    <w:rsid w:val="00CB7B8B"/>
    <w:rsid w:val="00CD7F13"/>
    <w:rsid w:val="00CE10B2"/>
    <w:rsid w:val="00CE2B2A"/>
    <w:rsid w:val="00CF0E8A"/>
    <w:rsid w:val="00CF341B"/>
    <w:rsid w:val="00D21417"/>
    <w:rsid w:val="00D216E7"/>
    <w:rsid w:val="00D26E29"/>
    <w:rsid w:val="00D271B8"/>
    <w:rsid w:val="00D27558"/>
    <w:rsid w:val="00D42181"/>
    <w:rsid w:val="00D43281"/>
    <w:rsid w:val="00D435C1"/>
    <w:rsid w:val="00D52BD7"/>
    <w:rsid w:val="00D57A9C"/>
    <w:rsid w:val="00D62569"/>
    <w:rsid w:val="00D63B79"/>
    <w:rsid w:val="00D66ABD"/>
    <w:rsid w:val="00D833E9"/>
    <w:rsid w:val="00D83AA9"/>
    <w:rsid w:val="00D90E4F"/>
    <w:rsid w:val="00D93C4A"/>
    <w:rsid w:val="00D93F9A"/>
    <w:rsid w:val="00DA0BEC"/>
    <w:rsid w:val="00DA130D"/>
    <w:rsid w:val="00DA3074"/>
    <w:rsid w:val="00DA5BF7"/>
    <w:rsid w:val="00DB4680"/>
    <w:rsid w:val="00DC2F50"/>
    <w:rsid w:val="00DC4327"/>
    <w:rsid w:val="00DE01AA"/>
    <w:rsid w:val="00DE468A"/>
    <w:rsid w:val="00DF3058"/>
    <w:rsid w:val="00DF430B"/>
    <w:rsid w:val="00DF5610"/>
    <w:rsid w:val="00E00890"/>
    <w:rsid w:val="00E01BE3"/>
    <w:rsid w:val="00E121FC"/>
    <w:rsid w:val="00E149B1"/>
    <w:rsid w:val="00E15700"/>
    <w:rsid w:val="00E238FA"/>
    <w:rsid w:val="00E256ED"/>
    <w:rsid w:val="00E27C14"/>
    <w:rsid w:val="00E3416C"/>
    <w:rsid w:val="00E36141"/>
    <w:rsid w:val="00E36C98"/>
    <w:rsid w:val="00E45959"/>
    <w:rsid w:val="00E56A28"/>
    <w:rsid w:val="00E6680B"/>
    <w:rsid w:val="00E66E20"/>
    <w:rsid w:val="00E7274C"/>
    <w:rsid w:val="00E73DB5"/>
    <w:rsid w:val="00E8062B"/>
    <w:rsid w:val="00E83E58"/>
    <w:rsid w:val="00E8674F"/>
    <w:rsid w:val="00E86A78"/>
    <w:rsid w:val="00E91744"/>
    <w:rsid w:val="00EA3982"/>
    <w:rsid w:val="00EA6329"/>
    <w:rsid w:val="00EC303F"/>
    <w:rsid w:val="00EF3A48"/>
    <w:rsid w:val="00F03E72"/>
    <w:rsid w:val="00F106FA"/>
    <w:rsid w:val="00F12762"/>
    <w:rsid w:val="00F13497"/>
    <w:rsid w:val="00F169FC"/>
    <w:rsid w:val="00F2681B"/>
    <w:rsid w:val="00F3319C"/>
    <w:rsid w:val="00F3539E"/>
    <w:rsid w:val="00F417C7"/>
    <w:rsid w:val="00F47297"/>
    <w:rsid w:val="00F474E5"/>
    <w:rsid w:val="00F477B8"/>
    <w:rsid w:val="00F53C56"/>
    <w:rsid w:val="00F54F94"/>
    <w:rsid w:val="00F64257"/>
    <w:rsid w:val="00F6625F"/>
    <w:rsid w:val="00F753FF"/>
    <w:rsid w:val="00F8426F"/>
    <w:rsid w:val="00F87B92"/>
    <w:rsid w:val="00F87D4A"/>
    <w:rsid w:val="00F9159C"/>
    <w:rsid w:val="00F92A7E"/>
    <w:rsid w:val="00F92FD5"/>
    <w:rsid w:val="00F960F0"/>
    <w:rsid w:val="00FA1663"/>
    <w:rsid w:val="00FA3EF5"/>
    <w:rsid w:val="00FA54FF"/>
    <w:rsid w:val="00FB4231"/>
    <w:rsid w:val="00FB42BA"/>
    <w:rsid w:val="00FB5715"/>
    <w:rsid w:val="00FC05D7"/>
    <w:rsid w:val="00FC7095"/>
    <w:rsid w:val="00FD021A"/>
    <w:rsid w:val="00FD48B6"/>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xtScie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VextScie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ADEE121A96F46BE626332BA7CB9DB" ma:contentTypeVersion="2" ma:contentTypeDescription="Create a new document." ma:contentTypeScope="" ma:versionID="727d8300472b9dc86187c00fbd701fa9">
  <xsd:schema xmlns:xsd="http://www.w3.org/2001/XMLSchema" xmlns:xs="http://www.w3.org/2001/XMLSchema" xmlns:p="http://schemas.microsoft.com/office/2006/metadata/properties" xmlns:ns2="28c6879a-d3fb-416d-a731-47d6f8971d08" targetNamespace="http://schemas.microsoft.com/office/2006/metadata/properties" ma:root="true" ma:fieldsID="18896cd313a922374493b48047767349" ns2:_="">
    <xsd:import namespace="28c6879a-d3fb-416d-a731-47d6f8971d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879a-d3fb-416d-a731-47d6f897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customXml/itemProps2.xml><?xml version="1.0" encoding="utf-8"?>
<ds:datastoreItem xmlns:ds="http://schemas.openxmlformats.org/officeDocument/2006/customXml" ds:itemID="{B0334221-8EE1-4D88-89E6-FC1C7966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6879a-d3fb-416d-a731-47d6f897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838D-8B5C-4087-AD60-4242395788B5}">
  <ds:schemaRefs>
    <ds:schemaRef ds:uri="http://schemas.microsoft.com/sharepoint/v3/contenttype/forms"/>
  </ds:schemaRefs>
</ds:datastoreItem>
</file>

<file path=customXml/itemProps4.xml><?xml version="1.0" encoding="utf-8"?>
<ds:datastoreItem xmlns:ds="http://schemas.openxmlformats.org/officeDocument/2006/customXml" ds:itemID="{0B236A32-C46D-4FEF-8D39-1B47C1AA9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1613</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Stephan Bankosz</cp:lastModifiedBy>
  <cp:revision>13</cp:revision>
  <cp:lastPrinted>2021-04-06T16:18:00Z</cp:lastPrinted>
  <dcterms:created xsi:type="dcterms:W3CDTF">2021-04-06T16:39:00Z</dcterms:created>
  <dcterms:modified xsi:type="dcterms:W3CDTF">2021-04-06T17:24:00Z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0x010100516ADEE121A96F46BE626332BA7CB9DB</vt:lpwstr>
  </property>
</Properties>
</file>