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33" w:rsidRPr="0001060A" w:rsidRDefault="00EA4133">
      <w:pPr>
        <w:pStyle w:val="Title"/>
        <w:spacing w:before="0"/>
        <w:rPr>
          <w:sz w:val="28"/>
          <w:lang w:val="en-CA"/>
        </w:rPr>
      </w:pPr>
      <w:bookmarkStart w:id="0" w:name="_GoBack"/>
      <w:bookmarkEnd w:id="0"/>
      <w:r w:rsidRPr="0001060A">
        <w:rPr>
          <w:sz w:val="28"/>
          <w:lang w:val="en-CA"/>
        </w:rPr>
        <w:t>FORM 9</w:t>
      </w:r>
    </w:p>
    <w:p w:rsidR="00EA4133" w:rsidRPr="007568B3" w:rsidRDefault="002F3A76">
      <w:pPr>
        <w:pStyle w:val="Title"/>
        <w:spacing w:before="0" w:after="0"/>
        <w:rPr>
          <w:sz w:val="28"/>
          <w:u w:val="single"/>
          <w:lang w:val="en-CA"/>
        </w:rPr>
      </w:pPr>
      <w:r>
        <w:rPr>
          <w:sz w:val="28"/>
          <w:u w:val="single"/>
          <w:lang w:val="en-CA"/>
        </w:rPr>
        <w:t xml:space="preserve">REVISED </w:t>
      </w:r>
      <w:r w:rsidR="00EA4133" w:rsidRPr="007568B3">
        <w:rPr>
          <w:sz w:val="28"/>
          <w:u w:val="single"/>
          <w:lang w:val="en-CA"/>
        </w:rPr>
        <w:t xml:space="preserve">NOTICE OF PROPOSED ISSUANCE OF </w:t>
      </w:r>
      <w:r w:rsidR="000B64EF">
        <w:rPr>
          <w:sz w:val="28"/>
          <w:u w:val="single"/>
          <w:lang w:val="en-CA"/>
        </w:rPr>
        <w:t>LISTED</w:t>
      </w:r>
      <w:r w:rsidR="00EA4133"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sidR="00700814">
        <w:rPr>
          <w:rFonts w:ascii="Arial" w:hAnsi="Arial"/>
          <w:lang w:val="en-CA"/>
        </w:rPr>
        <w:t xml:space="preserve"> Issuer: </w:t>
      </w:r>
      <w:r w:rsidR="00700814">
        <w:rPr>
          <w:rFonts w:ascii="Arial" w:hAnsi="Arial"/>
          <w:u w:val="single"/>
          <w:lang w:val="en-CA"/>
        </w:rPr>
        <w:t>Namaste Technologies Inc.</w:t>
      </w:r>
      <w:r w:rsidR="00700814" w:rsidRPr="00700814">
        <w:rPr>
          <w:rFonts w:ascii="Arial" w:hAnsi="Arial"/>
          <w:lang w:val="en-CA"/>
        </w:rPr>
        <w:t xml:space="preserve"> </w:t>
      </w:r>
      <w:r w:rsidR="00700814">
        <w:rPr>
          <w:rFonts w:ascii="Arial" w:hAnsi="Arial"/>
          <w:lang w:val="en-CA"/>
        </w:rPr>
        <w:t>(the “Issuer”).</w:t>
      </w:r>
    </w:p>
    <w:p w:rsidR="00EA4133" w:rsidRDefault="00700814">
      <w:pPr>
        <w:pStyle w:val="BodyText"/>
        <w:rPr>
          <w:rFonts w:ascii="Arial" w:hAnsi="Arial"/>
          <w:lang w:val="en-CA"/>
        </w:rPr>
      </w:pPr>
      <w:r>
        <w:rPr>
          <w:rFonts w:ascii="Arial" w:hAnsi="Arial"/>
          <w:lang w:val="en-CA"/>
        </w:rPr>
        <w:t xml:space="preserve">Trading Symbol: </w:t>
      </w:r>
      <w:r>
        <w:rPr>
          <w:rFonts w:ascii="Arial" w:hAnsi="Arial"/>
          <w:u w:val="single"/>
          <w:lang w:val="en-CA"/>
        </w:rPr>
        <w:t>N</w:t>
      </w:r>
      <w:r w:rsidR="00EA4133">
        <w:rPr>
          <w:rFonts w:ascii="Arial" w:hAnsi="Arial"/>
          <w:lang w:val="en-CA"/>
        </w:rPr>
        <w:t>.</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5D1FD9">
        <w:rPr>
          <w:rFonts w:ascii="Arial" w:hAnsi="Arial"/>
          <w:u w:val="single"/>
          <w:lang w:val="en-CA"/>
        </w:rPr>
        <w:t>September</w:t>
      </w:r>
      <w:r w:rsidR="00B46512">
        <w:rPr>
          <w:rFonts w:ascii="Arial" w:hAnsi="Arial"/>
          <w:u w:val="single"/>
          <w:lang w:val="en-CA"/>
        </w:rPr>
        <w:t xml:space="preserve"> </w:t>
      </w:r>
      <w:r w:rsidR="00D87207">
        <w:rPr>
          <w:rFonts w:ascii="Arial" w:hAnsi="Arial"/>
          <w:u w:val="single"/>
          <w:lang w:val="en-CA"/>
        </w:rPr>
        <w:t>15</w:t>
      </w:r>
      <w:r w:rsidR="00700814">
        <w:rPr>
          <w:rFonts w:ascii="Arial" w:hAnsi="Arial"/>
          <w:u w:val="single"/>
          <w:lang w:val="en-CA"/>
        </w:rPr>
        <w:t>, 2016</w:t>
      </w:r>
      <w:r>
        <w:rPr>
          <w:rFonts w:ascii="Arial" w:hAnsi="Arial"/>
          <w:lang w:val="en-CA"/>
        </w:rPr>
        <w:t>.</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5D1FD9">
        <w:rPr>
          <w:rFonts w:ascii="Arial" w:hAnsi="Arial"/>
          <w:lang w:val="en-CA"/>
        </w:rPr>
        <w:sym w:font="Monotype Sorts" w:char="F07F"/>
      </w:r>
      <w:r w:rsidR="005D1FD9">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5D1FD9">
        <w:rPr>
          <w:rFonts w:ascii="Arial" w:hAnsi="Arial"/>
          <w:lang w:val="en-CA"/>
        </w:rPr>
        <w:sym w:font="Wingdings" w:char="F0FE"/>
      </w:r>
      <w:r w:rsidR="005D1FD9">
        <w:rPr>
          <w:rFonts w:ascii="Arial" w:hAnsi="Arial"/>
          <w:lang w:val="en-CA"/>
        </w:rPr>
        <w:t xml:space="preserve"> </w:t>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w:t>
      </w:r>
      <w:r w:rsidR="00860D1F">
        <w:rPr>
          <w:rFonts w:ascii="Arial" w:hAnsi="Arial"/>
          <w:lang w:val="en-CA"/>
        </w:rPr>
        <w:t xml:space="preserve">vide date(s) of prior Notices: </w:t>
      </w:r>
      <w:r w:rsidR="005D1FD9">
        <w:rPr>
          <w:rFonts w:ascii="Arial" w:hAnsi="Arial"/>
          <w:u w:val="single"/>
          <w:lang w:val="en-CA"/>
        </w:rPr>
        <w:t>N/A</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w:t>
      </w:r>
      <w:r w:rsidR="00AA2CD6">
        <w:rPr>
          <w:rFonts w:ascii="Arial" w:hAnsi="Arial"/>
          <w:lang w:val="en-CA"/>
        </w:rPr>
        <w:t xml:space="preserve">s of Issuer Prior to Issuance: </w:t>
      </w:r>
      <w:r w:rsidR="00A241C0">
        <w:rPr>
          <w:rFonts w:ascii="Arial" w:hAnsi="Arial"/>
          <w:u w:val="single"/>
          <w:lang w:val="en-CA"/>
        </w:rPr>
        <w:t>67</w:t>
      </w:r>
      <w:r w:rsidR="00EC04EB" w:rsidRPr="00EC04EB">
        <w:rPr>
          <w:rFonts w:ascii="Arial" w:hAnsi="Arial"/>
          <w:u w:val="single"/>
          <w:lang w:val="en-CA"/>
        </w:rPr>
        <w:t>,51</w:t>
      </w:r>
      <w:r w:rsidR="00A241C0">
        <w:rPr>
          <w:rFonts w:ascii="Arial" w:hAnsi="Arial"/>
          <w:u w:val="single"/>
          <w:lang w:val="en-CA"/>
        </w:rPr>
        <w:t>5</w:t>
      </w:r>
      <w:r w:rsidR="00EC04EB" w:rsidRPr="00EC04EB">
        <w:rPr>
          <w:rFonts w:ascii="Arial" w:hAnsi="Arial"/>
          <w:u w:val="single"/>
          <w:lang w:val="en-CA"/>
        </w:rPr>
        <w:t>,</w:t>
      </w:r>
      <w:r w:rsidR="00A241C0">
        <w:rPr>
          <w:rFonts w:ascii="Arial" w:hAnsi="Arial"/>
          <w:u w:val="single"/>
          <w:lang w:val="en-CA"/>
        </w:rPr>
        <w:t>631</w:t>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Date of News Release</w:t>
      </w:r>
      <w:r w:rsidR="00AA2CD6">
        <w:rPr>
          <w:rFonts w:ascii="Arial" w:hAnsi="Arial"/>
          <w:lang w:val="en-CA"/>
        </w:rPr>
        <w:t xml:space="preserve"> Announcing Private Placement: </w:t>
      </w:r>
      <w:r w:rsidR="000E5124">
        <w:rPr>
          <w:rFonts w:ascii="Arial" w:hAnsi="Arial"/>
          <w:u w:val="single"/>
          <w:lang w:val="en-CA"/>
        </w:rPr>
        <w:t>September</w:t>
      </w:r>
      <w:r w:rsidR="00860D1F">
        <w:rPr>
          <w:rFonts w:ascii="Arial" w:hAnsi="Arial"/>
          <w:u w:val="single"/>
          <w:lang w:val="en-CA"/>
        </w:rPr>
        <w:t xml:space="preserve"> 7, 2016</w:t>
      </w:r>
      <w:r>
        <w:rPr>
          <w:rFonts w:ascii="Arial" w:hAnsi="Arial"/>
          <w:lang w:val="en-CA"/>
        </w:rPr>
        <w:t>.</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0E5124">
        <w:rPr>
          <w:rFonts w:ascii="Arial" w:hAnsi="Arial"/>
          <w:u w:val="single"/>
          <w:lang w:val="en-CA"/>
        </w:rPr>
        <w:t>$0.12</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276"/>
        <w:gridCol w:w="1235"/>
        <w:gridCol w:w="1089"/>
        <w:gridCol w:w="1255"/>
        <w:gridCol w:w="1224"/>
        <w:gridCol w:w="1266"/>
        <w:gridCol w:w="1145"/>
        <w:gridCol w:w="1086"/>
      </w:tblGrid>
      <w:tr w:rsidR="00824A73" w:rsidRPr="0026727E" w:rsidTr="0026727E">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lang w:val="en-CA"/>
              </w:rPr>
              <w:t xml:space="preserve">Full Name &amp; Residential Address of </w:t>
            </w:r>
            <w:proofErr w:type="spellStart"/>
            <w:r w:rsidRPr="0026727E">
              <w:rPr>
                <w:rFonts w:ascii="Arial" w:hAnsi="Arial" w:cs="Arial"/>
                <w:b/>
                <w:sz w:val="18"/>
                <w:szCs w:val="18"/>
                <w:lang w:val="en-CA"/>
              </w:rPr>
              <w:t>Placee</w:t>
            </w:r>
            <w:proofErr w:type="spellEnd"/>
          </w:p>
        </w:tc>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lang w:val="en-CA"/>
              </w:rPr>
              <w:t>Number of Securities Purchased or to be Purchased</w:t>
            </w:r>
          </w:p>
        </w:tc>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lang w:val="en-CA"/>
              </w:rPr>
              <w:t>Purchase price per Security (CDN$)</w:t>
            </w:r>
          </w:p>
        </w:tc>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lang w:val="en-CA"/>
              </w:rPr>
              <w:t>Conversion</w:t>
            </w:r>
            <w:r w:rsidR="001010E0" w:rsidRPr="0026727E">
              <w:rPr>
                <w:rFonts w:ascii="Arial" w:hAnsi="Arial" w:cs="Arial"/>
                <w:b/>
                <w:sz w:val="18"/>
                <w:szCs w:val="18"/>
                <w:lang w:val="en-CA"/>
              </w:rPr>
              <w:t xml:space="preserve"> </w:t>
            </w:r>
            <w:r w:rsidRPr="0026727E">
              <w:rPr>
                <w:rFonts w:ascii="Arial" w:hAnsi="Arial" w:cs="Arial"/>
                <w:b/>
                <w:sz w:val="18"/>
                <w:szCs w:val="18"/>
                <w:lang w:val="en-CA"/>
              </w:rPr>
              <w:t>Price (if</w:t>
            </w:r>
            <w:r w:rsidR="001010E0" w:rsidRPr="0026727E">
              <w:rPr>
                <w:rFonts w:ascii="Arial" w:hAnsi="Arial" w:cs="Arial"/>
                <w:b/>
                <w:sz w:val="18"/>
                <w:szCs w:val="18"/>
                <w:lang w:val="en-CA"/>
              </w:rPr>
              <w:t xml:space="preserve"> </w:t>
            </w:r>
            <w:r w:rsidRPr="0026727E">
              <w:rPr>
                <w:rFonts w:ascii="Arial" w:hAnsi="Arial" w:cs="Arial"/>
                <w:b/>
                <w:sz w:val="18"/>
                <w:szCs w:val="18"/>
                <w:lang w:val="en-CA"/>
              </w:rPr>
              <w:t>Applicable)</w:t>
            </w:r>
          </w:p>
        </w:tc>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lang w:val="en-CA"/>
              </w:rPr>
              <w:t>Prospectus Exemption</w:t>
            </w:r>
          </w:p>
        </w:tc>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rPr>
              <w:t>No. of Securities, directly or indirectly, Owned, Controlled or Directed</w:t>
            </w:r>
          </w:p>
        </w:tc>
        <w:tc>
          <w:tcPr>
            <w:tcW w:w="0" w:type="auto"/>
          </w:tcPr>
          <w:p w:rsidR="00EA4133" w:rsidRPr="0026727E" w:rsidRDefault="00EA4133" w:rsidP="002C5039">
            <w:pPr>
              <w:pStyle w:val="BodyText"/>
              <w:spacing w:before="60" w:after="60" w:line="280" w:lineRule="exact"/>
              <w:jc w:val="center"/>
              <w:rPr>
                <w:rFonts w:ascii="Arial" w:hAnsi="Arial" w:cs="Arial"/>
                <w:b/>
                <w:sz w:val="18"/>
                <w:szCs w:val="18"/>
                <w:lang w:val="en-CA"/>
              </w:rPr>
            </w:pPr>
            <w:r w:rsidRPr="0026727E">
              <w:rPr>
                <w:rFonts w:ascii="Arial" w:hAnsi="Arial" w:cs="Arial"/>
                <w:b/>
                <w:sz w:val="18"/>
                <w:szCs w:val="18"/>
                <w:lang w:val="en-CA"/>
              </w:rPr>
              <w:t>Payment Date(1)</w:t>
            </w:r>
          </w:p>
        </w:tc>
        <w:tc>
          <w:tcPr>
            <w:tcW w:w="0" w:type="auto"/>
          </w:tcPr>
          <w:p w:rsidR="00EA4133" w:rsidRPr="0026727E" w:rsidRDefault="00EA4133" w:rsidP="002C5039">
            <w:pPr>
              <w:pStyle w:val="BodyText"/>
              <w:spacing w:before="60" w:after="60" w:line="280" w:lineRule="exact"/>
              <w:jc w:val="center"/>
              <w:rPr>
                <w:rFonts w:ascii="Arial" w:hAnsi="Arial" w:cs="Arial"/>
                <w:b/>
                <w:color w:val="000000"/>
                <w:sz w:val="18"/>
                <w:szCs w:val="18"/>
                <w:lang w:val="en-CA"/>
              </w:rPr>
            </w:pPr>
            <w:r w:rsidRPr="0026727E">
              <w:rPr>
                <w:rFonts w:ascii="Arial" w:hAnsi="Arial" w:cs="Arial"/>
                <w:b/>
                <w:color w:val="000000"/>
                <w:sz w:val="18"/>
                <w:szCs w:val="18"/>
                <w:lang w:val="en-CA"/>
              </w:rPr>
              <w:t>Describe relations</w:t>
            </w:r>
            <w:r w:rsidR="004A1403" w:rsidRPr="0026727E">
              <w:rPr>
                <w:rFonts w:ascii="Arial" w:hAnsi="Arial" w:cs="Arial"/>
                <w:b/>
                <w:color w:val="000000"/>
                <w:sz w:val="18"/>
                <w:szCs w:val="18"/>
                <w:lang w:val="en-CA"/>
              </w:rPr>
              <w:t>-</w:t>
            </w:r>
            <w:r w:rsidRPr="0026727E">
              <w:rPr>
                <w:rFonts w:ascii="Arial" w:hAnsi="Arial" w:cs="Arial"/>
                <w:b/>
                <w:color w:val="000000"/>
                <w:sz w:val="18"/>
                <w:szCs w:val="18"/>
                <w:lang w:val="en-CA"/>
              </w:rPr>
              <w:t>hip to Issuer (2)</w:t>
            </w:r>
          </w:p>
        </w:tc>
      </w:tr>
      <w:tr w:rsidR="00824A73" w:rsidRPr="0026727E" w:rsidTr="0026727E">
        <w:tc>
          <w:tcPr>
            <w:tcW w:w="0" w:type="auto"/>
          </w:tcPr>
          <w:p w:rsidR="00442B54" w:rsidRPr="0026727E" w:rsidRDefault="000E5124" w:rsidP="002C5039">
            <w:pPr>
              <w:pStyle w:val="BodyText"/>
              <w:spacing w:before="60" w:after="60"/>
              <w:rPr>
                <w:rFonts w:ascii="Arial" w:hAnsi="Arial" w:cs="Arial"/>
                <w:sz w:val="18"/>
                <w:szCs w:val="18"/>
                <w:lang w:val="en-CA"/>
              </w:rPr>
            </w:pPr>
            <w:proofErr w:type="spellStart"/>
            <w:r>
              <w:rPr>
                <w:rFonts w:ascii="Arial" w:hAnsi="Arial" w:cs="Arial"/>
                <w:sz w:val="18"/>
                <w:szCs w:val="18"/>
                <w:lang w:val="en-CA"/>
              </w:rPr>
              <w:t>Leede</w:t>
            </w:r>
            <w:proofErr w:type="spellEnd"/>
            <w:r>
              <w:rPr>
                <w:rFonts w:ascii="Arial" w:hAnsi="Arial" w:cs="Arial"/>
                <w:sz w:val="18"/>
                <w:szCs w:val="18"/>
                <w:lang w:val="en-CA"/>
              </w:rPr>
              <w:t xml:space="preserve"> Jones Gable Inc.</w:t>
            </w:r>
          </w:p>
          <w:p w:rsidR="002C5039" w:rsidRPr="0026727E" w:rsidRDefault="000E5124" w:rsidP="002C5039">
            <w:pPr>
              <w:pStyle w:val="BodyText"/>
              <w:spacing w:before="60" w:after="60"/>
              <w:rPr>
                <w:rFonts w:ascii="Arial" w:hAnsi="Arial" w:cs="Arial"/>
                <w:sz w:val="18"/>
                <w:szCs w:val="18"/>
                <w:lang w:val="en-CA"/>
              </w:rPr>
            </w:pPr>
            <w:r>
              <w:rPr>
                <w:rFonts w:ascii="Arial" w:hAnsi="Arial" w:cs="Arial"/>
                <w:sz w:val="18"/>
                <w:szCs w:val="18"/>
                <w:lang w:val="en-CA"/>
              </w:rPr>
              <w:t xml:space="preserve">110 </w:t>
            </w:r>
            <w:proofErr w:type="spellStart"/>
            <w:r>
              <w:rPr>
                <w:rFonts w:ascii="Arial" w:hAnsi="Arial" w:cs="Arial"/>
                <w:sz w:val="18"/>
                <w:szCs w:val="18"/>
                <w:lang w:val="en-CA"/>
              </w:rPr>
              <w:t>Yonge</w:t>
            </w:r>
            <w:proofErr w:type="spellEnd"/>
            <w:r>
              <w:rPr>
                <w:rFonts w:ascii="Arial" w:hAnsi="Arial" w:cs="Arial"/>
                <w:sz w:val="18"/>
                <w:szCs w:val="18"/>
                <w:lang w:val="en-CA"/>
              </w:rPr>
              <w:t xml:space="preserve"> Street, Suite 1000, Toronto, Ontario M5C 1T4</w:t>
            </w:r>
          </w:p>
        </w:tc>
        <w:tc>
          <w:tcPr>
            <w:tcW w:w="0" w:type="auto"/>
          </w:tcPr>
          <w:p w:rsidR="00442B54" w:rsidRPr="0026727E" w:rsidRDefault="000E5124" w:rsidP="002C5039">
            <w:pPr>
              <w:pStyle w:val="BodyText"/>
              <w:spacing w:before="60" w:after="60"/>
              <w:jc w:val="right"/>
              <w:rPr>
                <w:rFonts w:ascii="Arial" w:hAnsi="Arial" w:cs="Arial"/>
                <w:sz w:val="18"/>
                <w:szCs w:val="18"/>
                <w:lang w:val="en-CA"/>
              </w:rPr>
            </w:pPr>
            <w:r>
              <w:rPr>
                <w:rFonts w:ascii="Arial" w:hAnsi="Arial" w:cs="Arial"/>
                <w:sz w:val="18"/>
                <w:szCs w:val="18"/>
                <w:lang w:val="en-CA"/>
              </w:rPr>
              <w:t>100,000 common shares</w:t>
            </w:r>
          </w:p>
        </w:tc>
        <w:tc>
          <w:tcPr>
            <w:tcW w:w="0" w:type="auto"/>
          </w:tcPr>
          <w:p w:rsidR="00442B54" w:rsidRPr="0026727E" w:rsidRDefault="00442B54" w:rsidP="002C5039">
            <w:pPr>
              <w:pStyle w:val="BodyText"/>
              <w:spacing w:before="60" w:after="60"/>
              <w:jc w:val="right"/>
              <w:rPr>
                <w:rFonts w:ascii="Arial" w:hAnsi="Arial" w:cs="Arial"/>
                <w:sz w:val="18"/>
                <w:szCs w:val="18"/>
                <w:lang w:val="en-CA"/>
              </w:rPr>
            </w:pPr>
            <w:r w:rsidRPr="0026727E">
              <w:rPr>
                <w:rFonts w:ascii="Arial" w:hAnsi="Arial" w:cs="Arial"/>
                <w:sz w:val="18"/>
                <w:szCs w:val="18"/>
                <w:lang w:val="en-CA"/>
              </w:rPr>
              <w:t>$0.12</w:t>
            </w:r>
          </w:p>
        </w:tc>
        <w:tc>
          <w:tcPr>
            <w:tcW w:w="0" w:type="auto"/>
          </w:tcPr>
          <w:p w:rsidR="00442B54" w:rsidRPr="0026727E" w:rsidRDefault="00442B54" w:rsidP="002C5039">
            <w:pPr>
              <w:pStyle w:val="BodyText"/>
              <w:spacing w:before="60" w:after="60"/>
              <w:jc w:val="right"/>
              <w:rPr>
                <w:rFonts w:ascii="Arial" w:hAnsi="Arial" w:cs="Arial"/>
                <w:sz w:val="18"/>
                <w:szCs w:val="18"/>
                <w:lang w:val="en-CA"/>
              </w:rPr>
            </w:pPr>
          </w:p>
        </w:tc>
        <w:tc>
          <w:tcPr>
            <w:tcW w:w="0" w:type="auto"/>
          </w:tcPr>
          <w:p w:rsidR="00442B54" w:rsidRPr="0026727E" w:rsidRDefault="00442B54" w:rsidP="002C5039">
            <w:pPr>
              <w:pStyle w:val="BodyText"/>
              <w:spacing w:before="60" w:after="60"/>
              <w:rPr>
                <w:rFonts w:ascii="Arial" w:hAnsi="Arial" w:cs="Arial"/>
                <w:sz w:val="18"/>
                <w:szCs w:val="18"/>
                <w:lang w:val="en-CA"/>
              </w:rPr>
            </w:pPr>
            <w:r w:rsidRPr="0026727E">
              <w:rPr>
                <w:rFonts w:ascii="Arial" w:hAnsi="Arial" w:cs="Arial"/>
                <w:sz w:val="18"/>
                <w:szCs w:val="18"/>
                <w:lang w:val="en-CA"/>
              </w:rPr>
              <w:t>Section 2.3</w:t>
            </w:r>
          </w:p>
        </w:tc>
        <w:tc>
          <w:tcPr>
            <w:tcW w:w="0" w:type="auto"/>
          </w:tcPr>
          <w:p w:rsidR="00442B54" w:rsidRPr="0026727E" w:rsidRDefault="000E5124" w:rsidP="002C5039">
            <w:pPr>
              <w:pStyle w:val="BodyText"/>
              <w:spacing w:before="60" w:after="60"/>
              <w:jc w:val="right"/>
              <w:rPr>
                <w:rFonts w:ascii="Arial" w:hAnsi="Arial" w:cs="Arial"/>
                <w:sz w:val="18"/>
                <w:szCs w:val="18"/>
                <w:lang w:val="en-CA"/>
              </w:rPr>
            </w:pPr>
            <w:r>
              <w:rPr>
                <w:rFonts w:ascii="Arial" w:hAnsi="Arial" w:cs="Arial"/>
                <w:sz w:val="18"/>
                <w:szCs w:val="18"/>
                <w:lang w:val="en-CA"/>
              </w:rPr>
              <w:t>1,666,666 common shares</w:t>
            </w:r>
          </w:p>
        </w:tc>
        <w:tc>
          <w:tcPr>
            <w:tcW w:w="0" w:type="auto"/>
          </w:tcPr>
          <w:p w:rsidR="00442B54" w:rsidRPr="0026727E" w:rsidRDefault="000E5124" w:rsidP="002C5039">
            <w:pPr>
              <w:pStyle w:val="BodyText"/>
              <w:spacing w:before="60" w:after="60"/>
              <w:rPr>
                <w:rFonts w:ascii="Arial" w:hAnsi="Arial" w:cs="Arial"/>
                <w:sz w:val="18"/>
                <w:szCs w:val="18"/>
                <w:lang w:val="en-CA"/>
              </w:rPr>
            </w:pPr>
            <w:r>
              <w:rPr>
                <w:rFonts w:ascii="Arial" w:hAnsi="Arial" w:cs="Arial"/>
                <w:sz w:val="18"/>
                <w:szCs w:val="18"/>
                <w:lang w:val="en-CA"/>
              </w:rPr>
              <w:t>September 7, 2016 funds in trust</w:t>
            </w:r>
          </w:p>
        </w:tc>
        <w:tc>
          <w:tcPr>
            <w:tcW w:w="0" w:type="auto"/>
          </w:tcPr>
          <w:p w:rsidR="00442B54" w:rsidRPr="0026727E" w:rsidRDefault="00442B54" w:rsidP="002C5039">
            <w:pPr>
              <w:pStyle w:val="BodyText"/>
              <w:spacing w:before="60" w:after="60"/>
              <w:rPr>
                <w:rFonts w:ascii="Arial" w:hAnsi="Arial" w:cs="Arial"/>
                <w:sz w:val="18"/>
                <w:szCs w:val="18"/>
                <w:lang w:val="en-CA"/>
              </w:rPr>
            </w:pPr>
            <w:r w:rsidRPr="0026727E">
              <w:rPr>
                <w:rFonts w:ascii="Arial" w:hAnsi="Arial" w:cs="Arial"/>
                <w:sz w:val="18"/>
                <w:szCs w:val="18"/>
                <w:lang w:val="en-CA"/>
              </w:rPr>
              <w:t>N/A</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F12528">
        <w:rPr>
          <w:rFonts w:ascii="Arial" w:hAnsi="Arial"/>
          <w:u w:val="single"/>
        </w:rPr>
        <w:t>CAD</w:t>
      </w:r>
      <w:r w:rsidR="000E5124">
        <w:rPr>
          <w:rFonts w:ascii="Arial" w:hAnsi="Arial"/>
          <w:u w:val="single"/>
        </w:rPr>
        <w:t>40</w:t>
      </w:r>
      <w:r w:rsidR="00675F6D">
        <w:rPr>
          <w:rFonts w:ascii="Arial" w:hAnsi="Arial"/>
          <w:u w:val="single"/>
        </w:rPr>
        <w:t>0</w:t>
      </w:r>
      <w:r w:rsidR="00293573">
        <w:rPr>
          <w:rFonts w:ascii="Arial" w:hAnsi="Arial"/>
          <w:u w:val="single"/>
        </w:rPr>
        <w:t>,000</w:t>
      </w:r>
      <w:r>
        <w:rPr>
          <w:rFonts w:ascii="Arial" w:hAnsi="Arial"/>
        </w:rPr>
        <w:t>.</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293573">
        <w:rPr>
          <w:rFonts w:ascii="Arial" w:hAnsi="Arial"/>
          <w:u w:val="single"/>
        </w:rPr>
        <w:t xml:space="preserve">The proceeds will be used to fund the acquisition of assets from </w:t>
      </w:r>
      <w:r w:rsidR="000E5124">
        <w:rPr>
          <w:rFonts w:ascii="Arial" w:hAnsi="Arial"/>
          <w:u w:val="single"/>
        </w:rPr>
        <w:t>three different sellers</w:t>
      </w:r>
      <w:r w:rsidR="00293573">
        <w:rPr>
          <w:rFonts w:ascii="Arial" w:hAnsi="Arial"/>
          <w:u w:val="single"/>
        </w:rPr>
        <w:t xml:space="preserve">, </w:t>
      </w:r>
      <w:r w:rsidR="000E5124">
        <w:rPr>
          <w:rFonts w:ascii="Arial" w:hAnsi="Arial"/>
          <w:u w:val="single"/>
        </w:rPr>
        <w:t xml:space="preserve">including </w:t>
      </w:r>
      <w:r w:rsidR="00293573">
        <w:rPr>
          <w:rFonts w:ascii="Arial" w:hAnsi="Arial"/>
          <w:u w:val="single"/>
        </w:rPr>
        <w:t>an e-commerce platform</w:t>
      </w:r>
      <w:r w:rsidR="0026727E">
        <w:rPr>
          <w:rFonts w:ascii="Arial" w:hAnsi="Arial"/>
          <w:u w:val="single"/>
        </w:rPr>
        <w:t>. The remainder of the proceeds be used for general working capital purposes</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293573">
        <w:rPr>
          <w:rFonts w:ascii="Arial" w:hAnsi="Arial"/>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29357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AC1CAA">
        <w:rPr>
          <w:rFonts w:ascii="Arial" w:hAnsi="Arial"/>
          <w:u w:val="single"/>
        </w:rPr>
        <w:t>Convertible Note and common shares</w:t>
      </w:r>
      <w:r w:rsidR="00EA4133">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AC1CAA">
        <w:rPr>
          <w:rFonts w:ascii="Arial" w:hAnsi="Arial"/>
          <w:u w:val="single"/>
        </w:rPr>
        <w:t>1 Convertible Note and 100,000 common shares</w:t>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AC1CAA">
        <w:rPr>
          <w:rFonts w:ascii="Arial" w:hAnsi="Arial"/>
          <w:u w:val="single"/>
        </w:rPr>
        <w:t>$0.12 per common share as part of total consideration</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16D55">
        <w:rPr>
          <w:rFonts w:ascii="Arial" w:hAnsi="Arial"/>
          <w:u w:val="single"/>
        </w:rPr>
        <w:t>Common share</w:t>
      </w:r>
      <w:r w:rsidR="00AC1CAA">
        <w:rPr>
          <w:rFonts w:ascii="Arial" w:hAnsi="Arial"/>
          <w:u w:val="single"/>
        </w:rPr>
        <w:t>s</w:t>
      </w:r>
      <w:r w:rsidR="00116D55">
        <w:rPr>
          <w:rFonts w:ascii="Arial" w:hAnsi="Arial"/>
          <w:u w:val="single"/>
        </w:rPr>
        <w:t xml:space="preserve"> will have voting rights.</w:t>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AC1CAA">
        <w:rPr>
          <w:rFonts w:ascii="Arial" w:hAnsi="Arial"/>
          <w:u w:val="single"/>
        </w:rPr>
        <w:t>N/A</w:t>
      </w:r>
      <w:r w:rsidR="00AC1CAA" w:rsidRPr="00AC1CAA">
        <w:rPr>
          <w:rFonts w:ascii="Arial" w:hAnsi="Arial"/>
        </w:rPr>
        <w:t>.</w:t>
      </w:r>
    </w:p>
    <w:p w:rsidR="00EA4133" w:rsidRDefault="00EA4133" w:rsidP="00116D55">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Warrants (or options) </w:t>
      </w:r>
      <w:r w:rsidR="00AC1CAA">
        <w:rPr>
          <w:rFonts w:ascii="Arial" w:hAnsi="Arial"/>
          <w:u w:val="single"/>
        </w:rPr>
        <w:t>N/A</w:t>
      </w:r>
      <w:r>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116D55" w:rsidRPr="00116D55">
        <w:rPr>
          <w:rFonts w:ascii="Arial" w:hAnsi="Arial"/>
        </w:rPr>
        <w:t xml:space="preserve"> </w:t>
      </w:r>
      <w:r w:rsidR="00AC1CAA">
        <w:rPr>
          <w:rFonts w:ascii="Arial" w:hAnsi="Arial"/>
          <w:u w:val="single"/>
        </w:rPr>
        <w:t>N/A</w:t>
      </w:r>
      <w:r w:rsidR="00AC1CAA">
        <w:rPr>
          <w:rFonts w:ascii="Arial" w:hAnsi="Arial"/>
        </w:rPr>
        <w:t>.</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AC1CAA">
        <w:rPr>
          <w:rFonts w:ascii="Arial" w:hAnsi="Arial"/>
          <w:u w:val="single"/>
        </w:rPr>
        <w:t>N/A</w:t>
      </w:r>
      <w:r w:rsidR="00AC1CAA">
        <w:rPr>
          <w:rFonts w:ascii="Arial" w:hAnsi="Arial"/>
        </w:rPr>
        <w:t>.</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AC1CAA">
        <w:rPr>
          <w:rFonts w:ascii="Arial" w:hAnsi="Arial"/>
          <w:u w:val="single"/>
        </w:rPr>
        <w:t>$400,000</w:t>
      </w:r>
      <w:r>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AC1CAA">
        <w:rPr>
          <w:rFonts w:ascii="Arial" w:hAnsi="Arial"/>
          <w:u w:val="single"/>
        </w:rPr>
        <w:t>9 months with option to extend an additional 2 years</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116D55">
        <w:rPr>
          <w:rFonts w:ascii="Arial" w:hAnsi="Arial"/>
          <w:u w:val="single"/>
        </w:rPr>
        <w:t>N/A</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r w:rsidR="00AC1CAA">
        <w:rPr>
          <w:rFonts w:ascii="Arial" w:hAnsi="Arial"/>
          <w:u w:val="single"/>
        </w:rPr>
        <w:t>Can be converted at a price of $0.15 per share</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AA2CD6">
        <w:rPr>
          <w:rFonts w:ascii="Arial" w:hAnsi="Arial"/>
          <w:u w:val="single"/>
        </w:rPr>
        <w:t>On failure to pay or breach of representations and warranties</w:t>
      </w:r>
      <w:r>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AA2CD6">
        <w:rPr>
          <w:rFonts w:ascii="Arial" w:hAnsi="Arial"/>
          <w:u w:val="single"/>
        </w:rPr>
        <w:t>N/A</w:t>
      </w:r>
      <w:r w:rsidR="00F71F56">
        <w:rPr>
          <w:rFonts w:ascii="Arial" w:hAnsi="Arial"/>
          <w:u w:val="single"/>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AA2CD6">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AA2CD6">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116D55">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AA2CD6">
        <w:rPr>
          <w:rFonts w:ascii="Arial" w:hAnsi="Arial"/>
          <w:u w:val="single"/>
        </w:rPr>
        <w:t>N/A</w:t>
      </w:r>
      <w:r>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AA2CD6">
        <w:rPr>
          <w:rFonts w:ascii="Arial" w:hAnsi="Arial"/>
          <w:u w:val="single"/>
        </w:rPr>
        <w:t>N/A</w:t>
      </w:r>
      <w:r>
        <w:rPr>
          <w:rFonts w:ascii="Arial" w:hAnsi="Arial"/>
        </w:rPr>
        <w:t>.</w:t>
      </w:r>
    </w:p>
    <w:p w:rsidR="00EA4133" w:rsidRDefault="00EA4133" w:rsidP="00192758">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192758">
        <w:rPr>
          <w:rFonts w:ascii="Arial" w:hAnsi="Arial"/>
          <w:u w:val="single"/>
        </w:rPr>
        <w:t>N/A</w:t>
      </w:r>
      <w:r>
        <w:rPr>
          <w:rFonts w:ascii="Arial" w:hAnsi="Arial"/>
        </w:rPr>
        <w:t>.</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116D55" w:rsidP="00116D55">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rPr>
        <w:t>.</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116D55" w:rsidP="00116D55">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rPr>
        <w:t>.</w:t>
      </w:r>
    </w:p>
    <w:p w:rsidR="00EA4133" w:rsidRDefault="00EA4133">
      <w:pPr>
        <w:pStyle w:val="List"/>
        <w:tabs>
          <w:tab w:val="left" w:pos="9180"/>
        </w:tabs>
        <w:spacing w:before="0"/>
        <w:jc w:val="both"/>
        <w:rPr>
          <w:rFonts w:ascii="Arial" w:hAnsi="Arial"/>
        </w:rPr>
      </w:pPr>
    </w:p>
    <w:p w:rsidR="00EA4133" w:rsidRDefault="00EA4133" w:rsidP="00116D55">
      <w:pPr>
        <w:pStyle w:val="List"/>
        <w:numPr>
          <w:ilvl w:val="0"/>
          <w:numId w:val="10"/>
        </w:numPr>
        <w:tabs>
          <w:tab w:val="left" w:pos="9180"/>
        </w:tabs>
        <w:spacing w:before="0"/>
        <w:jc w:val="both"/>
        <w:rPr>
          <w:rFonts w:ascii="Arial" w:hAnsi="Arial"/>
        </w:rPr>
      </w:pPr>
      <w:r>
        <w:rPr>
          <w:rFonts w:ascii="Arial" w:hAnsi="Arial"/>
        </w:rPr>
        <w:t>Where there is a change in the control of the Issuer resulting from the issuance of the private placement shares, indicate the names of the</w:t>
      </w:r>
      <w:r w:rsidR="00AA2CD6">
        <w:rPr>
          <w:rFonts w:ascii="Arial" w:hAnsi="Arial"/>
        </w:rPr>
        <w:t xml:space="preserve"> new controlling shareholders. </w:t>
      </w:r>
      <w:r w:rsidR="00116D55">
        <w:rPr>
          <w:rFonts w:ascii="Arial" w:hAnsi="Arial"/>
          <w:u w:val="single"/>
        </w:rPr>
        <w:t>N/A</w:t>
      </w:r>
      <w:r>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3D3821">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295332">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lastRenderedPageBreak/>
        <w:t>Provide details of the assets to be acquired by the Issuer (including the location of the assets, if applicable).  The disclosure should be sufficiently complete to enable a reader to appreciate the significance of the transaction without refere</w:t>
      </w:r>
      <w:r w:rsidR="00295332">
        <w:rPr>
          <w:rFonts w:ascii="Arial" w:hAnsi="Arial"/>
          <w:color w:val="000000"/>
        </w:rPr>
        <w:t xml:space="preserve">nce to any other material: </w:t>
      </w:r>
      <w:r w:rsidR="00D87207">
        <w:rPr>
          <w:rFonts w:ascii="Arial" w:hAnsi="Arial"/>
          <w:color w:val="000000"/>
          <w:u w:val="single"/>
        </w:rPr>
        <w:t>N/A</w:t>
      </w:r>
      <w:r w:rsidR="00D87207">
        <w:rPr>
          <w:rFonts w:ascii="Arial" w:hAnsi="Arial"/>
          <w:color w:val="000000"/>
        </w:rPr>
        <w:t>.</w:t>
      </w:r>
    </w:p>
    <w:p w:rsidR="00EA4133" w:rsidRDefault="00EA4133" w:rsidP="00295332">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D87207">
        <w:rPr>
          <w:rFonts w:ascii="Arial" w:hAnsi="Arial"/>
          <w:color w:val="000000"/>
          <w:u w:val="single"/>
        </w:rPr>
        <w:t>N/A</w:t>
      </w:r>
      <w:r w:rsidR="00D87207">
        <w:rPr>
          <w:rFonts w:ascii="Arial" w:hAnsi="Arial"/>
          <w:color w:val="000000"/>
        </w:rPr>
        <w:t>.</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D87207">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87207">
        <w:rPr>
          <w:rFonts w:ascii="Arial" w:hAnsi="Arial"/>
          <w:color w:val="000000"/>
          <w:u w:val="single"/>
        </w:rPr>
        <w:t>N/A</w:t>
      </w:r>
      <w:r>
        <w:rPr>
          <w:rFonts w:ascii="Arial" w:hAnsi="Arial"/>
          <w:color w:val="000000"/>
        </w:rPr>
        <w:t>.</w:t>
      </w:r>
    </w:p>
    <w:p w:rsidR="00EA4133" w:rsidRDefault="00EA4133" w:rsidP="00295332">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D87207">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AA2CD6">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295332">
        <w:rPr>
          <w:rFonts w:ascii="Arial" w:hAnsi="Arial"/>
          <w:color w:val="000000"/>
          <w:u w:val="single"/>
        </w:rPr>
        <w:t>N/A</w:t>
      </w:r>
      <w:r>
        <w:rPr>
          <w:rFonts w:ascii="Arial" w:hAnsi="Arial"/>
          <w:color w:val="000000"/>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295332">
        <w:rPr>
          <w:rFonts w:ascii="Arial" w:hAnsi="Arial"/>
          <w:color w:val="000000"/>
          <w:u w:val="single"/>
        </w:rPr>
        <w:t>N/A</w:t>
      </w:r>
      <w:r>
        <w:rPr>
          <w:rFonts w:ascii="Arial" w:hAnsi="Arial"/>
          <w:color w:val="000000"/>
        </w:rPr>
        <w:t>.</w:t>
      </w:r>
    </w:p>
    <w:p w:rsidR="00EA4133" w:rsidRDefault="00295332">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AA2CD6">
        <w:rPr>
          <w:rFonts w:ascii="Arial" w:hAnsi="Arial"/>
          <w:color w:val="000000"/>
          <w:u w:val="single"/>
        </w:rPr>
        <w:t>N/A</w:t>
      </w:r>
      <w:r w:rsidR="00EA4133">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295332" w:rsidRPr="00295332" w:rsidRDefault="00D87207" w:rsidP="00295332">
      <w:pPr>
        <w:pStyle w:val="List"/>
        <w:tabs>
          <w:tab w:val="left" w:pos="9180"/>
        </w:tabs>
        <w:ind w:firstLine="0"/>
        <w:rPr>
          <w:rFonts w:ascii="Arial" w:hAnsi="Arial"/>
          <w:color w:val="000000"/>
          <w:u w:val="single"/>
        </w:rPr>
      </w:pPr>
      <w:r>
        <w:rPr>
          <w:rFonts w:ascii="Arial" w:hAnsi="Arial"/>
          <w:color w:val="000000"/>
          <w:u w:val="single"/>
        </w:rPr>
        <w:t>N/A</w:t>
      </w:r>
      <w:r w:rsidR="00295332" w:rsidRPr="00D87207">
        <w:rPr>
          <w:rFonts w:ascii="Arial" w:hAnsi="Arial"/>
          <w:color w:val="000000"/>
        </w:rPr>
        <w:t>.</w:t>
      </w:r>
    </w:p>
    <w:p w:rsidR="00EA4133" w:rsidRDefault="00EA4133" w:rsidP="00295332">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295332">
        <w:rPr>
          <w:rFonts w:ascii="Arial" w:hAnsi="Arial"/>
          <w:color w:val="000000"/>
        </w:rPr>
        <w:t xml:space="preserve"> </w:t>
      </w:r>
      <w:r w:rsidR="00295332">
        <w:rPr>
          <w:rFonts w:ascii="Arial" w:hAnsi="Arial"/>
          <w:color w:val="000000"/>
          <w:u w:val="single"/>
        </w:rPr>
        <w:t>N/A</w:t>
      </w:r>
      <w:r>
        <w:rPr>
          <w:rFonts w:ascii="Arial" w:hAnsi="Arial"/>
          <w:color w:val="000000"/>
        </w:rPr>
        <w:t>.</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443"/>
        <w:gridCol w:w="1326"/>
        <w:gridCol w:w="1119"/>
        <w:gridCol w:w="1412"/>
        <w:gridCol w:w="1367"/>
        <w:gridCol w:w="1520"/>
        <w:gridCol w:w="1403"/>
      </w:tblGrid>
      <w:tr w:rsidR="00EA4133" w:rsidTr="00860D1F">
        <w:tc>
          <w:tcPr>
            <w:tcW w:w="0" w:type="auto"/>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0" w:type="auto"/>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0" w:type="auto"/>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0" w:type="auto"/>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0" w:type="auto"/>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0" w:type="auto"/>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0" w:type="auto"/>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D87207" w:rsidTr="00860D1F">
        <w:tc>
          <w:tcPr>
            <w:tcW w:w="0" w:type="auto"/>
          </w:tcPr>
          <w:p w:rsidR="00D87207" w:rsidRPr="00860D1F" w:rsidRDefault="00D87207" w:rsidP="00860D1F">
            <w:pPr>
              <w:pStyle w:val="BodyText"/>
              <w:spacing w:before="0"/>
              <w:rPr>
                <w:rFonts w:ascii="Arial" w:hAnsi="Arial"/>
                <w:color w:val="000000"/>
                <w:sz w:val="20"/>
                <w:u w:val="single"/>
              </w:rPr>
            </w:pPr>
            <w:r>
              <w:rPr>
                <w:rFonts w:ascii="Arial" w:hAnsi="Arial"/>
                <w:color w:val="000000"/>
                <w:sz w:val="20"/>
                <w:u w:val="single"/>
              </w:rPr>
              <w:t>N/A</w:t>
            </w:r>
          </w:p>
        </w:tc>
        <w:tc>
          <w:tcPr>
            <w:tcW w:w="0" w:type="auto"/>
          </w:tcPr>
          <w:p w:rsidR="00D87207" w:rsidRPr="00860D1F" w:rsidRDefault="00D87207" w:rsidP="00B52F82">
            <w:pPr>
              <w:pStyle w:val="BodyText"/>
              <w:spacing w:before="0"/>
              <w:rPr>
                <w:rFonts w:ascii="Arial" w:hAnsi="Arial"/>
                <w:color w:val="000000"/>
                <w:sz w:val="20"/>
                <w:u w:val="single"/>
              </w:rPr>
            </w:pPr>
            <w:r>
              <w:rPr>
                <w:rFonts w:ascii="Arial" w:hAnsi="Arial"/>
                <w:color w:val="000000"/>
                <w:sz w:val="20"/>
                <w:u w:val="single"/>
              </w:rPr>
              <w:t>N/A</w:t>
            </w:r>
          </w:p>
        </w:tc>
        <w:tc>
          <w:tcPr>
            <w:tcW w:w="0" w:type="auto"/>
          </w:tcPr>
          <w:p w:rsidR="00D87207" w:rsidRPr="00860D1F" w:rsidRDefault="00D87207" w:rsidP="00B52F82">
            <w:pPr>
              <w:pStyle w:val="BodyText"/>
              <w:spacing w:before="0"/>
              <w:rPr>
                <w:rFonts w:ascii="Arial" w:hAnsi="Arial"/>
                <w:color w:val="000000"/>
                <w:sz w:val="20"/>
                <w:u w:val="single"/>
              </w:rPr>
            </w:pPr>
            <w:r>
              <w:rPr>
                <w:rFonts w:ascii="Arial" w:hAnsi="Arial"/>
                <w:color w:val="000000"/>
                <w:sz w:val="20"/>
                <w:u w:val="single"/>
              </w:rPr>
              <w:t>N/A</w:t>
            </w:r>
          </w:p>
        </w:tc>
        <w:tc>
          <w:tcPr>
            <w:tcW w:w="0" w:type="auto"/>
          </w:tcPr>
          <w:p w:rsidR="00D87207" w:rsidRPr="00860D1F" w:rsidRDefault="00D87207" w:rsidP="00860D1F">
            <w:pPr>
              <w:pStyle w:val="BodyText"/>
              <w:spacing w:before="0"/>
              <w:rPr>
                <w:rFonts w:ascii="Arial" w:hAnsi="Arial"/>
                <w:color w:val="000000"/>
                <w:sz w:val="20"/>
                <w:u w:val="single"/>
              </w:rPr>
            </w:pPr>
            <w:r w:rsidRPr="00860D1F">
              <w:rPr>
                <w:rFonts w:ascii="Arial" w:hAnsi="Arial"/>
                <w:color w:val="000000"/>
                <w:sz w:val="20"/>
                <w:u w:val="single"/>
              </w:rPr>
              <w:t>N/A</w:t>
            </w:r>
          </w:p>
        </w:tc>
        <w:tc>
          <w:tcPr>
            <w:tcW w:w="0" w:type="auto"/>
          </w:tcPr>
          <w:p w:rsidR="00D87207" w:rsidRPr="00860D1F" w:rsidRDefault="00D87207" w:rsidP="00860D1F">
            <w:pPr>
              <w:pStyle w:val="BodyText"/>
              <w:spacing w:before="0"/>
              <w:rPr>
                <w:rFonts w:ascii="Arial" w:hAnsi="Arial"/>
                <w:color w:val="000000"/>
                <w:sz w:val="20"/>
                <w:u w:val="single"/>
              </w:rPr>
            </w:pPr>
          </w:p>
        </w:tc>
        <w:tc>
          <w:tcPr>
            <w:tcW w:w="0" w:type="auto"/>
          </w:tcPr>
          <w:p w:rsidR="00D87207" w:rsidRPr="00860D1F" w:rsidRDefault="00D87207" w:rsidP="00860D1F">
            <w:pPr>
              <w:pStyle w:val="BodyText"/>
              <w:spacing w:before="0"/>
              <w:rPr>
                <w:rFonts w:ascii="Arial" w:hAnsi="Arial"/>
                <w:color w:val="000000"/>
                <w:sz w:val="20"/>
                <w:u w:val="single"/>
              </w:rPr>
            </w:pPr>
            <w:r w:rsidRPr="00860D1F">
              <w:rPr>
                <w:rFonts w:ascii="Arial" w:hAnsi="Arial"/>
                <w:color w:val="000000"/>
                <w:sz w:val="20"/>
                <w:u w:val="single"/>
              </w:rPr>
              <w:t>N/A</w:t>
            </w:r>
          </w:p>
        </w:tc>
        <w:tc>
          <w:tcPr>
            <w:tcW w:w="0" w:type="auto"/>
          </w:tcPr>
          <w:p w:rsidR="00D87207" w:rsidRPr="00860D1F" w:rsidRDefault="00D87207" w:rsidP="00B52F82">
            <w:pPr>
              <w:pStyle w:val="BodyText"/>
              <w:spacing w:before="0"/>
              <w:rPr>
                <w:rFonts w:ascii="Arial" w:hAnsi="Arial"/>
                <w:color w:val="000000"/>
                <w:sz w:val="20"/>
                <w:u w:val="single"/>
              </w:rPr>
            </w:pPr>
            <w:r>
              <w:rPr>
                <w:rFonts w:ascii="Arial" w:hAnsi="Arial"/>
                <w:color w:val="000000"/>
                <w:sz w:val="20"/>
                <w:u w:val="single"/>
              </w:rPr>
              <w:t>N/A</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rsidP="00860D1F">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D87207">
        <w:rPr>
          <w:rFonts w:ascii="Arial" w:hAnsi="Arial"/>
          <w:color w:val="000000"/>
          <w:u w:val="single"/>
        </w:rPr>
        <w:t>N/A</w:t>
      </w:r>
      <w:r>
        <w:rPr>
          <w:rFonts w:ascii="Arial" w:hAnsi="Arial"/>
          <w:color w:val="000000"/>
        </w:rPr>
        <w:t>.</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860D1F">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860D1F">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60D1F">
        <w:rPr>
          <w:rFonts w:ascii="Arial" w:hAnsi="Arial"/>
          <w:u w:val="single"/>
        </w:rPr>
        <w:t>N/A</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860D1F">
        <w:rPr>
          <w:rFonts w:ascii="Arial" w:hAnsi="Arial"/>
          <w:u w:val="single"/>
        </w:rPr>
        <w:t>N/A</w:t>
      </w:r>
      <w:r>
        <w:rPr>
          <w:rFonts w:ascii="Arial" w:hAnsi="Arial"/>
        </w:rPr>
        <w:t>.</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860D1F">
        <w:rPr>
          <w:rFonts w:ascii="Arial" w:hAnsi="Arial"/>
          <w:u w:val="single"/>
        </w:rPr>
        <w:t>N/A</w:t>
      </w:r>
      <w:r w:rsidR="00860D1F">
        <w:rPr>
          <w:rFonts w:ascii="Arial" w:hAnsi="Arial"/>
        </w:rPr>
        <w:t>.</w:t>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860D1F">
        <w:rPr>
          <w:rFonts w:ascii="Arial" w:hAnsi="Arial"/>
          <w:u w:val="single"/>
        </w:rPr>
        <w:t>N/A</w:t>
      </w:r>
      <w:r>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860D1F">
        <w:rPr>
          <w:rFonts w:ascii="Arial" w:hAnsi="Arial"/>
          <w:u w:val="single"/>
        </w:rPr>
        <w:t>N/A</w:t>
      </w:r>
      <w:r w:rsidR="00860D1F">
        <w:rPr>
          <w:rFonts w:ascii="Arial" w:hAnsi="Arial"/>
        </w:rPr>
        <w:t>.</w:t>
      </w:r>
    </w:p>
    <w:p w:rsidR="00EA4133" w:rsidRDefault="00EA4133" w:rsidP="00860D1F">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860D1F">
        <w:rPr>
          <w:rFonts w:ascii="Arial" w:hAnsi="Arial"/>
          <w:u w:val="single"/>
        </w:rPr>
        <w:t>N/A</w:t>
      </w:r>
      <w:r>
        <w:rPr>
          <w:rFonts w:ascii="Arial" w:hAnsi="Arial"/>
          <w:color w:val="000000"/>
        </w:rPr>
        <w:t>.</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lastRenderedPageBreak/>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F2574D" w:rsidRDefault="00F2574D">
      <w:pPr>
        <w:rPr>
          <w:rFonts w:ascii="Arial" w:hAnsi="Arial"/>
          <w:sz w:val="24"/>
          <w:lang w:val="en-GB"/>
        </w:rPr>
      </w:pPr>
      <w:r>
        <w:rPr>
          <w:rFonts w:ascii="Arial" w:hAnsi="Arial"/>
        </w:rPr>
        <w:br w:type="page"/>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762FA">
        <w:rPr>
          <w:rFonts w:ascii="Arial" w:hAnsi="Arial"/>
        </w:rPr>
        <w:t>September</w:t>
      </w:r>
      <w:r w:rsidR="002F3A76">
        <w:rPr>
          <w:rFonts w:ascii="Arial" w:hAnsi="Arial"/>
        </w:rPr>
        <w:t xml:space="preserve"> </w:t>
      </w:r>
      <w:r w:rsidR="00B52F82">
        <w:rPr>
          <w:rFonts w:ascii="Arial" w:hAnsi="Arial"/>
        </w:rPr>
        <w:t>15,</w:t>
      </w:r>
      <w:r w:rsidR="00F12528">
        <w:rPr>
          <w:rFonts w:ascii="Arial" w:hAnsi="Arial"/>
        </w:rPr>
        <w:t xml:space="preserve"> 2016</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B311AD" w:rsidRPr="00B311AD">
        <w:rPr>
          <w:rFonts w:ascii="Arial" w:hAnsi="Arial"/>
          <w:u w:val="single"/>
        </w:rPr>
        <w:t>Peter Simeon</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sidRPr="00B52F82">
        <w:rPr>
          <w:rFonts w:ascii="Arial" w:hAnsi="Arial"/>
          <w:i/>
        </w:rPr>
        <w:tab/>
      </w:r>
      <w:r w:rsidR="00B52F82" w:rsidRPr="00B52F82">
        <w:rPr>
          <w:rFonts w:ascii="Arial" w:hAnsi="Arial"/>
          <w:i/>
          <w:u w:val="single"/>
        </w:rPr>
        <w:t>“Peter Simeon”</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B311AD" w:rsidRPr="00B311AD">
        <w:rPr>
          <w:rFonts w:ascii="Arial" w:hAnsi="Arial"/>
          <w:u w:val="single"/>
        </w:rPr>
        <w:t>Director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82" w:rsidRDefault="00B52F82">
      <w:r>
        <w:separator/>
      </w:r>
    </w:p>
    <w:p w:rsidR="00B52F82" w:rsidRDefault="00B52F82"/>
  </w:endnote>
  <w:endnote w:type="continuationSeparator" w:id="0">
    <w:p w:rsidR="00B52F82" w:rsidRDefault="00B52F82">
      <w:r>
        <w:continuationSeparator/>
      </w:r>
    </w:p>
    <w:p w:rsidR="00B52F82" w:rsidRDefault="00B52F82"/>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2" w:rsidRDefault="00B52F82">
    <w:pPr>
      <w:pStyle w:val="Footer"/>
    </w:pPr>
  </w:p>
  <w:p w:rsidR="00B52F82" w:rsidRDefault="00B52F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2" w:rsidRDefault="00B52F82" w:rsidP="008003B9">
    <w:pPr>
      <w:tabs>
        <w:tab w:val="center" w:pos="4674"/>
        <w:tab w:val="left" w:pos="8460"/>
      </w:tabs>
      <w:jc w:val="center"/>
      <w:rPr>
        <w:rStyle w:val="PageNumber"/>
        <w:rFonts w:ascii="Arial" w:hAnsi="Arial" w:cs="Arial"/>
        <w:b/>
      </w:rPr>
    </w:pPr>
    <w:r w:rsidRPr="00822474">
      <w:rPr>
        <w:b/>
        <w:noProof/>
        <w:lang w:val="en-CA" w:eastAsia="en-CA"/>
      </w:rPr>
      <w:pict>
        <v:line id="Line 3" o:spid="_x0000_s13313"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Pr>
        <w:rFonts w:ascii="Arial" w:hAnsi="Arial" w:cs="Arial"/>
        <w:b/>
      </w:rPr>
      <w:t>FORM 9 – NOTICE OF PROPOSED ISSUANCE OF</w:t>
    </w:r>
  </w:p>
  <w:p w:rsidR="00B52F82" w:rsidRDefault="00B52F82" w:rsidP="008003B9">
    <w:pPr>
      <w:tabs>
        <w:tab w:val="center" w:pos="4674"/>
        <w:tab w:val="left" w:pos="8460"/>
      </w:tabs>
      <w:jc w:val="center"/>
      <w:rPr>
        <w:rStyle w:val="PageNumber"/>
        <w:rFonts w:ascii="Arial" w:hAnsi="Arial" w:cs="Arial"/>
        <w:b/>
      </w:rPr>
    </w:pPr>
    <w:r>
      <w:rPr>
        <w:rFonts w:ascii="Arial" w:hAnsi="Arial" w:cs="Arial"/>
        <w:b/>
      </w:rPr>
      <w:t>LISTED SECURITIES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2" w:rsidRDefault="00B52F82">
    <w:pPr>
      <w:pStyle w:val="Footer"/>
    </w:pPr>
    <w:fldSimple w:instr=" DOCPROPERTY FOOTERPATH \* MERGEFORMAT ">
      <w:r>
        <w:t>3214.001\0180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82" w:rsidRDefault="00B52F82">
      <w:r>
        <w:separator/>
      </w:r>
    </w:p>
    <w:p w:rsidR="00B52F82" w:rsidRDefault="00B52F82"/>
  </w:footnote>
  <w:footnote w:type="continuationSeparator" w:id="0">
    <w:p w:rsidR="00B52F82" w:rsidRDefault="00B52F82">
      <w:r>
        <w:continuationSeparator/>
      </w:r>
    </w:p>
    <w:p w:rsidR="00B52F82" w:rsidRDefault="00B52F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2" w:rsidRDefault="00B52F82">
    <w:pPr>
      <w:pStyle w:val="Header"/>
    </w:pPr>
  </w:p>
  <w:p w:rsidR="00B52F82" w:rsidRDefault="00B52F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2" w:rsidRDefault="00B52F82">
    <w:pPr>
      <w:pStyle w:val="Header"/>
    </w:pPr>
  </w:p>
  <w:p w:rsidR="00B52F82" w:rsidRDefault="00B52F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06" w:rsidRDefault="002B5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docVars>
    <w:docVar w:name="85TrailerDate" w:val="0"/>
    <w:docVar w:name="85TrailerDateField" w:val="0"/>
    <w:docVar w:name="85TrailerDraft" w:val="0"/>
    <w:docVar w:name="85TrailerFileNumber" w:val="1"/>
    <w:docVar w:name="85TrailerTime" w:val="0"/>
    <w:docVar w:name="85TrailerType" w:val="102"/>
    <w:docVar w:name="MPDocID" w:val="T:\Np\NamasteTech\2016\Form9-NtsProposedIssuanceListedSecurities-Revised.docx"/>
    <w:docVar w:name="MPDocIDTemplate" w:val="%l\ |%n|\%v"/>
    <w:docVar w:name="MPDocIDTemplateDefault" w:val="%l\ |%n|\%v"/>
    <w:docVar w:name="NewDocStampType" w:val="7"/>
  </w:docVars>
  <w:rsids>
    <w:rsidRoot w:val="007568B3"/>
    <w:rsid w:val="00003125"/>
    <w:rsid w:val="0001060A"/>
    <w:rsid w:val="000426DC"/>
    <w:rsid w:val="000B4DA8"/>
    <w:rsid w:val="000B64EF"/>
    <w:rsid w:val="000C1C05"/>
    <w:rsid w:val="000E5124"/>
    <w:rsid w:val="000E5244"/>
    <w:rsid w:val="001010E0"/>
    <w:rsid w:val="00116314"/>
    <w:rsid w:val="00116D55"/>
    <w:rsid w:val="00173F0B"/>
    <w:rsid w:val="00186DA5"/>
    <w:rsid w:val="0019100E"/>
    <w:rsid w:val="00192758"/>
    <w:rsid w:val="001C22CA"/>
    <w:rsid w:val="001F1CD0"/>
    <w:rsid w:val="002115B6"/>
    <w:rsid w:val="002419CC"/>
    <w:rsid w:val="002557FD"/>
    <w:rsid w:val="0026727E"/>
    <w:rsid w:val="00293573"/>
    <w:rsid w:val="00295332"/>
    <w:rsid w:val="002B5806"/>
    <w:rsid w:val="002C5039"/>
    <w:rsid w:val="002F0416"/>
    <w:rsid w:val="002F3A76"/>
    <w:rsid w:val="002F6F3D"/>
    <w:rsid w:val="00314750"/>
    <w:rsid w:val="00326D55"/>
    <w:rsid w:val="003A6A1C"/>
    <w:rsid w:val="003D3821"/>
    <w:rsid w:val="003F0834"/>
    <w:rsid w:val="0040774D"/>
    <w:rsid w:val="00442B54"/>
    <w:rsid w:val="00443ED9"/>
    <w:rsid w:val="00456624"/>
    <w:rsid w:val="00483BF3"/>
    <w:rsid w:val="004A1403"/>
    <w:rsid w:val="004B214D"/>
    <w:rsid w:val="004C2BA5"/>
    <w:rsid w:val="004F6E3B"/>
    <w:rsid w:val="005762FA"/>
    <w:rsid w:val="005B6C1E"/>
    <w:rsid w:val="005D1FD9"/>
    <w:rsid w:val="00617A0E"/>
    <w:rsid w:val="0062717F"/>
    <w:rsid w:val="006619A1"/>
    <w:rsid w:val="00675F6D"/>
    <w:rsid w:val="00700814"/>
    <w:rsid w:val="00711CDD"/>
    <w:rsid w:val="007568B3"/>
    <w:rsid w:val="007B0425"/>
    <w:rsid w:val="008003B9"/>
    <w:rsid w:val="008019C0"/>
    <w:rsid w:val="00822474"/>
    <w:rsid w:val="00823720"/>
    <w:rsid w:val="00824A73"/>
    <w:rsid w:val="00857216"/>
    <w:rsid w:val="00860D1F"/>
    <w:rsid w:val="008627D9"/>
    <w:rsid w:val="008B74FB"/>
    <w:rsid w:val="008F27FF"/>
    <w:rsid w:val="009136E7"/>
    <w:rsid w:val="00916385"/>
    <w:rsid w:val="009466F0"/>
    <w:rsid w:val="00951997"/>
    <w:rsid w:val="00967770"/>
    <w:rsid w:val="0097763E"/>
    <w:rsid w:val="00981A1A"/>
    <w:rsid w:val="009C45B8"/>
    <w:rsid w:val="009F4ADB"/>
    <w:rsid w:val="00A00C54"/>
    <w:rsid w:val="00A10285"/>
    <w:rsid w:val="00A21B78"/>
    <w:rsid w:val="00A241C0"/>
    <w:rsid w:val="00A672E3"/>
    <w:rsid w:val="00A71A8C"/>
    <w:rsid w:val="00A90670"/>
    <w:rsid w:val="00A93530"/>
    <w:rsid w:val="00A9392C"/>
    <w:rsid w:val="00AA2CD6"/>
    <w:rsid w:val="00AB3AB4"/>
    <w:rsid w:val="00AB63FC"/>
    <w:rsid w:val="00AC1CAA"/>
    <w:rsid w:val="00AC35C6"/>
    <w:rsid w:val="00AF71E8"/>
    <w:rsid w:val="00B22FA2"/>
    <w:rsid w:val="00B311AD"/>
    <w:rsid w:val="00B46512"/>
    <w:rsid w:val="00B52F82"/>
    <w:rsid w:val="00B923F6"/>
    <w:rsid w:val="00BB072D"/>
    <w:rsid w:val="00BD4A1E"/>
    <w:rsid w:val="00BF78E3"/>
    <w:rsid w:val="00C27356"/>
    <w:rsid w:val="00C32DF2"/>
    <w:rsid w:val="00C33040"/>
    <w:rsid w:val="00C85BE8"/>
    <w:rsid w:val="00CB3FD0"/>
    <w:rsid w:val="00CD0827"/>
    <w:rsid w:val="00CE227B"/>
    <w:rsid w:val="00CE4DB9"/>
    <w:rsid w:val="00CF076A"/>
    <w:rsid w:val="00CF2A90"/>
    <w:rsid w:val="00D87207"/>
    <w:rsid w:val="00DB640C"/>
    <w:rsid w:val="00DD1BF2"/>
    <w:rsid w:val="00E55E58"/>
    <w:rsid w:val="00E708AE"/>
    <w:rsid w:val="00E97C13"/>
    <w:rsid w:val="00EA1EF0"/>
    <w:rsid w:val="00EA4133"/>
    <w:rsid w:val="00EC04EB"/>
    <w:rsid w:val="00F12528"/>
    <w:rsid w:val="00F23169"/>
    <w:rsid w:val="00F2574D"/>
    <w:rsid w:val="00F500FA"/>
    <w:rsid w:val="00F65F69"/>
    <w:rsid w:val="00F71F56"/>
    <w:rsid w:val="00F84885"/>
    <w:rsid w:val="00FF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D9"/>
  </w:style>
  <w:style w:type="paragraph" w:styleId="Heading2">
    <w:name w:val="heading 2"/>
    <w:basedOn w:val="BodyText"/>
    <w:next w:val="BodyText"/>
    <w:qFormat/>
    <w:rsid w:val="00443ED9"/>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3ED9"/>
    <w:pPr>
      <w:spacing w:before="240"/>
    </w:pPr>
    <w:rPr>
      <w:sz w:val="24"/>
      <w:lang w:val="en-GB"/>
    </w:rPr>
  </w:style>
  <w:style w:type="paragraph" w:styleId="List">
    <w:name w:val="List"/>
    <w:basedOn w:val="BodyText"/>
    <w:rsid w:val="00443ED9"/>
    <w:pPr>
      <w:ind w:left="1080" w:hanging="1080"/>
    </w:pPr>
  </w:style>
  <w:style w:type="paragraph" w:styleId="List2">
    <w:name w:val="List 2"/>
    <w:basedOn w:val="List"/>
    <w:rsid w:val="00443ED9"/>
    <w:pPr>
      <w:ind w:left="1800" w:hanging="720"/>
    </w:pPr>
  </w:style>
  <w:style w:type="paragraph" w:styleId="Title">
    <w:name w:val="Title"/>
    <w:basedOn w:val="BodyText"/>
    <w:qFormat/>
    <w:rsid w:val="00443ED9"/>
    <w:pPr>
      <w:spacing w:after="240"/>
      <w:jc w:val="center"/>
    </w:pPr>
    <w:rPr>
      <w:rFonts w:ascii="Arial" w:hAnsi="Arial"/>
      <w:b/>
      <w:sz w:val="40"/>
    </w:rPr>
  </w:style>
  <w:style w:type="paragraph" w:customStyle="1" w:styleId="amend">
    <w:name w:val="amend"/>
    <w:basedOn w:val="Normal"/>
    <w:rsid w:val="00443ED9"/>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43ED9"/>
    <w:pPr>
      <w:tabs>
        <w:tab w:val="center" w:pos="4320"/>
        <w:tab w:val="right" w:pos="8640"/>
      </w:tabs>
    </w:pPr>
  </w:style>
  <w:style w:type="paragraph" w:styleId="Footer">
    <w:name w:val="footer"/>
    <w:basedOn w:val="Normal"/>
    <w:rsid w:val="00443ED9"/>
    <w:pPr>
      <w:tabs>
        <w:tab w:val="center" w:pos="4320"/>
        <w:tab w:val="right" w:pos="8640"/>
      </w:tabs>
    </w:pPr>
  </w:style>
  <w:style w:type="character" w:styleId="PageNumber">
    <w:name w:val="page number"/>
    <w:basedOn w:val="DefaultParagraphFont"/>
    <w:rsid w:val="00443ED9"/>
  </w:style>
  <w:style w:type="paragraph" w:styleId="EndnoteText">
    <w:name w:val="endnote text"/>
    <w:basedOn w:val="Normal"/>
    <w:semiHidden/>
    <w:rsid w:val="00443ED9"/>
    <w:pPr>
      <w:widowControl w:val="0"/>
    </w:pPr>
    <w:rPr>
      <w:rFonts w:ascii="Helv 12pt" w:hAnsi="Helv 12pt"/>
      <w:sz w:val="24"/>
    </w:rPr>
  </w:style>
  <w:style w:type="paragraph" w:styleId="BalloonText">
    <w:name w:val="Balloon Text"/>
    <w:basedOn w:val="Normal"/>
    <w:semiHidden/>
    <w:rsid w:val="00443ED9"/>
    <w:rPr>
      <w:rFonts w:ascii="Tahoma" w:hAnsi="Tahoma" w:cs="Tahoma"/>
      <w:sz w:val="16"/>
      <w:szCs w:val="16"/>
    </w:rPr>
  </w:style>
  <w:style w:type="paragraph" w:styleId="FootnoteText">
    <w:name w:val="footnote text"/>
    <w:basedOn w:val="Normal"/>
    <w:semiHidden/>
    <w:rsid w:val="00443ED9"/>
  </w:style>
  <w:style w:type="character" w:styleId="FootnoteReference">
    <w:name w:val="footnote reference"/>
    <w:semiHidden/>
    <w:rsid w:val="00443ED9"/>
    <w:rPr>
      <w:vertAlign w:val="superscript"/>
    </w:rPr>
  </w:style>
  <w:style w:type="character" w:customStyle="1" w:styleId="zzmpTrailerItem">
    <w:name w:val="zzmpTrailerItem"/>
    <w:basedOn w:val="DefaultParagraphFont"/>
    <w:rsid w:val="002B5806"/>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semiHidden/>
    <w:unhideWhenUsed/>
    <w:rsid w:val="00442B54"/>
    <w:rPr>
      <w:color w:val="0563C1"/>
      <w:u w:val="single"/>
    </w:rPr>
  </w:style>
</w:styles>
</file>

<file path=word/webSettings.xml><?xml version="1.0" encoding="utf-8"?>
<w:webSettings xmlns:r="http://schemas.openxmlformats.org/officeDocument/2006/relationships" xmlns:w="http://schemas.openxmlformats.org/wordprocessingml/2006/main">
  <w:divs>
    <w:div w:id="284166083">
      <w:bodyDiv w:val="1"/>
      <w:marLeft w:val="0"/>
      <w:marRight w:val="0"/>
      <w:marTop w:val="0"/>
      <w:marBottom w:val="0"/>
      <w:divBdr>
        <w:top w:val="none" w:sz="0" w:space="0" w:color="auto"/>
        <w:left w:val="none" w:sz="0" w:space="0" w:color="auto"/>
        <w:bottom w:val="none" w:sz="0" w:space="0" w:color="auto"/>
        <w:right w:val="none" w:sz="0" w:space="0" w:color="auto"/>
      </w:divBdr>
    </w:div>
    <w:div w:id="543443198">
      <w:bodyDiv w:val="1"/>
      <w:marLeft w:val="0"/>
      <w:marRight w:val="0"/>
      <w:marTop w:val="0"/>
      <w:marBottom w:val="0"/>
      <w:divBdr>
        <w:top w:val="none" w:sz="0" w:space="0" w:color="auto"/>
        <w:left w:val="none" w:sz="0" w:space="0" w:color="auto"/>
        <w:bottom w:val="none" w:sz="0" w:space="0" w:color="auto"/>
        <w:right w:val="none" w:sz="0" w:space="0" w:color="auto"/>
      </w:divBdr>
    </w:div>
    <w:div w:id="738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1420</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perschkn</cp:lastModifiedBy>
  <cp:revision>3</cp:revision>
  <cp:lastPrinted>2016-09-14T22:12:00Z</cp:lastPrinted>
  <dcterms:created xsi:type="dcterms:W3CDTF">2016-09-15T15:26:00Z</dcterms:created>
  <dcterms:modified xsi:type="dcterms:W3CDTF">2016-09-15T15:28:00Z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