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FF718" w14:textId="77777777" w:rsidR="006B0F9E" w:rsidRPr="006B0F9E" w:rsidRDefault="006B0F9E" w:rsidP="006B0F9E">
      <w:pPr>
        <w:jc w:val="center"/>
        <w:rPr>
          <w:rFonts w:ascii="Arial" w:hAnsi="Arial" w:cs="Arial"/>
          <w:b/>
          <w:bCs/>
        </w:rPr>
      </w:pPr>
      <w:r w:rsidRPr="006B0F9E">
        <w:rPr>
          <w:rFonts w:ascii="Arial" w:hAnsi="Arial" w:cs="Arial"/>
          <w:b/>
          <w:bCs/>
        </w:rPr>
        <w:t xml:space="preserve">FogChain Announces the Listing of its Common Stock on the </w:t>
      </w:r>
      <w:proofErr w:type="spellStart"/>
      <w:r w:rsidRPr="006B0F9E">
        <w:rPr>
          <w:rFonts w:ascii="Arial" w:hAnsi="Arial" w:cs="Arial"/>
          <w:b/>
          <w:bCs/>
        </w:rPr>
        <w:t>OTCMarkets</w:t>
      </w:r>
      <w:proofErr w:type="spellEnd"/>
      <w:r w:rsidRPr="006B0F9E">
        <w:rPr>
          <w:rFonts w:ascii="Arial" w:hAnsi="Arial" w:cs="Arial"/>
          <w:b/>
          <w:bCs/>
        </w:rPr>
        <w:t xml:space="preserve"> QB Exchange (Symbol: FOGCF)</w:t>
      </w:r>
    </w:p>
    <w:p w14:paraId="6BA6B704" w14:textId="77777777" w:rsidR="006B0F9E" w:rsidRPr="006B0F9E" w:rsidRDefault="006B0F9E" w:rsidP="006B0F9E">
      <w:pPr>
        <w:rPr>
          <w:rFonts w:ascii="Arial" w:hAnsi="Arial" w:cs="Arial"/>
        </w:rPr>
      </w:pPr>
      <w:r w:rsidRPr="006B0F9E">
        <w:rPr>
          <w:rFonts w:ascii="Arial" w:hAnsi="Arial" w:cs="Arial"/>
        </w:rPr>
        <w:br/>
        <w:t xml:space="preserve">FogChain Announces the Listing of its Common Stock on the </w:t>
      </w:r>
      <w:proofErr w:type="spellStart"/>
      <w:r w:rsidRPr="006B0F9E">
        <w:rPr>
          <w:rFonts w:ascii="Arial" w:hAnsi="Arial" w:cs="Arial"/>
        </w:rPr>
        <w:t>OTCMarkets</w:t>
      </w:r>
      <w:proofErr w:type="spellEnd"/>
      <w:r w:rsidRPr="006B0F9E">
        <w:rPr>
          <w:rFonts w:ascii="Arial" w:hAnsi="Arial" w:cs="Arial"/>
        </w:rPr>
        <w:t xml:space="preserve"> QB Exchange (Symbol: FOGCF)</w:t>
      </w:r>
    </w:p>
    <w:p w14:paraId="75C804C5" w14:textId="77777777" w:rsidR="006B0F9E" w:rsidRPr="006B0F9E" w:rsidRDefault="006B0F9E" w:rsidP="006B0F9E">
      <w:pPr>
        <w:rPr>
          <w:rFonts w:ascii="Arial" w:hAnsi="Arial" w:cs="Arial"/>
        </w:rPr>
      </w:pPr>
    </w:p>
    <w:p w14:paraId="156BDE33" w14:textId="77777777" w:rsidR="006B0F9E" w:rsidRPr="006B0F9E" w:rsidRDefault="006B0F9E" w:rsidP="006B0F9E">
      <w:pPr>
        <w:rPr>
          <w:rFonts w:ascii="Arial" w:hAnsi="Arial" w:cs="Arial"/>
        </w:rPr>
      </w:pPr>
      <w:r w:rsidRPr="006B0F9E">
        <w:rPr>
          <w:rFonts w:ascii="Arial" w:hAnsi="Arial" w:cs="Arial"/>
        </w:rPr>
        <w:t>Vancouver, Canada and San Carlos, CA </w:t>
      </w:r>
      <w:hyperlink r:id="rId6" w:history="1">
        <w:r w:rsidRPr="006B0F9E">
          <w:rPr>
            <w:rStyle w:val="Hyperlink"/>
            <w:rFonts w:ascii="Arial" w:hAnsi="Arial" w:cs="Arial"/>
            <w:b/>
            <w:bCs/>
          </w:rPr>
          <w:t>(</w:t>
        </w:r>
        <w:proofErr w:type="spellStart"/>
        <w:r w:rsidRPr="006B0F9E">
          <w:rPr>
            <w:rStyle w:val="Hyperlink"/>
            <w:rFonts w:ascii="Arial" w:hAnsi="Arial" w:cs="Arial"/>
            <w:b/>
            <w:bCs/>
          </w:rPr>
          <w:t>FSCwire</w:t>
        </w:r>
        <w:proofErr w:type="spellEnd"/>
        <w:r w:rsidRPr="006B0F9E">
          <w:rPr>
            <w:rStyle w:val="Hyperlink"/>
            <w:rFonts w:ascii="Arial" w:hAnsi="Arial" w:cs="Arial"/>
            <w:b/>
            <w:bCs/>
          </w:rPr>
          <w:t>)</w:t>
        </w:r>
      </w:hyperlink>
      <w:r w:rsidRPr="006B0F9E">
        <w:rPr>
          <w:rFonts w:ascii="Arial" w:hAnsi="Arial" w:cs="Arial"/>
        </w:rPr>
        <w:t> - </w:t>
      </w:r>
      <w:r w:rsidRPr="006B0F9E">
        <w:rPr>
          <w:rFonts w:ascii="Arial" w:hAnsi="Arial" w:cs="Arial"/>
          <w:b/>
          <w:bCs/>
        </w:rPr>
        <w:t>FogChain Corp. (“FogChain” or the “Company”)</w:t>
      </w:r>
      <w:r w:rsidRPr="006B0F9E">
        <w:rPr>
          <w:rFonts w:ascii="Arial" w:hAnsi="Arial" w:cs="Arial"/>
        </w:rPr>
        <w:t>, a next generation software development, testing and deployment solutions provider, is pleased to announce that it has completed the listing of its common stock on the OTC Markets QB Exchange (OTCQB), trading under the symbol “FOGCF.”</w:t>
      </w:r>
    </w:p>
    <w:p w14:paraId="6637FBE7" w14:textId="77777777" w:rsidR="006B0F9E" w:rsidRPr="006B0F9E" w:rsidRDefault="006B0F9E" w:rsidP="006B0F9E">
      <w:pPr>
        <w:rPr>
          <w:rFonts w:ascii="Arial" w:hAnsi="Arial" w:cs="Arial"/>
        </w:rPr>
      </w:pPr>
      <w:r w:rsidRPr="006B0F9E">
        <w:rPr>
          <w:rFonts w:ascii="Arial" w:hAnsi="Arial" w:cs="Arial"/>
        </w:rPr>
        <w:t>The OTCQB is considered by the U.S. Securities and Exchange Commission (SEC) as an “established public market” for the purpose of determining the public market price when registering securities for resale with the SEC, as well as for establishing an active secondary trading market.  Due to the fact that the OTCQB dramatically increases transparency, reporting standards, management certification and compliance requirements, the majority of broker-dealers trade stocks on the OTCQB.  Historically, this has resulted in improved liquidity and awareness for companies that ascend to the OTCQB tier.  The OTCQB is a venture market designed for early-stage and developing US and international companies, and include internationally acclaimed firms such as Tropicana Entertainment, Linn Energy, and Freddie Mac, to name a few. To be eligible, companies must be current in their reporting and undergo an annual verification and management certification process. To learn more, visit </w:t>
      </w:r>
      <w:hyperlink r:id="rId7" w:tgtFrame="_blank" w:tooltip="OTCQB" w:history="1">
        <w:r w:rsidRPr="006B0F9E">
          <w:rPr>
            <w:rStyle w:val="Hyperlink"/>
            <w:rFonts w:ascii="Arial" w:hAnsi="Arial" w:cs="Arial"/>
            <w:b/>
            <w:bCs/>
          </w:rPr>
          <w:t>OTCQ</w:t>
        </w:r>
        <w:bookmarkStart w:id="0" w:name="_GoBack"/>
        <w:bookmarkEnd w:id="0"/>
        <w:r w:rsidRPr="006B0F9E">
          <w:rPr>
            <w:rStyle w:val="Hyperlink"/>
            <w:rFonts w:ascii="Arial" w:hAnsi="Arial" w:cs="Arial"/>
            <w:b/>
            <w:bCs/>
          </w:rPr>
          <w:t>B</w:t>
        </w:r>
      </w:hyperlink>
      <w:r w:rsidRPr="006B0F9E">
        <w:rPr>
          <w:rFonts w:ascii="Arial" w:hAnsi="Arial" w:cs="Arial"/>
        </w:rPr>
        <w:t>.</w:t>
      </w:r>
    </w:p>
    <w:p w14:paraId="0CC7C1A9" w14:textId="77777777" w:rsidR="006B0F9E" w:rsidRPr="006B0F9E" w:rsidRDefault="006B0F9E" w:rsidP="006B0F9E">
      <w:pPr>
        <w:rPr>
          <w:rFonts w:ascii="Arial" w:hAnsi="Arial" w:cs="Arial"/>
        </w:rPr>
      </w:pPr>
      <w:r w:rsidRPr="006B0F9E">
        <w:rPr>
          <w:rFonts w:ascii="Arial" w:hAnsi="Arial" w:cs="Arial"/>
        </w:rPr>
        <w:t>"Listing on the OTCQB is another significant milestone for our Company," commented Mr. James Cerna, CEO of FogChain. "We believe trading on the OTCQB will provide our shareholders and prospective investors a greater degree of transparency and liquidity, will raise our visibility in the investment community and broaden our shareholder base." The OTCQB market provides additional benefits to the company and its shareholders by offering greater access to analyst coverage, news distribution services, and disclosure services recognized on a global scale.</w:t>
      </w:r>
    </w:p>
    <w:p w14:paraId="665D23B8" w14:textId="77777777" w:rsidR="006B0F9E" w:rsidRPr="006B0F9E" w:rsidRDefault="006B0F9E" w:rsidP="006B0F9E">
      <w:pPr>
        <w:rPr>
          <w:rFonts w:ascii="Arial" w:hAnsi="Arial" w:cs="Arial"/>
        </w:rPr>
      </w:pPr>
      <w:r w:rsidRPr="006B0F9E">
        <w:rPr>
          <w:rFonts w:ascii="Arial" w:hAnsi="Arial" w:cs="Arial"/>
          <w:b/>
          <w:bCs/>
        </w:rPr>
        <w:t>About FogChain Corp.</w:t>
      </w:r>
    </w:p>
    <w:p w14:paraId="1E3033F2" w14:textId="77777777" w:rsidR="006B0F9E" w:rsidRPr="006B0F9E" w:rsidRDefault="006B0F9E" w:rsidP="006B0F9E">
      <w:pPr>
        <w:rPr>
          <w:rFonts w:ascii="Arial" w:hAnsi="Arial" w:cs="Arial"/>
        </w:rPr>
      </w:pPr>
      <w:r w:rsidRPr="006B0F9E">
        <w:rPr>
          <w:rFonts w:ascii="Arial" w:hAnsi="Arial" w:cs="Arial"/>
        </w:rPr>
        <w:br/>
        <w:t xml:space="preserve">FogChain is a fully integrated, end-to-end software development life cycle (SDLC) and quality assurance solutions provider. </w:t>
      </w:r>
      <w:proofErr w:type="spellStart"/>
      <w:r w:rsidRPr="006B0F9E">
        <w:rPr>
          <w:rFonts w:ascii="Arial" w:hAnsi="Arial" w:cs="Arial"/>
        </w:rPr>
        <w:t>FogChain’s</w:t>
      </w:r>
      <w:proofErr w:type="spellEnd"/>
      <w:r w:rsidRPr="006B0F9E">
        <w:rPr>
          <w:rFonts w:ascii="Arial" w:hAnsi="Arial" w:cs="Arial"/>
        </w:rPr>
        <w:t xml:space="preserve"> suite of services and technology provides application development at scale with greater speed, efficiency and at a lower cost. </w:t>
      </w:r>
      <w:proofErr w:type="spellStart"/>
      <w:r w:rsidRPr="006B0F9E">
        <w:rPr>
          <w:rFonts w:ascii="Arial" w:hAnsi="Arial" w:cs="Arial"/>
        </w:rPr>
        <w:t>FogChain's</w:t>
      </w:r>
      <w:proofErr w:type="spellEnd"/>
      <w:r w:rsidRPr="006B0F9E">
        <w:rPr>
          <w:rFonts w:ascii="Arial" w:hAnsi="Arial" w:cs="Arial"/>
        </w:rPr>
        <w:t> </w:t>
      </w:r>
      <w:r w:rsidRPr="006B0F9E">
        <w:rPr>
          <w:rFonts w:ascii="Arial" w:hAnsi="Arial" w:cs="Arial"/>
          <w:i/>
          <w:iCs/>
        </w:rPr>
        <w:t>Build-Once-Deploy-Everywhere</w:t>
      </w:r>
      <w:r w:rsidRPr="006B0F9E">
        <w:rPr>
          <w:rFonts w:ascii="Arial" w:hAnsi="Arial" w:cs="Arial"/>
        </w:rPr>
        <w:t> software architecture provides developers with a suite of tools to build and launch exciting new applications in a unified environment. Led by a team of Cloud and SaaS veterans, FogChain is uniquely positioned to be a leader in the next super-wave of the $500 billion software development market. Learn more at </w:t>
      </w:r>
      <w:hyperlink r:id="rId8" w:history="1">
        <w:r w:rsidRPr="006B0F9E">
          <w:rPr>
            <w:rStyle w:val="Hyperlink"/>
            <w:rFonts w:ascii="Arial" w:hAnsi="Arial" w:cs="Arial"/>
            <w:b/>
            <w:bCs/>
          </w:rPr>
          <w:t>www.FogChainInc.com</w:t>
        </w:r>
      </w:hyperlink>
    </w:p>
    <w:p w14:paraId="3A45862F" w14:textId="77777777" w:rsidR="006B0F9E" w:rsidRPr="006B0F9E" w:rsidRDefault="006B0F9E" w:rsidP="006B0F9E">
      <w:pPr>
        <w:rPr>
          <w:rFonts w:ascii="Arial" w:hAnsi="Arial" w:cs="Arial"/>
        </w:rPr>
      </w:pPr>
      <w:r w:rsidRPr="006B0F9E">
        <w:rPr>
          <w:rFonts w:ascii="Arial" w:hAnsi="Arial" w:cs="Arial"/>
        </w:rPr>
        <w:br/>
      </w:r>
      <w:r w:rsidRPr="006B0F9E">
        <w:rPr>
          <w:rFonts w:ascii="Arial" w:hAnsi="Arial" w:cs="Arial"/>
          <w:b/>
          <w:bCs/>
        </w:rPr>
        <w:t>FogChain Media Contact:</w:t>
      </w:r>
    </w:p>
    <w:p w14:paraId="1839868E" w14:textId="77777777" w:rsidR="006B0F9E" w:rsidRPr="006B0F9E" w:rsidRDefault="006B0F9E" w:rsidP="006B0F9E">
      <w:pPr>
        <w:rPr>
          <w:rFonts w:ascii="Arial" w:hAnsi="Arial" w:cs="Arial"/>
        </w:rPr>
      </w:pPr>
      <w:r w:rsidRPr="006B0F9E">
        <w:rPr>
          <w:rFonts w:ascii="Arial" w:hAnsi="Arial" w:cs="Arial"/>
        </w:rPr>
        <w:t xml:space="preserve">Investor </w:t>
      </w:r>
      <w:proofErr w:type="spellStart"/>
      <w:r w:rsidRPr="006B0F9E">
        <w:rPr>
          <w:rFonts w:ascii="Arial" w:hAnsi="Arial" w:cs="Arial"/>
        </w:rPr>
        <w:t>Releations</w:t>
      </w:r>
      <w:proofErr w:type="spellEnd"/>
    </w:p>
    <w:p w14:paraId="71EBA204" w14:textId="77777777" w:rsidR="006B0F9E" w:rsidRPr="006B0F9E" w:rsidRDefault="006B0F9E" w:rsidP="006B0F9E">
      <w:pPr>
        <w:rPr>
          <w:rFonts w:ascii="Arial" w:hAnsi="Arial" w:cs="Arial"/>
        </w:rPr>
      </w:pPr>
      <w:hyperlink r:id="rId9" w:history="1">
        <w:r w:rsidRPr="006B0F9E">
          <w:rPr>
            <w:rStyle w:val="Hyperlink"/>
            <w:rFonts w:ascii="Arial" w:hAnsi="Arial" w:cs="Arial"/>
            <w:b/>
            <w:bCs/>
          </w:rPr>
          <w:t>info@forgchaininc.com</w:t>
        </w:r>
      </w:hyperlink>
    </w:p>
    <w:p w14:paraId="77B368A3" w14:textId="77777777" w:rsidR="006B0F9E" w:rsidRPr="006B0F9E" w:rsidRDefault="006B0F9E" w:rsidP="006B0F9E">
      <w:pPr>
        <w:rPr>
          <w:rFonts w:ascii="Arial" w:hAnsi="Arial" w:cs="Arial"/>
        </w:rPr>
      </w:pPr>
      <w:r w:rsidRPr="006B0F9E">
        <w:rPr>
          <w:rFonts w:ascii="Arial" w:hAnsi="Arial" w:cs="Arial"/>
        </w:rPr>
        <w:lastRenderedPageBreak/>
        <w:t>(415) 745-8650</w:t>
      </w:r>
    </w:p>
    <w:p w14:paraId="38C238B7" w14:textId="77777777" w:rsidR="006B0F9E" w:rsidRPr="006B0F9E" w:rsidRDefault="006B0F9E" w:rsidP="006B0F9E">
      <w:pPr>
        <w:rPr>
          <w:rFonts w:ascii="Arial" w:hAnsi="Arial" w:cs="Arial"/>
        </w:rPr>
      </w:pPr>
      <w:r w:rsidRPr="006B0F9E">
        <w:rPr>
          <w:rFonts w:ascii="Arial" w:hAnsi="Arial" w:cs="Arial"/>
        </w:rPr>
        <w:br/>
      </w:r>
      <w:r w:rsidRPr="006B0F9E">
        <w:rPr>
          <w:rFonts w:ascii="Arial" w:hAnsi="Arial" w:cs="Arial"/>
          <w:b/>
          <w:bCs/>
        </w:rPr>
        <w:t>OTC Markets QB Service for International Companies – Overview Sheet:</w:t>
      </w:r>
      <w:r w:rsidRPr="006B0F9E">
        <w:rPr>
          <w:rFonts w:ascii="Arial" w:hAnsi="Arial" w:cs="Arial"/>
        </w:rPr>
        <w:t> </w:t>
      </w:r>
      <w:hyperlink r:id="rId10" w:history="1">
        <w:r w:rsidRPr="006B0F9E">
          <w:rPr>
            <w:rStyle w:val="Hyperlink"/>
            <w:rFonts w:ascii="Arial" w:hAnsi="Arial" w:cs="Arial"/>
            <w:b/>
            <w:bCs/>
          </w:rPr>
          <w:t>https://www.otcmarkets.com/files/OTCQB%20Fact%20Sheet%20for%20International%20Companies.pdf</w:t>
        </w:r>
      </w:hyperlink>
    </w:p>
    <w:p w14:paraId="0E0695EE" w14:textId="77777777" w:rsidR="006B0F9E" w:rsidRPr="006B0F9E" w:rsidRDefault="006B0F9E" w:rsidP="006B0F9E">
      <w:pPr>
        <w:rPr>
          <w:rFonts w:ascii="Arial" w:hAnsi="Arial" w:cs="Arial"/>
        </w:rPr>
      </w:pPr>
      <w:r w:rsidRPr="006B0F9E">
        <w:rPr>
          <w:rFonts w:ascii="Arial" w:hAnsi="Arial" w:cs="Arial"/>
          <w:b/>
          <w:bCs/>
        </w:rPr>
        <w:t>FORWARD LOOKING STATEMENTS</w:t>
      </w:r>
    </w:p>
    <w:p w14:paraId="2DB28FF2" w14:textId="77777777" w:rsidR="006B0F9E" w:rsidRPr="006B0F9E" w:rsidRDefault="006B0F9E" w:rsidP="006B0F9E">
      <w:pPr>
        <w:rPr>
          <w:rFonts w:ascii="Arial" w:hAnsi="Arial" w:cs="Arial"/>
        </w:rPr>
      </w:pPr>
      <w:r w:rsidRPr="006B0F9E">
        <w:rPr>
          <w:rFonts w:ascii="Arial" w:hAnsi="Arial" w:cs="Arial"/>
        </w:rPr>
        <w:t>This news release contains "forward-looking information" and "forward-looking statements" (collectively, "forward-looking statements") within the meaning of the applicable Canadian securities legislation. All statements, other than statements of historical fact, are forward-looking statements and are based on expectations, estimates and projections as at the date of this news release. Any statement that involves discussions with respect to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statements. In this news release, forward-looking statements relate, among other things, to: the terms and conditions of the Transaction; use of funds; and the business and operations of the Company. Forward-looking statements are necessarily based upon a number of estimates and assumptions that, while considered reasonable, are subject to known and unknown risks, uncertainties, and other factors which may cause the actual results and future events to differ materially from those expressed or implied by such forward-looking statements. Such factors include, but are not limited to: general business, economic, competitive, political and social uncertainties; and the delay or failure to receive board, shareholder or regulatory approvals. There can be no assurance that such statements will prove to be accurate, as actual results and future events could differ materially from those anticipated in such statements. Accordingly, readers should not place undue reliance on the forward-looking statements and information contained in this news release. Except as required by law, the Company assumes no obligation to update the forward-looking statements of beliefs, opinions, projections, or other factors, should they change, except as required by law.</w:t>
      </w:r>
    </w:p>
    <w:p w14:paraId="76BF7965" w14:textId="5D70F5BA" w:rsidR="006B0F9E" w:rsidRPr="006B0F9E" w:rsidRDefault="006B0F9E" w:rsidP="006B0F9E">
      <w:pPr>
        <w:rPr>
          <w:rFonts w:ascii="Arial" w:hAnsi="Arial" w:cs="Arial"/>
        </w:rPr>
      </w:pPr>
      <w:r w:rsidRPr="006B0F9E">
        <w:rPr>
          <w:rFonts w:ascii="Arial" w:hAnsi="Arial" w:cs="Arial"/>
        </w:rPr>
        <w:t>Source: FogChain Corp. (</w:t>
      </w:r>
      <w:proofErr w:type="gramStart"/>
      <w:r w:rsidRPr="006B0F9E">
        <w:rPr>
          <w:rFonts w:ascii="Arial" w:hAnsi="Arial" w:cs="Arial"/>
        </w:rPr>
        <w:t>CSE:FOG</w:t>
      </w:r>
      <w:proofErr w:type="gramEnd"/>
      <w:r w:rsidRPr="006B0F9E">
        <w:rPr>
          <w:rFonts w:ascii="Arial" w:hAnsi="Arial" w:cs="Arial"/>
        </w:rPr>
        <w:t>)</w:t>
      </w:r>
    </w:p>
    <w:p w14:paraId="62E939DC" w14:textId="76265B89" w:rsidR="00587F8D" w:rsidRPr="001E2908" w:rsidRDefault="006B0F9E" w:rsidP="006B0F9E">
      <w:r w:rsidRPr="006B0F9E">
        <w:rPr>
          <w:rFonts w:ascii="Arial" w:hAnsi="Arial" w:cs="Arial"/>
        </w:rPr>
        <w:br/>
      </w:r>
      <w:r w:rsidR="00CE041E">
        <w:rPr>
          <w:rFonts w:ascii="Times New Roman" w:eastAsia="Times New Roman" w:hAnsi="Times New Roman" w:cs="Times New Roman"/>
          <w:noProof/>
          <w:sz w:val="24"/>
          <w:szCs w:val="24"/>
        </w:rPr>
        <mc:AlternateContent>
          <mc:Choice Requires="wps">
            <w:drawing>
              <wp:inline distT="0" distB="0" distL="0" distR="0" wp14:anchorId="28B6E51D" wp14:editId="1A913A89">
                <wp:extent cx="304800" cy="304800"/>
                <wp:effectExtent l="0" t="0" r="0" b="0"/>
                <wp:docPr id="1" name="AutoShape 1" descr="https://rt.newswire.ca/rt.gif?NewsItemId=C6795&amp;Transmission_Id=201805290730CANADANWCANADAPR_C6795&amp;DateId=201805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CD8955C" id="AutoShape 1" o:spid="_x0000_s1026" alt="https://rt.newswire.ca/rt.gif?NewsItemId=C6795&amp;Transmission_Id=201805290730CANADANWCANADAPR_C6795&amp;DateId=201805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" filled="f" stroked="f">
                <o:lock v:ext="edit" aspectratio="t"/>
                <w10:anchorlock/>
              </v:rect>
            </w:pict>
          </mc:Fallback>
        </mc:AlternateContent>
      </w:r>
    </w:p>
    <w:sectPr w:rsidR="00587F8D" w:rsidRPr="001E2908" w:rsidSect="008E5A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673B0" w14:textId="77777777" w:rsidR="009F11A7" w:rsidRDefault="009F11A7">
      <w:pPr>
        <w:spacing w:after="0" w:line="240" w:lineRule="auto"/>
      </w:pPr>
      <w:r>
        <w:separator/>
      </w:r>
    </w:p>
  </w:endnote>
  <w:endnote w:type="continuationSeparator" w:id="0">
    <w:p w14:paraId="6E3D955D" w14:textId="77777777" w:rsidR="009F11A7" w:rsidRDefault="009F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2105" w14:textId="77777777" w:rsidR="00614C5E" w:rsidRDefault="00B56E0F">
    <w:pPr>
      <w:pStyle w:val="Footer"/>
    </w:pPr>
    <w:r w:rsidRPr="00614C5E">
      <w:fldChar w:fldCharType="begin"/>
    </w:r>
    <w:r>
      <w:instrText xml:space="preserve"> DOCPROPERTY "DocID" \* MERGEFORMAT </w:instrText>
    </w:r>
    <w:r w:rsidRPr="00614C5E">
      <w:fldChar w:fldCharType="separate"/>
    </w:r>
    <w:r w:rsidRPr="00614C5E">
      <w:t xml:space="preserve"> </w:t>
    </w:r>
    <w:r w:rsidRPr="00614C5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5AAF" w14:textId="77777777" w:rsidR="009F11A7" w:rsidRDefault="009F11A7">
      <w:pPr>
        <w:spacing w:after="0" w:line="240" w:lineRule="auto"/>
      </w:pPr>
      <w:r>
        <w:separator/>
      </w:r>
    </w:p>
  </w:footnote>
  <w:footnote w:type="continuationSeparator" w:id="0">
    <w:p w14:paraId="36E76878" w14:textId="77777777" w:rsidR="009F11A7" w:rsidRDefault="009F1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BC"/>
    <w:rsid w:val="00021279"/>
    <w:rsid w:val="0002508F"/>
    <w:rsid w:val="0011593D"/>
    <w:rsid w:val="001602BC"/>
    <w:rsid w:val="001E0A70"/>
    <w:rsid w:val="001E2908"/>
    <w:rsid w:val="006B0F9E"/>
    <w:rsid w:val="006F7FE8"/>
    <w:rsid w:val="00792EB9"/>
    <w:rsid w:val="007F3019"/>
    <w:rsid w:val="009F11A7"/>
    <w:rsid w:val="00A44A53"/>
    <w:rsid w:val="00AE6103"/>
    <w:rsid w:val="00B56E0F"/>
    <w:rsid w:val="00BF2350"/>
    <w:rsid w:val="00C44188"/>
    <w:rsid w:val="00CE041E"/>
    <w:rsid w:val="00DE6AAE"/>
    <w:rsid w:val="00E03B9B"/>
    <w:rsid w:val="00F6530E"/>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13DD88"/>
  <w15:docId w15:val="{CDA12487-1DA6-4423-9ED2-52C0CCF5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A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C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C5E"/>
  </w:style>
  <w:style w:type="paragraph" w:styleId="Footer">
    <w:name w:val="footer"/>
    <w:basedOn w:val="Normal"/>
    <w:link w:val="FooterChar"/>
    <w:uiPriority w:val="99"/>
    <w:unhideWhenUsed/>
    <w:rsid w:val="00614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C5E"/>
  </w:style>
  <w:style w:type="character" w:styleId="Hyperlink">
    <w:name w:val="Hyperlink"/>
    <w:basedOn w:val="DefaultParagraphFont"/>
    <w:uiPriority w:val="99"/>
    <w:unhideWhenUsed/>
    <w:rsid w:val="007F3019"/>
    <w:rPr>
      <w:color w:val="0000FF"/>
      <w:u w:val="single"/>
    </w:rPr>
  </w:style>
  <w:style w:type="paragraph" w:styleId="BalloonText">
    <w:name w:val="Balloon Text"/>
    <w:basedOn w:val="Normal"/>
    <w:link w:val="BalloonTextChar"/>
    <w:uiPriority w:val="99"/>
    <w:semiHidden/>
    <w:unhideWhenUsed/>
    <w:rsid w:val="007F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19"/>
    <w:rPr>
      <w:rFonts w:ascii="Segoe UI" w:hAnsi="Segoe UI" w:cs="Segoe UI"/>
      <w:sz w:val="18"/>
      <w:szCs w:val="18"/>
    </w:rPr>
  </w:style>
  <w:style w:type="character" w:styleId="UnresolvedMention">
    <w:name w:val="Unresolved Mention"/>
    <w:basedOn w:val="DefaultParagraphFont"/>
    <w:uiPriority w:val="99"/>
    <w:rsid w:val="006B0F9E"/>
    <w:rPr>
      <w:color w:val="605E5C"/>
      <w:shd w:val="clear" w:color="auto" w:fill="E1DFDD"/>
    </w:rPr>
  </w:style>
  <w:style w:type="paragraph" w:styleId="NormalWeb">
    <w:name w:val="Normal (Web)"/>
    <w:basedOn w:val="Normal"/>
    <w:uiPriority w:val="99"/>
    <w:semiHidden/>
    <w:unhideWhenUsed/>
    <w:rsid w:val="006B0F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3028">
      <w:bodyDiv w:val="1"/>
      <w:marLeft w:val="0"/>
      <w:marRight w:val="0"/>
      <w:marTop w:val="0"/>
      <w:marBottom w:val="0"/>
      <w:divBdr>
        <w:top w:val="none" w:sz="0" w:space="0" w:color="auto"/>
        <w:left w:val="none" w:sz="0" w:space="0" w:color="auto"/>
        <w:bottom w:val="none" w:sz="0" w:space="0" w:color="auto"/>
        <w:right w:val="none" w:sz="0" w:space="0" w:color="auto"/>
      </w:divBdr>
      <w:divsChild>
        <w:div w:id="1907646336">
          <w:marLeft w:val="0"/>
          <w:marRight w:val="0"/>
          <w:marTop w:val="0"/>
          <w:marBottom w:val="0"/>
          <w:divBdr>
            <w:top w:val="none" w:sz="0" w:space="0" w:color="auto"/>
            <w:left w:val="none" w:sz="0" w:space="0" w:color="auto"/>
            <w:bottom w:val="none" w:sz="0" w:space="0" w:color="auto"/>
            <w:right w:val="none" w:sz="0" w:space="0" w:color="auto"/>
          </w:divBdr>
          <w:divsChild>
            <w:div w:id="789206108">
              <w:marLeft w:val="0"/>
              <w:marRight w:val="0"/>
              <w:marTop w:val="0"/>
              <w:marBottom w:val="0"/>
              <w:divBdr>
                <w:top w:val="none" w:sz="0" w:space="0" w:color="auto"/>
                <w:left w:val="none" w:sz="0" w:space="0" w:color="auto"/>
                <w:bottom w:val="none" w:sz="0" w:space="0" w:color="auto"/>
                <w:right w:val="none" w:sz="0" w:space="0" w:color="auto"/>
              </w:divBdr>
              <w:divsChild>
                <w:div w:id="1265453396">
                  <w:marLeft w:val="0"/>
                  <w:marRight w:val="0"/>
                  <w:marTop w:val="0"/>
                  <w:marBottom w:val="0"/>
                  <w:divBdr>
                    <w:top w:val="none" w:sz="0" w:space="0" w:color="auto"/>
                    <w:left w:val="none" w:sz="0" w:space="0" w:color="auto"/>
                    <w:bottom w:val="none" w:sz="0" w:space="0" w:color="auto"/>
                    <w:right w:val="none" w:sz="0" w:space="0" w:color="auto"/>
                  </w:divBdr>
                  <w:divsChild>
                    <w:div w:id="708527748">
                      <w:marLeft w:val="0"/>
                      <w:marRight w:val="0"/>
                      <w:marTop w:val="0"/>
                      <w:marBottom w:val="0"/>
                      <w:divBdr>
                        <w:top w:val="none" w:sz="0" w:space="0" w:color="auto"/>
                        <w:left w:val="none" w:sz="0" w:space="0" w:color="auto"/>
                        <w:bottom w:val="none" w:sz="0" w:space="0" w:color="auto"/>
                        <w:right w:val="none" w:sz="0" w:space="0" w:color="auto"/>
                      </w:divBdr>
                      <w:divsChild>
                        <w:div w:id="861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60240">
          <w:marLeft w:val="0"/>
          <w:marRight w:val="0"/>
          <w:marTop w:val="0"/>
          <w:marBottom w:val="0"/>
          <w:divBdr>
            <w:top w:val="none" w:sz="0" w:space="0" w:color="auto"/>
            <w:left w:val="none" w:sz="0" w:space="0" w:color="auto"/>
            <w:bottom w:val="none" w:sz="0" w:space="0" w:color="auto"/>
            <w:right w:val="none" w:sz="0" w:space="0" w:color="auto"/>
          </w:divBdr>
          <w:divsChild>
            <w:div w:id="1180044150">
              <w:marLeft w:val="0"/>
              <w:marRight w:val="0"/>
              <w:marTop w:val="0"/>
              <w:marBottom w:val="0"/>
              <w:divBdr>
                <w:top w:val="none" w:sz="0" w:space="0" w:color="auto"/>
                <w:left w:val="none" w:sz="0" w:space="0" w:color="auto"/>
                <w:bottom w:val="none" w:sz="0" w:space="0" w:color="auto"/>
                <w:right w:val="none" w:sz="0" w:space="0" w:color="auto"/>
              </w:divBdr>
              <w:divsChild>
                <w:div w:id="687147290">
                  <w:marLeft w:val="0"/>
                  <w:marRight w:val="0"/>
                  <w:marTop w:val="225"/>
                  <w:marBottom w:val="225"/>
                  <w:divBdr>
                    <w:top w:val="none" w:sz="0" w:space="0" w:color="auto"/>
                    <w:left w:val="none" w:sz="0" w:space="0" w:color="auto"/>
                    <w:bottom w:val="none" w:sz="0" w:space="0" w:color="auto"/>
                    <w:right w:val="none" w:sz="0" w:space="0" w:color="auto"/>
                  </w:divBdr>
                  <w:divsChild>
                    <w:div w:id="15538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90078">
      <w:bodyDiv w:val="1"/>
      <w:marLeft w:val="0"/>
      <w:marRight w:val="0"/>
      <w:marTop w:val="0"/>
      <w:marBottom w:val="0"/>
      <w:divBdr>
        <w:top w:val="none" w:sz="0" w:space="0" w:color="auto"/>
        <w:left w:val="none" w:sz="0" w:space="0" w:color="auto"/>
        <w:bottom w:val="none" w:sz="0" w:space="0" w:color="auto"/>
        <w:right w:val="none" w:sz="0" w:space="0" w:color="auto"/>
      </w:divBdr>
      <w:divsChild>
        <w:div w:id="860165621">
          <w:marLeft w:val="0"/>
          <w:marRight w:val="0"/>
          <w:marTop w:val="0"/>
          <w:marBottom w:val="0"/>
          <w:divBdr>
            <w:top w:val="none" w:sz="0" w:space="0" w:color="auto"/>
            <w:left w:val="none" w:sz="0" w:space="0" w:color="auto"/>
            <w:bottom w:val="none" w:sz="0" w:space="0" w:color="auto"/>
            <w:right w:val="none" w:sz="0" w:space="0" w:color="auto"/>
          </w:divBdr>
          <w:divsChild>
            <w:div w:id="123743660">
              <w:marLeft w:val="0"/>
              <w:marRight w:val="0"/>
              <w:marTop w:val="0"/>
              <w:marBottom w:val="0"/>
              <w:divBdr>
                <w:top w:val="none" w:sz="0" w:space="0" w:color="auto"/>
                <w:left w:val="none" w:sz="0" w:space="0" w:color="auto"/>
                <w:bottom w:val="none" w:sz="0" w:space="0" w:color="auto"/>
                <w:right w:val="none" w:sz="0" w:space="0" w:color="auto"/>
              </w:divBdr>
              <w:divsChild>
                <w:div w:id="760683042">
                  <w:marLeft w:val="0"/>
                  <w:marRight w:val="0"/>
                  <w:marTop w:val="0"/>
                  <w:marBottom w:val="0"/>
                  <w:divBdr>
                    <w:top w:val="none" w:sz="0" w:space="0" w:color="auto"/>
                    <w:left w:val="none" w:sz="0" w:space="0" w:color="auto"/>
                    <w:bottom w:val="none" w:sz="0" w:space="0" w:color="auto"/>
                    <w:right w:val="none" w:sz="0" w:space="0" w:color="auto"/>
                  </w:divBdr>
                  <w:divsChild>
                    <w:div w:id="395669643">
                      <w:marLeft w:val="0"/>
                      <w:marRight w:val="0"/>
                      <w:marTop w:val="0"/>
                      <w:marBottom w:val="0"/>
                      <w:divBdr>
                        <w:top w:val="none" w:sz="0" w:space="0" w:color="auto"/>
                        <w:left w:val="none" w:sz="0" w:space="0" w:color="auto"/>
                        <w:bottom w:val="none" w:sz="0" w:space="0" w:color="auto"/>
                        <w:right w:val="none" w:sz="0" w:space="0" w:color="auto"/>
                      </w:divBdr>
                      <w:divsChild>
                        <w:div w:id="1408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4126">
          <w:marLeft w:val="0"/>
          <w:marRight w:val="0"/>
          <w:marTop w:val="0"/>
          <w:marBottom w:val="0"/>
          <w:divBdr>
            <w:top w:val="none" w:sz="0" w:space="0" w:color="auto"/>
            <w:left w:val="none" w:sz="0" w:space="0" w:color="auto"/>
            <w:bottom w:val="none" w:sz="0" w:space="0" w:color="auto"/>
            <w:right w:val="none" w:sz="0" w:space="0" w:color="auto"/>
          </w:divBdr>
          <w:divsChild>
            <w:div w:id="2111002707">
              <w:marLeft w:val="0"/>
              <w:marRight w:val="0"/>
              <w:marTop w:val="0"/>
              <w:marBottom w:val="0"/>
              <w:divBdr>
                <w:top w:val="none" w:sz="0" w:space="0" w:color="auto"/>
                <w:left w:val="none" w:sz="0" w:space="0" w:color="auto"/>
                <w:bottom w:val="none" w:sz="0" w:space="0" w:color="auto"/>
                <w:right w:val="none" w:sz="0" w:space="0" w:color="auto"/>
              </w:divBdr>
              <w:divsChild>
                <w:div w:id="569998752">
                  <w:marLeft w:val="0"/>
                  <w:marRight w:val="0"/>
                  <w:marTop w:val="225"/>
                  <w:marBottom w:val="225"/>
                  <w:divBdr>
                    <w:top w:val="none" w:sz="0" w:space="0" w:color="auto"/>
                    <w:left w:val="none" w:sz="0" w:space="0" w:color="auto"/>
                    <w:bottom w:val="none" w:sz="0" w:space="0" w:color="auto"/>
                    <w:right w:val="none" w:sz="0" w:space="0" w:color="auto"/>
                  </w:divBdr>
                  <w:divsChild>
                    <w:div w:id="16352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5395">
      <w:bodyDiv w:val="1"/>
      <w:marLeft w:val="0"/>
      <w:marRight w:val="0"/>
      <w:marTop w:val="0"/>
      <w:marBottom w:val="0"/>
      <w:divBdr>
        <w:top w:val="none" w:sz="0" w:space="0" w:color="auto"/>
        <w:left w:val="none" w:sz="0" w:space="0" w:color="auto"/>
        <w:bottom w:val="none" w:sz="0" w:space="0" w:color="auto"/>
        <w:right w:val="none" w:sz="0" w:space="0" w:color="auto"/>
      </w:divBdr>
      <w:divsChild>
        <w:div w:id="2106340670">
          <w:marLeft w:val="0"/>
          <w:marRight w:val="0"/>
          <w:marTop w:val="0"/>
          <w:marBottom w:val="0"/>
          <w:divBdr>
            <w:top w:val="none" w:sz="0" w:space="0" w:color="auto"/>
            <w:left w:val="none" w:sz="0" w:space="0" w:color="auto"/>
            <w:bottom w:val="none" w:sz="0" w:space="0" w:color="auto"/>
            <w:right w:val="none" w:sz="0" w:space="0" w:color="auto"/>
          </w:divBdr>
          <w:divsChild>
            <w:div w:id="1126973401">
              <w:marLeft w:val="0"/>
              <w:marRight w:val="0"/>
              <w:marTop w:val="0"/>
              <w:marBottom w:val="0"/>
              <w:divBdr>
                <w:top w:val="none" w:sz="0" w:space="0" w:color="auto"/>
                <w:left w:val="none" w:sz="0" w:space="0" w:color="auto"/>
                <w:bottom w:val="none" w:sz="0" w:space="0" w:color="auto"/>
                <w:right w:val="none" w:sz="0" w:space="0" w:color="auto"/>
              </w:divBdr>
              <w:divsChild>
                <w:div w:id="541795232">
                  <w:marLeft w:val="0"/>
                  <w:marRight w:val="0"/>
                  <w:marTop w:val="0"/>
                  <w:marBottom w:val="0"/>
                  <w:divBdr>
                    <w:top w:val="none" w:sz="0" w:space="0" w:color="auto"/>
                    <w:left w:val="none" w:sz="0" w:space="0" w:color="auto"/>
                    <w:bottom w:val="none" w:sz="0" w:space="0" w:color="auto"/>
                    <w:right w:val="none" w:sz="0" w:space="0" w:color="auto"/>
                  </w:divBdr>
                  <w:divsChild>
                    <w:div w:id="399136601">
                      <w:marLeft w:val="0"/>
                      <w:marRight w:val="0"/>
                      <w:marTop w:val="0"/>
                      <w:marBottom w:val="0"/>
                      <w:divBdr>
                        <w:top w:val="none" w:sz="0" w:space="0" w:color="auto"/>
                        <w:left w:val="none" w:sz="0" w:space="0" w:color="auto"/>
                        <w:bottom w:val="none" w:sz="0" w:space="0" w:color="auto"/>
                        <w:right w:val="none" w:sz="0" w:space="0" w:color="auto"/>
                      </w:divBdr>
                      <w:divsChild>
                        <w:div w:id="6969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6650">
          <w:marLeft w:val="0"/>
          <w:marRight w:val="0"/>
          <w:marTop w:val="0"/>
          <w:marBottom w:val="0"/>
          <w:divBdr>
            <w:top w:val="none" w:sz="0" w:space="0" w:color="auto"/>
            <w:left w:val="none" w:sz="0" w:space="0" w:color="auto"/>
            <w:bottom w:val="none" w:sz="0" w:space="0" w:color="auto"/>
            <w:right w:val="none" w:sz="0" w:space="0" w:color="auto"/>
          </w:divBdr>
          <w:divsChild>
            <w:div w:id="1492285879">
              <w:marLeft w:val="0"/>
              <w:marRight w:val="0"/>
              <w:marTop w:val="0"/>
              <w:marBottom w:val="0"/>
              <w:divBdr>
                <w:top w:val="none" w:sz="0" w:space="0" w:color="auto"/>
                <w:left w:val="none" w:sz="0" w:space="0" w:color="auto"/>
                <w:bottom w:val="none" w:sz="0" w:space="0" w:color="auto"/>
                <w:right w:val="none" w:sz="0" w:space="0" w:color="auto"/>
              </w:divBdr>
              <w:divsChild>
                <w:div w:id="1083603889">
                  <w:marLeft w:val="0"/>
                  <w:marRight w:val="0"/>
                  <w:marTop w:val="225"/>
                  <w:marBottom w:val="225"/>
                  <w:divBdr>
                    <w:top w:val="none" w:sz="0" w:space="0" w:color="auto"/>
                    <w:left w:val="none" w:sz="0" w:space="0" w:color="auto"/>
                    <w:bottom w:val="none" w:sz="0" w:space="0" w:color="auto"/>
                    <w:right w:val="none" w:sz="0" w:space="0" w:color="auto"/>
                  </w:divBdr>
                  <w:divsChild>
                    <w:div w:id="5686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3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gchainin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tcmarkets.com/corporate-services/get-started/otcq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cwir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otcmarkets.com/files/OTCQB%20Fact%20Sheet%20for%20International%20Companies.pdf" TargetMode="External"/><Relationship Id="rId4" Type="http://schemas.openxmlformats.org/officeDocument/2006/relationships/footnotes" Target="footnotes.xml"/><Relationship Id="rId9" Type="http://schemas.openxmlformats.org/officeDocument/2006/relationships/hyperlink" Target="mailto:info@forgchain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Cerna</cp:lastModifiedBy>
  <cp:revision>2</cp:revision>
  <dcterms:created xsi:type="dcterms:W3CDTF">2018-09-04T20:28:00Z</dcterms:created>
  <dcterms:modified xsi:type="dcterms:W3CDTF">2018-09-04T20:28:00Z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LEGAL_29240370.2</vt:lpwstr>
  </property>
</Properties>
</file>