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76" w:lineRule="auto"/>
        <w:jc w:val="center"/>
        <w:rPr>
          <w:rFonts w:ascii="Arial" w:cs="Arial" w:hAnsi="Arial" w:eastAsia="Arial"/>
          <w:b w:val="1"/>
          <w:bCs w:val="1"/>
          <w:sz w:val="22"/>
          <w:szCs w:val="22"/>
        </w:rPr>
      </w:pPr>
      <w:bookmarkStart w:name="DocsID" w:id="0"/>
      <w:bookmarkEnd w:id="0"/>
      <w:r>
        <w:rPr>
          <w:rFonts w:ascii="Arial" w:cs="Arial" w:hAnsi="Arial" w:eastAsia="Arial"/>
          <w:b w:val="1"/>
          <w:bCs w:val="1"/>
          <w:sz w:val="22"/>
          <w:szCs w:val="22"/>
        </w:rPr>
        <w:drawing xmlns:a="http://schemas.openxmlformats.org/drawingml/2006/main">
          <wp:anchor distT="114300" distB="114300" distL="114300" distR="114300" simplePos="0" relativeHeight="251659264" behindDoc="0" locked="0" layoutInCell="1" allowOverlap="1">
            <wp:simplePos x="0" y="0"/>
            <wp:positionH relativeFrom="page">
              <wp:posOffset>2617784</wp:posOffset>
            </wp:positionH>
            <wp:positionV relativeFrom="line">
              <wp:posOffset>0</wp:posOffset>
            </wp:positionV>
            <wp:extent cx="2524125" cy="547287"/>
            <wp:effectExtent l="0" t="0" r="0" b="0"/>
            <wp:wrapSquare wrapText="bothSides" distL="114300" distR="114300" distT="114300" distB="11430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2524125" cy="547287"/>
                    </a:xfrm>
                    <a:prstGeom prst="rect">
                      <a:avLst/>
                    </a:prstGeom>
                    <a:ln w="12700" cap="flat">
                      <a:noFill/>
                      <a:miter lim="400000"/>
                    </a:ln>
                    <a:effectLst/>
                  </pic:spPr>
                </pic:pic>
              </a:graphicData>
            </a:graphic>
          </wp:anchor>
        </w:drawing>
      </w:r>
    </w:p>
    <w:p>
      <w:pPr>
        <w:pStyle w:val="Default"/>
        <w:spacing w:before="0" w:line="276" w:lineRule="auto"/>
        <w:jc w:val="center"/>
        <w:rPr>
          <w:rFonts w:ascii="Arial" w:cs="Arial" w:hAnsi="Arial" w:eastAsia="Arial"/>
          <w:b w:val="1"/>
          <w:bCs w:val="1"/>
          <w:sz w:val="22"/>
          <w:szCs w:val="22"/>
        </w:rPr>
      </w:pPr>
    </w:p>
    <w:p>
      <w:pPr>
        <w:pStyle w:val="Default"/>
        <w:spacing w:before="0" w:line="276" w:lineRule="auto"/>
        <w:jc w:val="center"/>
        <w:rPr>
          <w:rFonts w:ascii="Arial" w:cs="Arial" w:hAnsi="Arial" w:eastAsia="Arial"/>
          <w:b w:val="1"/>
          <w:bCs w:val="1"/>
          <w:sz w:val="22"/>
          <w:szCs w:val="22"/>
        </w:rPr>
      </w:pPr>
    </w:p>
    <w:p>
      <w:pPr>
        <w:pStyle w:val="Default"/>
        <w:spacing w:before="0" w:line="276" w:lineRule="auto"/>
        <w:jc w:val="center"/>
        <w:rPr>
          <w:rFonts w:ascii="Arial" w:cs="Arial" w:hAnsi="Arial" w:eastAsia="Arial"/>
          <w:b w:val="1"/>
          <w:bCs w:val="1"/>
          <w:sz w:val="22"/>
          <w:szCs w:val="22"/>
        </w:rPr>
      </w:pPr>
    </w:p>
    <w:p>
      <w:pPr>
        <w:pStyle w:val="Default"/>
        <w:spacing w:before="0"/>
        <w:jc w:val="center"/>
        <w:rPr>
          <w:rFonts w:ascii="Arial" w:cs="Arial" w:hAnsi="Arial" w:eastAsia="Arial"/>
          <w:b w:val="1"/>
          <w:bCs w:val="1"/>
          <w:outline w:val="0"/>
          <w:color w:val="232323"/>
          <w:sz w:val="22"/>
          <w:szCs w:val="22"/>
          <w:u w:color="232323"/>
          <w14:textFill>
            <w14:solidFill>
              <w14:srgbClr w14:val="232323"/>
            </w14:solidFill>
          </w14:textFill>
        </w:rPr>
      </w:pPr>
    </w:p>
    <w:p>
      <w:pPr>
        <w:pStyle w:val="Default"/>
        <w:spacing w:before="0"/>
        <w:jc w:val="center"/>
        <w:rPr>
          <w:rFonts w:ascii="Arial" w:cs="Arial" w:hAnsi="Arial" w:eastAsia="Arial"/>
          <w:b w:val="1"/>
          <w:bCs w:val="1"/>
          <w:outline w:val="0"/>
          <w:color w:val="232323"/>
          <w:sz w:val="22"/>
          <w:szCs w:val="22"/>
          <w:u w:color="232323"/>
          <w14:textFill>
            <w14:solidFill>
              <w14:srgbClr w14:val="232323"/>
            </w14:solidFill>
          </w14:textFill>
        </w:rPr>
      </w:pPr>
    </w:p>
    <w:p>
      <w:pPr>
        <w:pStyle w:val="Default"/>
        <w:spacing w:before="0"/>
        <w:jc w:val="center"/>
        <w:rPr>
          <w:rFonts w:ascii="Arial" w:cs="Arial" w:hAnsi="Arial" w:eastAsia="Arial"/>
          <w:outline w:val="0"/>
          <w:color w:val="232323"/>
          <w:u w:color="232323"/>
          <w14:textFill>
            <w14:solidFill>
              <w14:srgbClr w14:val="232323"/>
            </w14:solidFill>
          </w14:textFill>
        </w:rPr>
      </w:pPr>
      <w:r>
        <w:rPr>
          <w:rFonts w:ascii="Arial" w:hAnsi="Arial"/>
          <w:b w:val="1"/>
          <w:bCs w:val="1"/>
          <w:outline w:val="0"/>
          <w:color w:val="232323"/>
          <w:sz w:val="22"/>
          <w:szCs w:val="22"/>
          <w:u w:color="232323"/>
          <w:rtl w:val="0"/>
          <w:lang w:val="en-US"/>
          <w14:textFill>
            <w14:solidFill>
              <w14:srgbClr w14:val="232323"/>
            </w14:solidFill>
          </w14:textFill>
        </w:rPr>
        <w:t>Flower One Issues Common Shares to its Term Lender per the Term Loan Modification Agreement</w:t>
      </w:r>
    </w:p>
    <w:p>
      <w:pPr>
        <w:pStyle w:val="Default"/>
        <w:spacing w:before="0"/>
        <w:jc w:val="center"/>
        <w:rPr>
          <w:rFonts w:ascii="Arial" w:cs="Arial" w:hAnsi="Arial" w:eastAsia="Arial"/>
          <w:i w:val="1"/>
          <w:iCs w:val="1"/>
          <w:outline w:val="0"/>
          <w:color w:val="232323"/>
          <w:sz w:val="22"/>
          <w:szCs w:val="22"/>
          <w:u w:color="232323"/>
          <w14:textFill>
            <w14:solidFill>
              <w14:srgbClr w14:val="232323"/>
            </w14:solidFill>
          </w14:textFill>
        </w:rPr>
      </w:pPr>
    </w:p>
    <w:p>
      <w:pPr>
        <w:pStyle w:val="Default"/>
        <w:spacing w:before="0"/>
        <w:jc w:val="center"/>
        <w:rPr>
          <w:rFonts w:ascii="Arial" w:cs="Arial" w:hAnsi="Arial" w:eastAsia="Arial"/>
          <w:b w:val="1"/>
          <w:bCs w:val="1"/>
          <w:outline w:val="0"/>
          <w:color w:val="232323"/>
          <w:sz w:val="22"/>
          <w:szCs w:val="22"/>
          <w:u w:color="232323"/>
          <w14:textFill>
            <w14:solidFill>
              <w14:srgbClr w14:val="232323"/>
            </w14:solidFill>
          </w14:textFill>
        </w:rPr>
      </w:pPr>
    </w:p>
    <w:p>
      <w:pPr>
        <w:pStyle w:val="Default"/>
        <w:spacing w:before="0" w:after="20"/>
        <w:jc w:val="both"/>
        <w:rPr>
          <w:rFonts w:ascii="Arial" w:cs="Arial" w:hAnsi="Arial" w:eastAsia="Arial"/>
          <w:outline w:val="0"/>
          <w:color w:val="232323"/>
          <w:sz w:val="22"/>
          <w:szCs w:val="22"/>
          <w:u w:color="232323"/>
          <w14:textFill>
            <w14:solidFill>
              <w14:srgbClr w14:val="232323"/>
            </w14:solidFill>
          </w14:textFill>
        </w:rPr>
      </w:pPr>
      <w:r>
        <w:rPr>
          <w:rFonts w:ascii="Arial" w:hAnsi="Arial"/>
          <w:outline w:val="0"/>
          <w:color w:val="232323"/>
          <w:sz w:val="22"/>
          <w:szCs w:val="22"/>
          <w:u w:color="232323"/>
          <w:rtl w:val="0"/>
          <w:lang w:val="de-DE"/>
          <w14:textFill>
            <w14:solidFill>
              <w14:srgbClr w14:val="232323"/>
            </w14:solidFill>
          </w14:textFill>
        </w:rPr>
        <w:t>Las Vegas, Nevada - April</w:t>
      </w:r>
      <w:r>
        <w:rPr>
          <w:rFonts w:ascii="Arial" w:hAnsi="Arial"/>
          <w:outline w:val="0"/>
          <w:color w:val="232323"/>
          <w:sz w:val="22"/>
          <w:szCs w:val="22"/>
          <w:u w:color="232323"/>
          <w:rtl w:val="0"/>
          <w:lang w:val="en-US"/>
          <w14:textFill>
            <w14:solidFill>
              <w14:srgbClr w14:val="232323"/>
            </w14:solidFill>
          </w14:textFill>
        </w:rPr>
        <w:t xml:space="preserve"> </w:t>
      </w:r>
      <w:r>
        <w:rPr>
          <w:rFonts w:ascii="Arial" w:hAnsi="Arial"/>
          <w:outline w:val="0"/>
          <w:color w:val="232323"/>
          <w:sz w:val="22"/>
          <w:szCs w:val="22"/>
          <w:u w:color="232323"/>
          <w:rtl w:val="0"/>
          <w:lang w:val="en-US"/>
          <w14:textFill>
            <w14:solidFill>
              <w14:srgbClr w14:val="232323"/>
            </w14:solidFill>
          </w14:textFill>
        </w:rPr>
        <w:t>8</w:t>
      </w:r>
      <w:r>
        <w:rPr>
          <w:rFonts w:ascii="Arial" w:hAnsi="Arial"/>
          <w:outline w:val="0"/>
          <w:color w:val="232323"/>
          <w:sz w:val="22"/>
          <w:szCs w:val="22"/>
          <w:u w:color="232323"/>
          <w:rtl w:val="0"/>
          <w:lang w:val="en-US"/>
          <w14:textFill>
            <w14:solidFill>
              <w14:srgbClr w14:val="232323"/>
            </w14:solidFill>
          </w14:textFill>
        </w:rPr>
        <w:t>, 2021 - Flower One Holdings Inc. (</w:t>
      </w:r>
      <w:r>
        <w:rPr>
          <w:rFonts w:ascii="Arial" w:hAnsi="Arial" w:hint="default"/>
          <w:outline w:val="0"/>
          <w:color w:val="232323"/>
          <w:sz w:val="22"/>
          <w:szCs w:val="22"/>
          <w:u w:color="232323"/>
          <w:rtl w:val="0"/>
          <w:lang w:val="en-US"/>
          <w14:textFill>
            <w14:solidFill>
              <w14:srgbClr w14:val="232323"/>
            </w14:solidFill>
          </w14:textFill>
        </w:rPr>
        <w:t>“</w:t>
      </w:r>
      <w:r>
        <w:rPr>
          <w:rFonts w:ascii="Arial" w:hAnsi="Arial"/>
          <w:b w:val="1"/>
          <w:bCs w:val="1"/>
          <w:outline w:val="0"/>
          <w:color w:val="232323"/>
          <w:sz w:val="22"/>
          <w:szCs w:val="22"/>
          <w:u w:color="232323"/>
          <w:rtl w:val="0"/>
          <w:lang w:val="en-US"/>
          <w14:textFill>
            <w14:solidFill>
              <w14:srgbClr w14:val="232323"/>
            </w14:solidFill>
          </w14:textFill>
        </w:rPr>
        <w:t>Flower One</w:t>
      </w:r>
      <w:r>
        <w:rPr>
          <w:rFonts w:ascii="Arial" w:hAnsi="Arial" w:hint="default"/>
          <w:outline w:val="0"/>
          <w:color w:val="232323"/>
          <w:sz w:val="22"/>
          <w:szCs w:val="22"/>
          <w:u w:color="232323"/>
          <w:rtl w:val="0"/>
          <w:lang w:val="en-US"/>
          <w14:textFill>
            <w14:solidFill>
              <w14:srgbClr w14:val="232323"/>
            </w14:solidFill>
          </w14:textFill>
        </w:rPr>
        <w:t xml:space="preserve">” </w:t>
      </w:r>
      <w:r>
        <w:rPr>
          <w:rFonts w:ascii="Arial" w:hAnsi="Arial"/>
          <w:outline w:val="0"/>
          <w:color w:val="232323"/>
          <w:sz w:val="22"/>
          <w:szCs w:val="22"/>
          <w:u w:color="232323"/>
          <w:rtl w:val="0"/>
          <w:lang w:val="en-US"/>
          <w14:textFill>
            <w14:solidFill>
              <w14:srgbClr w14:val="232323"/>
            </w14:solidFill>
          </w14:textFill>
        </w:rPr>
        <w:t xml:space="preserve">or the </w:t>
      </w:r>
      <w:r>
        <w:rPr>
          <w:rFonts w:ascii="Arial" w:hAnsi="Arial" w:hint="default"/>
          <w:outline w:val="0"/>
          <w:color w:val="232323"/>
          <w:sz w:val="22"/>
          <w:szCs w:val="22"/>
          <w:u w:color="232323"/>
          <w:rtl w:val="0"/>
          <w:lang w:val="en-US"/>
          <w14:textFill>
            <w14:solidFill>
              <w14:srgbClr w14:val="232323"/>
            </w14:solidFill>
          </w14:textFill>
        </w:rPr>
        <w:t>“</w:t>
      </w:r>
      <w:r>
        <w:rPr>
          <w:rFonts w:ascii="Arial" w:hAnsi="Arial"/>
          <w:b w:val="1"/>
          <w:bCs w:val="1"/>
          <w:outline w:val="0"/>
          <w:color w:val="232323"/>
          <w:sz w:val="22"/>
          <w:szCs w:val="22"/>
          <w:u w:color="232323"/>
          <w:rtl w:val="0"/>
          <w:lang w:val="en-US"/>
          <w14:textFill>
            <w14:solidFill>
              <w14:srgbClr w14:val="232323"/>
            </w14:solidFill>
          </w14:textFill>
        </w:rPr>
        <w:t>Company</w:t>
      </w:r>
      <w:r>
        <w:rPr>
          <w:rFonts w:ascii="Arial" w:hAnsi="Arial" w:hint="default"/>
          <w:outline w:val="0"/>
          <w:color w:val="232323"/>
          <w:sz w:val="22"/>
          <w:szCs w:val="22"/>
          <w:u w:color="232323"/>
          <w:rtl w:val="0"/>
          <w:lang w:val="en-US"/>
          <w14:textFill>
            <w14:solidFill>
              <w14:srgbClr w14:val="232323"/>
            </w14:solidFill>
          </w14:textFill>
        </w:rPr>
        <w:t>”</w:t>
      </w:r>
      <w:r>
        <w:rPr>
          <w:rFonts w:ascii="Arial" w:hAnsi="Arial"/>
          <w:outline w:val="0"/>
          <w:color w:val="232323"/>
          <w:sz w:val="22"/>
          <w:szCs w:val="22"/>
          <w:u w:color="232323"/>
          <w:rtl w:val="0"/>
          <w:lang w:val="en-US"/>
          <w14:textFill>
            <w14:solidFill>
              <w14:srgbClr w14:val="232323"/>
            </w14:solidFill>
          </w14:textFill>
        </w:rPr>
        <w:t>) (CSE: FONE) (OTCQX: FLOOF) (FSE: F11), a leading cannabis cultivator and producer in Nevada, is pleased to announce the issuance on April 7, 2021 of 1,996,742 common shares (</w:t>
      </w:r>
      <w:r>
        <w:rPr>
          <w:rFonts w:ascii="Arial" w:hAnsi="Arial" w:hint="default"/>
          <w:outline w:val="0"/>
          <w:color w:val="232323"/>
          <w:sz w:val="22"/>
          <w:szCs w:val="22"/>
          <w:u w:color="232323"/>
          <w:rtl w:val="0"/>
          <w:lang w:val="en-US"/>
          <w14:textFill>
            <w14:solidFill>
              <w14:srgbClr w14:val="232323"/>
            </w14:solidFill>
          </w14:textFill>
        </w:rPr>
        <w:t>“</w:t>
      </w:r>
      <w:r>
        <w:rPr>
          <w:rFonts w:ascii="Arial" w:hAnsi="Arial"/>
          <w:b w:val="1"/>
          <w:bCs w:val="1"/>
          <w:outline w:val="0"/>
          <w:color w:val="232323"/>
          <w:sz w:val="22"/>
          <w:szCs w:val="22"/>
          <w:u w:color="232323"/>
          <w:rtl w:val="0"/>
          <w:lang w:val="en-US"/>
          <w14:textFill>
            <w14:solidFill>
              <w14:srgbClr w14:val="232323"/>
            </w14:solidFill>
          </w14:textFill>
        </w:rPr>
        <w:t>Shares</w:t>
      </w:r>
      <w:r>
        <w:rPr>
          <w:rFonts w:ascii="Arial" w:hAnsi="Arial" w:hint="default"/>
          <w:outline w:val="0"/>
          <w:color w:val="232323"/>
          <w:sz w:val="22"/>
          <w:szCs w:val="22"/>
          <w:u w:color="232323"/>
          <w:rtl w:val="0"/>
          <w:lang w:val="en-US"/>
          <w14:textFill>
            <w14:solidFill>
              <w14:srgbClr w14:val="232323"/>
            </w14:solidFill>
          </w14:textFill>
        </w:rPr>
        <w:t>”</w:t>
      </w:r>
      <w:r>
        <w:rPr>
          <w:rFonts w:ascii="Arial" w:hAnsi="Arial"/>
          <w:outline w:val="0"/>
          <w:color w:val="232323"/>
          <w:sz w:val="22"/>
          <w:szCs w:val="22"/>
          <w:u w:color="232323"/>
          <w:rtl w:val="0"/>
          <w:lang w:val="en-US"/>
          <w14:textFill>
            <w14:solidFill>
              <w14:srgbClr w14:val="232323"/>
            </w14:solidFill>
          </w14:textFill>
        </w:rPr>
        <w:t>) to RB Loan Portfolio II, LLC,</w:t>
      </w:r>
      <w:r>
        <w:rPr>
          <w:sz w:val="22"/>
          <w:szCs w:val="22"/>
          <w:rtl w:val="0"/>
          <w:lang w:val="en-US"/>
        </w:rPr>
        <w:t xml:space="preserve"> a Delaware limited liability company (the </w:t>
      </w:r>
      <w:r>
        <w:rPr>
          <w:sz w:val="22"/>
          <w:szCs w:val="22"/>
          <w:rtl w:val="1"/>
          <w:lang w:val="ar-SA" w:bidi="ar-SA"/>
        </w:rPr>
        <w:t>“</w:t>
      </w:r>
      <w:r>
        <w:rPr>
          <w:b w:val="1"/>
          <w:bCs w:val="1"/>
          <w:sz w:val="22"/>
          <w:szCs w:val="22"/>
          <w:rtl w:val="0"/>
          <w:lang w:val="de-DE"/>
        </w:rPr>
        <w:t>Term Lender</w:t>
      </w:r>
      <w:r>
        <w:rPr>
          <w:sz w:val="22"/>
          <w:szCs w:val="22"/>
          <w:rtl w:val="0"/>
          <w:lang w:val="en-US"/>
        </w:rPr>
        <w:t>”</w:t>
      </w:r>
      <w:r>
        <w:rPr>
          <w:sz w:val="22"/>
          <w:szCs w:val="22"/>
          <w:rtl w:val="0"/>
          <w:lang w:val="en-US"/>
        </w:rPr>
        <w:t>)</w:t>
      </w:r>
      <w:r>
        <w:rPr>
          <w:rFonts w:ascii="Arial" w:hAnsi="Arial"/>
          <w:outline w:val="0"/>
          <w:color w:val="232323"/>
          <w:sz w:val="22"/>
          <w:szCs w:val="22"/>
          <w:u w:color="232323"/>
          <w:rtl w:val="0"/>
          <w:lang w:val="en-US"/>
          <w14:textFill>
            <w14:solidFill>
              <w14:srgbClr w14:val="232323"/>
            </w14:solidFill>
          </w14:textFill>
        </w:rPr>
        <w:t xml:space="preserve"> and its respective loan participants, pursuant to the terms of the previously-signed loan modification agreement (the </w:t>
      </w:r>
      <w:r>
        <w:rPr>
          <w:rFonts w:ascii="Arial" w:hAnsi="Arial" w:hint="default"/>
          <w:b w:val="1"/>
          <w:bCs w:val="1"/>
          <w:outline w:val="0"/>
          <w:color w:val="232323"/>
          <w:sz w:val="22"/>
          <w:szCs w:val="22"/>
          <w:u w:color="232323"/>
          <w:rtl w:val="0"/>
          <w:lang w:val="en-US"/>
          <w14:textFill>
            <w14:solidFill>
              <w14:srgbClr w14:val="232323"/>
            </w14:solidFill>
          </w14:textFill>
        </w:rPr>
        <w:t>“</w:t>
      </w:r>
      <w:r>
        <w:rPr>
          <w:rFonts w:ascii="Arial" w:hAnsi="Arial"/>
          <w:b w:val="1"/>
          <w:bCs w:val="1"/>
          <w:outline w:val="0"/>
          <w:color w:val="232323"/>
          <w:sz w:val="22"/>
          <w:szCs w:val="22"/>
          <w:u w:color="232323"/>
          <w:rtl w:val="0"/>
          <w:lang w:val="en-US"/>
          <w14:textFill>
            <w14:solidFill>
              <w14:srgbClr w14:val="232323"/>
            </w14:solidFill>
          </w14:textFill>
        </w:rPr>
        <w:t>Loan Modification Agreement</w:t>
      </w:r>
      <w:r>
        <w:rPr>
          <w:rFonts w:ascii="Arial" w:hAnsi="Arial" w:hint="default"/>
          <w:b w:val="1"/>
          <w:bCs w:val="1"/>
          <w:outline w:val="0"/>
          <w:color w:val="232323"/>
          <w:sz w:val="22"/>
          <w:szCs w:val="22"/>
          <w:u w:color="232323"/>
          <w:rtl w:val="0"/>
          <w:lang w:val="en-US"/>
          <w14:textFill>
            <w14:solidFill>
              <w14:srgbClr w14:val="232323"/>
            </w14:solidFill>
          </w14:textFill>
        </w:rPr>
        <w:t>”</w:t>
      </w:r>
      <w:r>
        <w:rPr>
          <w:rFonts w:ascii="Arial" w:hAnsi="Arial"/>
          <w:outline w:val="0"/>
          <w:color w:val="232323"/>
          <w:sz w:val="22"/>
          <w:szCs w:val="22"/>
          <w:u w:color="232323"/>
          <w:rtl w:val="0"/>
          <w:lang w:val="en-US"/>
          <w14:textFill>
            <w14:solidFill>
              <w14:srgbClr w14:val="232323"/>
            </w14:solidFill>
          </w14:textFill>
        </w:rPr>
        <w:t xml:space="preserve">). </w:t>
      </w:r>
    </w:p>
    <w:p>
      <w:pPr>
        <w:pStyle w:val="Default"/>
        <w:spacing w:before="0" w:after="20"/>
        <w:jc w:val="both"/>
        <w:rPr>
          <w:rFonts w:ascii="Arial" w:cs="Arial" w:hAnsi="Arial" w:eastAsia="Arial"/>
          <w:sz w:val="22"/>
          <w:szCs w:val="22"/>
          <w:u w:color="232323"/>
        </w:rPr>
      </w:pPr>
    </w:p>
    <w:p>
      <w:pPr>
        <w:pStyle w:val="Default"/>
        <w:spacing w:before="0"/>
        <w:jc w:val="both"/>
        <w:rPr>
          <w:rFonts w:ascii="Arial" w:cs="Arial" w:hAnsi="Arial" w:eastAsia="Arial"/>
          <w:sz w:val="22"/>
          <w:szCs w:val="22"/>
        </w:rPr>
      </w:pPr>
      <w:r>
        <w:rPr>
          <w:rFonts w:ascii="Arial" w:hAnsi="Arial"/>
          <w:sz w:val="22"/>
          <w:szCs w:val="22"/>
          <w:u w:color="232323"/>
          <w:rtl w:val="0"/>
          <w:lang w:val="en-US"/>
        </w:rPr>
        <w:t>As previously announced on January 26, 2021, t</w:t>
      </w:r>
      <w:r>
        <w:rPr>
          <w:rFonts w:ascii="Arial" w:hAnsi="Arial"/>
          <w:sz w:val="22"/>
          <w:szCs w:val="22"/>
          <w:rtl w:val="0"/>
          <w:lang w:val="en-US"/>
        </w:rPr>
        <w:t xml:space="preserve">he Company and its various subsidiaries entered into the Loan Modification Agreement with the Term Lender with respect to its existing USD$30 million term debt, secured by the facility at 3950 N. Bruce St., North Las Vegas, NV. Pursuant to the Loan Modification Agreement, the Term Lender agreed to forbear certain existing events of default under, and to make certain modifications to, the existing term loan and financing documents which included, among other things, (i) the extension of the maturity date from June 27, 2021 to December 21, 2021, (ii) modification of the interest rate to 14%, with 12% paid monthly and 2% paid at maturity, (iii) the addition of an exit fee of USD$1,000,000 payable upon payment in full of the term loan on the maturity date, and (iv) a loan modification fee equal to 3% per annum on the outstanding principal of the Term Loan from May 19, 2020 until the effective date of the Loan Modification Agreement (January 26, 2021). </w:t>
      </w:r>
    </w:p>
    <w:p>
      <w:pPr>
        <w:pStyle w:val="Default"/>
        <w:spacing w:before="0"/>
        <w:jc w:val="both"/>
        <w:rPr>
          <w:rFonts w:ascii="Arial" w:cs="Arial" w:hAnsi="Arial" w:eastAsia="Arial"/>
          <w:sz w:val="22"/>
          <w:szCs w:val="22"/>
        </w:rPr>
      </w:pPr>
    </w:p>
    <w:p>
      <w:pPr>
        <w:pStyle w:val="Default"/>
        <w:spacing w:before="0"/>
        <w:jc w:val="both"/>
        <w:rPr>
          <w:rFonts w:ascii="Arial" w:cs="Arial" w:hAnsi="Arial" w:eastAsia="Arial"/>
          <w:outline w:val="0"/>
          <w:color w:val="232323"/>
          <w:sz w:val="22"/>
          <w:szCs w:val="22"/>
          <w:u w:color="232323"/>
          <w14:textFill>
            <w14:solidFill>
              <w14:srgbClr w14:val="232323"/>
            </w14:solidFill>
          </w14:textFill>
        </w:rPr>
      </w:pPr>
      <w:r>
        <w:rPr>
          <w:rFonts w:ascii="Arial" w:hAnsi="Arial"/>
          <w:sz w:val="22"/>
          <w:szCs w:val="22"/>
          <w:rtl w:val="0"/>
          <w:lang w:val="en-US"/>
        </w:rPr>
        <w:t xml:space="preserve">In accordance with the terms of the Loan Modification Agreement, the Company has issued 1,996,742 Shares (subject to a six-month lock-up agreement) at a deemed price of CAD$0.2065 per Share to the Term Lender in satisfaction of such modification fee payable to the Term Lender pursuant to the Loan Modification Agreement. </w:t>
      </w:r>
    </w:p>
    <w:p>
      <w:pPr>
        <w:pStyle w:val="Default"/>
        <w:spacing w:before="0" w:after="20"/>
        <w:jc w:val="both"/>
        <w:rPr>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Fonts w:ascii="Arial" w:cs="Arial" w:hAnsi="Arial" w:eastAsia="Arial"/>
          <w:b w:val="1"/>
          <w:bCs w:val="1"/>
          <w:outline w:val="0"/>
          <w:color w:val="232323"/>
          <w:sz w:val="22"/>
          <w:szCs w:val="22"/>
          <w:u w:color="232323"/>
          <w14:textFill>
            <w14:solidFill>
              <w14:srgbClr w14:val="232323"/>
            </w14:solidFill>
          </w14:textFill>
        </w:rPr>
      </w:pPr>
      <w:r>
        <w:rPr>
          <w:rFonts w:ascii="Arial" w:hAnsi="Arial"/>
          <w:b w:val="1"/>
          <w:bCs w:val="1"/>
          <w:outline w:val="0"/>
          <w:color w:val="232323"/>
          <w:sz w:val="22"/>
          <w:szCs w:val="22"/>
          <w:u w:color="232323"/>
          <w:rtl w:val="0"/>
          <w:lang w:val="en-US"/>
          <w14:textFill>
            <w14:solidFill>
              <w14:srgbClr w14:val="232323"/>
            </w14:solidFill>
          </w14:textFill>
        </w:rPr>
        <w:t>About Flower One Holdings Inc.</w:t>
      </w:r>
    </w:p>
    <w:p>
      <w:pPr>
        <w:pStyle w:val="Default"/>
        <w:spacing w:before="0" w:after="20"/>
        <w:jc w:val="both"/>
        <w:rPr>
          <w:rFonts w:ascii="Arial" w:cs="Arial" w:hAnsi="Arial" w:eastAsia="Arial"/>
          <w:outline w:val="0"/>
          <w:color w:val="232323"/>
          <w:sz w:val="22"/>
          <w:szCs w:val="22"/>
          <w:u w:color="444444"/>
          <w:shd w:val="clear" w:color="auto" w:fill="ffffff"/>
          <w14:textFill>
            <w14:solidFill>
              <w14:srgbClr w14:val="232323"/>
            </w14:solidFill>
          </w14:textFill>
        </w:rPr>
      </w:pPr>
      <w:r>
        <w:rPr>
          <w:rFonts w:ascii="Arial" w:hAnsi="Arial"/>
          <w:outline w:val="0"/>
          <w:color w:val="232323"/>
          <w:sz w:val="22"/>
          <w:szCs w:val="22"/>
          <w:u w:color="444444"/>
          <w:shd w:val="clear" w:color="auto" w:fill="ffffff"/>
          <w:rtl w:val="0"/>
          <w:lang w:val="en-US"/>
          <w14:textFill>
            <w14:solidFill>
              <w14:srgbClr w14:val="232323"/>
            </w14:solidFill>
          </w14:textFill>
        </w:rPr>
        <w:t>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22Red Old Pal, Heavy Hitters, Lift Ticket</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s, Huxton, The Clear, and Flower One</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One</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s Nevada footprint includes the Company</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s flagship facility, a 400,000 square-foot high-tech greenhouse and 55,000 square-foot production facility, as well as a second site with a 25,000 square-foot indoor cultivation facility and commercial kitchen. Flower One has built an industry-leading team focused on becoming the first high-quality, low-cost brand fulfillment partner.</w:t>
      </w:r>
    </w:p>
    <w:p>
      <w:pPr>
        <w:pStyle w:val="Default"/>
        <w:spacing w:before="0" w:after="20"/>
        <w:jc w:val="both"/>
        <w:rPr>
          <w:rFonts w:ascii="Arial" w:cs="Arial" w:hAnsi="Arial" w:eastAsia="Arial"/>
          <w:outline w:val="0"/>
          <w:color w:val="232323"/>
          <w:sz w:val="22"/>
          <w:szCs w:val="22"/>
          <w:u w:color="201f1e"/>
          <w:shd w:val="clear" w:color="auto" w:fill="ffffff"/>
          <w14:textFill>
            <w14:solidFill>
              <w14:srgbClr w14:val="232323"/>
            </w14:solidFill>
          </w14:textFill>
        </w:rPr>
      </w:pPr>
    </w:p>
    <w:p>
      <w:pPr>
        <w:pStyle w:val="Default"/>
        <w:spacing w:before="0" w:after="20"/>
        <w:jc w:val="both"/>
        <w:rPr>
          <w:rStyle w:val="None"/>
          <w:rFonts w:ascii="Arial" w:cs="Arial" w:hAnsi="Arial" w:eastAsia="Arial"/>
          <w:outline w:val="0"/>
          <w:color w:val="232323"/>
          <w:sz w:val="22"/>
          <w:szCs w:val="22"/>
          <w:u w:color="444444"/>
          <w:shd w:val="clear" w:color="auto" w:fill="f9f8f8"/>
          <w14:textFill>
            <w14:solidFill>
              <w14:srgbClr w14:val="232323"/>
            </w14:solidFill>
          </w14:textFill>
        </w:rPr>
      </w:pPr>
      <w:r>
        <w:rPr>
          <w:rFonts w:ascii="Arial" w:hAnsi="Arial"/>
          <w:outline w:val="0"/>
          <w:color w:val="232323"/>
          <w:sz w:val="22"/>
          <w:szCs w:val="22"/>
          <w:u w:color="444444"/>
          <w:shd w:val="clear" w:color="auto" w:fill="ffffff"/>
          <w:rtl w:val="0"/>
          <w:lang w:val="en-US"/>
          <w14:textFill>
            <w14:solidFill>
              <w14:srgbClr w14:val="232323"/>
            </w14:solidFill>
          </w14:textFill>
        </w:rPr>
        <w:t>The Company</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s common shares are traded on the Canadian Securities Exchange under the Company</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 xml:space="preserve">s symbol </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FONE</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 xml:space="preserve">, in the United States on the OTCQX Best Market under the symbol </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FLOOF</w:t>
      </w:r>
      <w:r>
        <w:rPr>
          <w:rFonts w:ascii="Arial" w:hAnsi="Arial" w:hint="default"/>
          <w:outline w:val="0"/>
          <w:color w:val="232323"/>
          <w:sz w:val="22"/>
          <w:szCs w:val="22"/>
          <w:u w:color="444444"/>
          <w:shd w:val="clear" w:color="auto" w:fill="ffffff"/>
          <w:rtl w:val="0"/>
          <w:lang w:val="en-US"/>
          <w14:textFill>
            <w14:solidFill>
              <w14:srgbClr w14:val="232323"/>
            </w14:solidFill>
          </w14:textFill>
        </w:rPr>
        <w:t xml:space="preserve">” </w:t>
      </w:r>
      <w:r>
        <w:rPr>
          <w:rFonts w:ascii="Arial" w:hAnsi="Arial"/>
          <w:outline w:val="0"/>
          <w:color w:val="232323"/>
          <w:sz w:val="22"/>
          <w:szCs w:val="22"/>
          <w:u w:color="444444"/>
          <w:shd w:val="clear" w:color="auto" w:fill="ffffff"/>
          <w:rtl w:val="0"/>
          <w:lang w:val="en-US"/>
          <w14:textFill>
            <w14:solidFill>
              <w14:srgbClr w14:val="232323"/>
            </w14:solidFill>
          </w14:textFill>
        </w:rPr>
        <w:t xml:space="preserve">and on the Frankfurt Stock Exchange under the symbol </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F11</w:t>
      </w:r>
      <w:r>
        <w:rPr>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Fonts w:ascii="Arial" w:hAnsi="Arial"/>
          <w:outline w:val="0"/>
          <w:color w:val="232323"/>
          <w:sz w:val="22"/>
          <w:szCs w:val="22"/>
          <w:u w:color="444444"/>
          <w:shd w:val="clear" w:color="auto" w:fill="ffffff"/>
          <w:rtl w:val="0"/>
          <w:lang w:val="en-US"/>
          <w14:textFill>
            <w14:solidFill>
              <w14:srgbClr w14:val="232323"/>
            </w14:solidFill>
          </w14:textFill>
        </w:rPr>
        <w:t>. For more information, visit:</w:t>
      </w:r>
      <w:r>
        <w:rPr>
          <w:rFonts w:ascii="Arial" w:hAnsi="Arial" w:hint="default"/>
          <w:outline w:val="0"/>
          <w:color w:val="232323"/>
          <w:sz w:val="22"/>
          <w:szCs w:val="22"/>
          <w:u w:color="444444"/>
          <w:shd w:val="clear" w:color="auto" w:fill="ffffff"/>
          <w:rtl w:val="0"/>
          <w:lang w:val="en-US"/>
          <w14:textFill>
            <w14:solidFill>
              <w14:srgbClr w14:val="232323"/>
            </w14:solidFill>
          </w14:textFill>
        </w:rPr>
        <w:t> </w:t>
      </w:r>
      <w:r>
        <w:rPr>
          <w:rStyle w:val="Hyperlink.0"/>
        </w:rPr>
        <w:fldChar w:fldCharType="begin" w:fldLock="0"/>
      </w:r>
      <w:r>
        <w:rPr>
          <w:rStyle w:val="Hyperlink.0"/>
        </w:rPr>
        <w:instrText xml:space="preserve"> HYPERLINK "https://cts.businesswire.com/ct/CT?id=smartlink&amp;url=https%2525252525252525252525252525252525252525252525252525253A%2525252525252525252525252525252525252525252525252525252F%2525252525252525252525252525252525252525252525252525252Fflowerone.com&amp;esheet=52370977&amp;newsitemid=20210201005299&amp;lan=en-US&amp;anchor=https%2525252525252525252525252525252525252525252525252525253A%2525252525252525252525252525252525252525252525252525252F%2525252525252525252525252525252525252525252525252525252Fflowerone.com&amp;index=2&amp;md5=cb01c0d77340eb766af0d4d3b4a26cb8"</w:instrText>
      </w:r>
      <w:r>
        <w:rPr>
          <w:rStyle w:val="Hyperlink.0"/>
        </w:rPr>
        <w:fldChar w:fldCharType="separate" w:fldLock="0"/>
      </w:r>
      <w:r>
        <w:rPr>
          <w:rStyle w:val="Hyperlink.0"/>
          <w:rtl w:val="0"/>
          <w:lang w:val="en-US"/>
        </w:rPr>
        <w:t>https://flowerone.com</w:t>
      </w:r>
      <w:r>
        <w:rPr/>
        <w:fldChar w:fldCharType="end" w:fldLock="0"/>
      </w:r>
      <w:r>
        <w:rPr>
          <w:rStyle w:val="None"/>
          <w:rFonts w:ascii="Arial" w:hAnsi="Arial"/>
          <w:outline w:val="0"/>
          <w:color w:val="232323"/>
          <w:sz w:val="22"/>
          <w:szCs w:val="22"/>
          <w:u w:color="444444"/>
          <w:shd w:val="clear" w:color="auto" w:fill="ffffff"/>
          <w:rtl w:val="0"/>
          <w:lang w:val="en-US"/>
          <w14:textFill>
            <w14:solidFill>
              <w14:srgbClr w14:val="232323"/>
            </w14:solidFill>
          </w14:textFill>
        </w:rPr>
        <w:t>.</w:t>
      </w:r>
    </w:p>
    <w:p>
      <w:pPr>
        <w:pStyle w:val="Body A"/>
        <w:spacing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b w:val="1"/>
          <w:bCs w:val="1"/>
          <w:outline w:val="0"/>
          <w:color w:val="232323"/>
          <w:sz w:val="22"/>
          <w:szCs w:val="22"/>
          <w:u w:color="232323"/>
          <w:rtl w:val="0"/>
          <w:lang w:val="en-US"/>
          <w14:textFill>
            <w14:solidFill>
              <w14:srgbClr w14:val="232323"/>
            </w14:solidFill>
          </w14:textFill>
        </w:rPr>
        <w:t xml:space="preserve">Cautionary Note Regarding Forward-Looking Information </w:t>
      </w:r>
      <w:r>
        <w:rPr>
          <w:rStyle w:val="None"/>
          <w:rFonts w:ascii="Arial" w:hAnsi="Arial"/>
          <w:outline w:val="0"/>
          <w:color w:val="232323"/>
          <w:sz w:val="22"/>
          <w:szCs w:val="22"/>
          <w:u w:color="232323"/>
          <w:rtl w:val="0"/>
          <w:lang w:val="en-US"/>
          <w14:textFill>
            <w14:solidFill>
              <w14:srgbClr w14:val="232323"/>
            </w14:solidFill>
          </w14:textFill>
        </w:rPr>
        <w:t>Statements in this press release that are not statements of historical or current fact constitute "forward-looking information" within the meaning of Canadian securities laws and "forward-looking statements" within the meaning of United States securities laws (collectively, "forward-looking statements").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"potential," "should," "may," "will," "plans," "continue" or other similar expressions to be uncertain and forward-looking.</w:t>
      </w:r>
    </w:p>
    <w:p>
      <w:pPr>
        <w:pStyle w:val="Default"/>
        <w:spacing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Forward-looking statements may include, without limitation, the payment of an exit fee on the maturity date;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leadership as a cannabis cultivator, producer, innovator and full-service brand fulfillment partner;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ability to offer consistent, reliable and scalable fulfilment to a growing number of industry-leading brand partners; and the production of a wide range of products for the nation</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top-performing brands.</w:t>
      </w:r>
    </w:p>
    <w:p>
      <w:pPr>
        <w:pStyle w:val="Default"/>
        <w:spacing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The Company is indirectly involved in the manufacture, possession, use, sale and distribution of cannabis in the recreational and medicinal cannabis marketplaces in the United States through its subsidiary Cana Nevada Corp. Local state laws where Cana Nevada Corp. operates permit such activities; however, these activities are currently illegal under United States federal law. Additional information regarding this and other risks and uncertainties relating to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business are contained under the heading "Risk Factors" in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management</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discussion and analysis for the nine and three months ended September 30, 2020 (the "MD&amp;A").</w:t>
      </w:r>
    </w:p>
    <w:p>
      <w:pPr>
        <w:pStyle w:val="Default"/>
        <w:spacing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The forward-looking statements contained in this press release are expressly qualified in their entirety by this cautionary statement, the "Forward-Looking Statements" section contained in the MD&amp;A. All forward-looking statements in this press release are made as of the date of this press release. The forward-looking statements contained herein are also subject generally to assumptions and risks and uncertainties that are described from time to time in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public securities filings with the Canadian securities commissions, including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MD&amp;A.</w:t>
      </w:r>
    </w:p>
    <w:p>
      <w:pPr>
        <w:pStyle w:val="Default"/>
        <w:spacing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Although Flower One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including, but not limited to:  investing in target companies or projects that are engaged in activities currently considered illegal under United States federal law; changes in laws; limited operating history; reliance on management; requirements for additional financing; competition; hindering market growth and state adoption due to inconsistent public opinion and perception of the medical-use and adult-use marijuana industry and; regulatory or political change.</w:t>
      </w:r>
    </w:p>
    <w:p>
      <w:pPr>
        <w:pStyle w:val="Default"/>
        <w:spacing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Accordingly, readers should not place undue reliance on forward-looking statements. The forward-looking statements in this news release are made as of the date of this release. Flower One disclaims and does not undertake any intention or obligation to update or revise any such forward-looking statements, whether as a result of new information, future events or otherwise, except as required by applicable law.</w:t>
      </w:r>
    </w:p>
    <w:p>
      <w:pPr>
        <w:pStyle w:val="Default"/>
        <w:spacing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NEITHER THE CANADIAN SECURITIES EXCHANGE NOR THEIR REGULATIONS SERVICES PROVIDER HAVE REVIEWED OR ACCEPT RESPONSIBILITY FOR THE ADEQUACY OR ACCURACY OF THIS RELEASE.</w:t>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Contacts:</w:t>
      </w: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Flower One Investor Relations</w:t>
      </w: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Hyperlink.1"/>
        </w:rPr>
        <w:fldChar w:fldCharType="begin" w:fldLock="0"/>
      </w:r>
      <w:r>
        <w:rPr>
          <w:rStyle w:val="Hyperlink.1"/>
        </w:rPr>
        <w:instrText xml:space="preserve"> HYPERLINK "mailto:ir@flowerone.com"</w:instrText>
      </w:r>
      <w:r>
        <w:rPr>
          <w:rStyle w:val="Hyperlink.1"/>
        </w:rPr>
        <w:fldChar w:fldCharType="separate" w:fldLock="0"/>
      </w:r>
      <w:r>
        <w:rPr>
          <w:rStyle w:val="Hyperlink.1"/>
          <w:rtl w:val="0"/>
          <w:lang w:val="en-US"/>
        </w:rPr>
        <w:t>ir@flowerone.com</w:t>
      </w:r>
      <w:r>
        <w:rPr/>
        <w:fldChar w:fldCharType="end" w:fldLock="0"/>
      </w: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702.660.7775</w:t>
      </w: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Kellen O</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Keefe, President &amp; Interim CEO</w:t>
      </w: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Flower One Media</w:t>
      </w:r>
    </w:p>
    <w:p>
      <w:pPr>
        <w:pStyle w:val="Default"/>
        <w:spacing w:before="0" w:after="20"/>
      </w:pPr>
      <w:r>
        <w:rPr>
          <w:rStyle w:val="None"/>
          <w:rFonts w:ascii="Arial" w:hAnsi="Arial"/>
          <w:outline w:val="0"/>
          <w:color w:val="232323"/>
          <w:sz w:val="22"/>
          <w:szCs w:val="22"/>
          <w:u w:color="232323"/>
          <w:rtl w:val="0"/>
          <w:lang w:val="en-US"/>
          <w14:textFill>
            <w14:solidFill>
              <w14:srgbClr w14:val="232323"/>
            </w14:solidFill>
          </w14:textFill>
        </w:rPr>
        <w:t>media@flowerone.com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914400</wp:posOffset>
              </wp:positionH>
              <wp:positionV relativeFrom="page">
                <wp:posOffset>9418318</wp:posOffset>
              </wp:positionV>
              <wp:extent cx="2743200" cy="457200"/>
              <wp:effectExtent l="0" t="0" r="0" b="0"/>
              <wp:wrapNone/>
              <wp:docPr id="1073741825" name="officeArt object" descr="DocsID_PF4428637941"/>
              <wp:cNvGraphicFramePr/>
              <a:graphic xmlns:a="http://schemas.openxmlformats.org/drawingml/2006/main">
                <a:graphicData uri="http://schemas.microsoft.com/office/word/2010/wordprocessingShape">
                  <wps:wsp>
                    <wps:cNvSpPr txBox="1"/>
                    <wps:spPr>
                      <a:xfrm>
                        <a:off x="0" y="0"/>
                        <a:ext cx="2743200" cy="457200"/>
                      </a:xfrm>
                      <a:prstGeom prst="rect">
                        <a:avLst/>
                      </a:prstGeom>
                      <a:solidFill>
                        <a:srgbClr val="FFFFFF"/>
                      </a:solidFill>
                      <a:ln w="12700" cap="flat">
                        <a:noFill/>
                        <a:miter lim="400000"/>
                      </a:ln>
                      <a:effectLst/>
                    </wps:spPr>
                    <wps:txbx>
                      <w:txbxContent>
                        <w:p>
                          <w:pPr>
                            <w:pStyle w:val="DocsID"/>
                          </w:pPr>
                          <w:r>
                            <w:rPr>
                              <w:rtl w:val="0"/>
                              <w:lang w:val="en-US"/>
                            </w:rPr>
                            <w:t>LEGAL_1:66869310.2</w:t>
                          </w:r>
                        </w:p>
                      </w:txbxContent>
                    </wps:txbx>
                    <wps:bodyPr wrap="square" lIns="0" tIns="0" rIns="0" bIns="0" numCol="1" anchor="t">
                      <a:noAutofit/>
                    </wps:bodyPr>
                  </wps:wsp>
                </a:graphicData>
              </a:graphic>
            </wp:anchor>
          </w:drawing>
        </mc:Choice>
        <mc:Fallback>
          <w:pict>
            <v:shape id="_x0000_s1026" type="#_x0000_t202" style="visibility:visible;position:absolute;margin-left:72.0pt;margin-top:741.6pt;width:216.0pt;height:36.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ocsID"/>
                    </w:pPr>
                    <w:r>
                      <w:rPr>
                        <w:rtl w:val="0"/>
                        <w:lang w:val="en-US"/>
                      </w:rPr>
                      <w:t>LEGAL_1:66869310.2</w:t>
                    </w:r>
                  </w:p>
                </w:txbxContent>
              </v:textbox>
              <w10:wrap type="none" side="bothSides" anchorx="page" anchory="page"/>
            </v:shape>
          </w:pict>
        </mc:Fallback>
      </mc:AlternateContent>
    </w:r>
    <w:r>
      <w:rPr>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ocsID">
    <w:name w:val="DocsID"/>
    <w:next w:val="DocsID"/>
    <w:pPr>
      <w:keepNext w:val="0"/>
      <w:keepLines w:val="0"/>
      <w:pageBreakBefore w:val="0"/>
      <w:widowControl w:val="1"/>
      <w:shd w:val="clear" w:color="auto" w:fill="auto"/>
      <w:suppressAutoHyphens w:val="0"/>
      <w:bidi w:val="0"/>
      <w:spacing w:before="2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232323"/>
      <w:sz w:val="22"/>
      <w:szCs w:val="22"/>
      <w:u w:val="single" w:color="232323"/>
      <w:shd w:val="clear" w:color="auto" w:fill="ffffff"/>
      <w14:textOutline w14:w="12700" w14:cap="flat">
        <w14:noFill/>
        <w14:miter w14:lim="400000"/>
      </w14:textOutline>
      <w14:textFill>
        <w14:solidFill>
          <w14:srgbClr w14:val="232323"/>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232323"/>
      <w:sz w:val="22"/>
      <w:szCs w:val="22"/>
      <w:u w:val="single" w:color="232323"/>
      <w14:textOutline w14:w="12700" w14:cap="flat">
        <w14:noFill/>
        <w14:miter w14:lim="400000"/>
      </w14:textOutline>
      <w14:textFill>
        <w14:solidFill>
          <w14:srgbClr w14:val="23232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