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CD02" w14:textId="77777777" w:rsidR="00C93406" w:rsidRDefault="00625098" w:rsidP="00C93406">
      <w:pPr>
        <w:pStyle w:val="Default"/>
        <w:numPr>
          <w:ilvl w:val="0"/>
          <w:numId w:val="2"/>
        </w:numPr>
        <w:rPr>
          <w:rFonts w:asciiTheme="minorHAnsi" w:hAnsiTheme="minorHAnsi" w:cstheme="minorHAnsi"/>
          <w:b/>
          <w:bCs/>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8240" behindDoc="0" locked="0" layoutInCell="1" allowOverlap="1" wp14:anchorId="424FA608" wp14:editId="04A1555B">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3EDD2C19" w14:textId="77777777" w:rsidR="00C93406" w:rsidRDefault="00625098" w:rsidP="00C93406">
                            <w:pPr>
                              <w:rPr>
                                <w:rFonts w:ascii="Times New Roman" w:hAnsi="Times New Roman"/>
                                <w:b/>
                                <w:smallCaps/>
                                <w:color w:val="000080"/>
                                <w:sz w:val="32"/>
                              </w:rPr>
                            </w:pPr>
                            <w:r>
                              <w:rPr>
                                <w:rFonts w:ascii="Times New Roman" w:hAnsi="Times New Roman"/>
                                <w:b/>
                                <w:smallCaps/>
                                <w:color w:val="000080"/>
                                <w:sz w:val="32"/>
                              </w:rPr>
                              <w:t>FIRST ENERGY METALS LIMITED</w:t>
                            </w:r>
                          </w:p>
                          <w:p w14:paraId="45F1991E" w14:textId="77777777" w:rsidR="00C93406" w:rsidRPr="00881659" w:rsidRDefault="00625098" w:rsidP="00C93406">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608BEC2A" w14:textId="77777777" w:rsidR="00C93406" w:rsidRPr="00881659" w:rsidRDefault="00625098" w:rsidP="00C93406">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Pr>
                                <w:rFonts w:ascii="Times New Roman" w:hAnsi="Times New Roman"/>
                                <w:b/>
                                <w:smallCaps/>
                                <w:color w:val="000080"/>
                              </w:rPr>
                              <w:t>Canadian Securities Exchange</w:t>
                            </w:r>
                            <w:r w:rsidRPr="00881659">
                              <w:rPr>
                                <w:rFonts w:ascii="Times New Roman" w:hAnsi="Times New Roman"/>
                                <w:b/>
                                <w:smallCaps/>
                                <w:color w:val="000080"/>
                              </w:rPr>
                              <w:t>: FE</w:t>
                            </w:r>
                          </w:p>
                          <w:p w14:paraId="72EFE00C" w14:textId="77777777" w:rsidR="00C93406" w:rsidRPr="00881659" w:rsidRDefault="00625098" w:rsidP="00C93406">
                            <w:pPr>
                              <w:spacing w:line="240" w:lineRule="atLeast"/>
                              <w:rPr>
                                <w:rFonts w:ascii="Times New Roman" w:hAnsi="Times New Roman"/>
                                <w:color w:val="000080"/>
                              </w:rPr>
                            </w:pPr>
                            <w:r w:rsidRPr="00881659">
                              <w:rPr>
                                <w:rFonts w:ascii="Times New Roman" w:hAnsi="Times New Roman"/>
                              </w:rPr>
                              <w:t>Vancouver, B</w:t>
                            </w:r>
                            <w:r>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Pr>
                                <w:rFonts w:ascii="Times New Roman" w:hAnsi="Times New Roman"/>
                              </w:rPr>
                              <w:t xml:space="preserve">Canada, </w:t>
                            </w:r>
                            <w:r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Pr>
                                <w:rFonts w:ascii="Times New Roman" w:hAnsi="Times New Roman"/>
                                <w:b/>
                                <w:smallCaps/>
                                <w:color w:val="000080"/>
                              </w:rPr>
                              <w:t>F</w:t>
                            </w:r>
                          </w:p>
                          <w:p w14:paraId="77730F90" w14:textId="77777777" w:rsidR="00C93406" w:rsidRPr="00354B34" w:rsidRDefault="00625098" w:rsidP="00C93406">
                            <w:pPr>
                              <w:rPr>
                                <w:rFonts w:ascii="Times New Roman" w:eastAsia="Times New Roman" w:hAnsi="Times New Roman" w:cs="Times New Roman"/>
                                <w:color w:val="000080"/>
                                <w:sz w:val="24"/>
                                <w:szCs w:val="24"/>
                                <w:lang w:eastAsia="zh-CN"/>
                              </w:rPr>
                            </w:pPr>
                            <w:r w:rsidRPr="00881659">
                              <w:rPr>
                                <w:rFonts w:ascii="Times New Roman" w:hAnsi="Times New Roman"/>
                              </w:rPr>
                              <w:t xml:space="preserve">Email: </w:t>
                            </w:r>
                            <w:hyperlink r:id="rId7"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Pr>
                                <w:rFonts w:ascii="Times New Roman" w:hAnsi="Times New Roman"/>
                                <w:b/>
                                <w:smallCaps/>
                                <w:color w:val="000080"/>
                              </w:rPr>
                              <w:t>: A2JC89</w:t>
                            </w:r>
                          </w:p>
                          <w:p w14:paraId="1428F409" w14:textId="77777777" w:rsidR="00C93406" w:rsidRPr="00881659" w:rsidRDefault="00035FC1" w:rsidP="00C93406">
                            <w:pPr>
                              <w:spacing w:line="240" w:lineRule="atLeast"/>
                              <w:rPr>
                                <w:rFonts w:ascii="Times New Roman" w:hAnsi="Times New Roman"/>
                                <w:color w:val="000080"/>
                              </w:rPr>
                            </w:pPr>
                          </w:p>
                          <w:p w14:paraId="0226C654" w14:textId="77777777" w:rsidR="00C93406" w:rsidRPr="00B83E95" w:rsidRDefault="00035FC1" w:rsidP="00C93406">
                            <w:pPr>
                              <w:rPr>
                                <w:color w:val="00008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24FA608"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65jAQIAAAMEAAAOAAAAZHJzL2Uyb0RvYy54bWysU8FyEzEMvTPDP3h8J5sEEpqdbDqQEi6l&#13;&#10;MNPyAYrXu+vBtoztZLd8PbI3SQvcOvjgkWXpSXqS1teD0ewofVBoKz6bTDmTVmCtbFvx7w+7N1ec&#13;&#10;hQi2Bo1WVvxRBn69ef1q3btSzrFDXUvPCMSGsncV72J0ZVEE0UkDYYJOWvps0BuI9PRtUXvoCd3o&#13;&#10;Yj6dLosefe08ChkCaW/GT77J+E0jRfzaNEFGpitOucV8+3zv011s1lC2HlynxCkNeEEWBpSloBeo&#13;&#10;G4jADl79A2WU8BiwiROBpsCmUULmGqia2fSvau47cDLXQuQEd6Ep/D9YcXf85pmqK77kzIKhFj3I&#13;&#10;IbKPOLBlYqd3oSSje0dmcSA1dTlXGtwtih+BWdx2YFv5wXvsOwk1ZTdLnsUz1xEnJJB9/wVrCgOH&#13;&#10;iBloaLxJ1BEZjNCpS4+XzqRUBCkX7xar92/pS9DfbD5bUe9zDCjP7s6H+FmiYUmouKfWZ3g43oaY&#13;&#10;0oHybJKiBdSq3imt88O3+6327Ag0Jrt8Tuh/mGnL+oqvFvPFyMALIIyKNO9amYpfTdNJcaBMvH2y&#13;&#10;dZYjKD3KlLK2JyITdyOLcdgPZJjY3WP9SJR6HOea9pCEDv0vznqa6YqHnwfwkjOwgtQVj2dxG8cl&#13;&#10;ODiv2o68nlpGk5bZOm1FGuXn75zP0+5ufgMAAP//AwBQSwMEFAAGAAgAAAAhAH2Ou6XkAAAADwEA&#13;&#10;AA8AAABkcnMvZG93bnJldi54bWxMj8FOwzAQRO9I/IO1lbig1k6iIJLGqaoC4tzChZsbb5OosZ3E&#13;&#10;bpPy9SwnuKy02jezM8VmNh274uhbZyVEKwEMbeV0a2sJnx9vy2dgPiirVecsSrihh015f1eoXLvJ&#13;&#10;7vF6CDUjE+tzJaEJoc8591WDRvmV69HS7eRGowKtY831qCYyNx2PhXjiRrWWPjSqx12D1flwMRLc&#13;&#10;9HozDgcRP359m/fddtif4kHKh8X8sqaxXQMLOIc/Bfx2oPxQUrCju1jtWSchi1IiJSyTjIoRkKVR&#13;&#10;AuxIZJoI4GXB//cofwAAAP//AwBQSwECLQAUAAYACAAAACEAtoM4kv4AAADhAQAAEwAAAAAAAAAA&#13;&#10;AAAAAAAAAAAAW0NvbnRlbnRfVHlwZXNdLnhtbFBLAQItABQABgAIAAAAIQA4/SH/1gAAAJQBAAAL&#13;&#10;AAAAAAAAAAAAAAAAAC8BAABfcmVscy8ucmVsc1BLAQItABQABgAIAAAAIQADg65jAQIAAAMEAAAO&#13;&#10;AAAAAAAAAAAAAAAAAC4CAABkcnMvZTJvRG9jLnhtbFBLAQItABQABgAIAAAAIQB9jrul5AAAAA8B&#13;&#10;AAAPAAAAAAAAAAAAAAAAAFsEAABkcnMvZG93bnJldi54bWxQSwUGAAAAAAQABADzAAAAbAUAAAAA&#13;&#10;" strokecolor="white">
                <v:textbox>
                  <w:txbxContent>
                    <w:p w14:paraId="3EDD2C19" w14:textId="77777777" w:rsidR="00C93406" w:rsidRDefault="00625098" w:rsidP="00C93406">
                      <w:pPr>
                        <w:rPr>
                          <w:rFonts w:ascii="Times New Roman" w:hAnsi="Times New Roman"/>
                          <w:b/>
                          <w:smallCaps/>
                          <w:color w:val="000080"/>
                          <w:sz w:val="32"/>
                        </w:rPr>
                      </w:pPr>
                      <w:r>
                        <w:rPr>
                          <w:rFonts w:ascii="Times New Roman" w:hAnsi="Times New Roman"/>
                          <w:b/>
                          <w:smallCaps/>
                          <w:color w:val="000080"/>
                          <w:sz w:val="32"/>
                        </w:rPr>
                        <w:t>FIRST ENERGY METALS LIMITED</w:t>
                      </w:r>
                    </w:p>
                    <w:p w14:paraId="45F1991E" w14:textId="77777777" w:rsidR="00C93406" w:rsidRPr="00881659" w:rsidRDefault="00625098" w:rsidP="00C93406">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608BEC2A" w14:textId="77777777" w:rsidR="00C93406" w:rsidRPr="00881659" w:rsidRDefault="00625098" w:rsidP="00C93406">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Pr>
                          <w:rFonts w:ascii="Times New Roman" w:hAnsi="Times New Roman"/>
                          <w:b/>
                          <w:smallCaps/>
                          <w:color w:val="000080"/>
                        </w:rPr>
                        <w:t>Canadian Securities Exchange</w:t>
                      </w:r>
                      <w:r w:rsidRPr="00881659">
                        <w:rPr>
                          <w:rFonts w:ascii="Times New Roman" w:hAnsi="Times New Roman"/>
                          <w:b/>
                          <w:smallCaps/>
                          <w:color w:val="000080"/>
                        </w:rPr>
                        <w:t>: FE</w:t>
                      </w:r>
                    </w:p>
                    <w:p w14:paraId="72EFE00C" w14:textId="77777777" w:rsidR="00C93406" w:rsidRPr="00881659" w:rsidRDefault="00625098" w:rsidP="00C93406">
                      <w:pPr>
                        <w:spacing w:line="240" w:lineRule="atLeast"/>
                        <w:rPr>
                          <w:rFonts w:ascii="Times New Roman" w:hAnsi="Times New Roman"/>
                          <w:color w:val="000080"/>
                        </w:rPr>
                      </w:pPr>
                      <w:r w:rsidRPr="00881659">
                        <w:rPr>
                          <w:rFonts w:ascii="Times New Roman" w:hAnsi="Times New Roman"/>
                        </w:rPr>
                        <w:t>Vancouver, B</w:t>
                      </w:r>
                      <w:r>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Pr>
                          <w:rFonts w:ascii="Times New Roman" w:hAnsi="Times New Roman"/>
                        </w:rPr>
                        <w:t xml:space="preserve">Canada, </w:t>
                      </w:r>
                      <w:r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Pr>
                          <w:rFonts w:ascii="Times New Roman" w:hAnsi="Times New Roman"/>
                          <w:b/>
                          <w:smallCaps/>
                          <w:color w:val="000080"/>
                        </w:rPr>
                        <w:t>F</w:t>
                      </w:r>
                    </w:p>
                    <w:p w14:paraId="77730F90" w14:textId="77777777" w:rsidR="00C93406" w:rsidRPr="00354B34" w:rsidRDefault="00625098" w:rsidP="00C93406">
                      <w:pPr>
                        <w:rPr>
                          <w:rFonts w:ascii="Times New Roman" w:eastAsia="Times New Roman" w:hAnsi="Times New Roman" w:cs="Times New Roman"/>
                          <w:color w:val="000080"/>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Pr>
                          <w:rFonts w:ascii="Times New Roman" w:hAnsi="Times New Roman"/>
                          <w:b/>
                          <w:smallCaps/>
                          <w:color w:val="000080"/>
                        </w:rPr>
                        <w:t>: A2JC89</w:t>
                      </w:r>
                    </w:p>
                    <w:p w14:paraId="1428F409" w14:textId="77777777" w:rsidR="00C93406" w:rsidRPr="00881659" w:rsidRDefault="00035FC1" w:rsidP="00C93406">
                      <w:pPr>
                        <w:spacing w:line="240" w:lineRule="atLeast"/>
                        <w:rPr>
                          <w:rFonts w:ascii="Times New Roman" w:hAnsi="Times New Roman"/>
                          <w:color w:val="000080"/>
                        </w:rPr>
                      </w:pPr>
                    </w:p>
                    <w:p w14:paraId="0226C654" w14:textId="77777777" w:rsidR="00C93406" w:rsidRPr="00B83E95" w:rsidRDefault="00035FC1" w:rsidP="00C93406">
                      <w:pPr>
                        <w:rPr>
                          <w:color w:val="000080"/>
                        </w:rPr>
                      </w:pPr>
                    </w:p>
                  </w:txbxContent>
                </v:textbox>
              </v:shape>
            </w:pict>
          </mc:Fallback>
        </mc:AlternateContent>
      </w:r>
      <w:r>
        <w:rPr>
          <w:noProof/>
        </w:rPr>
        <w:drawing>
          <wp:anchor distT="0" distB="0" distL="114300" distR="114300" simplePos="0" relativeHeight="251660288" behindDoc="0" locked="0" layoutInCell="1" allowOverlap="1" wp14:anchorId="3C542C5F" wp14:editId="043707B7">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93826" name="Picture 4" descr="C:\Data\Agave\Agave Silver_LOGO_letterhea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7FFC9466" w14:textId="77777777" w:rsidR="00C93406" w:rsidRPr="00E02D9C" w:rsidRDefault="00035FC1" w:rsidP="00C93406">
      <w:pPr>
        <w:pStyle w:val="Default"/>
        <w:rPr>
          <w:rFonts w:ascii="Times New Roman" w:hAnsi="Times New Roman" w:cs="Times New Roman"/>
          <w:sz w:val="22"/>
          <w:szCs w:val="22"/>
        </w:rPr>
      </w:pPr>
    </w:p>
    <w:p w14:paraId="17D6029F" w14:textId="77777777" w:rsidR="00C93406" w:rsidRDefault="00035FC1" w:rsidP="00C93406">
      <w:pPr>
        <w:pStyle w:val="Default"/>
        <w:jc w:val="center"/>
        <w:rPr>
          <w:rFonts w:ascii="Times New Roman" w:hAnsi="Times New Roman" w:cs="Times New Roman"/>
          <w:b/>
          <w:sz w:val="22"/>
          <w:szCs w:val="22"/>
        </w:rPr>
      </w:pPr>
    </w:p>
    <w:p w14:paraId="082F4117" w14:textId="77777777" w:rsidR="00C93406" w:rsidRDefault="00035FC1" w:rsidP="00C93406">
      <w:pPr>
        <w:pStyle w:val="Default"/>
        <w:jc w:val="center"/>
        <w:rPr>
          <w:rFonts w:ascii="Times New Roman" w:hAnsi="Times New Roman" w:cs="Times New Roman"/>
          <w:b/>
          <w:sz w:val="22"/>
          <w:szCs w:val="22"/>
        </w:rPr>
      </w:pPr>
    </w:p>
    <w:p w14:paraId="17E0D318" w14:textId="77777777" w:rsidR="00C93406" w:rsidRDefault="00625098" w:rsidP="00C93406">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270EFAFD" w14:textId="77777777" w:rsidR="00C93406" w:rsidRDefault="00035FC1" w:rsidP="00C93406">
      <w:pPr>
        <w:pStyle w:val="Default"/>
        <w:rPr>
          <w:rFonts w:ascii="Times New Roman" w:hAnsi="Times New Roman" w:cs="Times New Roman"/>
        </w:rPr>
      </w:pPr>
    </w:p>
    <w:p w14:paraId="04BF8964" w14:textId="77777777" w:rsidR="00C93406" w:rsidRDefault="00035FC1" w:rsidP="0097270C">
      <w:pPr>
        <w:jc w:val="center"/>
        <w:rPr>
          <w:rFonts w:cstheme="minorHAnsi"/>
          <w:b/>
          <w:color w:val="000000"/>
          <w:sz w:val="28"/>
          <w:szCs w:val="28"/>
        </w:rPr>
      </w:pPr>
    </w:p>
    <w:p w14:paraId="43066DC3" w14:textId="77777777" w:rsidR="0097270C" w:rsidRPr="00080BAF" w:rsidRDefault="00625098" w:rsidP="0097270C">
      <w:pPr>
        <w:jc w:val="center"/>
        <w:rPr>
          <w:rFonts w:ascii="Arial" w:eastAsia="Times New Roman" w:hAnsi="Arial" w:cs="Arial"/>
          <w:i/>
          <w:iCs/>
          <w:lang w:val="en-CA"/>
        </w:rPr>
      </w:pPr>
      <w:r w:rsidRPr="000F214C">
        <w:rPr>
          <w:rFonts w:ascii="Arial" w:eastAsia="Times New Roman" w:hAnsi="Arial" w:cs="Arial"/>
          <w:i/>
          <w:iCs/>
          <w:lang w:val="en-CA"/>
        </w:rPr>
        <w:t>NOT FOR DISTRIBUTION TO UNITED STATES NEWSWIRE SERVICES OR FOR DISSEMINATION IN THE UNITED STATES</w:t>
      </w:r>
    </w:p>
    <w:p w14:paraId="68ADA0AA" w14:textId="77777777" w:rsidR="0097270C" w:rsidRPr="0097270C" w:rsidRDefault="00035FC1">
      <w:pPr>
        <w:rPr>
          <w:rFonts w:eastAsia="Arial" w:cstheme="minorHAnsi"/>
          <w:sz w:val="24"/>
          <w:szCs w:val="24"/>
          <w:lang w:val="en-CA"/>
        </w:rPr>
      </w:pPr>
    </w:p>
    <w:p w14:paraId="67F976E4" w14:textId="77777777" w:rsidR="00DA39F9" w:rsidRPr="00A777F1" w:rsidRDefault="00035FC1">
      <w:pPr>
        <w:spacing w:before="5"/>
        <w:rPr>
          <w:rFonts w:eastAsia="Arial" w:cstheme="minorHAnsi"/>
          <w:sz w:val="24"/>
          <w:szCs w:val="24"/>
        </w:rPr>
      </w:pPr>
    </w:p>
    <w:p w14:paraId="68530090" w14:textId="77777777" w:rsidR="00DA39F9" w:rsidRPr="00C93406" w:rsidRDefault="00625098">
      <w:pPr>
        <w:jc w:val="center"/>
        <w:rPr>
          <w:rFonts w:ascii="Times New Roman" w:eastAsia="Arial" w:hAnsi="Times New Roman" w:cs="Times New Roman"/>
          <w:sz w:val="28"/>
          <w:szCs w:val="28"/>
        </w:rPr>
      </w:pPr>
      <w:r>
        <w:rPr>
          <w:rFonts w:ascii="Times New Roman" w:hAnsi="Times New Roman" w:cs="Times New Roman"/>
          <w:b/>
          <w:spacing w:val="-1"/>
          <w:sz w:val="28"/>
          <w:szCs w:val="28"/>
        </w:rPr>
        <w:t>First Energy Metals</w:t>
      </w:r>
      <w:r w:rsidRPr="00C93406">
        <w:rPr>
          <w:rFonts w:ascii="Times New Roman" w:hAnsi="Times New Roman" w:cs="Times New Roman"/>
          <w:b/>
          <w:spacing w:val="1"/>
          <w:sz w:val="28"/>
          <w:szCs w:val="28"/>
        </w:rPr>
        <w:t xml:space="preserve"> </w:t>
      </w:r>
      <w:r w:rsidRPr="00C93406">
        <w:rPr>
          <w:rFonts w:ascii="Times New Roman" w:hAnsi="Times New Roman" w:cs="Times New Roman"/>
          <w:b/>
          <w:spacing w:val="-1"/>
          <w:sz w:val="28"/>
          <w:szCs w:val="28"/>
        </w:rPr>
        <w:t xml:space="preserve">Enters Into </w:t>
      </w:r>
      <w:r>
        <w:rPr>
          <w:rFonts w:ascii="Times New Roman" w:hAnsi="Times New Roman" w:cs="Times New Roman"/>
          <w:b/>
          <w:spacing w:val="-1"/>
          <w:sz w:val="28"/>
          <w:szCs w:val="28"/>
        </w:rPr>
        <w:t>Letter</w:t>
      </w:r>
      <w:r w:rsidRPr="00C93406">
        <w:rPr>
          <w:rFonts w:ascii="Times New Roman" w:hAnsi="Times New Roman" w:cs="Times New Roman"/>
          <w:b/>
          <w:spacing w:val="-1"/>
          <w:sz w:val="28"/>
          <w:szCs w:val="28"/>
        </w:rPr>
        <w:t xml:space="preserve"> Agreement</w:t>
      </w:r>
      <w:r w:rsidRPr="00C93406">
        <w:rPr>
          <w:rFonts w:ascii="Times New Roman" w:hAnsi="Times New Roman" w:cs="Times New Roman"/>
          <w:b/>
          <w:spacing w:val="-9"/>
          <w:sz w:val="28"/>
          <w:szCs w:val="28"/>
        </w:rPr>
        <w:t xml:space="preserve"> </w:t>
      </w:r>
      <w:r w:rsidRPr="00C93406">
        <w:rPr>
          <w:rFonts w:ascii="Times New Roman" w:hAnsi="Times New Roman" w:cs="Times New Roman"/>
          <w:b/>
          <w:spacing w:val="-1"/>
          <w:sz w:val="28"/>
          <w:szCs w:val="28"/>
        </w:rPr>
        <w:t>t</w:t>
      </w:r>
      <w:r>
        <w:rPr>
          <w:rFonts w:ascii="Times New Roman" w:hAnsi="Times New Roman" w:cs="Times New Roman"/>
          <w:b/>
          <w:spacing w:val="-1"/>
          <w:sz w:val="28"/>
          <w:szCs w:val="28"/>
        </w:rPr>
        <w:t>o Acquire</w:t>
      </w:r>
      <w:r>
        <w:rPr>
          <w:rFonts w:ascii="Times New Roman" w:hAnsi="Times New Roman" w:cs="Times New Roman"/>
          <w:b/>
          <w:spacing w:val="-1"/>
          <w:sz w:val="28"/>
          <w:szCs w:val="28"/>
        </w:rPr>
        <w:br/>
      </w:r>
      <w:r w:rsidRPr="004B0B3A">
        <w:rPr>
          <w:rFonts w:ascii="Times New Roman" w:hAnsi="Times New Roman" w:cs="Times New Roman"/>
          <w:b/>
          <w:spacing w:val="-1"/>
          <w:sz w:val="28"/>
          <w:szCs w:val="28"/>
        </w:rPr>
        <w:t>Australian Gold Projects and</w:t>
      </w:r>
      <w:r w:rsidRPr="00C93406">
        <w:rPr>
          <w:rFonts w:ascii="Times New Roman" w:hAnsi="Times New Roman" w:cs="Times New Roman"/>
          <w:b/>
          <w:spacing w:val="-1"/>
          <w:sz w:val="28"/>
          <w:szCs w:val="28"/>
        </w:rPr>
        <w:br/>
      </w:r>
      <w:r w:rsidRPr="00C93406">
        <w:rPr>
          <w:rFonts w:ascii="Times New Roman" w:eastAsia="Arial" w:hAnsi="Times New Roman" w:cs="Times New Roman"/>
          <w:b/>
          <w:sz w:val="28"/>
          <w:szCs w:val="28"/>
        </w:rPr>
        <w:t>Announces Private Placement for Gross Proceeds up to $2,000,000</w:t>
      </w:r>
      <w:r w:rsidRPr="00C93406">
        <w:rPr>
          <w:rFonts w:ascii="Times New Roman" w:eastAsia="Arial" w:hAnsi="Times New Roman" w:cs="Times New Roman"/>
          <w:b/>
          <w:sz w:val="28"/>
          <w:szCs w:val="28"/>
        </w:rPr>
        <w:br/>
      </w:r>
    </w:p>
    <w:p w14:paraId="53497831" w14:textId="77777777" w:rsidR="00DA39F9" w:rsidRPr="00C93406" w:rsidRDefault="00035FC1">
      <w:pPr>
        <w:spacing w:before="7"/>
        <w:rPr>
          <w:rFonts w:ascii="Times New Roman" w:eastAsia="Arial" w:hAnsi="Times New Roman" w:cs="Times New Roman"/>
          <w:b/>
          <w:bCs/>
        </w:rPr>
      </w:pPr>
    </w:p>
    <w:p w14:paraId="4494CE83" w14:textId="77777777" w:rsidR="00A36151" w:rsidRPr="004B0B3A" w:rsidRDefault="00625098" w:rsidP="00E06476">
      <w:pPr>
        <w:pStyle w:val="BodyText"/>
        <w:spacing w:line="275" w:lineRule="auto"/>
        <w:ind w:left="119" w:right="115"/>
        <w:jc w:val="both"/>
        <w:rPr>
          <w:rFonts w:ascii="Times New Roman" w:hAnsi="Times New Roman" w:cs="Times New Roman"/>
          <w:spacing w:val="-1"/>
        </w:rPr>
      </w:pPr>
      <w:r w:rsidRPr="00410A57">
        <w:rPr>
          <w:rFonts w:asciiTheme="majorBidi" w:hAnsiTheme="majorBidi" w:cstheme="majorBidi"/>
        </w:rPr>
        <w:t xml:space="preserve">Vancouver, B.C. </w:t>
      </w:r>
      <w:r w:rsidRPr="00410A57">
        <w:rPr>
          <w:rFonts w:asciiTheme="majorBidi" w:hAnsiTheme="majorBidi" w:cstheme="majorBidi"/>
          <w:b/>
        </w:rPr>
        <w:t>(</w:t>
      </w:r>
      <w:r>
        <w:rPr>
          <w:rFonts w:asciiTheme="majorBidi" w:hAnsiTheme="majorBidi" w:cstheme="majorBidi"/>
          <w:b/>
        </w:rPr>
        <w:t>August</w:t>
      </w:r>
      <w:r w:rsidRPr="00410A57">
        <w:rPr>
          <w:rFonts w:asciiTheme="majorBidi" w:hAnsiTheme="majorBidi" w:cstheme="majorBidi"/>
          <w:b/>
        </w:rPr>
        <w:t xml:space="preserve"> </w:t>
      </w:r>
      <w:r>
        <w:rPr>
          <w:rFonts w:asciiTheme="majorBidi" w:hAnsiTheme="majorBidi" w:cstheme="majorBidi"/>
          <w:b/>
        </w:rPr>
        <w:t>2</w:t>
      </w:r>
      <w:r w:rsidR="007776FA">
        <w:rPr>
          <w:rFonts w:asciiTheme="majorBidi" w:hAnsiTheme="majorBidi" w:cstheme="majorBidi"/>
          <w:b/>
        </w:rPr>
        <w:t>5</w:t>
      </w:r>
      <w:r w:rsidRPr="00410A57">
        <w:rPr>
          <w:rFonts w:asciiTheme="majorBidi" w:hAnsiTheme="majorBidi" w:cstheme="majorBidi"/>
          <w:b/>
        </w:rPr>
        <w:t>, 2020)</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(CSE: FE) (</w:t>
      </w:r>
      <w:r>
        <w:rPr>
          <w:rFonts w:asciiTheme="majorBidi" w:hAnsiTheme="majorBidi" w:cstheme="majorBidi"/>
        </w:rPr>
        <w:t>"</w:t>
      </w:r>
      <w:r w:rsidRPr="00AB4485">
        <w:rPr>
          <w:rFonts w:asciiTheme="majorBidi" w:hAnsiTheme="majorBidi" w:cstheme="majorBidi"/>
          <w:b/>
          <w:bCs/>
        </w:rPr>
        <w:t>First Energy"</w:t>
      </w:r>
      <w:r>
        <w:rPr>
          <w:rFonts w:asciiTheme="majorBidi" w:hAnsiTheme="majorBidi" w:cstheme="majorBidi"/>
        </w:rPr>
        <w:t xml:space="preserve"> or </w:t>
      </w:r>
      <w:r w:rsidRPr="00410A57">
        <w:rPr>
          <w:rFonts w:asciiTheme="majorBidi" w:hAnsiTheme="majorBidi" w:cstheme="majorBidi"/>
        </w:rPr>
        <w:t>the “</w:t>
      </w:r>
      <w:r w:rsidRPr="00410A57">
        <w:rPr>
          <w:rFonts w:asciiTheme="majorBidi" w:hAnsiTheme="majorBidi" w:cstheme="majorBidi"/>
          <w:b/>
        </w:rPr>
        <w:t>Company</w:t>
      </w:r>
      <w:r w:rsidRPr="00410A57">
        <w:rPr>
          <w:rFonts w:asciiTheme="majorBidi" w:hAnsiTheme="majorBidi" w:cstheme="majorBidi"/>
        </w:rPr>
        <w:t xml:space="preserve">) is pleased to announce </w:t>
      </w:r>
      <w:r w:rsidRPr="00C93406">
        <w:rPr>
          <w:rFonts w:ascii="Times New Roman" w:hAnsi="Times New Roman" w:cs="Times New Roman"/>
          <w:spacing w:val="-1"/>
        </w:rPr>
        <w:t xml:space="preserve">to announce that it has entered into a </w:t>
      </w:r>
      <w:r>
        <w:rPr>
          <w:rFonts w:ascii="Times New Roman" w:hAnsi="Times New Roman" w:cs="Times New Roman"/>
          <w:spacing w:val="-1"/>
        </w:rPr>
        <w:t>letter</w:t>
      </w:r>
      <w:r w:rsidRPr="00C93406">
        <w:rPr>
          <w:rFonts w:ascii="Times New Roman" w:hAnsi="Times New Roman" w:cs="Times New Roman"/>
          <w:spacing w:val="-1"/>
        </w:rPr>
        <w:t xml:space="preserve"> agreement dated </w:t>
      </w:r>
      <w:r>
        <w:rPr>
          <w:rFonts w:ascii="Times New Roman" w:hAnsi="Times New Roman" w:cs="Times New Roman"/>
          <w:spacing w:val="-1"/>
        </w:rPr>
        <w:t>August 2</w:t>
      </w:r>
      <w:r w:rsidR="007776FA">
        <w:rPr>
          <w:rFonts w:ascii="Times New Roman" w:hAnsi="Times New Roman" w:cs="Times New Roman"/>
          <w:spacing w:val="-1"/>
        </w:rPr>
        <w:t>5</w:t>
      </w:r>
      <w:r w:rsidRPr="00C93406">
        <w:rPr>
          <w:rFonts w:ascii="Times New Roman" w:hAnsi="Times New Roman" w:cs="Times New Roman"/>
          <w:spacing w:val="-1"/>
        </w:rPr>
        <w:t xml:space="preserve">, 2020 </w:t>
      </w:r>
      <w:r>
        <w:rPr>
          <w:rFonts w:ascii="Times New Roman" w:hAnsi="Times New Roman" w:cs="Times New Roman"/>
          <w:spacing w:val="-1"/>
        </w:rPr>
        <w:t>between</w:t>
      </w:r>
      <w:r w:rsidRPr="00C93406">
        <w:rPr>
          <w:rFonts w:ascii="Times New Roman" w:hAnsi="Times New Roman" w:cs="Times New Roman"/>
          <w:spacing w:val="-1"/>
        </w:rPr>
        <w:t xml:space="preserve"> the </w:t>
      </w:r>
      <w:r>
        <w:rPr>
          <w:rFonts w:ascii="Times New Roman" w:hAnsi="Times New Roman" w:cs="Times New Roman"/>
          <w:spacing w:val="-1"/>
        </w:rPr>
        <w:t>Company and 1260945</w:t>
      </w:r>
      <w:r w:rsidRPr="00C93406">
        <w:rPr>
          <w:rFonts w:ascii="Times New Roman" w:hAnsi="Times New Roman" w:cs="Times New Roman"/>
          <w:spacing w:val="-1"/>
        </w:rPr>
        <w:t xml:space="preserve"> B.C. Ltd.</w:t>
      </w:r>
      <w:r>
        <w:rPr>
          <w:rFonts w:ascii="Times New Roman" w:hAnsi="Times New Roman" w:cs="Times New Roman"/>
          <w:spacing w:val="-1"/>
        </w:rPr>
        <w:t>,</w:t>
      </w:r>
      <w:r w:rsidRPr="00C93406">
        <w:rPr>
          <w:rFonts w:asciiTheme="majorBidi" w:hAnsiTheme="majorBidi" w:cstheme="majorBidi"/>
        </w:rPr>
        <w:t xml:space="preserve"> </w:t>
      </w:r>
      <w:r>
        <w:rPr>
          <w:rFonts w:asciiTheme="majorBidi" w:hAnsiTheme="majorBidi" w:cstheme="majorBidi"/>
        </w:rPr>
        <w:t xml:space="preserve">a private corporation incorporated in British Columbia, </w:t>
      </w:r>
      <w:r w:rsidRPr="00C93406">
        <w:rPr>
          <w:rFonts w:ascii="Times New Roman" w:hAnsi="Times New Roman" w:cs="Times New Roman"/>
          <w:spacing w:val="-1"/>
        </w:rPr>
        <w:t xml:space="preserve"> (“</w:t>
      </w:r>
      <w:r w:rsidRPr="00C93406">
        <w:rPr>
          <w:rFonts w:ascii="Times New Roman" w:hAnsi="Times New Roman" w:cs="Times New Roman"/>
          <w:b/>
          <w:spacing w:val="-1"/>
        </w:rPr>
        <w:t>TargetCo</w:t>
      </w:r>
      <w:r w:rsidRPr="00C93406">
        <w:rPr>
          <w:rFonts w:ascii="Times New Roman" w:hAnsi="Times New Roman" w:cs="Times New Roman"/>
          <w:spacing w:val="-1"/>
        </w:rPr>
        <w:t>”) (the “</w:t>
      </w:r>
      <w:r>
        <w:rPr>
          <w:rFonts w:ascii="Times New Roman" w:hAnsi="Times New Roman" w:cs="Times New Roman"/>
          <w:b/>
          <w:spacing w:val="-1"/>
        </w:rPr>
        <w:t>Letter</w:t>
      </w:r>
      <w:r w:rsidRPr="00C93406">
        <w:rPr>
          <w:rFonts w:ascii="Times New Roman" w:hAnsi="Times New Roman" w:cs="Times New Roman"/>
          <w:b/>
          <w:spacing w:val="-1"/>
        </w:rPr>
        <w:t xml:space="preserve"> Agreement</w:t>
      </w:r>
      <w:r w:rsidRPr="00C93406">
        <w:rPr>
          <w:rFonts w:ascii="Times New Roman" w:hAnsi="Times New Roman" w:cs="Times New Roman"/>
          <w:spacing w:val="-1"/>
        </w:rPr>
        <w:t xml:space="preserve">”), pursuant to which, subject to regulatory approval, the Company will acquire </w:t>
      </w:r>
      <w:r>
        <w:rPr>
          <w:rFonts w:ascii="Times New Roman" w:hAnsi="Times New Roman" w:cs="Times New Roman"/>
          <w:spacing w:val="-1"/>
        </w:rPr>
        <w:t>10</w:t>
      </w:r>
      <w:r w:rsidRPr="00C93406">
        <w:rPr>
          <w:rFonts w:ascii="Times New Roman" w:hAnsi="Times New Roman" w:cs="Times New Roman"/>
          <w:spacing w:val="-1"/>
        </w:rPr>
        <w:t>0% of the issued and outstanding shares of TargetCo (the “</w:t>
      </w:r>
      <w:r w:rsidRPr="00C93406">
        <w:rPr>
          <w:rFonts w:ascii="Times New Roman" w:hAnsi="Times New Roman" w:cs="Times New Roman"/>
          <w:b/>
          <w:spacing w:val="-1"/>
        </w:rPr>
        <w:t>Proposed Transaction</w:t>
      </w:r>
      <w:r w:rsidRPr="00C93406">
        <w:rPr>
          <w:rFonts w:ascii="Times New Roman" w:hAnsi="Times New Roman" w:cs="Times New Roman"/>
          <w:spacing w:val="-1"/>
        </w:rPr>
        <w:t xml:space="preserve">”).  Targetco owns a </w:t>
      </w:r>
      <w:r w:rsidRPr="004B0B3A">
        <w:rPr>
          <w:rFonts w:ascii="Times New Roman" w:hAnsi="Times New Roman" w:cs="Times New Roman"/>
          <w:spacing w:val="-1"/>
        </w:rPr>
        <w:t xml:space="preserve">100% interest </w:t>
      </w:r>
      <w:r w:rsidRPr="00B3459F">
        <w:rPr>
          <w:rFonts w:ascii="Times New Roman" w:hAnsi="Times New Roman" w:cs="Times New Roman"/>
          <w:spacing w:val="-1"/>
        </w:rPr>
        <w:t>(subject to a 2% NSR)</w:t>
      </w:r>
      <w:r w:rsidRPr="004B0B3A">
        <w:rPr>
          <w:rFonts w:ascii="Times New Roman" w:hAnsi="Times New Roman" w:cs="Times New Roman"/>
          <w:spacing w:val="-1"/>
        </w:rPr>
        <w:t xml:space="preserve"> in </w:t>
      </w:r>
      <w:r>
        <w:rPr>
          <w:rFonts w:ascii="Times New Roman" w:hAnsi="Times New Roman" w:cs="Times New Roman"/>
          <w:spacing w:val="-1"/>
        </w:rPr>
        <w:t>three</w:t>
      </w:r>
      <w:r w:rsidRPr="004B0B3A">
        <w:rPr>
          <w:rFonts w:ascii="Times New Roman" w:hAnsi="Times New Roman" w:cs="Times New Roman"/>
          <w:spacing w:val="-1"/>
        </w:rPr>
        <w:t xml:space="preserve"> prospective </w:t>
      </w:r>
      <w:r>
        <w:rPr>
          <w:rFonts w:ascii="Times New Roman" w:hAnsi="Times New Roman" w:cs="Times New Roman"/>
          <w:spacing w:val="-1"/>
        </w:rPr>
        <w:t>gold</w:t>
      </w:r>
      <w:r w:rsidRPr="004B0B3A">
        <w:rPr>
          <w:rFonts w:ascii="Times New Roman" w:hAnsi="Times New Roman" w:cs="Times New Roman"/>
          <w:spacing w:val="-1"/>
        </w:rPr>
        <w:t xml:space="preserve"> projects in Australia, being the </w:t>
      </w:r>
      <w:r>
        <w:rPr>
          <w:rFonts w:ascii="Times New Roman" w:hAnsi="Times New Roman" w:cs="Times New Roman"/>
          <w:spacing w:val="-1"/>
        </w:rPr>
        <w:t>Dalmorton, Viserion and Rhaegal Gold Projects.</w:t>
      </w:r>
      <w:r w:rsidRPr="004B0B3A">
        <w:rPr>
          <w:rFonts w:ascii="Times New Roman" w:hAnsi="Times New Roman" w:cs="Times New Roman"/>
          <w:spacing w:val="-1"/>
        </w:rPr>
        <w:t xml:space="preserve"> </w:t>
      </w:r>
    </w:p>
    <w:p w14:paraId="1BC341D9" w14:textId="77777777" w:rsidR="00E06476" w:rsidRPr="004B0B3A" w:rsidRDefault="00035FC1" w:rsidP="00E06476">
      <w:pPr>
        <w:pStyle w:val="BodyText"/>
        <w:spacing w:line="275" w:lineRule="auto"/>
        <w:ind w:left="119" w:right="115"/>
        <w:jc w:val="both"/>
        <w:rPr>
          <w:rFonts w:ascii="Times New Roman" w:hAnsi="Times New Roman" w:cs="Times New Roman"/>
          <w:spacing w:val="-1"/>
        </w:rPr>
      </w:pPr>
    </w:p>
    <w:p w14:paraId="2CC1D589" w14:textId="77777777" w:rsidR="00FB1C66" w:rsidRPr="004B0B3A" w:rsidRDefault="00625098" w:rsidP="004B0B3A">
      <w:pPr>
        <w:pStyle w:val="BodyText"/>
        <w:spacing w:line="275" w:lineRule="auto"/>
        <w:ind w:left="119" w:right="115"/>
        <w:jc w:val="both"/>
        <w:rPr>
          <w:rFonts w:ascii="Times New Roman" w:hAnsi="Times New Roman" w:cs="Times New Roman"/>
          <w:b/>
          <w:u w:val="single"/>
        </w:rPr>
      </w:pPr>
      <w:r w:rsidRPr="004B0B3A">
        <w:rPr>
          <w:rFonts w:ascii="Times New Roman" w:hAnsi="Times New Roman" w:cs="Times New Roman"/>
          <w:b/>
          <w:u w:val="single"/>
        </w:rPr>
        <w:t>The Gold Projects</w:t>
      </w:r>
    </w:p>
    <w:p w14:paraId="2329A8FC" w14:textId="77777777" w:rsidR="004B0B3A" w:rsidRPr="004B0B3A" w:rsidRDefault="00625098" w:rsidP="004B0B3A">
      <w:pPr>
        <w:pStyle w:val="gmail-msolistparagraph"/>
        <w:numPr>
          <w:ilvl w:val="0"/>
          <w:numId w:val="3"/>
        </w:numPr>
        <w:spacing w:before="120" w:beforeAutospacing="0" w:after="120" w:afterAutospacing="0"/>
        <w:rPr>
          <w:rFonts w:ascii="Times New Roman" w:hAnsi="Times New Roman" w:cs="Times New Roman"/>
          <w:color w:val="000000"/>
          <w:sz w:val="22"/>
          <w:szCs w:val="22"/>
        </w:rPr>
      </w:pPr>
      <w:r w:rsidRPr="004B0B3A">
        <w:rPr>
          <w:rFonts w:ascii="Times New Roman" w:hAnsi="Times New Roman" w:cs="Times New Roman"/>
          <w:color w:val="000000"/>
          <w:sz w:val="22"/>
          <w:szCs w:val="22"/>
        </w:rPr>
        <w:t>The Dalmorton Gold Project, which is located in northern New South Wates, is relatively advanced as a shallow inferred resource has already been modelled:</w:t>
      </w:r>
    </w:p>
    <w:p w14:paraId="10449894" w14:textId="77777777" w:rsidR="004B0B3A" w:rsidRPr="004B0B3A" w:rsidRDefault="00625098" w:rsidP="004B0B3A">
      <w:pPr>
        <w:pStyle w:val="gmail-msolistparagraph"/>
        <w:numPr>
          <w:ilvl w:val="0"/>
          <w:numId w:val="6"/>
        </w:numPr>
        <w:spacing w:before="120" w:beforeAutospacing="0" w:after="120" w:afterAutospacing="0"/>
        <w:rPr>
          <w:rFonts w:ascii="Times New Roman" w:hAnsi="Times New Roman" w:cs="Times New Roman"/>
          <w:color w:val="000000"/>
          <w:sz w:val="22"/>
          <w:szCs w:val="22"/>
        </w:rPr>
      </w:pPr>
      <w:r w:rsidRPr="004B0B3A">
        <w:rPr>
          <w:rFonts w:ascii="Times New Roman" w:hAnsi="Times New Roman" w:cs="Times New Roman"/>
          <w:color w:val="000000"/>
          <w:sz w:val="22"/>
          <w:szCs w:val="22"/>
        </w:rPr>
        <w:t>Further, previous work has verified an 8km gold strike with four high-grade exploration targets that deliver</w:t>
      </w:r>
      <w:r>
        <w:rPr>
          <w:rFonts w:ascii="Times New Roman" w:hAnsi="Times New Roman" w:cs="Times New Roman"/>
          <w:color w:val="000000"/>
          <w:sz w:val="22"/>
          <w:szCs w:val="22"/>
        </w:rPr>
        <w:t xml:space="preserve"> incremental exploration upside</w:t>
      </w:r>
    </w:p>
    <w:p w14:paraId="329E0EC1" w14:textId="77777777" w:rsidR="004B0B3A" w:rsidRPr="004B0B3A" w:rsidRDefault="00625098" w:rsidP="004B0B3A">
      <w:pPr>
        <w:pStyle w:val="gmail-msolistparagraph"/>
        <w:numPr>
          <w:ilvl w:val="0"/>
          <w:numId w:val="6"/>
        </w:numPr>
        <w:spacing w:before="120" w:beforeAutospacing="0" w:after="120" w:afterAutospacing="0"/>
        <w:rPr>
          <w:rFonts w:ascii="Times New Roman" w:hAnsi="Times New Roman" w:cs="Times New Roman"/>
          <w:color w:val="000000"/>
          <w:sz w:val="22"/>
          <w:szCs w:val="22"/>
        </w:rPr>
      </w:pPr>
      <w:r w:rsidRPr="004B0B3A">
        <w:rPr>
          <w:rFonts w:ascii="Times New Roman" w:hAnsi="Times New Roman" w:cs="Times New Roman"/>
          <w:color w:val="000000"/>
          <w:sz w:val="22"/>
          <w:szCs w:val="22"/>
        </w:rPr>
        <w:t>A high-level exploration plan has already been mapped out which includes expedited field trips to refine targets for an</w:t>
      </w:r>
      <w:r>
        <w:rPr>
          <w:rFonts w:ascii="Times New Roman" w:hAnsi="Times New Roman" w:cs="Times New Roman"/>
          <w:color w:val="000000"/>
          <w:sz w:val="22"/>
          <w:szCs w:val="22"/>
        </w:rPr>
        <w:t xml:space="preserve"> inaugural drilling campaign</w:t>
      </w:r>
    </w:p>
    <w:p w14:paraId="74A8C34C" w14:textId="77777777" w:rsidR="004B0B3A" w:rsidRDefault="00625098" w:rsidP="004B0B3A">
      <w:pPr>
        <w:pStyle w:val="gmail-msolistparagraph"/>
        <w:numPr>
          <w:ilvl w:val="0"/>
          <w:numId w:val="5"/>
        </w:numPr>
        <w:spacing w:before="120" w:beforeAutospacing="0" w:after="120" w:afterAutospacing="0"/>
        <w:rPr>
          <w:rFonts w:ascii="Times New Roman" w:hAnsi="Times New Roman" w:cs="Times New Roman"/>
          <w:color w:val="000000"/>
          <w:sz w:val="22"/>
          <w:szCs w:val="22"/>
        </w:rPr>
      </w:pPr>
      <w:r w:rsidRPr="004B0B3A">
        <w:rPr>
          <w:rFonts w:ascii="Times New Roman" w:hAnsi="Times New Roman" w:cs="Times New Roman"/>
          <w:color w:val="000000"/>
          <w:sz w:val="22"/>
          <w:szCs w:val="22"/>
        </w:rPr>
        <w:t>The two prospective contiguous Northern Territory projects – Viserion &amp; Rhaegal – are located in the Tennant Creek region which is known for gold occurrences in sedimentary units, breccia fill and multi-vein style systems</w:t>
      </w:r>
    </w:p>
    <w:p w14:paraId="09593BDD" w14:textId="77777777" w:rsidR="004B0B3A" w:rsidRDefault="00625098" w:rsidP="004B0B3A">
      <w:pPr>
        <w:pStyle w:val="gmail-msolistparagraph"/>
        <w:numPr>
          <w:ilvl w:val="0"/>
          <w:numId w:val="5"/>
        </w:numPr>
        <w:spacing w:before="120" w:beforeAutospacing="0" w:after="120" w:afterAutospacing="0"/>
        <w:rPr>
          <w:rFonts w:ascii="Times New Roman" w:hAnsi="Times New Roman" w:cs="Times New Roman"/>
          <w:color w:val="000000"/>
          <w:sz w:val="22"/>
          <w:szCs w:val="22"/>
        </w:rPr>
      </w:pPr>
      <w:r w:rsidRPr="004B0B3A">
        <w:rPr>
          <w:rFonts w:ascii="Times New Roman" w:hAnsi="Times New Roman" w:cs="Times New Roman"/>
          <w:color w:val="000000"/>
          <w:sz w:val="22"/>
          <w:szCs w:val="22"/>
        </w:rPr>
        <w:t>All projects are located near supportive mining communities, excellent infrastructure and road/rail networks to nearby ports</w:t>
      </w:r>
    </w:p>
    <w:p w14:paraId="3F5A4D80" w14:textId="77777777" w:rsidR="004B0B3A" w:rsidRPr="004B0B3A" w:rsidRDefault="00625098" w:rsidP="004B0B3A">
      <w:pPr>
        <w:pStyle w:val="gmail-msolistparagraph"/>
        <w:numPr>
          <w:ilvl w:val="0"/>
          <w:numId w:val="5"/>
        </w:numPr>
        <w:spacing w:before="120" w:beforeAutospacing="0" w:after="120" w:afterAutospacing="0"/>
        <w:rPr>
          <w:rFonts w:ascii="Times New Roman" w:hAnsi="Times New Roman" w:cs="Times New Roman"/>
          <w:color w:val="000000"/>
          <w:sz w:val="22"/>
          <w:szCs w:val="22"/>
        </w:rPr>
      </w:pPr>
      <w:r w:rsidRPr="004B0B3A">
        <w:rPr>
          <w:rFonts w:ascii="Times New Roman" w:hAnsi="Times New Roman" w:cs="Times New Roman"/>
          <w:color w:val="000000"/>
          <w:sz w:val="22"/>
          <w:szCs w:val="22"/>
        </w:rPr>
        <w:t xml:space="preserve">Further, Australia is a well-regulated, stable jurisdiction, for developing </w:t>
      </w:r>
      <w:r>
        <w:rPr>
          <w:rFonts w:ascii="Times New Roman" w:hAnsi="Times New Roman" w:cs="Times New Roman"/>
          <w:color w:val="000000"/>
          <w:sz w:val="22"/>
          <w:szCs w:val="22"/>
        </w:rPr>
        <w:t>emerging gold mining projects</w:t>
      </w:r>
    </w:p>
    <w:p w14:paraId="065BF488" w14:textId="77777777" w:rsidR="00A36151" w:rsidRPr="00C93406" w:rsidRDefault="00035FC1" w:rsidP="00FB1C66">
      <w:pPr>
        <w:pStyle w:val="BodyText"/>
        <w:spacing w:line="276" w:lineRule="auto"/>
        <w:ind w:left="0" w:right="119"/>
        <w:jc w:val="both"/>
        <w:rPr>
          <w:rFonts w:ascii="Times New Roman" w:hAnsi="Times New Roman" w:cs="Times New Roman"/>
          <w:color w:val="000000"/>
        </w:rPr>
      </w:pPr>
    </w:p>
    <w:p w14:paraId="10C0AE65" w14:textId="77777777" w:rsidR="005052EF" w:rsidRPr="00C93406" w:rsidRDefault="00625098">
      <w:pPr>
        <w:pStyle w:val="BodyText"/>
        <w:spacing w:line="276" w:lineRule="auto"/>
        <w:ind w:right="119"/>
        <w:jc w:val="both"/>
        <w:rPr>
          <w:rFonts w:ascii="Times New Roman" w:hAnsi="Times New Roman" w:cs="Times New Roman"/>
          <w:b/>
          <w:u w:val="single"/>
        </w:rPr>
      </w:pPr>
      <w:r w:rsidRPr="00C93406">
        <w:rPr>
          <w:rFonts w:ascii="Times New Roman" w:hAnsi="Times New Roman" w:cs="Times New Roman"/>
          <w:b/>
          <w:u w:val="single"/>
        </w:rPr>
        <w:t>The Proposed Transaction</w:t>
      </w:r>
    </w:p>
    <w:p w14:paraId="4AEF19E1" w14:textId="77777777" w:rsidR="005052EF" w:rsidRPr="00C93406" w:rsidRDefault="00035FC1">
      <w:pPr>
        <w:pStyle w:val="BodyText"/>
        <w:spacing w:line="276" w:lineRule="auto"/>
        <w:ind w:right="119"/>
        <w:jc w:val="both"/>
        <w:rPr>
          <w:rFonts w:ascii="Times New Roman" w:hAnsi="Times New Roman" w:cs="Times New Roman"/>
        </w:rPr>
      </w:pPr>
    </w:p>
    <w:p w14:paraId="51C0A7A0" w14:textId="68C72B92" w:rsidR="00BB51CF" w:rsidRDefault="00625098" w:rsidP="00A61EBE">
      <w:pPr>
        <w:pStyle w:val="BodyText"/>
        <w:spacing w:line="276" w:lineRule="auto"/>
        <w:ind w:right="119"/>
        <w:jc w:val="both"/>
        <w:rPr>
          <w:rFonts w:ascii="Times New Roman" w:hAnsi="Times New Roman" w:cs="Times New Roman"/>
        </w:rPr>
      </w:pPr>
      <w:r w:rsidRPr="00C93406">
        <w:rPr>
          <w:rFonts w:ascii="Times New Roman" w:hAnsi="Times New Roman" w:cs="Times New Roman"/>
        </w:rPr>
        <w:t xml:space="preserve">Pursuant to the terms of the </w:t>
      </w:r>
      <w:r>
        <w:rPr>
          <w:rFonts w:ascii="Times New Roman" w:hAnsi="Times New Roman" w:cs="Times New Roman"/>
        </w:rPr>
        <w:t>Letter</w:t>
      </w:r>
      <w:r w:rsidRPr="00C93406">
        <w:rPr>
          <w:rFonts w:ascii="Times New Roman" w:hAnsi="Times New Roman" w:cs="Times New Roman"/>
        </w:rPr>
        <w:t xml:space="preserve"> Agreement, upon the date of closing of the Proposed Transaction</w:t>
      </w:r>
      <w:r>
        <w:rPr>
          <w:rFonts w:ascii="Times New Roman" w:hAnsi="Times New Roman" w:cs="Times New Roman"/>
        </w:rPr>
        <w:t xml:space="preserve"> </w:t>
      </w:r>
      <w:r w:rsidRPr="00C93406">
        <w:rPr>
          <w:rFonts w:ascii="Times New Roman" w:hAnsi="Times New Roman" w:cs="Times New Roman"/>
        </w:rPr>
        <w:t>(the “</w:t>
      </w:r>
      <w:r w:rsidRPr="00C93406">
        <w:rPr>
          <w:rFonts w:ascii="Times New Roman" w:hAnsi="Times New Roman" w:cs="Times New Roman"/>
          <w:b/>
        </w:rPr>
        <w:t>Closing Date</w:t>
      </w:r>
      <w:r w:rsidRPr="00C93406">
        <w:rPr>
          <w:rFonts w:ascii="Times New Roman" w:hAnsi="Times New Roman" w:cs="Times New Roman"/>
        </w:rPr>
        <w:t xml:space="preserve">”), </w:t>
      </w:r>
      <w:r>
        <w:rPr>
          <w:rFonts w:ascii="Times New Roman" w:hAnsi="Times New Roman" w:cs="Times New Roman"/>
        </w:rPr>
        <w:t>First Energy</w:t>
      </w:r>
      <w:r w:rsidRPr="00C93406">
        <w:rPr>
          <w:rFonts w:ascii="Times New Roman" w:hAnsi="Times New Roman" w:cs="Times New Roman"/>
        </w:rPr>
        <w:t xml:space="preserve"> will acquire </w:t>
      </w:r>
      <w:r>
        <w:rPr>
          <w:rFonts w:ascii="Times New Roman" w:hAnsi="Times New Roman" w:cs="Times New Roman"/>
        </w:rPr>
        <w:t>10</w:t>
      </w:r>
      <w:r w:rsidRPr="00C93406">
        <w:rPr>
          <w:rFonts w:ascii="Times New Roman" w:hAnsi="Times New Roman" w:cs="Times New Roman"/>
        </w:rPr>
        <w:t xml:space="preserve">0% of the issued and outstanding securities of TargetCo in consideration for the issuance of </w:t>
      </w:r>
      <w:r>
        <w:rPr>
          <w:rFonts w:ascii="Times New Roman" w:hAnsi="Times New Roman" w:cs="Times New Roman"/>
        </w:rPr>
        <w:t>an aggregate of 23,5</w:t>
      </w:r>
      <w:r w:rsidRPr="00C93406">
        <w:rPr>
          <w:rFonts w:ascii="Times New Roman" w:hAnsi="Times New Roman" w:cs="Times New Roman"/>
        </w:rPr>
        <w:t>00,000 common shares of the Company (the “</w:t>
      </w:r>
      <w:r w:rsidRPr="00C93406">
        <w:rPr>
          <w:rFonts w:ascii="Times New Roman" w:hAnsi="Times New Roman" w:cs="Times New Roman"/>
          <w:b/>
        </w:rPr>
        <w:t>Payment Shares</w:t>
      </w:r>
      <w:r w:rsidRPr="00C93406">
        <w:rPr>
          <w:rFonts w:ascii="Times New Roman" w:hAnsi="Times New Roman" w:cs="Times New Roman"/>
        </w:rPr>
        <w:t xml:space="preserve">”) at a deemed price </w:t>
      </w:r>
      <w:r>
        <w:rPr>
          <w:rFonts w:ascii="Times New Roman" w:hAnsi="Times New Roman" w:cs="Times New Roman"/>
        </w:rPr>
        <w:t xml:space="preserve">of </w:t>
      </w:r>
      <w:r w:rsidRPr="00B3459F">
        <w:rPr>
          <w:rFonts w:ascii="Times New Roman" w:hAnsi="Times New Roman" w:cs="Times New Roman"/>
        </w:rPr>
        <w:t>$0.2</w:t>
      </w:r>
      <w:r w:rsidR="00B3459F" w:rsidRPr="00B3459F">
        <w:rPr>
          <w:rFonts w:ascii="Times New Roman" w:hAnsi="Times New Roman" w:cs="Times New Roman"/>
        </w:rPr>
        <w:t>05</w:t>
      </w:r>
      <w:r w:rsidRPr="00B3459F">
        <w:rPr>
          <w:rFonts w:ascii="Times New Roman" w:hAnsi="Times New Roman" w:cs="Times New Roman"/>
        </w:rPr>
        <w:t xml:space="preserve"> </w:t>
      </w:r>
      <w:r w:rsidRPr="00C93406">
        <w:rPr>
          <w:rFonts w:ascii="Times New Roman" w:hAnsi="Times New Roman" w:cs="Times New Roman"/>
        </w:rPr>
        <w:t xml:space="preserve">per Payment Share.  </w:t>
      </w:r>
      <w:r>
        <w:rPr>
          <w:rFonts w:ascii="Times New Roman" w:hAnsi="Times New Roman" w:cs="Times New Roman"/>
        </w:rPr>
        <w:t xml:space="preserve">The Company will be required to </w:t>
      </w:r>
      <w:r>
        <w:rPr>
          <w:rFonts w:ascii="Times New Roman" w:hAnsi="Times New Roman" w:cs="Times New Roman"/>
        </w:rPr>
        <w:lastRenderedPageBreak/>
        <w:t>make cash payments in the aggregate of $1,000,000 over a period of four years from the Closing Date ($200,000 on the Closing Date; $150,000 on or before 8 months from the Closing Date; $150,000 on or before 12 months from the Closing Date; $150,000 on or before 24 months from the Closing Date; $150,000 on or before 36 months from the Closing Date; and $150,000 on or before 48 months from the Closing Date).  In addition, the Company may issue up to an additional 7,500,000 common shares of the Company upon the achievement of certain milestones (the “</w:t>
      </w:r>
      <w:r w:rsidRPr="000A4C96">
        <w:rPr>
          <w:rFonts w:ascii="Times New Roman" w:hAnsi="Times New Roman" w:cs="Times New Roman"/>
          <w:b/>
        </w:rPr>
        <w:t>Performance Shares</w:t>
      </w:r>
      <w:r>
        <w:rPr>
          <w:rFonts w:ascii="Times New Roman" w:hAnsi="Times New Roman" w:cs="Times New Roman"/>
        </w:rPr>
        <w:t>”).</w:t>
      </w:r>
    </w:p>
    <w:p w14:paraId="66EB8BA0" w14:textId="77777777" w:rsidR="00BB51CF" w:rsidRDefault="00035FC1" w:rsidP="00A61EBE">
      <w:pPr>
        <w:pStyle w:val="BodyText"/>
        <w:spacing w:line="276" w:lineRule="auto"/>
        <w:ind w:right="119"/>
        <w:jc w:val="both"/>
        <w:rPr>
          <w:rFonts w:ascii="Times New Roman" w:hAnsi="Times New Roman" w:cs="Times New Roman"/>
        </w:rPr>
      </w:pPr>
    </w:p>
    <w:p w14:paraId="7558658B" w14:textId="04A725F9" w:rsidR="00A61EBE" w:rsidRPr="00C93406" w:rsidRDefault="00625098" w:rsidP="00A61EBE">
      <w:pPr>
        <w:pStyle w:val="BodyText"/>
        <w:spacing w:line="276" w:lineRule="auto"/>
        <w:ind w:right="119"/>
        <w:jc w:val="both"/>
        <w:rPr>
          <w:rFonts w:ascii="Times New Roman" w:hAnsi="Times New Roman" w:cs="Times New Roman"/>
        </w:rPr>
      </w:pPr>
      <w:r w:rsidRPr="00C93406">
        <w:rPr>
          <w:rFonts w:ascii="Times New Roman" w:hAnsi="Times New Roman" w:cs="Times New Roman"/>
        </w:rPr>
        <w:t xml:space="preserve">In </w:t>
      </w:r>
      <w:r>
        <w:rPr>
          <w:rFonts w:ascii="Times New Roman" w:hAnsi="Times New Roman" w:cs="Times New Roman"/>
        </w:rPr>
        <w:t>connection with the Proposed Transaction</w:t>
      </w:r>
      <w:r w:rsidRPr="00C93406">
        <w:rPr>
          <w:rFonts w:ascii="Times New Roman" w:hAnsi="Times New Roman" w:cs="Times New Roman"/>
        </w:rPr>
        <w:t>,</w:t>
      </w:r>
      <w:r>
        <w:rPr>
          <w:rFonts w:ascii="Times New Roman" w:hAnsi="Times New Roman" w:cs="Times New Roman"/>
        </w:rPr>
        <w:t xml:space="preserve"> and</w:t>
      </w:r>
      <w:r w:rsidRPr="00C93406">
        <w:rPr>
          <w:rFonts w:ascii="Times New Roman" w:hAnsi="Times New Roman" w:cs="Times New Roman"/>
        </w:rPr>
        <w:t xml:space="preserve"> subject to approval of the Canadian Securities Exchange (the “</w:t>
      </w:r>
      <w:r w:rsidRPr="00C93406">
        <w:rPr>
          <w:rFonts w:ascii="Times New Roman" w:hAnsi="Times New Roman" w:cs="Times New Roman"/>
          <w:b/>
        </w:rPr>
        <w:t>CSE</w:t>
      </w:r>
      <w:r w:rsidRPr="00C93406">
        <w:rPr>
          <w:rFonts w:ascii="Times New Roman" w:hAnsi="Times New Roman" w:cs="Times New Roman"/>
        </w:rPr>
        <w:t xml:space="preserve">”), the Company will issue </w:t>
      </w:r>
      <w:r>
        <w:rPr>
          <w:rFonts w:ascii="Times New Roman" w:hAnsi="Times New Roman" w:cs="Times New Roman"/>
        </w:rPr>
        <w:t>1,500</w:t>
      </w:r>
      <w:r w:rsidRPr="00C93406">
        <w:rPr>
          <w:rFonts w:ascii="Times New Roman" w:hAnsi="Times New Roman" w:cs="Times New Roman"/>
        </w:rPr>
        <w:t>,000 common shares to an arm’s length third party finder in connection with the Proposed Transaction (the “</w:t>
      </w:r>
      <w:r w:rsidRPr="00C93406">
        <w:rPr>
          <w:rFonts w:ascii="Times New Roman" w:hAnsi="Times New Roman" w:cs="Times New Roman"/>
          <w:b/>
        </w:rPr>
        <w:t>Finders’ Shares</w:t>
      </w:r>
      <w:r>
        <w:rPr>
          <w:rFonts w:ascii="Times New Roman" w:hAnsi="Times New Roman" w:cs="Times New Roman"/>
        </w:rPr>
        <w:t xml:space="preserve">”) at a deemed </w:t>
      </w:r>
      <w:r w:rsidRPr="00B3459F">
        <w:rPr>
          <w:rFonts w:ascii="Times New Roman" w:hAnsi="Times New Roman" w:cs="Times New Roman"/>
        </w:rPr>
        <w:t>price of $</w:t>
      </w:r>
      <w:r w:rsidR="00B3459F" w:rsidRPr="00B3459F">
        <w:rPr>
          <w:rFonts w:ascii="Times New Roman" w:hAnsi="Times New Roman" w:cs="Times New Roman"/>
        </w:rPr>
        <w:t>0.205</w:t>
      </w:r>
      <w:r w:rsidRPr="00C93406">
        <w:rPr>
          <w:rFonts w:ascii="Times New Roman" w:hAnsi="Times New Roman" w:cs="Times New Roman"/>
        </w:rPr>
        <w:t xml:space="preserve"> per Finders’ Share. The Payment Shares </w:t>
      </w:r>
      <w:r>
        <w:rPr>
          <w:rFonts w:ascii="Times New Roman" w:hAnsi="Times New Roman" w:cs="Times New Roman"/>
        </w:rPr>
        <w:t xml:space="preserve">and Performance Shares, if any, </w:t>
      </w:r>
      <w:r w:rsidRPr="00C93406">
        <w:rPr>
          <w:rFonts w:ascii="Times New Roman" w:hAnsi="Times New Roman" w:cs="Times New Roman"/>
        </w:rPr>
        <w:t>will not be subject to any hold periods under applicable securities laws. The Finders’ Shares will be subject to a four month and one day hold period under applicable securities laws.</w:t>
      </w:r>
    </w:p>
    <w:p w14:paraId="5B3C7F54" w14:textId="77777777" w:rsidR="005052EF" w:rsidRPr="00C93406" w:rsidRDefault="00035FC1">
      <w:pPr>
        <w:pStyle w:val="BodyText"/>
        <w:spacing w:line="276" w:lineRule="auto"/>
        <w:ind w:right="119"/>
        <w:jc w:val="both"/>
        <w:rPr>
          <w:rFonts w:ascii="Times New Roman" w:hAnsi="Times New Roman" w:cs="Times New Roman"/>
        </w:rPr>
      </w:pPr>
    </w:p>
    <w:p w14:paraId="3AEDA0D8" w14:textId="77777777" w:rsidR="005052EF" w:rsidRPr="00C93406" w:rsidRDefault="00625098" w:rsidP="005052EF">
      <w:pPr>
        <w:pStyle w:val="BodyText"/>
        <w:spacing w:line="276" w:lineRule="auto"/>
        <w:ind w:right="119"/>
        <w:jc w:val="both"/>
        <w:rPr>
          <w:rFonts w:ascii="Times New Roman" w:hAnsi="Times New Roman" w:cs="Times New Roman"/>
        </w:rPr>
      </w:pPr>
      <w:r w:rsidRPr="00C93406">
        <w:rPr>
          <w:rFonts w:ascii="Times New Roman" w:hAnsi="Times New Roman" w:cs="Times New Roman"/>
        </w:rPr>
        <w:t xml:space="preserve">The Proposed Transaction remains subject to certain closing conditions including, without limitation, (a) </w:t>
      </w:r>
      <w:r>
        <w:rPr>
          <w:rFonts w:ascii="Times New Roman" w:hAnsi="Times New Roman" w:cs="Times New Roman"/>
        </w:rPr>
        <w:t>completion of due diligence to the satisfaction of the respective parties; (b) the negotiation and execution of a definitive agreement on or before September 15, 2020 (the “</w:t>
      </w:r>
      <w:r w:rsidRPr="002D485A">
        <w:rPr>
          <w:rFonts w:ascii="Times New Roman" w:hAnsi="Times New Roman" w:cs="Times New Roman"/>
          <w:b/>
        </w:rPr>
        <w:t>Definitive Agreement</w:t>
      </w:r>
      <w:r>
        <w:rPr>
          <w:rFonts w:ascii="Times New Roman" w:hAnsi="Times New Roman" w:cs="Times New Roman"/>
        </w:rPr>
        <w:t xml:space="preserve">”); (c) </w:t>
      </w:r>
      <w:r w:rsidRPr="00C93406">
        <w:rPr>
          <w:rFonts w:ascii="Times New Roman" w:hAnsi="Times New Roman" w:cs="Times New Roman"/>
        </w:rPr>
        <w:t xml:space="preserve">the receipt by the Company of all necessary corporate and regulatory approvals, including the approval of the CSE, as applicable; and </w:t>
      </w:r>
      <w:r>
        <w:rPr>
          <w:rFonts w:ascii="Times New Roman" w:hAnsi="Times New Roman" w:cs="Times New Roman"/>
        </w:rPr>
        <w:t>(d</w:t>
      </w:r>
      <w:r w:rsidRPr="00C93406">
        <w:rPr>
          <w:rFonts w:ascii="Times New Roman" w:hAnsi="Times New Roman" w:cs="Times New Roman"/>
        </w:rPr>
        <w:t xml:space="preserve">) each party's representations and warranties in the Definitive Agreement being true and correct in all aspects as of the Closing Date, and each party meeting its terms and conditions and completing its covenants and obligations as contained therein. There can be no guarantees that the Proposed Transaction will be completed as contemplated or at all. </w:t>
      </w:r>
    </w:p>
    <w:p w14:paraId="49404474" w14:textId="77777777" w:rsidR="001772F3" w:rsidRPr="00C93406" w:rsidRDefault="00035FC1" w:rsidP="005052EF">
      <w:pPr>
        <w:pStyle w:val="BodyText"/>
        <w:spacing w:line="276" w:lineRule="auto"/>
        <w:ind w:right="119"/>
        <w:jc w:val="both"/>
        <w:rPr>
          <w:rFonts w:ascii="Times New Roman" w:hAnsi="Times New Roman" w:cs="Times New Roman"/>
        </w:rPr>
      </w:pPr>
    </w:p>
    <w:p w14:paraId="418EE2A5" w14:textId="77777777" w:rsidR="00777070" w:rsidRPr="00C93406" w:rsidRDefault="00625098" w:rsidP="00777070">
      <w:pPr>
        <w:pStyle w:val="BodyText"/>
        <w:spacing w:line="276" w:lineRule="auto"/>
        <w:ind w:right="119"/>
        <w:jc w:val="both"/>
        <w:rPr>
          <w:rFonts w:ascii="Times New Roman" w:hAnsi="Times New Roman" w:cs="Times New Roman"/>
          <w:b/>
          <w:u w:val="single"/>
        </w:rPr>
      </w:pPr>
      <w:r w:rsidRPr="00C93406">
        <w:rPr>
          <w:rFonts w:ascii="Times New Roman" w:hAnsi="Times New Roman" w:cs="Times New Roman"/>
          <w:b/>
          <w:u w:val="single"/>
        </w:rPr>
        <w:t>The Private Placement</w:t>
      </w:r>
    </w:p>
    <w:p w14:paraId="219998E1" w14:textId="77777777" w:rsidR="00777070" w:rsidRPr="00C93406" w:rsidRDefault="00035FC1" w:rsidP="005052EF">
      <w:pPr>
        <w:pStyle w:val="BodyText"/>
        <w:spacing w:line="276" w:lineRule="auto"/>
        <w:ind w:right="119"/>
        <w:jc w:val="both"/>
        <w:rPr>
          <w:rFonts w:ascii="Times New Roman" w:hAnsi="Times New Roman" w:cs="Times New Roman"/>
        </w:rPr>
      </w:pPr>
    </w:p>
    <w:p w14:paraId="1C8AA76A" w14:textId="77777777" w:rsidR="00EA2950" w:rsidRDefault="00625098" w:rsidP="00EA2950">
      <w:pPr>
        <w:pStyle w:val="BodyText"/>
        <w:spacing w:line="276" w:lineRule="auto"/>
        <w:ind w:right="119"/>
        <w:jc w:val="both"/>
        <w:rPr>
          <w:rFonts w:ascii="Times New Roman" w:hAnsi="Times New Roman" w:cs="Times New Roman"/>
        </w:rPr>
      </w:pPr>
      <w:r w:rsidRPr="00C93406">
        <w:rPr>
          <w:rFonts w:ascii="Times New Roman" w:hAnsi="Times New Roman" w:cs="Times New Roman"/>
        </w:rPr>
        <w:t xml:space="preserve">The Company is also pleased to announce that it </w:t>
      </w:r>
      <w:r>
        <w:rPr>
          <w:rFonts w:ascii="Times New Roman" w:hAnsi="Times New Roman" w:cs="Times New Roman"/>
        </w:rPr>
        <w:t>intends to complete</w:t>
      </w:r>
      <w:r w:rsidRPr="00C93406">
        <w:rPr>
          <w:rFonts w:ascii="Times New Roman" w:hAnsi="Times New Roman" w:cs="Times New Roman"/>
        </w:rPr>
        <w:t xml:space="preserve"> a </w:t>
      </w:r>
      <w:r>
        <w:rPr>
          <w:rFonts w:ascii="Times New Roman" w:hAnsi="Times New Roman" w:cs="Times New Roman"/>
        </w:rPr>
        <w:t>non-</w:t>
      </w:r>
      <w:r w:rsidRPr="00C93406">
        <w:rPr>
          <w:rFonts w:ascii="Times New Roman" w:hAnsi="Times New Roman" w:cs="Times New Roman"/>
        </w:rPr>
        <w:t xml:space="preserve">brokered private </w:t>
      </w:r>
      <w:r>
        <w:rPr>
          <w:rFonts w:ascii="Times New Roman" w:hAnsi="Times New Roman" w:cs="Times New Roman"/>
        </w:rPr>
        <w:t>placement financing of up to 13,333,333</w:t>
      </w:r>
      <w:r w:rsidRPr="00C93406">
        <w:rPr>
          <w:rFonts w:ascii="Times New Roman" w:hAnsi="Times New Roman" w:cs="Times New Roman"/>
        </w:rPr>
        <w:t xml:space="preserve"> </w:t>
      </w:r>
      <w:r>
        <w:rPr>
          <w:rFonts w:ascii="Times New Roman" w:hAnsi="Times New Roman" w:cs="Times New Roman"/>
        </w:rPr>
        <w:t>units of the Company (“</w:t>
      </w:r>
      <w:r w:rsidRPr="0047703B">
        <w:rPr>
          <w:rFonts w:ascii="Times New Roman" w:hAnsi="Times New Roman" w:cs="Times New Roman"/>
          <w:b/>
        </w:rPr>
        <w:t>Units</w:t>
      </w:r>
      <w:r>
        <w:rPr>
          <w:rFonts w:ascii="Times New Roman" w:hAnsi="Times New Roman" w:cs="Times New Roman"/>
        </w:rPr>
        <w:t>”) at a price of $0.1</w:t>
      </w:r>
      <w:r w:rsidRPr="0047703B">
        <w:rPr>
          <w:rFonts w:ascii="Times New Roman" w:hAnsi="Times New Roman" w:cs="Times New Roman"/>
        </w:rPr>
        <w:t xml:space="preserve">5 per Unit </w:t>
      </w:r>
      <w:r>
        <w:rPr>
          <w:rFonts w:ascii="Times New Roman" w:hAnsi="Times New Roman" w:cs="Times New Roman"/>
        </w:rPr>
        <w:t>for gross proceeds of up to $2,000</w:t>
      </w:r>
      <w:r w:rsidRPr="0047703B">
        <w:rPr>
          <w:rFonts w:ascii="Times New Roman" w:hAnsi="Times New Roman" w:cs="Times New Roman"/>
        </w:rPr>
        <w:t>,000</w:t>
      </w:r>
      <w:r>
        <w:rPr>
          <w:rFonts w:ascii="Times New Roman" w:hAnsi="Times New Roman" w:cs="Times New Roman"/>
        </w:rPr>
        <w:t xml:space="preserve"> (the “</w:t>
      </w:r>
      <w:r w:rsidRPr="0034409A">
        <w:rPr>
          <w:rFonts w:ascii="Times New Roman" w:hAnsi="Times New Roman" w:cs="Times New Roman"/>
          <w:b/>
        </w:rPr>
        <w:t>Offering</w:t>
      </w:r>
      <w:r>
        <w:rPr>
          <w:rFonts w:ascii="Times New Roman" w:hAnsi="Times New Roman" w:cs="Times New Roman"/>
        </w:rPr>
        <w:t>”)</w:t>
      </w:r>
      <w:r w:rsidRPr="0047703B">
        <w:rPr>
          <w:rFonts w:ascii="Times New Roman" w:hAnsi="Times New Roman" w:cs="Times New Roman"/>
        </w:rPr>
        <w:t>. Each Unit is comprised of one common share and a one</w:t>
      </w:r>
      <w:r>
        <w:rPr>
          <w:rFonts w:ascii="Times New Roman" w:hAnsi="Times New Roman" w:cs="Times New Roman"/>
        </w:rPr>
        <w:t>-half of one</w:t>
      </w:r>
      <w:r w:rsidRPr="0047703B">
        <w:rPr>
          <w:rFonts w:ascii="Times New Roman" w:hAnsi="Times New Roman" w:cs="Times New Roman"/>
        </w:rPr>
        <w:t xml:space="preserve"> common share purchase warrant (</w:t>
      </w:r>
      <w:r>
        <w:rPr>
          <w:rFonts w:ascii="Times New Roman" w:hAnsi="Times New Roman" w:cs="Times New Roman"/>
        </w:rPr>
        <w:t xml:space="preserve">each whole warrant, a </w:t>
      </w:r>
      <w:r w:rsidRPr="0047703B">
        <w:rPr>
          <w:rFonts w:ascii="Times New Roman" w:hAnsi="Times New Roman" w:cs="Times New Roman"/>
        </w:rPr>
        <w:t>"</w:t>
      </w:r>
      <w:r w:rsidRPr="0047703B">
        <w:rPr>
          <w:rFonts w:ascii="Times New Roman" w:hAnsi="Times New Roman" w:cs="Times New Roman"/>
          <w:b/>
        </w:rPr>
        <w:t>Warrant</w:t>
      </w:r>
      <w:r w:rsidRPr="0047703B">
        <w:rPr>
          <w:rFonts w:ascii="Times New Roman" w:hAnsi="Times New Roman" w:cs="Times New Roman"/>
        </w:rPr>
        <w:t>") with each Warrant entitling the holder to purchase one additional common share at a price of $</w:t>
      </w:r>
      <w:r>
        <w:rPr>
          <w:rFonts w:ascii="Times New Roman" w:hAnsi="Times New Roman" w:cs="Times New Roman"/>
        </w:rPr>
        <w:t>0.30</w:t>
      </w:r>
      <w:r w:rsidRPr="0047703B">
        <w:rPr>
          <w:rFonts w:ascii="Times New Roman" w:hAnsi="Times New Roman" w:cs="Times New Roman"/>
        </w:rPr>
        <w:t xml:space="preserve"> per sha</w:t>
      </w:r>
      <w:r>
        <w:rPr>
          <w:rFonts w:ascii="Times New Roman" w:hAnsi="Times New Roman" w:cs="Times New Roman"/>
        </w:rPr>
        <w:t>re for a period of 12</w:t>
      </w:r>
      <w:r w:rsidRPr="0047703B">
        <w:rPr>
          <w:rFonts w:ascii="Times New Roman" w:hAnsi="Times New Roman" w:cs="Times New Roman"/>
        </w:rPr>
        <w:t xml:space="preserve"> months from</w:t>
      </w:r>
      <w:r>
        <w:rPr>
          <w:rFonts w:ascii="Times New Roman" w:hAnsi="Times New Roman" w:cs="Times New Roman"/>
        </w:rPr>
        <w:t xml:space="preserve"> closing. </w:t>
      </w:r>
    </w:p>
    <w:p w14:paraId="0E453F6A" w14:textId="77777777" w:rsidR="0034409A" w:rsidRPr="00C93406" w:rsidRDefault="00035FC1" w:rsidP="00EA2950">
      <w:pPr>
        <w:pStyle w:val="BodyText"/>
        <w:spacing w:line="276" w:lineRule="auto"/>
        <w:ind w:right="119"/>
        <w:jc w:val="both"/>
        <w:rPr>
          <w:rFonts w:ascii="Times New Roman" w:hAnsi="Times New Roman" w:cs="Times New Roman"/>
        </w:rPr>
      </w:pPr>
    </w:p>
    <w:p w14:paraId="119E77F0" w14:textId="77777777" w:rsidR="0034409A" w:rsidRPr="00C93406" w:rsidRDefault="00625098" w:rsidP="0034409A">
      <w:pPr>
        <w:pStyle w:val="BodyText"/>
        <w:spacing w:line="276" w:lineRule="auto"/>
        <w:ind w:right="119"/>
        <w:jc w:val="both"/>
        <w:rPr>
          <w:rFonts w:ascii="Times New Roman" w:hAnsi="Times New Roman" w:cs="Times New Roman"/>
        </w:rPr>
      </w:pPr>
      <w:r w:rsidRPr="00014B91">
        <w:rPr>
          <w:rFonts w:ascii="Times New Roman" w:hAnsi="Times New Roman" w:cs="Times New Roman"/>
        </w:rPr>
        <w:t xml:space="preserve">In connection with the </w:t>
      </w:r>
      <w:r>
        <w:rPr>
          <w:rFonts w:ascii="Times New Roman" w:hAnsi="Times New Roman" w:cs="Times New Roman"/>
        </w:rPr>
        <w:t>Offering</w:t>
      </w:r>
      <w:r w:rsidRPr="00014B91">
        <w:rPr>
          <w:rFonts w:ascii="Times New Roman" w:hAnsi="Times New Roman" w:cs="Times New Roman"/>
        </w:rPr>
        <w:t xml:space="preserve">, the Company may pay finder's fees on certain subscriptions in accordance with </w:t>
      </w:r>
      <w:r>
        <w:rPr>
          <w:rFonts w:ascii="Times New Roman" w:hAnsi="Times New Roman" w:cs="Times New Roman"/>
        </w:rPr>
        <w:t>CSE</w:t>
      </w:r>
      <w:r w:rsidRPr="00014B91">
        <w:rPr>
          <w:rFonts w:ascii="Times New Roman" w:hAnsi="Times New Roman" w:cs="Times New Roman"/>
        </w:rPr>
        <w:t xml:space="preserve"> policy</w:t>
      </w:r>
      <w:r w:rsidRPr="00C93406">
        <w:rPr>
          <w:rFonts w:ascii="Times New Roman" w:hAnsi="Times New Roman" w:cs="Times New Roman"/>
        </w:rPr>
        <w:t>.</w:t>
      </w:r>
      <w:r>
        <w:rPr>
          <w:rFonts w:ascii="Times New Roman" w:hAnsi="Times New Roman" w:cs="Times New Roman"/>
        </w:rPr>
        <w:t xml:space="preserve">  Proceeds of the O</w:t>
      </w:r>
      <w:r w:rsidRPr="0047703B">
        <w:rPr>
          <w:rFonts w:ascii="Times New Roman" w:hAnsi="Times New Roman" w:cs="Times New Roman"/>
        </w:rPr>
        <w:t xml:space="preserve">ffering will be used </w:t>
      </w:r>
      <w:r w:rsidR="007776FA" w:rsidRPr="00B3459F">
        <w:rPr>
          <w:rFonts w:ascii="Times New Roman" w:hAnsi="Times New Roman" w:cs="Times New Roman"/>
        </w:rPr>
        <w:t>to continue further exploration work on its existing precious/base metal properties</w:t>
      </w:r>
      <w:r w:rsidRPr="00B3459F">
        <w:rPr>
          <w:rFonts w:ascii="Times New Roman" w:hAnsi="Times New Roman" w:cs="Times New Roman"/>
        </w:rPr>
        <w:t xml:space="preserve">, </w:t>
      </w:r>
      <w:r w:rsidR="007776FA" w:rsidRPr="00B3459F">
        <w:rPr>
          <w:rFonts w:ascii="Times New Roman" w:hAnsi="Times New Roman" w:cs="Times New Roman"/>
        </w:rPr>
        <w:t>along with</w:t>
      </w:r>
      <w:r w:rsidRPr="00B3459F">
        <w:rPr>
          <w:rFonts w:ascii="Times New Roman" w:hAnsi="Times New Roman" w:cs="Times New Roman"/>
        </w:rPr>
        <w:t xml:space="preserve"> expenses related to the completion of the Proposed Transaction</w:t>
      </w:r>
      <w:r>
        <w:rPr>
          <w:rFonts w:ascii="Times New Roman" w:hAnsi="Times New Roman" w:cs="Times New Roman"/>
        </w:rPr>
        <w:t xml:space="preserve"> </w:t>
      </w:r>
      <w:r w:rsidRPr="0047703B">
        <w:rPr>
          <w:rFonts w:ascii="Times New Roman" w:hAnsi="Times New Roman" w:cs="Times New Roman"/>
        </w:rPr>
        <w:t>and general working capital.</w:t>
      </w:r>
    </w:p>
    <w:p w14:paraId="076BEF08" w14:textId="77777777" w:rsidR="007776FA" w:rsidRPr="00C93406" w:rsidRDefault="007776FA" w:rsidP="00B16AE9">
      <w:pPr>
        <w:pStyle w:val="BodyText"/>
        <w:spacing w:line="276" w:lineRule="auto"/>
        <w:ind w:left="0" w:right="119"/>
        <w:jc w:val="both"/>
        <w:rPr>
          <w:rFonts w:ascii="Times New Roman" w:hAnsi="Times New Roman" w:cs="Times New Roman"/>
        </w:rPr>
      </w:pPr>
    </w:p>
    <w:p w14:paraId="52BDCC43" w14:textId="77777777" w:rsidR="0096387F" w:rsidRPr="00C93406" w:rsidRDefault="00625098" w:rsidP="00D37B50">
      <w:pPr>
        <w:pStyle w:val="BodyText"/>
        <w:spacing w:line="276" w:lineRule="auto"/>
        <w:ind w:right="119"/>
        <w:jc w:val="both"/>
        <w:rPr>
          <w:rFonts w:ascii="Times New Roman" w:hAnsi="Times New Roman" w:cs="Times New Roman"/>
        </w:rPr>
      </w:pPr>
      <w:r w:rsidRPr="00C93406">
        <w:rPr>
          <w:rFonts w:ascii="Times New Roman" w:hAnsi="Times New Roman" w:cs="Times New Roman"/>
        </w:rPr>
        <w:t>Completion of the Offering is subject to standard closing conditions, including the approval of the CSE.  All securities issued pursuant to the Offering will be subject to a four-month plus one day hold period from the closing date.</w:t>
      </w:r>
    </w:p>
    <w:p w14:paraId="565215AF" w14:textId="77777777" w:rsidR="00DA39F9" w:rsidRPr="00C93406" w:rsidRDefault="00035FC1">
      <w:pPr>
        <w:rPr>
          <w:rFonts w:ascii="Times New Roman" w:eastAsia="Arial" w:hAnsi="Times New Roman" w:cs="Times New Roman"/>
        </w:rPr>
      </w:pPr>
    </w:p>
    <w:p w14:paraId="2616B145" w14:textId="77777777" w:rsidR="00D37B50" w:rsidRPr="00410A57" w:rsidRDefault="00625098" w:rsidP="00D37B50">
      <w:pPr>
        <w:pStyle w:val="Default"/>
        <w:jc w:val="both"/>
        <w:rPr>
          <w:rFonts w:asciiTheme="majorBidi" w:hAnsiTheme="majorBidi" w:cstheme="majorBidi"/>
          <w:b/>
          <w:bCs/>
          <w:sz w:val="22"/>
          <w:szCs w:val="22"/>
        </w:rPr>
      </w:pPr>
      <w:r w:rsidRPr="00410A57">
        <w:rPr>
          <w:rFonts w:asciiTheme="majorBidi" w:hAnsiTheme="majorBidi" w:cstheme="majorBidi"/>
          <w:b/>
          <w:bCs/>
          <w:sz w:val="22"/>
          <w:szCs w:val="22"/>
        </w:rPr>
        <w:t>About First Energy Metals Limited.</w:t>
      </w:r>
    </w:p>
    <w:p w14:paraId="4F9B5D9C" w14:textId="77777777" w:rsidR="00D37B50" w:rsidRPr="00410A57" w:rsidRDefault="00035FC1" w:rsidP="00D37B50">
      <w:pPr>
        <w:pStyle w:val="Default"/>
        <w:jc w:val="both"/>
        <w:rPr>
          <w:rFonts w:asciiTheme="majorBidi" w:hAnsiTheme="majorBidi" w:cstheme="majorBidi"/>
          <w:b/>
          <w:bCs/>
          <w:sz w:val="22"/>
          <w:szCs w:val="22"/>
        </w:rPr>
      </w:pPr>
    </w:p>
    <w:p w14:paraId="166316B2" w14:textId="77777777" w:rsidR="00D37B50" w:rsidRPr="00410A57" w:rsidRDefault="00625098" w:rsidP="00D37B50">
      <w:pPr>
        <w:pStyle w:val="Default"/>
        <w:jc w:val="both"/>
        <w:rPr>
          <w:rFonts w:asciiTheme="majorBidi" w:hAnsiTheme="majorBidi" w:cstheme="majorBidi"/>
          <w:bCs/>
          <w:sz w:val="22"/>
          <w:szCs w:val="22"/>
        </w:rPr>
      </w:pPr>
      <w:r w:rsidRPr="00410A57">
        <w:rPr>
          <w:rFonts w:asciiTheme="majorBidi" w:hAnsiTheme="majorBidi" w:cstheme="majorBidi"/>
          <w:bCs/>
          <w:sz w:val="22"/>
          <w:szCs w:val="22"/>
        </w:rPr>
        <w:t xml:space="preserve">First Energy Metals Limited is a junior resource company engaged in the exploration and development of energy </w:t>
      </w:r>
      <w:r>
        <w:rPr>
          <w:rFonts w:asciiTheme="majorBidi" w:hAnsiTheme="majorBidi" w:cstheme="majorBidi"/>
          <w:bCs/>
          <w:sz w:val="22"/>
          <w:szCs w:val="22"/>
        </w:rPr>
        <w:t xml:space="preserve">and precious </w:t>
      </w:r>
      <w:r w:rsidRPr="00410A57">
        <w:rPr>
          <w:rFonts w:asciiTheme="majorBidi" w:hAnsiTheme="majorBidi" w:cstheme="majorBidi"/>
          <w:bCs/>
          <w:sz w:val="22"/>
          <w:szCs w:val="22"/>
        </w:rPr>
        <w:t xml:space="preserve">metals such as </w:t>
      </w:r>
      <w:r w:rsidR="00B450A5">
        <w:rPr>
          <w:rFonts w:asciiTheme="majorBidi" w:hAnsiTheme="majorBidi" w:cstheme="majorBidi"/>
          <w:bCs/>
          <w:sz w:val="22"/>
          <w:szCs w:val="22"/>
        </w:rPr>
        <w:t>nickel</w:t>
      </w:r>
      <w:r w:rsidRPr="00410A57">
        <w:rPr>
          <w:rFonts w:asciiTheme="majorBidi" w:hAnsiTheme="majorBidi" w:cstheme="majorBidi"/>
          <w:bCs/>
          <w:sz w:val="22"/>
          <w:szCs w:val="22"/>
        </w:rPr>
        <w:t xml:space="preserve">, cobalt, </w:t>
      </w:r>
      <w:r>
        <w:rPr>
          <w:rFonts w:asciiTheme="majorBidi" w:hAnsiTheme="majorBidi" w:cstheme="majorBidi"/>
          <w:bCs/>
          <w:sz w:val="22"/>
          <w:szCs w:val="22"/>
        </w:rPr>
        <w:t>gold and silver</w:t>
      </w:r>
      <w:r w:rsidRPr="00410A57">
        <w:rPr>
          <w:rFonts w:asciiTheme="majorBidi" w:hAnsiTheme="majorBidi" w:cstheme="majorBidi"/>
          <w:bCs/>
          <w:sz w:val="22"/>
          <w:szCs w:val="22"/>
        </w:rPr>
        <w:t xml:space="preserve"> within its property portfolio in North America. The Company's goal is to acquire prospective </w:t>
      </w:r>
      <w:r>
        <w:rPr>
          <w:rFonts w:asciiTheme="majorBidi" w:hAnsiTheme="majorBidi" w:cstheme="majorBidi"/>
          <w:bCs/>
          <w:sz w:val="22"/>
          <w:szCs w:val="22"/>
        </w:rPr>
        <w:t xml:space="preserve">mineral </w:t>
      </w:r>
      <w:r w:rsidRPr="00410A57">
        <w:rPr>
          <w:rFonts w:asciiTheme="majorBidi" w:hAnsiTheme="majorBidi" w:cstheme="majorBidi"/>
          <w:bCs/>
          <w:sz w:val="22"/>
          <w:szCs w:val="22"/>
        </w:rPr>
        <w:t>properties and develop them. The Company currently holds an option to acquire 100% interest in Phyllis</w:t>
      </w:r>
      <w:r>
        <w:rPr>
          <w:rFonts w:asciiTheme="majorBidi" w:hAnsiTheme="majorBidi" w:cstheme="majorBidi"/>
          <w:bCs/>
          <w:sz w:val="22"/>
          <w:szCs w:val="22"/>
        </w:rPr>
        <w:t xml:space="preserve"> Nickle-Copper-</w:t>
      </w:r>
      <w:r w:rsidRPr="00410A57">
        <w:rPr>
          <w:rFonts w:asciiTheme="majorBidi" w:hAnsiTheme="majorBidi" w:cstheme="majorBidi"/>
          <w:bCs/>
          <w:sz w:val="22"/>
          <w:szCs w:val="22"/>
        </w:rPr>
        <w:t xml:space="preserve">Cobalt property in Ontario. </w:t>
      </w:r>
      <w:r>
        <w:rPr>
          <w:rFonts w:asciiTheme="majorBidi" w:hAnsiTheme="majorBidi" w:cstheme="majorBidi"/>
          <w:bCs/>
          <w:sz w:val="22"/>
          <w:szCs w:val="22"/>
        </w:rPr>
        <w:t xml:space="preserve">The </w:t>
      </w:r>
      <w:r>
        <w:rPr>
          <w:rFonts w:asciiTheme="majorBidi" w:hAnsiTheme="majorBidi" w:cstheme="majorBidi"/>
          <w:bCs/>
          <w:sz w:val="22"/>
          <w:szCs w:val="22"/>
        </w:rPr>
        <w:lastRenderedPageBreak/>
        <w:t xml:space="preserve">Company has recently </w:t>
      </w:r>
      <w:r w:rsidR="00B450A5">
        <w:rPr>
          <w:rFonts w:asciiTheme="majorBidi" w:hAnsiTheme="majorBidi" w:cstheme="majorBidi"/>
          <w:bCs/>
          <w:sz w:val="22"/>
          <w:szCs w:val="22"/>
        </w:rPr>
        <w:t>optioned</w:t>
      </w:r>
      <w:r>
        <w:rPr>
          <w:rFonts w:asciiTheme="majorBidi" w:hAnsiTheme="majorBidi" w:cstheme="majorBidi"/>
          <w:bCs/>
          <w:sz w:val="22"/>
          <w:szCs w:val="22"/>
        </w:rPr>
        <w:t xml:space="preserve"> Scramble Mine Gold Property in Ontario, </w:t>
      </w:r>
      <w:r w:rsidR="00B450A5">
        <w:rPr>
          <w:rFonts w:asciiTheme="majorBidi" w:hAnsiTheme="majorBidi" w:cstheme="majorBidi"/>
          <w:bCs/>
          <w:sz w:val="22"/>
          <w:szCs w:val="22"/>
        </w:rPr>
        <w:t>along with</w:t>
      </w:r>
      <w:r>
        <w:rPr>
          <w:rFonts w:asciiTheme="majorBidi" w:hAnsiTheme="majorBidi" w:cstheme="majorBidi"/>
          <w:bCs/>
          <w:sz w:val="22"/>
          <w:szCs w:val="22"/>
        </w:rPr>
        <w:t xml:space="preserve"> two gold exploration properties (Kokanee Creek and Independence Gold properties) located in the Province of British Columbia, Canada. </w:t>
      </w:r>
      <w:r w:rsidRPr="00410A57">
        <w:rPr>
          <w:rFonts w:asciiTheme="majorBidi" w:hAnsiTheme="majorBidi" w:cstheme="majorBidi"/>
          <w:bCs/>
          <w:sz w:val="22"/>
          <w:szCs w:val="22"/>
        </w:rPr>
        <w:t>First Energy Metals Limited (formerly "Agave Silver ") was incorporated on October 12, 1966 in the Province of British Columbia. The Company's common shares trade on the Canadian Securities Exchange (CSE) under the symbol FE and are also listed on the US OTC Markets (Pink) as ASKDF and on the Frankfurt Stock Exchange as A2JC89.</w:t>
      </w:r>
    </w:p>
    <w:p w14:paraId="726A6927" w14:textId="77777777" w:rsidR="00D37B50" w:rsidRPr="003D4894" w:rsidRDefault="00035FC1" w:rsidP="00D37B50">
      <w:pPr>
        <w:pStyle w:val="Default"/>
        <w:jc w:val="both"/>
        <w:rPr>
          <w:rFonts w:ascii="Times New Roman" w:hAnsi="Times New Roman" w:cs="Times New Roman"/>
          <w:sz w:val="22"/>
          <w:szCs w:val="22"/>
        </w:rPr>
      </w:pPr>
    </w:p>
    <w:p w14:paraId="7750E9BC" w14:textId="77777777" w:rsidR="00D37B50" w:rsidRPr="003D4894" w:rsidRDefault="00625098" w:rsidP="00D37B50">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7623D924" w14:textId="77777777" w:rsidR="00D37B50" w:rsidRPr="003D4894" w:rsidRDefault="00625098" w:rsidP="00D37B50">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84E200E" w14:textId="77777777" w:rsidR="00D37B50" w:rsidRPr="003D4894" w:rsidRDefault="00035FC1" w:rsidP="00D37B50">
      <w:pPr>
        <w:autoSpaceDE w:val="0"/>
        <w:autoSpaceDN w:val="0"/>
        <w:adjustRightInd w:val="0"/>
        <w:jc w:val="both"/>
        <w:rPr>
          <w:rFonts w:ascii="Times New Roman" w:eastAsia="Calibri" w:hAnsi="Times New Roman" w:cs="Times New Roman"/>
          <w:color w:val="000000"/>
        </w:rPr>
      </w:pPr>
    </w:p>
    <w:p w14:paraId="48309B2B" w14:textId="77777777" w:rsidR="00D37B50" w:rsidRPr="003D4894" w:rsidRDefault="00625098" w:rsidP="00D37B50">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0BBD918C" w14:textId="77777777" w:rsidR="00D37B50" w:rsidRPr="003D4894" w:rsidRDefault="00625098" w:rsidP="00D37B50">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028561EF" w14:textId="77777777" w:rsidR="00D37B50" w:rsidRPr="003D4894" w:rsidRDefault="00625098" w:rsidP="00D37B50">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520AB888" w14:textId="77777777" w:rsidR="00D37B50" w:rsidRDefault="00625098" w:rsidP="00D37B50">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0" w:history="1">
        <w:r w:rsidRPr="000F22C5">
          <w:rPr>
            <w:rStyle w:val="Hyperlink"/>
            <w:rFonts w:ascii="Times New Roman" w:eastAsia="MS Mincho" w:hAnsi="Times New Roman" w:cs="Times New Roman"/>
            <w:lang w:eastAsia="en-CA"/>
          </w:rPr>
          <w:t>gsangha@firstenergymetals.com</w:t>
        </w:r>
      </w:hyperlink>
      <w:r>
        <w:rPr>
          <w:rFonts w:ascii="Times New Roman" w:eastAsia="MS Mincho" w:hAnsi="Times New Roman" w:cs="Times New Roman"/>
          <w:lang w:eastAsia="en-CA"/>
        </w:rPr>
        <w:t xml:space="preserve"> </w:t>
      </w:r>
    </w:p>
    <w:p w14:paraId="005627C8" w14:textId="77777777" w:rsidR="00DA39F9" w:rsidRPr="00C93406" w:rsidRDefault="00035FC1">
      <w:pPr>
        <w:rPr>
          <w:rFonts w:ascii="Times New Roman" w:eastAsia="Arial" w:hAnsi="Times New Roman" w:cs="Times New Roman"/>
        </w:rPr>
      </w:pPr>
    </w:p>
    <w:p w14:paraId="0440DD21" w14:textId="77777777" w:rsidR="00DA39F9" w:rsidRPr="00C93406" w:rsidRDefault="00035FC1">
      <w:pPr>
        <w:spacing w:before="7"/>
        <w:rPr>
          <w:rFonts w:ascii="Times New Roman" w:eastAsia="Arial" w:hAnsi="Times New Roman" w:cs="Times New Roman"/>
        </w:rPr>
      </w:pPr>
    </w:p>
    <w:p w14:paraId="476FFAAE" w14:textId="77777777" w:rsidR="000A45B8" w:rsidRPr="00C93406" w:rsidRDefault="00625098" w:rsidP="000A45B8">
      <w:pPr>
        <w:ind w:right="-10"/>
        <w:jc w:val="both"/>
        <w:rPr>
          <w:rFonts w:ascii="Times New Roman" w:hAnsi="Times New Roman" w:cs="Times New Roman"/>
          <w:b/>
          <w:sz w:val="20"/>
          <w:szCs w:val="20"/>
        </w:rPr>
      </w:pPr>
      <w:r w:rsidRPr="00C93406">
        <w:rPr>
          <w:rStyle w:val="Strong"/>
          <w:rFonts w:ascii="Times New Roman" w:hAnsi="Times New Roman" w:cs="Times New Roman"/>
          <w:iCs/>
          <w:sz w:val="20"/>
          <w:szCs w:val="20"/>
        </w:rPr>
        <w:t>The CSE does not accept responsibility for the adequacy or accuracy of this release.</w:t>
      </w:r>
    </w:p>
    <w:p w14:paraId="2DF0B632" w14:textId="77777777" w:rsidR="000A45B8" w:rsidRPr="00C93406" w:rsidRDefault="00035FC1" w:rsidP="005A2520">
      <w:pPr>
        <w:spacing w:line="277" w:lineRule="auto"/>
        <w:ind w:left="119" w:right="116"/>
        <w:jc w:val="both"/>
        <w:rPr>
          <w:rFonts w:ascii="Times New Roman" w:hAnsi="Times New Roman" w:cs="Times New Roman"/>
          <w:b/>
          <w:i/>
          <w:spacing w:val="19"/>
        </w:rPr>
      </w:pPr>
    </w:p>
    <w:p w14:paraId="068A6CB7" w14:textId="77777777" w:rsidR="00DA39F9" w:rsidRPr="00C93406" w:rsidRDefault="00625098" w:rsidP="005A2520">
      <w:pPr>
        <w:spacing w:line="277" w:lineRule="auto"/>
        <w:ind w:left="119" w:right="116"/>
        <w:jc w:val="both"/>
        <w:rPr>
          <w:rFonts w:ascii="Times New Roman" w:eastAsia="Arial" w:hAnsi="Times New Roman" w:cs="Times New Roman"/>
        </w:rPr>
      </w:pPr>
      <w:r w:rsidRPr="00C93406">
        <w:rPr>
          <w:rFonts w:ascii="Times New Roman" w:hAnsi="Times New Roman" w:cs="Times New Roman"/>
          <w:b/>
          <w:i/>
          <w:spacing w:val="-1"/>
        </w:rPr>
        <w:t>The</w:t>
      </w:r>
      <w:r w:rsidRPr="00C93406">
        <w:rPr>
          <w:rFonts w:ascii="Times New Roman" w:hAnsi="Times New Roman" w:cs="Times New Roman"/>
          <w:b/>
          <w:i/>
          <w:spacing w:val="17"/>
        </w:rPr>
        <w:t xml:space="preserve"> </w:t>
      </w:r>
      <w:r w:rsidRPr="00C93406">
        <w:rPr>
          <w:rFonts w:ascii="Times New Roman" w:hAnsi="Times New Roman" w:cs="Times New Roman"/>
          <w:b/>
          <w:i/>
          <w:spacing w:val="-1"/>
        </w:rPr>
        <w:t>Canadian</w:t>
      </w:r>
      <w:r w:rsidRPr="00C93406">
        <w:rPr>
          <w:rFonts w:ascii="Times New Roman" w:hAnsi="Times New Roman" w:cs="Times New Roman"/>
          <w:b/>
          <w:i/>
          <w:spacing w:val="17"/>
        </w:rPr>
        <w:t xml:space="preserve"> </w:t>
      </w:r>
      <w:r w:rsidRPr="00C93406">
        <w:rPr>
          <w:rFonts w:ascii="Times New Roman" w:hAnsi="Times New Roman" w:cs="Times New Roman"/>
          <w:b/>
          <w:i/>
          <w:spacing w:val="-1"/>
        </w:rPr>
        <w:t>Securities</w:t>
      </w:r>
      <w:r w:rsidRPr="00C93406">
        <w:rPr>
          <w:rFonts w:ascii="Times New Roman" w:hAnsi="Times New Roman" w:cs="Times New Roman"/>
          <w:b/>
          <w:i/>
          <w:spacing w:val="15"/>
        </w:rPr>
        <w:t xml:space="preserve"> </w:t>
      </w:r>
      <w:r w:rsidRPr="00C93406">
        <w:rPr>
          <w:rFonts w:ascii="Times New Roman" w:hAnsi="Times New Roman" w:cs="Times New Roman"/>
          <w:b/>
          <w:i/>
          <w:spacing w:val="-1"/>
        </w:rPr>
        <w:t>Exchange</w:t>
      </w:r>
      <w:r w:rsidRPr="00C93406">
        <w:rPr>
          <w:rFonts w:ascii="Times New Roman" w:hAnsi="Times New Roman" w:cs="Times New Roman"/>
          <w:b/>
          <w:i/>
          <w:spacing w:val="17"/>
        </w:rPr>
        <w:t xml:space="preserve"> </w:t>
      </w:r>
      <w:r w:rsidRPr="00C93406">
        <w:rPr>
          <w:rFonts w:ascii="Times New Roman" w:hAnsi="Times New Roman" w:cs="Times New Roman"/>
          <w:b/>
          <w:i/>
          <w:spacing w:val="-1"/>
        </w:rPr>
        <w:t>has</w:t>
      </w:r>
      <w:r w:rsidRPr="00C93406">
        <w:rPr>
          <w:rFonts w:ascii="Times New Roman" w:hAnsi="Times New Roman" w:cs="Times New Roman"/>
          <w:b/>
          <w:i/>
          <w:spacing w:val="17"/>
        </w:rPr>
        <w:t xml:space="preserve"> </w:t>
      </w:r>
      <w:r w:rsidRPr="00C93406">
        <w:rPr>
          <w:rFonts w:ascii="Times New Roman" w:hAnsi="Times New Roman" w:cs="Times New Roman"/>
          <w:b/>
          <w:i/>
          <w:spacing w:val="-1"/>
        </w:rPr>
        <w:t>not</w:t>
      </w:r>
      <w:r w:rsidRPr="00C93406">
        <w:rPr>
          <w:rFonts w:ascii="Times New Roman" w:hAnsi="Times New Roman" w:cs="Times New Roman"/>
          <w:b/>
          <w:i/>
          <w:spacing w:val="19"/>
        </w:rPr>
        <w:t xml:space="preserve"> </w:t>
      </w:r>
      <w:r w:rsidRPr="00C93406">
        <w:rPr>
          <w:rFonts w:ascii="Times New Roman" w:hAnsi="Times New Roman" w:cs="Times New Roman"/>
          <w:b/>
          <w:i/>
        </w:rPr>
        <w:t>in</w:t>
      </w:r>
      <w:r w:rsidRPr="00C93406">
        <w:rPr>
          <w:rFonts w:ascii="Times New Roman" w:hAnsi="Times New Roman" w:cs="Times New Roman"/>
          <w:b/>
          <w:i/>
          <w:spacing w:val="35"/>
        </w:rPr>
        <w:t xml:space="preserve"> </w:t>
      </w:r>
      <w:r w:rsidRPr="00C93406">
        <w:rPr>
          <w:rFonts w:ascii="Times New Roman" w:hAnsi="Times New Roman" w:cs="Times New Roman"/>
          <w:b/>
          <w:i/>
          <w:spacing w:val="-1"/>
        </w:rPr>
        <w:t>any</w:t>
      </w:r>
      <w:r w:rsidRPr="00C93406">
        <w:rPr>
          <w:rFonts w:ascii="Times New Roman" w:hAnsi="Times New Roman" w:cs="Times New Roman"/>
          <w:b/>
          <w:i/>
          <w:spacing w:val="20"/>
        </w:rPr>
        <w:t xml:space="preserve"> </w:t>
      </w:r>
      <w:r w:rsidRPr="00C93406">
        <w:rPr>
          <w:rFonts w:ascii="Times New Roman" w:hAnsi="Times New Roman" w:cs="Times New Roman"/>
          <w:b/>
          <w:i/>
        </w:rPr>
        <w:t>way</w:t>
      </w:r>
      <w:r w:rsidRPr="00C93406">
        <w:rPr>
          <w:rFonts w:ascii="Times New Roman" w:hAnsi="Times New Roman" w:cs="Times New Roman"/>
          <w:b/>
          <w:i/>
          <w:spacing w:val="19"/>
        </w:rPr>
        <w:t xml:space="preserve"> </w:t>
      </w:r>
      <w:r w:rsidRPr="00C93406">
        <w:rPr>
          <w:rFonts w:ascii="Times New Roman" w:hAnsi="Times New Roman" w:cs="Times New Roman"/>
          <w:b/>
          <w:i/>
          <w:spacing w:val="-1"/>
        </w:rPr>
        <w:t>passed</w:t>
      </w:r>
      <w:r w:rsidRPr="00C93406">
        <w:rPr>
          <w:rFonts w:ascii="Times New Roman" w:hAnsi="Times New Roman" w:cs="Times New Roman"/>
          <w:b/>
          <w:i/>
          <w:spacing w:val="20"/>
        </w:rPr>
        <w:t xml:space="preserve"> </w:t>
      </w:r>
      <w:r w:rsidRPr="00C93406">
        <w:rPr>
          <w:rFonts w:ascii="Times New Roman" w:hAnsi="Times New Roman" w:cs="Times New Roman"/>
          <w:b/>
          <w:i/>
          <w:spacing w:val="-1"/>
        </w:rPr>
        <w:t>upon</w:t>
      </w:r>
      <w:r w:rsidRPr="00C93406">
        <w:rPr>
          <w:rFonts w:ascii="Times New Roman" w:hAnsi="Times New Roman" w:cs="Times New Roman"/>
          <w:b/>
          <w:i/>
          <w:spacing w:val="17"/>
        </w:rPr>
        <w:t xml:space="preserve"> </w:t>
      </w:r>
      <w:r w:rsidRPr="00C93406">
        <w:rPr>
          <w:rFonts w:ascii="Times New Roman" w:hAnsi="Times New Roman" w:cs="Times New Roman"/>
          <w:b/>
          <w:i/>
          <w:spacing w:val="-1"/>
        </w:rPr>
        <w:t>the</w:t>
      </w:r>
      <w:r w:rsidRPr="00C93406">
        <w:rPr>
          <w:rFonts w:ascii="Times New Roman" w:hAnsi="Times New Roman" w:cs="Times New Roman"/>
          <w:b/>
          <w:i/>
          <w:spacing w:val="19"/>
        </w:rPr>
        <w:t xml:space="preserve"> </w:t>
      </w:r>
      <w:r w:rsidRPr="00C93406">
        <w:rPr>
          <w:rFonts w:ascii="Times New Roman" w:hAnsi="Times New Roman" w:cs="Times New Roman"/>
          <w:b/>
          <w:i/>
          <w:spacing w:val="-1"/>
        </w:rPr>
        <w:t>merits</w:t>
      </w:r>
      <w:r w:rsidRPr="00C93406">
        <w:rPr>
          <w:rFonts w:ascii="Times New Roman" w:hAnsi="Times New Roman" w:cs="Times New Roman"/>
          <w:b/>
          <w:i/>
          <w:spacing w:val="20"/>
        </w:rPr>
        <w:t xml:space="preserve"> </w:t>
      </w:r>
      <w:r w:rsidRPr="00C93406">
        <w:rPr>
          <w:rFonts w:ascii="Times New Roman" w:hAnsi="Times New Roman" w:cs="Times New Roman"/>
          <w:b/>
          <w:i/>
          <w:spacing w:val="-2"/>
        </w:rPr>
        <w:t>of</w:t>
      </w:r>
      <w:r w:rsidRPr="00C93406">
        <w:rPr>
          <w:rFonts w:ascii="Times New Roman" w:hAnsi="Times New Roman" w:cs="Times New Roman"/>
          <w:b/>
          <w:i/>
          <w:spacing w:val="21"/>
        </w:rPr>
        <w:t xml:space="preserve"> </w:t>
      </w:r>
      <w:r w:rsidRPr="00C93406">
        <w:rPr>
          <w:rFonts w:ascii="Times New Roman" w:hAnsi="Times New Roman" w:cs="Times New Roman"/>
          <w:b/>
          <w:i/>
          <w:spacing w:val="-1"/>
        </w:rPr>
        <w:t>the</w:t>
      </w:r>
      <w:r w:rsidRPr="00C93406">
        <w:rPr>
          <w:rFonts w:ascii="Times New Roman" w:hAnsi="Times New Roman" w:cs="Times New Roman"/>
          <w:b/>
          <w:i/>
          <w:spacing w:val="20"/>
        </w:rPr>
        <w:t xml:space="preserve"> </w:t>
      </w:r>
      <w:r w:rsidRPr="00C93406">
        <w:rPr>
          <w:rFonts w:ascii="Times New Roman" w:hAnsi="Times New Roman" w:cs="Times New Roman"/>
          <w:b/>
          <w:i/>
          <w:spacing w:val="-2"/>
        </w:rPr>
        <w:t>Proposed</w:t>
      </w:r>
      <w:r w:rsidRPr="00C93406">
        <w:rPr>
          <w:rFonts w:ascii="Times New Roman" w:hAnsi="Times New Roman" w:cs="Times New Roman"/>
          <w:b/>
          <w:i/>
          <w:spacing w:val="20"/>
        </w:rPr>
        <w:t xml:space="preserve"> </w:t>
      </w:r>
      <w:r w:rsidRPr="00C93406">
        <w:rPr>
          <w:rFonts w:ascii="Times New Roman" w:hAnsi="Times New Roman" w:cs="Times New Roman"/>
          <w:b/>
          <w:i/>
          <w:spacing w:val="-1"/>
        </w:rPr>
        <w:t>Transaction</w:t>
      </w:r>
      <w:r w:rsidRPr="00C93406">
        <w:rPr>
          <w:rFonts w:ascii="Times New Roman" w:hAnsi="Times New Roman" w:cs="Times New Roman"/>
          <w:b/>
          <w:i/>
          <w:spacing w:val="20"/>
        </w:rPr>
        <w:t xml:space="preserve"> </w:t>
      </w:r>
      <w:r w:rsidRPr="00C93406">
        <w:rPr>
          <w:rFonts w:ascii="Times New Roman" w:hAnsi="Times New Roman" w:cs="Times New Roman"/>
          <w:b/>
          <w:i/>
          <w:spacing w:val="-1"/>
        </w:rPr>
        <w:t>and</w:t>
      </w:r>
      <w:r w:rsidRPr="00C93406">
        <w:rPr>
          <w:rFonts w:ascii="Times New Roman" w:hAnsi="Times New Roman" w:cs="Times New Roman"/>
          <w:b/>
          <w:i/>
          <w:spacing w:val="17"/>
        </w:rPr>
        <w:t xml:space="preserve"> </w:t>
      </w:r>
      <w:r w:rsidRPr="00C93406">
        <w:rPr>
          <w:rFonts w:ascii="Times New Roman" w:hAnsi="Times New Roman" w:cs="Times New Roman"/>
          <w:b/>
          <w:i/>
          <w:spacing w:val="-1"/>
        </w:rPr>
        <w:t>has</w:t>
      </w:r>
      <w:r w:rsidRPr="00C93406">
        <w:rPr>
          <w:rFonts w:ascii="Times New Roman" w:hAnsi="Times New Roman" w:cs="Times New Roman"/>
          <w:b/>
          <w:i/>
          <w:spacing w:val="20"/>
        </w:rPr>
        <w:t xml:space="preserve"> </w:t>
      </w:r>
      <w:r w:rsidRPr="00C93406">
        <w:rPr>
          <w:rFonts w:ascii="Times New Roman" w:hAnsi="Times New Roman" w:cs="Times New Roman"/>
          <w:b/>
          <w:i/>
          <w:spacing w:val="-1"/>
        </w:rPr>
        <w:t>neither</w:t>
      </w:r>
      <w:r w:rsidRPr="00C93406">
        <w:rPr>
          <w:rFonts w:ascii="Times New Roman" w:hAnsi="Times New Roman" w:cs="Times New Roman"/>
          <w:b/>
          <w:i/>
          <w:spacing w:val="20"/>
        </w:rPr>
        <w:t xml:space="preserve"> </w:t>
      </w:r>
      <w:r w:rsidRPr="00C93406">
        <w:rPr>
          <w:rFonts w:ascii="Times New Roman" w:hAnsi="Times New Roman" w:cs="Times New Roman"/>
          <w:b/>
          <w:i/>
          <w:spacing w:val="-2"/>
        </w:rPr>
        <w:t>approved</w:t>
      </w:r>
      <w:r w:rsidRPr="00C93406">
        <w:rPr>
          <w:rFonts w:ascii="Times New Roman" w:hAnsi="Times New Roman" w:cs="Times New Roman"/>
          <w:b/>
          <w:i/>
          <w:spacing w:val="70"/>
        </w:rPr>
        <w:t xml:space="preserve"> </w:t>
      </w:r>
      <w:r w:rsidRPr="00C93406">
        <w:rPr>
          <w:rFonts w:ascii="Times New Roman" w:hAnsi="Times New Roman" w:cs="Times New Roman"/>
          <w:b/>
          <w:i/>
          <w:spacing w:val="-1"/>
        </w:rPr>
        <w:t>nor</w:t>
      </w:r>
      <w:r w:rsidRPr="00C93406">
        <w:rPr>
          <w:rFonts w:ascii="Times New Roman" w:hAnsi="Times New Roman" w:cs="Times New Roman"/>
          <w:b/>
          <w:i/>
          <w:spacing w:val="1"/>
        </w:rPr>
        <w:t xml:space="preserve"> </w:t>
      </w:r>
      <w:r w:rsidRPr="00C93406">
        <w:rPr>
          <w:rFonts w:ascii="Times New Roman" w:hAnsi="Times New Roman" w:cs="Times New Roman"/>
          <w:b/>
          <w:i/>
          <w:spacing w:val="-1"/>
        </w:rPr>
        <w:t>disapproved</w:t>
      </w:r>
      <w:r w:rsidRPr="00C93406">
        <w:rPr>
          <w:rFonts w:ascii="Times New Roman" w:hAnsi="Times New Roman" w:cs="Times New Roman"/>
          <w:b/>
          <w:i/>
          <w:spacing w:val="-2"/>
        </w:rPr>
        <w:t xml:space="preserve"> </w:t>
      </w:r>
      <w:r w:rsidRPr="00C93406">
        <w:rPr>
          <w:rFonts w:ascii="Times New Roman" w:hAnsi="Times New Roman" w:cs="Times New Roman"/>
          <w:b/>
          <w:i/>
          <w:spacing w:val="-1"/>
        </w:rPr>
        <w:t>the</w:t>
      </w:r>
      <w:r w:rsidRPr="00C93406">
        <w:rPr>
          <w:rFonts w:ascii="Times New Roman" w:hAnsi="Times New Roman" w:cs="Times New Roman"/>
          <w:b/>
          <w:i/>
        </w:rPr>
        <w:t xml:space="preserve"> </w:t>
      </w:r>
      <w:r w:rsidRPr="00C93406">
        <w:rPr>
          <w:rFonts w:ascii="Times New Roman" w:hAnsi="Times New Roman" w:cs="Times New Roman"/>
          <w:b/>
          <w:i/>
          <w:spacing w:val="-1"/>
        </w:rPr>
        <w:t>contents</w:t>
      </w:r>
      <w:r w:rsidRPr="00C93406">
        <w:rPr>
          <w:rFonts w:ascii="Times New Roman" w:hAnsi="Times New Roman" w:cs="Times New Roman"/>
          <w:b/>
          <w:i/>
          <w:spacing w:val="-2"/>
        </w:rPr>
        <w:t xml:space="preserve"> </w:t>
      </w:r>
      <w:r w:rsidRPr="00C93406">
        <w:rPr>
          <w:rFonts w:ascii="Times New Roman" w:hAnsi="Times New Roman" w:cs="Times New Roman"/>
          <w:b/>
          <w:i/>
          <w:spacing w:val="-1"/>
        </w:rPr>
        <w:t>of this</w:t>
      </w:r>
      <w:r w:rsidRPr="00C93406">
        <w:rPr>
          <w:rFonts w:ascii="Times New Roman" w:hAnsi="Times New Roman" w:cs="Times New Roman"/>
          <w:b/>
          <w:i/>
        </w:rPr>
        <w:t xml:space="preserve"> </w:t>
      </w:r>
      <w:r w:rsidRPr="00C93406">
        <w:rPr>
          <w:rFonts w:ascii="Times New Roman" w:hAnsi="Times New Roman" w:cs="Times New Roman"/>
          <w:b/>
          <w:i/>
          <w:spacing w:val="-1"/>
        </w:rPr>
        <w:t>press</w:t>
      </w:r>
      <w:r w:rsidRPr="00C93406">
        <w:rPr>
          <w:rFonts w:ascii="Times New Roman" w:hAnsi="Times New Roman" w:cs="Times New Roman"/>
          <w:b/>
          <w:i/>
          <w:spacing w:val="-2"/>
        </w:rPr>
        <w:t xml:space="preserve"> release.</w:t>
      </w:r>
    </w:p>
    <w:p w14:paraId="07796613" w14:textId="77777777" w:rsidR="00DA39F9" w:rsidRPr="00C93406" w:rsidRDefault="00035FC1">
      <w:pPr>
        <w:spacing w:before="2"/>
        <w:rPr>
          <w:rFonts w:ascii="Times New Roman" w:eastAsia="Arial" w:hAnsi="Times New Roman" w:cs="Times New Roman"/>
          <w:b/>
          <w:bCs/>
          <w:i/>
        </w:rPr>
      </w:pPr>
    </w:p>
    <w:p w14:paraId="574DA637" w14:textId="77777777" w:rsidR="000A45B8" w:rsidRPr="00C93406" w:rsidRDefault="00625098" w:rsidP="000A45B8">
      <w:pPr>
        <w:rPr>
          <w:rFonts w:ascii="Times New Roman" w:hAnsi="Times New Roman" w:cs="Times New Roman"/>
          <w:b/>
          <w:i/>
        </w:rPr>
      </w:pPr>
      <w:r w:rsidRPr="00C93406">
        <w:rPr>
          <w:rFonts w:ascii="Times New Roman" w:hAnsi="Times New Roman" w:cs="Times New Roman"/>
          <w:b/>
          <w:i/>
        </w:rPr>
        <w:t>The securities to be issued in connection with the Proposed Acquisition and Offering have not been and will not be registered under the U.S. Securities Act of 1933, as amended (the "1933 Act"), or under any state securities laws, and may not be offered or sold, directly or indirectly, or delivered within the United States or to, or for the account or benefit of, U.S. persons (as defined in Regulation S under the 1933 Act) absent registration or an applicable exemption from the registration requirements. This news release does not constitute an offer to sell or a solicitation to buy such securities in the United States.</w:t>
      </w:r>
    </w:p>
    <w:p w14:paraId="58EE787A" w14:textId="77777777" w:rsidR="003972E4" w:rsidRPr="00C93406" w:rsidRDefault="00035FC1" w:rsidP="003972E4">
      <w:pPr>
        <w:spacing w:before="2"/>
        <w:jc w:val="both"/>
        <w:rPr>
          <w:rFonts w:ascii="Times New Roman" w:eastAsia="Arial" w:hAnsi="Times New Roman" w:cs="Times New Roman"/>
          <w:b/>
          <w:bCs/>
          <w:i/>
        </w:rPr>
      </w:pPr>
    </w:p>
    <w:p w14:paraId="4F90BAC2" w14:textId="77777777" w:rsidR="00D37B50" w:rsidRPr="003D4894" w:rsidRDefault="00625098" w:rsidP="00D37B50">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 xml:space="preserve">Forward-looking Information  </w:t>
      </w:r>
    </w:p>
    <w:p w14:paraId="7E598787" w14:textId="77777777" w:rsidR="00D37B50" w:rsidRDefault="00035FC1" w:rsidP="00D37B50">
      <w:pPr>
        <w:pStyle w:val="Default"/>
        <w:jc w:val="both"/>
        <w:rPr>
          <w:rFonts w:ascii="Times New Roman" w:hAnsi="Times New Roman" w:cs="Times New Roman"/>
          <w:sz w:val="22"/>
          <w:szCs w:val="22"/>
        </w:rPr>
      </w:pPr>
    </w:p>
    <w:p w14:paraId="4BB14B31" w14:textId="77777777" w:rsidR="00D37B50" w:rsidRPr="006841C7" w:rsidRDefault="00625098" w:rsidP="00D37B50">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 xml:space="preserve">proposed Transaction with Geomap Consulting Inc; </w:t>
      </w:r>
      <w:r w:rsidRPr="006841C7">
        <w:rPr>
          <w:rFonts w:ascii="Times New Roman" w:eastAsia="Arial" w:hAnsi="Times New Roman" w:cs="Times New Roman"/>
          <w:i/>
          <w:sz w:val="18"/>
          <w:szCs w:val="18"/>
        </w:rPr>
        <w:t xml:space="preserve">and other </w:t>
      </w:r>
      <w:r w:rsidRPr="004F164E">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F164E">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6B9E6818" w14:textId="77777777" w:rsidR="00D37B50" w:rsidRPr="006841C7" w:rsidRDefault="00035FC1" w:rsidP="00D37B50">
      <w:pPr>
        <w:jc w:val="both"/>
        <w:rPr>
          <w:rFonts w:ascii="Times New Roman" w:eastAsia="Arial" w:hAnsi="Times New Roman" w:cs="Times New Roman"/>
          <w:i/>
          <w:sz w:val="18"/>
          <w:szCs w:val="18"/>
        </w:rPr>
      </w:pPr>
    </w:p>
    <w:p w14:paraId="370C63FE" w14:textId="77777777" w:rsidR="00D37B50" w:rsidRPr="006841C7" w:rsidRDefault="00625098" w:rsidP="00D37B50">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proposed Transaction with Geomap Consulting Inc</w:t>
      </w:r>
      <w:r w:rsidRPr="006841C7">
        <w:rPr>
          <w:rFonts w:ascii="Times New Roman" w:eastAsia="Arial" w:hAnsi="Times New Roman" w:cs="Times New Roman"/>
          <w:i/>
          <w:sz w:val="18"/>
          <w:szCs w:val="18"/>
        </w:rPr>
        <w:t xml:space="preserve"> may not be completed on the terms and timing currently contemplated, or at all; and other risks </w:t>
      </w:r>
      <w:r w:rsidRPr="004F164E">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1"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7164EA1A" w14:textId="77777777" w:rsidR="00D37B50" w:rsidRPr="006841C7" w:rsidRDefault="00035FC1" w:rsidP="00D37B50">
      <w:pPr>
        <w:jc w:val="both"/>
        <w:rPr>
          <w:rFonts w:ascii="Times New Roman" w:eastAsia="Arial" w:hAnsi="Times New Roman" w:cs="Times New Roman"/>
          <w:i/>
          <w:sz w:val="18"/>
          <w:szCs w:val="18"/>
        </w:rPr>
      </w:pPr>
    </w:p>
    <w:p w14:paraId="4775D7B0" w14:textId="77777777" w:rsidR="00D37B50" w:rsidRPr="004F164E" w:rsidRDefault="00625098" w:rsidP="00D37B50">
      <w:pPr>
        <w:pStyle w:val="Default"/>
        <w:jc w:val="both"/>
        <w:rPr>
          <w:rFonts w:ascii="Times New Roman" w:hAnsi="Times New Roman"/>
          <w:sz w:val="18"/>
        </w:rPr>
      </w:pPr>
      <w:r w:rsidRPr="006841C7">
        <w:rPr>
          <w:rFonts w:ascii="Times New Roman" w:eastAsia="Arial" w:hAnsi="Times New Roman" w:cs="Times New Roman"/>
          <w:i/>
          <w:sz w:val="18"/>
          <w:szCs w:val="18"/>
        </w:rPr>
        <w:t xml:space="preserve">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proposed </w:t>
      </w:r>
      <w:r>
        <w:rPr>
          <w:rFonts w:ascii="Times New Roman" w:eastAsia="Arial" w:hAnsi="Times New Roman" w:cs="Times New Roman"/>
          <w:i/>
          <w:sz w:val="18"/>
          <w:szCs w:val="18"/>
        </w:rPr>
        <w:t>Transaction with Geomap Consulting Inc</w:t>
      </w:r>
      <w:r w:rsidRPr="006841C7">
        <w:rPr>
          <w:rFonts w:ascii="Times New Roman" w:eastAsia="Arial" w:hAnsi="Times New Roman" w:cs="Times New Roman"/>
          <w:i/>
          <w:sz w:val="18"/>
          <w:szCs w:val="18"/>
        </w:rPr>
        <w:t>.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0EE058AD" w14:textId="77777777" w:rsidR="00D37B50" w:rsidRDefault="00035FC1" w:rsidP="00D37B50">
      <w:pPr>
        <w:pStyle w:val="Default"/>
        <w:jc w:val="both"/>
        <w:rPr>
          <w:rFonts w:ascii="Times New Roman" w:hAnsi="Times New Roman" w:cs="Times New Roman"/>
          <w:sz w:val="22"/>
          <w:szCs w:val="22"/>
        </w:rPr>
      </w:pPr>
    </w:p>
    <w:p w14:paraId="4FB6A13D" w14:textId="77777777" w:rsidR="00D37B50" w:rsidRPr="003D4894" w:rsidRDefault="00035FC1" w:rsidP="00D37B50">
      <w:pPr>
        <w:pStyle w:val="Default"/>
        <w:jc w:val="both"/>
        <w:rPr>
          <w:rFonts w:ascii="Times New Roman" w:hAnsi="Times New Roman" w:cs="Times New Roman"/>
          <w:sz w:val="22"/>
          <w:szCs w:val="22"/>
        </w:rPr>
      </w:pPr>
    </w:p>
    <w:p w14:paraId="2C548A70" w14:textId="77777777" w:rsidR="00DA39F9" w:rsidRPr="00C93406" w:rsidRDefault="00035FC1" w:rsidP="00D37B50">
      <w:pPr>
        <w:spacing w:line="275" w:lineRule="auto"/>
        <w:ind w:left="119" w:right="113"/>
        <w:jc w:val="both"/>
        <w:rPr>
          <w:rFonts w:ascii="Times New Roman" w:eastAsia="Arial" w:hAnsi="Times New Roman" w:cs="Times New Roman"/>
          <w:color w:val="000000"/>
          <w:sz w:val="24"/>
          <w:szCs w:val="24"/>
        </w:rPr>
      </w:pPr>
    </w:p>
    <w:sectPr w:rsidR="00DA39F9" w:rsidRPr="00C93406">
      <w:headerReference w:type="even" r:id="rId12"/>
      <w:headerReference w:type="default" r:id="rId13"/>
      <w:footerReference w:type="even" r:id="rId14"/>
      <w:footerReference w:type="default" r:id="rId15"/>
      <w:headerReference w:type="first" r:id="rId16"/>
      <w:footerReference w:type="first" r:id="rId17"/>
      <w:pgSz w:w="12240" w:h="15840"/>
      <w:pgMar w:top="1380" w:right="1320" w:bottom="860" w:left="13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3F00" w14:textId="77777777" w:rsidR="00035FC1" w:rsidRDefault="00035FC1">
      <w:r>
        <w:separator/>
      </w:r>
    </w:p>
  </w:endnote>
  <w:endnote w:type="continuationSeparator" w:id="0">
    <w:p w14:paraId="1DA838A4" w14:textId="77777777" w:rsidR="00035FC1" w:rsidRDefault="0003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7D09" w14:textId="77777777" w:rsidR="004B0B3A" w:rsidRDefault="0003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45FA" w14:textId="77777777" w:rsidR="00DA39F9" w:rsidRDefault="00625098">
    <w:pPr>
      <w:spacing w:line="14" w:lineRule="auto"/>
      <w:rPr>
        <w:color w:val="000000"/>
        <w:sz w:val="20"/>
        <w:szCs w:val="20"/>
      </w:rPr>
    </w:pPr>
    <w:r w:rsidRPr="00A6639D">
      <w:rPr>
        <w:rStyle w:val="DocID"/>
      </w:rPr>
      <w:fldChar w:fldCharType="begin"/>
    </w:r>
    <w:r w:rsidRPr="00A6639D">
      <w:rPr>
        <w:rStyle w:val="DocID"/>
      </w:rPr>
      <w:instrText xml:space="preserve"> DOCPROPERTY "DocID" \* MERGEFORMAT </w:instrText>
    </w:r>
    <w:r w:rsidRPr="00A6639D">
      <w:rPr>
        <w:rStyle w:val="DocID"/>
      </w:rPr>
      <w:fldChar w:fldCharType="separate"/>
    </w:r>
    <w:r w:rsidRPr="004B0B3A">
      <w:rPr>
        <w:rStyle w:val="DocID"/>
      </w:rPr>
      <w:t>LEGAL_34489684.1</w:t>
    </w:r>
    <w:r w:rsidRPr="00A6639D">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297D" w14:textId="77777777" w:rsidR="004B0B3A" w:rsidRDefault="00035FC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3517" w14:textId="77777777" w:rsidR="00035FC1" w:rsidRDefault="00035FC1">
      <w:r>
        <w:separator/>
      </w:r>
    </w:p>
  </w:footnote>
  <w:footnote w:type="continuationSeparator" w:id="0">
    <w:p w14:paraId="23CAA7EF" w14:textId="77777777" w:rsidR="00035FC1" w:rsidRDefault="0003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6B0" w14:textId="77777777" w:rsidR="004B0B3A" w:rsidRDefault="00035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05F" w14:textId="77777777" w:rsidR="004B0B3A" w:rsidRDefault="00035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F967" w14:textId="77777777" w:rsidR="004B0B3A" w:rsidRDefault="00035FC1">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289"/>
    <w:multiLevelType w:val="hybridMultilevel"/>
    <w:tmpl w:val="D9C05032"/>
    <w:lvl w:ilvl="0" w:tplc="64EC32B8">
      <w:start w:val="3"/>
      <w:numFmt w:val="bullet"/>
      <w:lvlText w:val=""/>
      <w:lvlJc w:val="left"/>
      <w:pPr>
        <w:ind w:left="720" w:hanging="360"/>
      </w:pPr>
      <w:rPr>
        <w:rFonts w:ascii="Wingdings" w:eastAsiaTheme="minorHAnsi" w:hAnsi="Wingdings" w:cs="Arial" w:hint="default"/>
      </w:rPr>
    </w:lvl>
    <w:lvl w:ilvl="1" w:tplc="36245AA2">
      <w:start w:val="1"/>
      <w:numFmt w:val="bullet"/>
      <w:lvlText w:val="o"/>
      <w:lvlJc w:val="left"/>
      <w:pPr>
        <w:ind w:left="1440" w:hanging="360"/>
      </w:pPr>
      <w:rPr>
        <w:rFonts w:ascii="Courier New" w:hAnsi="Courier New" w:cs="Courier New" w:hint="default"/>
      </w:rPr>
    </w:lvl>
    <w:lvl w:ilvl="2" w:tplc="8AFAFB78" w:tentative="1">
      <w:start w:val="1"/>
      <w:numFmt w:val="bullet"/>
      <w:lvlText w:val=""/>
      <w:lvlJc w:val="left"/>
      <w:pPr>
        <w:ind w:left="2160" w:hanging="360"/>
      </w:pPr>
      <w:rPr>
        <w:rFonts w:ascii="Wingdings" w:hAnsi="Wingdings" w:hint="default"/>
      </w:rPr>
    </w:lvl>
    <w:lvl w:ilvl="3" w:tplc="D2C2D946" w:tentative="1">
      <w:start w:val="1"/>
      <w:numFmt w:val="bullet"/>
      <w:lvlText w:val=""/>
      <w:lvlJc w:val="left"/>
      <w:pPr>
        <w:ind w:left="2880" w:hanging="360"/>
      </w:pPr>
      <w:rPr>
        <w:rFonts w:ascii="Symbol" w:hAnsi="Symbol" w:hint="default"/>
      </w:rPr>
    </w:lvl>
    <w:lvl w:ilvl="4" w:tplc="048A6E9A" w:tentative="1">
      <w:start w:val="1"/>
      <w:numFmt w:val="bullet"/>
      <w:lvlText w:val="o"/>
      <w:lvlJc w:val="left"/>
      <w:pPr>
        <w:ind w:left="3600" w:hanging="360"/>
      </w:pPr>
      <w:rPr>
        <w:rFonts w:ascii="Courier New" w:hAnsi="Courier New" w:cs="Courier New" w:hint="default"/>
      </w:rPr>
    </w:lvl>
    <w:lvl w:ilvl="5" w:tplc="8DA6900A" w:tentative="1">
      <w:start w:val="1"/>
      <w:numFmt w:val="bullet"/>
      <w:lvlText w:val=""/>
      <w:lvlJc w:val="left"/>
      <w:pPr>
        <w:ind w:left="4320" w:hanging="360"/>
      </w:pPr>
      <w:rPr>
        <w:rFonts w:ascii="Wingdings" w:hAnsi="Wingdings" w:hint="default"/>
      </w:rPr>
    </w:lvl>
    <w:lvl w:ilvl="6" w:tplc="573AA82C" w:tentative="1">
      <w:start w:val="1"/>
      <w:numFmt w:val="bullet"/>
      <w:lvlText w:val=""/>
      <w:lvlJc w:val="left"/>
      <w:pPr>
        <w:ind w:left="5040" w:hanging="360"/>
      </w:pPr>
      <w:rPr>
        <w:rFonts w:ascii="Symbol" w:hAnsi="Symbol" w:hint="default"/>
      </w:rPr>
    </w:lvl>
    <w:lvl w:ilvl="7" w:tplc="1B32A52A" w:tentative="1">
      <w:start w:val="1"/>
      <w:numFmt w:val="bullet"/>
      <w:lvlText w:val="o"/>
      <w:lvlJc w:val="left"/>
      <w:pPr>
        <w:ind w:left="5760" w:hanging="360"/>
      </w:pPr>
      <w:rPr>
        <w:rFonts w:ascii="Courier New" w:hAnsi="Courier New" w:cs="Courier New" w:hint="default"/>
      </w:rPr>
    </w:lvl>
    <w:lvl w:ilvl="8" w:tplc="E142426E" w:tentative="1">
      <w:start w:val="1"/>
      <w:numFmt w:val="bullet"/>
      <w:lvlText w:val=""/>
      <w:lvlJc w:val="left"/>
      <w:pPr>
        <w:ind w:left="6480" w:hanging="360"/>
      </w:pPr>
      <w:rPr>
        <w:rFonts w:ascii="Wingdings" w:hAnsi="Wingdings" w:hint="default"/>
      </w:rPr>
    </w:lvl>
  </w:abstractNum>
  <w:abstractNum w:abstractNumId="1" w15:restartNumberingAfterBreak="0">
    <w:nsid w:val="29CB1E2E"/>
    <w:multiLevelType w:val="hybridMultilevel"/>
    <w:tmpl w:val="E662C01C"/>
    <w:lvl w:ilvl="0" w:tplc="8DB49C40">
      <w:start w:val="1"/>
      <w:numFmt w:val="bullet"/>
      <w:lvlText w:val=""/>
      <w:lvlJc w:val="left"/>
      <w:pPr>
        <w:ind w:left="720" w:hanging="360"/>
      </w:pPr>
      <w:rPr>
        <w:rFonts w:ascii="Symbol" w:hAnsi="Symbol" w:hint="default"/>
      </w:rPr>
    </w:lvl>
    <w:lvl w:ilvl="1" w:tplc="CB3A13A6" w:tentative="1">
      <w:start w:val="1"/>
      <w:numFmt w:val="bullet"/>
      <w:lvlText w:val="o"/>
      <w:lvlJc w:val="left"/>
      <w:pPr>
        <w:ind w:left="1440" w:hanging="360"/>
      </w:pPr>
      <w:rPr>
        <w:rFonts w:ascii="Courier New" w:hAnsi="Courier New" w:cs="Courier New" w:hint="default"/>
      </w:rPr>
    </w:lvl>
    <w:lvl w:ilvl="2" w:tplc="0E38FC2C" w:tentative="1">
      <w:start w:val="1"/>
      <w:numFmt w:val="bullet"/>
      <w:lvlText w:val=""/>
      <w:lvlJc w:val="left"/>
      <w:pPr>
        <w:ind w:left="2160" w:hanging="360"/>
      </w:pPr>
      <w:rPr>
        <w:rFonts w:ascii="Wingdings" w:hAnsi="Wingdings" w:hint="default"/>
      </w:rPr>
    </w:lvl>
    <w:lvl w:ilvl="3" w:tplc="E580F7B8" w:tentative="1">
      <w:start w:val="1"/>
      <w:numFmt w:val="bullet"/>
      <w:lvlText w:val=""/>
      <w:lvlJc w:val="left"/>
      <w:pPr>
        <w:ind w:left="2880" w:hanging="360"/>
      </w:pPr>
      <w:rPr>
        <w:rFonts w:ascii="Symbol" w:hAnsi="Symbol" w:hint="default"/>
      </w:rPr>
    </w:lvl>
    <w:lvl w:ilvl="4" w:tplc="D226AB04" w:tentative="1">
      <w:start w:val="1"/>
      <w:numFmt w:val="bullet"/>
      <w:lvlText w:val="o"/>
      <w:lvlJc w:val="left"/>
      <w:pPr>
        <w:ind w:left="3600" w:hanging="360"/>
      </w:pPr>
      <w:rPr>
        <w:rFonts w:ascii="Courier New" w:hAnsi="Courier New" w:cs="Courier New" w:hint="default"/>
      </w:rPr>
    </w:lvl>
    <w:lvl w:ilvl="5" w:tplc="22626B3E" w:tentative="1">
      <w:start w:val="1"/>
      <w:numFmt w:val="bullet"/>
      <w:lvlText w:val=""/>
      <w:lvlJc w:val="left"/>
      <w:pPr>
        <w:ind w:left="4320" w:hanging="360"/>
      </w:pPr>
      <w:rPr>
        <w:rFonts w:ascii="Wingdings" w:hAnsi="Wingdings" w:hint="default"/>
      </w:rPr>
    </w:lvl>
    <w:lvl w:ilvl="6" w:tplc="86667B4E" w:tentative="1">
      <w:start w:val="1"/>
      <w:numFmt w:val="bullet"/>
      <w:lvlText w:val=""/>
      <w:lvlJc w:val="left"/>
      <w:pPr>
        <w:ind w:left="5040" w:hanging="360"/>
      </w:pPr>
      <w:rPr>
        <w:rFonts w:ascii="Symbol" w:hAnsi="Symbol" w:hint="default"/>
      </w:rPr>
    </w:lvl>
    <w:lvl w:ilvl="7" w:tplc="C49E8474" w:tentative="1">
      <w:start w:val="1"/>
      <w:numFmt w:val="bullet"/>
      <w:lvlText w:val="o"/>
      <w:lvlJc w:val="left"/>
      <w:pPr>
        <w:ind w:left="5760" w:hanging="360"/>
      </w:pPr>
      <w:rPr>
        <w:rFonts w:ascii="Courier New" w:hAnsi="Courier New" w:cs="Courier New" w:hint="default"/>
      </w:rPr>
    </w:lvl>
    <w:lvl w:ilvl="8" w:tplc="FF667210" w:tentative="1">
      <w:start w:val="1"/>
      <w:numFmt w:val="bullet"/>
      <w:lvlText w:val=""/>
      <w:lvlJc w:val="left"/>
      <w:pPr>
        <w:ind w:left="6480" w:hanging="360"/>
      </w:pPr>
      <w:rPr>
        <w:rFonts w:ascii="Wingdings" w:hAnsi="Wingdings" w:hint="default"/>
      </w:rPr>
    </w:lvl>
  </w:abstractNum>
  <w:abstractNum w:abstractNumId="2" w15:restartNumberingAfterBreak="0">
    <w:nsid w:val="6EDE7F40"/>
    <w:multiLevelType w:val="hybridMultilevel"/>
    <w:tmpl w:val="000AF17C"/>
    <w:lvl w:ilvl="0" w:tplc="C240C846">
      <w:start w:val="1"/>
      <w:numFmt w:val="bullet"/>
      <w:lvlText w:val=""/>
      <w:lvlJc w:val="left"/>
      <w:pPr>
        <w:ind w:left="720" w:hanging="360"/>
      </w:pPr>
      <w:rPr>
        <w:rFonts w:ascii="Symbol" w:hAnsi="Symbol" w:hint="default"/>
      </w:rPr>
    </w:lvl>
    <w:lvl w:ilvl="1" w:tplc="CCFEB3BE" w:tentative="1">
      <w:start w:val="1"/>
      <w:numFmt w:val="bullet"/>
      <w:lvlText w:val="o"/>
      <w:lvlJc w:val="left"/>
      <w:pPr>
        <w:ind w:left="1440" w:hanging="360"/>
      </w:pPr>
      <w:rPr>
        <w:rFonts w:ascii="Courier New" w:hAnsi="Courier New" w:cs="Courier New" w:hint="default"/>
      </w:rPr>
    </w:lvl>
    <w:lvl w:ilvl="2" w:tplc="34E47668" w:tentative="1">
      <w:start w:val="1"/>
      <w:numFmt w:val="bullet"/>
      <w:lvlText w:val=""/>
      <w:lvlJc w:val="left"/>
      <w:pPr>
        <w:ind w:left="2160" w:hanging="360"/>
      </w:pPr>
      <w:rPr>
        <w:rFonts w:ascii="Wingdings" w:hAnsi="Wingdings" w:hint="default"/>
      </w:rPr>
    </w:lvl>
    <w:lvl w:ilvl="3" w:tplc="E3666696" w:tentative="1">
      <w:start w:val="1"/>
      <w:numFmt w:val="bullet"/>
      <w:lvlText w:val=""/>
      <w:lvlJc w:val="left"/>
      <w:pPr>
        <w:ind w:left="2880" w:hanging="360"/>
      </w:pPr>
      <w:rPr>
        <w:rFonts w:ascii="Symbol" w:hAnsi="Symbol" w:hint="default"/>
      </w:rPr>
    </w:lvl>
    <w:lvl w:ilvl="4" w:tplc="22CC3074" w:tentative="1">
      <w:start w:val="1"/>
      <w:numFmt w:val="bullet"/>
      <w:lvlText w:val="o"/>
      <w:lvlJc w:val="left"/>
      <w:pPr>
        <w:ind w:left="3600" w:hanging="360"/>
      </w:pPr>
      <w:rPr>
        <w:rFonts w:ascii="Courier New" w:hAnsi="Courier New" w:cs="Courier New" w:hint="default"/>
      </w:rPr>
    </w:lvl>
    <w:lvl w:ilvl="5" w:tplc="627E0F54" w:tentative="1">
      <w:start w:val="1"/>
      <w:numFmt w:val="bullet"/>
      <w:lvlText w:val=""/>
      <w:lvlJc w:val="left"/>
      <w:pPr>
        <w:ind w:left="4320" w:hanging="360"/>
      </w:pPr>
      <w:rPr>
        <w:rFonts w:ascii="Wingdings" w:hAnsi="Wingdings" w:hint="default"/>
      </w:rPr>
    </w:lvl>
    <w:lvl w:ilvl="6" w:tplc="446C67DE" w:tentative="1">
      <w:start w:val="1"/>
      <w:numFmt w:val="bullet"/>
      <w:lvlText w:val=""/>
      <w:lvlJc w:val="left"/>
      <w:pPr>
        <w:ind w:left="5040" w:hanging="360"/>
      </w:pPr>
      <w:rPr>
        <w:rFonts w:ascii="Symbol" w:hAnsi="Symbol" w:hint="default"/>
      </w:rPr>
    </w:lvl>
    <w:lvl w:ilvl="7" w:tplc="4E0233EE" w:tentative="1">
      <w:start w:val="1"/>
      <w:numFmt w:val="bullet"/>
      <w:lvlText w:val="o"/>
      <w:lvlJc w:val="left"/>
      <w:pPr>
        <w:ind w:left="5760" w:hanging="360"/>
      </w:pPr>
      <w:rPr>
        <w:rFonts w:ascii="Courier New" w:hAnsi="Courier New" w:cs="Courier New" w:hint="default"/>
      </w:rPr>
    </w:lvl>
    <w:lvl w:ilvl="8" w:tplc="AD0EA268" w:tentative="1">
      <w:start w:val="1"/>
      <w:numFmt w:val="bullet"/>
      <w:lvlText w:val=""/>
      <w:lvlJc w:val="left"/>
      <w:pPr>
        <w:ind w:left="6480" w:hanging="360"/>
      </w:pPr>
      <w:rPr>
        <w:rFonts w:ascii="Wingdings" w:hAnsi="Wingdings" w:hint="default"/>
      </w:rPr>
    </w:lvl>
  </w:abstractNum>
  <w:abstractNum w:abstractNumId="3" w15:restartNumberingAfterBreak="0">
    <w:nsid w:val="7082047C"/>
    <w:multiLevelType w:val="hybridMultilevel"/>
    <w:tmpl w:val="5DCCC334"/>
    <w:lvl w:ilvl="0" w:tplc="C6F67DA4">
      <w:start w:val="1"/>
      <w:numFmt w:val="bullet"/>
      <w:lvlText w:val=""/>
      <w:lvlJc w:val="left"/>
      <w:pPr>
        <w:ind w:left="1440" w:hanging="360"/>
      </w:pPr>
      <w:rPr>
        <w:rFonts w:ascii="Symbol" w:hAnsi="Symbol" w:hint="default"/>
      </w:rPr>
    </w:lvl>
    <w:lvl w:ilvl="1" w:tplc="771E27E8" w:tentative="1">
      <w:start w:val="1"/>
      <w:numFmt w:val="bullet"/>
      <w:lvlText w:val="o"/>
      <w:lvlJc w:val="left"/>
      <w:pPr>
        <w:ind w:left="2160" w:hanging="360"/>
      </w:pPr>
      <w:rPr>
        <w:rFonts w:ascii="Courier New" w:hAnsi="Courier New" w:cs="Courier New" w:hint="default"/>
      </w:rPr>
    </w:lvl>
    <w:lvl w:ilvl="2" w:tplc="43022E22" w:tentative="1">
      <w:start w:val="1"/>
      <w:numFmt w:val="bullet"/>
      <w:lvlText w:val=""/>
      <w:lvlJc w:val="left"/>
      <w:pPr>
        <w:ind w:left="2880" w:hanging="360"/>
      </w:pPr>
      <w:rPr>
        <w:rFonts w:ascii="Wingdings" w:hAnsi="Wingdings" w:hint="default"/>
      </w:rPr>
    </w:lvl>
    <w:lvl w:ilvl="3" w:tplc="1708CC04" w:tentative="1">
      <w:start w:val="1"/>
      <w:numFmt w:val="bullet"/>
      <w:lvlText w:val=""/>
      <w:lvlJc w:val="left"/>
      <w:pPr>
        <w:ind w:left="3600" w:hanging="360"/>
      </w:pPr>
      <w:rPr>
        <w:rFonts w:ascii="Symbol" w:hAnsi="Symbol" w:hint="default"/>
      </w:rPr>
    </w:lvl>
    <w:lvl w:ilvl="4" w:tplc="4CA857FC" w:tentative="1">
      <w:start w:val="1"/>
      <w:numFmt w:val="bullet"/>
      <w:lvlText w:val="o"/>
      <w:lvlJc w:val="left"/>
      <w:pPr>
        <w:ind w:left="4320" w:hanging="360"/>
      </w:pPr>
      <w:rPr>
        <w:rFonts w:ascii="Courier New" w:hAnsi="Courier New" w:cs="Courier New" w:hint="default"/>
      </w:rPr>
    </w:lvl>
    <w:lvl w:ilvl="5" w:tplc="F21A703E" w:tentative="1">
      <w:start w:val="1"/>
      <w:numFmt w:val="bullet"/>
      <w:lvlText w:val=""/>
      <w:lvlJc w:val="left"/>
      <w:pPr>
        <w:ind w:left="5040" w:hanging="360"/>
      </w:pPr>
      <w:rPr>
        <w:rFonts w:ascii="Wingdings" w:hAnsi="Wingdings" w:hint="default"/>
      </w:rPr>
    </w:lvl>
    <w:lvl w:ilvl="6" w:tplc="5F2A52D4" w:tentative="1">
      <w:start w:val="1"/>
      <w:numFmt w:val="bullet"/>
      <w:lvlText w:val=""/>
      <w:lvlJc w:val="left"/>
      <w:pPr>
        <w:ind w:left="5760" w:hanging="360"/>
      </w:pPr>
      <w:rPr>
        <w:rFonts w:ascii="Symbol" w:hAnsi="Symbol" w:hint="default"/>
      </w:rPr>
    </w:lvl>
    <w:lvl w:ilvl="7" w:tplc="F2A43F0E" w:tentative="1">
      <w:start w:val="1"/>
      <w:numFmt w:val="bullet"/>
      <w:lvlText w:val="o"/>
      <w:lvlJc w:val="left"/>
      <w:pPr>
        <w:ind w:left="6480" w:hanging="360"/>
      </w:pPr>
      <w:rPr>
        <w:rFonts w:ascii="Courier New" w:hAnsi="Courier New" w:cs="Courier New" w:hint="default"/>
      </w:rPr>
    </w:lvl>
    <w:lvl w:ilvl="8" w:tplc="4D401C78" w:tentative="1">
      <w:start w:val="1"/>
      <w:numFmt w:val="bullet"/>
      <w:lvlText w:val=""/>
      <w:lvlJc w:val="left"/>
      <w:pPr>
        <w:ind w:left="7200" w:hanging="360"/>
      </w:pPr>
      <w:rPr>
        <w:rFonts w:ascii="Wingdings" w:hAnsi="Wingdings" w:hint="default"/>
      </w:rPr>
    </w:lvl>
  </w:abstractNum>
  <w:abstractNum w:abstractNumId="4" w15:restartNumberingAfterBreak="0">
    <w:nsid w:val="77415314"/>
    <w:multiLevelType w:val="hybridMultilevel"/>
    <w:tmpl w:val="DA3E0F60"/>
    <w:lvl w:ilvl="0" w:tplc="ECE23544">
      <w:start w:val="1"/>
      <w:numFmt w:val="bullet"/>
      <w:lvlText w:val=""/>
      <w:lvlJc w:val="left"/>
      <w:pPr>
        <w:ind w:left="720" w:hanging="360"/>
      </w:pPr>
      <w:rPr>
        <w:rFonts w:ascii="Wingdings" w:hAnsi="Wingdings" w:hint="default"/>
      </w:rPr>
    </w:lvl>
    <w:lvl w:ilvl="1" w:tplc="FF0289A8" w:tentative="1">
      <w:start w:val="1"/>
      <w:numFmt w:val="bullet"/>
      <w:lvlText w:val="o"/>
      <w:lvlJc w:val="left"/>
      <w:pPr>
        <w:ind w:left="1440" w:hanging="360"/>
      </w:pPr>
      <w:rPr>
        <w:rFonts w:ascii="Courier New" w:hAnsi="Courier New" w:cs="Courier New" w:hint="default"/>
      </w:rPr>
    </w:lvl>
    <w:lvl w:ilvl="2" w:tplc="66124942" w:tentative="1">
      <w:start w:val="1"/>
      <w:numFmt w:val="bullet"/>
      <w:lvlText w:val=""/>
      <w:lvlJc w:val="left"/>
      <w:pPr>
        <w:ind w:left="2160" w:hanging="360"/>
      </w:pPr>
      <w:rPr>
        <w:rFonts w:ascii="Wingdings" w:hAnsi="Wingdings" w:hint="default"/>
      </w:rPr>
    </w:lvl>
    <w:lvl w:ilvl="3" w:tplc="CA4C646E" w:tentative="1">
      <w:start w:val="1"/>
      <w:numFmt w:val="bullet"/>
      <w:lvlText w:val=""/>
      <w:lvlJc w:val="left"/>
      <w:pPr>
        <w:ind w:left="2880" w:hanging="360"/>
      </w:pPr>
      <w:rPr>
        <w:rFonts w:ascii="Symbol" w:hAnsi="Symbol" w:hint="default"/>
      </w:rPr>
    </w:lvl>
    <w:lvl w:ilvl="4" w:tplc="69DEEC92" w:tentative="1">
      <w:start w:val="1"/>
      <w:numFmt w:val="bullet"/>
      <w:lvlText w:val="o"/>
      <w:lvlJc w:val="left"/>
      <w:pPr>
        <w:ind w:left="3600" w:hanging="360"/>
      </w:pPr>
      <w:rPr>
        <w:rFonts w:ascii="Courier New" w:hAnsi="Courier New" w:cs="Courier New" w:hint="default"/>
      </w:rPr>
    </w:lvl>
    <w:lvl w:ilvl="5" w:tplc="36744CA0" w:tentative="1">
      <w:start w:val="1"/>
      <w:numFmt w:val="bullet"/>
      <w:lvlText w:val=""/>
      <w:lvlJc w:val="left"/>
      <w:pPr>
        <w:ind w:left="4320" w:hanging="360"/>
      </w:pPr>
      <w:rPr>
        <w:rFonts w:ascii="Wingdings" w:hAnsi="Wingdings" w:hint="default"/>
      </w:rPr>
    </w:lvl>
    <w:lvl w:ilvl="6" w:tplc="197E383C" w:tentative="1">
      <w:start w:val="1"/>
      <w:numFmt w:val="bullet"/>
      <w:lvlText w:val=""/>
      <w:lvlJc w:val="left"/>
      <w:pPr>
        <w:ind w:left="5040" w:hanging="360"/>
      </w:pPr>
      <w:rPr>
        <w:rFonts w:ascii="Symbol" w:hAnsi="Symbol" w:hint="default"/>
      </w:rPr>
    </w:lvl>
    <w:lvl w:ilvl="7" w:tplc="E33E483C" w:tentative="1">
      <w:start w:val="1"/>
      <w:numFmt w:val="bullet"/>
      <w:lvlText w:val="o"/>
      <w:lvlJc w:val="left"/>
      <w:pPr>
        <w:ind w:left="5760" w:hanging="360"/>
      </w:pPr>
      <w:rPr>
        <w:rFonts w:ascii="Courier New" w:hAnsi="Courier New" w:cs="Courier New" w:hint="default"/>
      </w:rPr>
    </w:lvl>
    <w:lvl w:ilvl="8" w:tplc="99060AEA" w:tentative="1">
      <w:start w:val="1"/>
      <w:numFmt w:val="bullet"/>
      <w:lvlText w:val=""/>
      <w:lvlJc w:val="left"/>
      <w:pPr>
        <w:ind w:left="6480" w:hanging="360"/>
      </w:pPr>
      <w:rPr>
        <w:rFonts w:ascii="Wingdings" w:hAnsi="Wingdings" w:hint="default"/>
      </w:rPr>
    </w:lvl>
  </w:abstractNum>
  <w:abstractNum w:abstractNumId="5" w15:restartNumberingAfterBreak="0">
    <w:nsid w:val="7AF6731C"/>
    <w:multiLevelType w:val="hybridMultilevel"/>
    <w:tmpl w:val="027A8368"/>
    <w:lvl w:ilvl="0" w:tplc="AC0A7E5E">
      <w:numFmt w:val="bullet"/>
      <w:lvlText w:val="-"/>
      <w:lvlJc w:val="left"/>
      <w:pPr>
        <w:ind w:left="1800" w:hanging="360"/>
      </w:pPr>
      <w:rPr>
        <w:rFonts w:ascii="Times New Roman" w:eastAsiaTheme="minorHAnsi" w:hAnsi="Times New Roman" w:cs="Times New Roman" w:hint="default"/>
      </w:rPr>
    </w:lvl>
    <w:lvl w:ilvl="1" w:tplc="6FD22F06" w:tentative="1">
      <w:start w:val="1"/>
      <w:numFmt w:val="bullet"/>
      <w:lvlText w:val="o"/>
      <w:lvlJc w:val="left"/>
      <w:pPr>
        <w:ind w:left="2520" w:hanging="360"/>
      </w:pPr>
      <w:rPr>
        <w:rFonts w:ascii="Courier New" w:hAnsi="Courier New" w:cs="Courier New" w:hint="default"/>
      </w:rPr>
    </w:lvl>
    <w:lvl w:ilvl="2" w:tplc="6FC0884E" w:tentative="1">
      <w:start w:val="1"/>
      <w:numFmt w:val="bullet"/>
      <w:lvlText w:val=""/>
      <w:lvlJc w:val="left"/>
      <w:pPr>
        <w:ind w:left="3240" w:hanging="360"/>
      </w:pPr>
      <w:rPr>
        <w:rFonts w:ascii="Wingdings" w:hAnsi="Wingdings" w:hint="default"/>
      </w:rPr>
    </w:lvl>
    <w:lvl w:ilvl="3" w:tplc="80D6320E" w:tentative="1">
      <w:start w:val="1"/>
      <w:numFmt w:val="bullet"/>
      <w:lvlText w:val=""/>
      <w:lvlJc w:val="left"/>
      <w:pPr>
        <w:ind w:left="3960" w:hanging="360"/>
      </w:pPr>
      <w:rPr>
        <w:rFonts w:ascii="Symbol" w:hAnsi="Symbol" w:hint="default"/>
      </w:rPr>
    </w:lvl>
    <w:lvl w:ilvl="4" w:tplc="B8B0B350" w:tentative="1">
      <w:start w:val="1"/>
      <w:numFmt w:val="bullet"/>
      <w:lvlText w:val="o"/>
      <w:lvlJc w:val="left"/>
      <w:pPr>
        <w:ind w:left="4680" w:hanging="360"/>
      </w:pPr>
      <w:rPr>
        <w:rFonts w:ascii="Courier New" w:hAnsi="Courier New" w:cs="Courier New" w:hint="default"/>
      </w:rPr>
    </w:lvl>
    <w:lvl w:ilvl="5" w:tplc="80524D4E" w:tentative="1">
      <w:start w:val="1"/>
      <w:numFmt w:val="bullet"/>
      <w:lvlText w:val=""/>
      <w:lvlJc w:val="left"/>
      <w:pPr>
        <w:ind w:left="5400" w:hanging="360"/>
      </w:pPr>
      <w:rPr>
        <w:rFonts w:ascii="Wingdings" w:hAnsi="Wingdings" w:hint="default"/>
      </w:rPr>
    </w:lvl>
    <w:lvl w:ilvl="6" w:tplc="270C3FD2" w:tentative="1">
      <w:start w:val="1"/>
      <w:numFmt w:val="bullet"/>
      <w:lvlText w:val=""/>
      <w:lvlJc w:val="left"/>
      <w:pPr>
        <w:ind w:left="6120" w:hanging="360"/>
      </w:pPr>
      <w:rPr>
        <w:rFonts w:ascii="Symbol" w:hAnsi="Symbol" w:hint="default"/>
      </w:rPr>
    </w:lvl>
    <w:lvl w:ilvl="7" w:tplc="DC50A29A" w:tentative="1">
      <w:start w:val="1"/>
      <w:numFmt w:val="bullet"/>
      <w:lvlText w:val="o"/>
      <w:lvlJc w:val="left"/>
      <w:pPr>
        <w:ind w:left="6840" w:hanging="360"/>
      </w:pPr>
      <w:rPr>
        <w:rFonts w:ascii="Courier New" w:hAnsi="Courier New" w:cs="Courier New" w:hint="default"/>
      </w:rPr>
    </w:lvl>
    <w:lvl w:ilvl="8" w:tplc="8C74AD5A"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77"/>
    <w:rsid w:val="00035FC1"/>
    <w:rsid w:val="00625098"/>
    <w:rsid w:val="00636D77"/>
    <w:rsid w:val="007776FA"/>
    <w:rsid w:val="00855995"/>
    <w:rsid w:val="00B3459F"/>
    <w:rsid w:val="00B4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CC3633"/>
  <w15:docId w15:val="{45CAD5A6-5DCC-4271-9E6D-412C706B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520"/>
    <w:pPr>
      <w:tabs>
        <w:tab w:val="center" w:pos="4680"/>
        <w:tab w:val="right" w:pos="9360"/>
      </w:tabs>
    </w:pPr>
  </w:style>
  <w:style w:type="character" w:customStyle="1" w:styleId="HeaderChar">
    <w:name w:val="Header Char"/>
    <w:basedOn w:val="DefaultParagraphFont"/>
    <w:link w:val="Header"/>
    <w:uiPriority w:val="99"/>
    <w:rsid w:val="005A2520"/>
  </w:style>
  <w:style w:type="paragraph" w:styleId="Footer">
    <w:name w:val="footer"/>
    <w:basedOn w:val="Normal"/>
    <w:link w:val="FooterChar"/>
    <w:uiPriority w:val="99"/>
    <w:unhideWhenUsed/>
    <w:rsid w:val="005A2520"/>
    <w:pPr>
      <w:tabs>
        <w:tab w:val="center" w:pos="4680"/>
        <w:tab w:val="right" w:pos="9360"/>
      </w:tabs>
    </w:pPr>
  </w:style>
  <w:style w:type="character" w:customStyle="1" w:styleId="FooterChar">
    <w:name w:val="Footer Char"/>
    <w:basedOn w:val="DefaultParagraphFont"/>
    <w:link w:val="Footer"/>
    <w:uiPriority w:val="99"/>
    <w:rsid w:val="005A2520"/>
  </w:style>
  <w:style w:type="character" w:customStyle="1" w:styleId="DocID">
    <w:name w:val="DocID"/>
    <w:basedOn w:val="DefaultParagraphFont"/>
    <w:rsid w:val="00504578"/>
    <w:rPr>
      <w:rFonts w:ascii="Verdana" w:hAnsi="Verdana" w:cs="Times New Roman"/>
      <w:b w:val="0"/>
      <w:i w:val="0"/>
      <w:caps w:val="0"/>
      <w:vanish w:val="0"/>
      <w:color w:val="000000"/>
      <w:sz w:val="14"/>
      <w:szCs w:val="24"/>
      <w:u w:val="none"/>
    </w:rPr>
  </w:style>
  <w:style w:type="paragraph" w:styleId="BalloonText">
    <w:name w:val="Balloon Text"/>
    <w:basedOn w:val="Normal"/>
    <w:link w:val="BalloonTextChar"/>
    <w:uiPriority w:val="99"/>
    <w:semiHidden/>
    <w:unhideWhenUsed/>
    <w:rsid w:val="00C62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B7"/>
    <w:rPr>
      <w:rFonts w:ascii="Segoe UI" w:hAnsi="Segoe UI" w:cs="Segoe UI"/>
      <w:sz w:val="18"/>
      <w:szCs w:val="18"/>
    </w:rPr>
  </w:style>
  <w:style w:type="character" w:styleId="Hyperlink">
    <w:name w:val="Hyperlink"/>
    <w:basedOn w:val="DefaultParagraphFont"/>
    <w:uiPriority w:val="99"/>
    <w:unhideWhenUsed/>
    <w:rsid w:val="000A45B8"/>
    <w:rPr>
      <w:color w:val="0000FF" w:themeColor="hyperlink"/>
      <w:u w:val="single"/>
    </w:rPr>
  </w:style>
  <w:style w:type="character" w:styleId="Strong">
    <w:name w:val="Strong"/>
    <w:uiPriority w:val="22"/>
    <w:qFormat/>
    <w:rsid w:val="000A45B8"/>
    <w:rPr>
      <w:b/>
      <w:bCs/>
    </w:rPr>
  </w:style>
  <w:style w:type="paragraph" w:customStyle="1" w:styleId="Default">
    <w:name w:val="Default"/>
    <w:link w:val="DefaultChar"/>
    <w:rsid w:val="00C93406"/>
    <w:pPr>
      <w:widowControl/>
      <w:autoSpaceDE w:val="0"/>
      <w:autoSpaceDN w:val="0"/>
      <w:adjustRightInd w:val="0"/>
    </w:pPr>
    <w:rPr>
      <w:rFonts w:ascii="Arial" w:hAnsi="Arial" w:cs="Arial"/>
      <w:color w:val="000000"/>
      <w:sz w:val="24"/>
      <w:szCs w:val="24"/>
    </w:rPr>
  </w:style>
  <w:style w:type="character" w:customStyle="1" w:styleId="DefaultChar">
    <w:name w:val="Default Char"/>
    <w:link w:val="Default"/>
    <w:rsid w:val="00C93406"/>
    <w:rPr>
      <w:rFonts w:ascii="Arial" w:hAnsi="Arial" w:cs="Arial"/>
      <w:color w:val="000000"/>
      <w:sz w:val="24"/>
      <w:szCs w:val="24"/>
    </w:rPr>
  </w:style>
  <w:style w:type="paragraph" w:customStyle="1" w:styleId="gmail-msolistparagraph">
    <w:name w:val="gmail-msolistparagraph"/>
    <w:basedOn w:val="Normal"/>
    <w:rsid w:val="004B0B3A"/>
    <w:pPr>
      <w:widowControl/>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a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sangha@firstenergymeta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Gurminder  Sangha</cp:lastModifiedBy>
  <cp:revision>2</cp:revision>
  <dcterms:created xsi:type="dcterms:W3CDTF">2020-08-24T22:32:00Z</dcterms:created>
  <dcterms:modified xsi:type="dcterms:W3CDTF">2020-08-24T22:32:00Z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LEGAL_34489684.1</vt:lpwstr>
  </property>
</Properties>
</file>