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E8276" w14:textId="77777777" w:rsidR="00D452BD" w:rsidRPr="00D6363D" w:rsidRDefault="003A78DB" w:rsidP="00D452BD">
      <w:pPr>
        <w:jc w:val="center"/>
        <w:rPr>
          <w:rFonts w:cstheme="minorHAnsi"/>
          <w:b/>
          <w:sz w:val="28"/>
          <w:szCs w:val="28"/>
        </w:rPr>
      </w:pPr>
      <w:r w:rsidRPr="00D6363D">
        <w:rPr>
          <w:rFonts w:cstheme="minorHAnsi"/>
          <w:b/>
          <w:bCs/>
          <w:sz w:val="28"/>
          <w:szCs w:val="28"/>
          <w:lang w:val="en-CA"/>
        </w:rPr>
        <w:t>NEWS RELEASE</w:t>
      </w:r>
    </w:p>
    <w:p w14:paraId="793FBD4F" w14:textId="77777777" w:rsidR="00C27245" w:rsidRPr="0075319E" w:rsidRDefault="003A78DB" w:rsidP="0075319E">
      <w:pPr>
        <w:jc w:val="center"/>
        <w:rPr>
          <w:rFonts w:cstheme="minorHAnsi"/>
          <w:b/>
          <w:color w:val="000000" w:themeColor="text1"/>
          <w:sz w:val="28"/>
          <w:szCs w:val="28"/>
        </w:rPr>
      </w:pPr>
      <w:r w:rsidRPr="0075319E">
        <w:rPr>
          <w:rFonts w:cstheme="minorHAnsi"/>
          <w:b/>
          <w:color w:val="000000" w:themeColor="text1"/>
          <w:sz w:val="28"/>
          <w:szCs w:val="28"/>
        </w:rPr>
        <w:t xml:space="preserve">New Tech Minerals </w:t>
      </w:r>
      <w:r w:rsidRPr="0075319E">
        <w:rPr>
          <w:rFonts w:cstheme="minorHAnsi"/>
          <w:b/>
          <w:color w:val="000000" w:themeColor="text1"/>
          <w:sz w:val="28"/>
          <w:szCs w:val="28"/>
        </w:rPr>
        <w:t xml:space="preserve">Announces </w:t>
      </w:r>
      <w:r>
        <w:rPr>
          <w:rFonts w:cstheme="minorHAnsi"/>
          <w:b/>
          <w:color w:val="000000" w:themeColor="text1"/>
          <w:sz w:val="28"/>
          <w:szCs w:val="28"/>
        </w:rPr>
        <w:t xml:space="preserve">Closing of </w:t>
      </w:r>
      <w:r w:rsidRPr="0075319E">
        <w:rPr>
          <w:rFonts w:cstheme="minorHAnsi"/>
          <w:b/>
          <w:color w:val="000000" w:themeColor="text1"/>
          <w:sz w:val="28"/>
          <w:szCs w:val="28"/>
        </w:rPr>
        <w:t>Non-Brokered Private Placement</w:t>
      </w:r>
    </w:p>
    <w:p w14:paraId="1D4E74BD" w14:textId="084C362F" w:rsidR="00E80FAA" w:rsidRPr="00E80FAA" w:rsidRDefault="003A78DB" w:rsidP="00E80FAA">
      <w:pPr>
        <w:jc w:val="both"/>
        <w:rPr>
          <w:rFonts w:cstheme="minorHAnsi"/>
          <w:color w:val="000000" w:themeColor="text1"/>
        </w:rPr>
      </w:pPr>
      <w:r w:rsidRPr="00E80FAA">
        <w:rPr>
          <w:rFonts w:cstheme="minorHAnsi"/>
          <w:color w:val="000000" w:themeColor="text1"/>
        </w:rPr>
        <w:t xml:space="preserve">September </w:t>
      </w:r>
      <w:r>
        <w:rPr>
          <w:rFonts w:cstheme="minorHAnsi"/>
          <w:color w:val="000000" w:themeColor="text1"/>
        </w:rPr>
        <w:t xml:space="preserve">10 </w:t>
      </w:r>
      <w:r w:rsidRPr="00E80FAA">
        <w:rPr>
          <w:rFonts w:cstheme="minorHAnsi"/>
          <w:color w:val="000000" w:themeColor="text1"/>
        </w:rPr>
        <w:t>, 2020</w:t>
      </w:r>
      <w:r>
        <w:rPr>
          <w:rFonts w:cstheme="minorHAnsi"/>
          <w:color w:val="000000" w:themeColor="text1"/>
        </w:rPr>
        <w:t>,</w:t>
      </w:r>
      <w:r w:rsidRPr="00E80FAA">
        <w:rPr>
          <w:rFonts w:cstheme="minorHAnsi"/>
          <w:color w:val="000000" w:themeColor="text1"/>
        </w:rPr>
        <w:t xml:space="preserve"> Vancouver, British Columbia – New Tech Min</w:t>
      </w:r>
      <w:r>
        <w:rPr>
          <w:rFonts w:cstheme="minorHAnsi"/>
          <w:color w:val="000000" w:themeColor="text1"/>
        </w:rPr>
        <w:t xml:space="preserve">erals </w:t>
      </w:r>
      <w:r w:rsidRPr="00E80FAA">
        <w:rPr>
          <w:rFonts w:cstheme="minorHAnsi"/>
          <w:color w:val="000000" w:themeColor="text1"/>
        </w:rPr>
        <w:t xml:space="preserve">Corp. (“New Tech” or the “Company") is pleased to announce that it has closed its previously </w:t>
      </w:r>
      <w:r w:rsidRPr="00E80FAA">
        <w:rPr>
          <w:rFonts w:cstheme="minorHAnsi"/>
          <w:color w:val="000000" w:themeColor="text1"/>
        </w:rPr>
        <w:t>announced non-brokered private placement (the “Private Placement”).</w:t>
      </w:r>
      <w:r>
        <w:rPr>
          <w:rFonts w:cstheme="minorHAnsi"/>
          <w:color w:val="000000" w:themeColor="text1"/>
        </w:rPr>
        <w:t xml:space="preserve">  </w:t>
      </w:r>
      <w:r>
        <w:rPr>
          <w:rFonts w:cstheme="minorHAnsi"/>
          <w:color w:val="000000" w:themeColor="text1"/>
        </w:rPr>
        <w:t>T</w:t>
      </w:r>
      <w:r w:rsidRPr="00E80FAA">
        <w:rPr>
          <w:rFonts w:cstheme="minorHAnsi"/>
          <w:color w:val="000000" w:themeColor="text1"/>
        </w:rPr>
        <w:t>he Company has issued 12,800,000 units (</w:t>
      </w:r>
      <w:r>
        <w:rPr>
          <w:rFonts w:cstheme="minorHAnsi"/>
          <w:color w:val="000000" w:themeColor="text1"/>
        </w:rPr>
        <w:t xml:space="preserve">the </w:t>
      </w:r>
      <w:r w:rsidRPr="00E80FAA">
        <w:rPr>
          <w:rFonts w:cstheme="minorHAnsi"/>
          <w:color w:val="000000" w:themeColor="text1"/>
        </w:rPr>
        <w:t xml:space="preserve">“Units”) </w:t>
      </w:r>
      <w:r>
        <w:rPr>
          <w:rFonts w:cstheme="minorHAnsi"/>
          <w:color w:val="000000" w:themeColor="text1"/>
        </w:rPr>
        <w:t xml:space="preserve">pursuant to the Private Placement </w:t>
      </w:r>
      <w:r w:rsidRPr="00E80FAA">
        <w:rPr>
          <w:rFonts w:cstheme="minorHAnsi"/>
          <w:color w:val="000000" w:themeColor="text1"/>
        </w:rPr>
        <w:t>at a price of $0.05 per Unit for total gross proceeds of $640,000.  Each Unit consists of one commo</w:t>
      </w:r>
      <w:r w:rsidRPr="00E80FAA">
        <w:rPr>
          <w:rFonts w:cstheme="minorHAnsi"/>
          <w:color w:val="000000" w:themeColor="text1"/>
        </w:rPr>
        <w:t xml:space="preserve">n share (a “Common Share”) and one non-transferable Common Share purchase warrant (each whole warrant, a “Warrant”). </w:t>
      </w:r>
      <w:r>
        <w:rPr>
          <w:rFonts w:cstheme="minorHAnsi"/>
          <w:color w:val="000000" w:themeColor="text1"/>
        </w:rPr>
        <w:t xml:space="preserve"> </w:t>
      </w:r>
      <w:r w:rsidRPr="00E80FAA">
        <w:rPr>
          <w:rFonts w:cstheme="minorHAnsi"/>
          <w:color w:val="000000" w:themeColor="text1"/>
        </w:rPr>
        <w:t>Each Warrant is exercisable for one additional Common Share at an exercise price of $0.07</w:t>
      </w:r>
      <w:r>
        <w:rPr>
          <w:rFonts w:cstheme="minorHAnsi"/>
          <w:color w:val="000000" w:themeColor="text1"/>
        </w:rPr>
        <w:t>5</w:t>
      </w:r>
      <w:r w:rsidRPr="00E80FAA">
        <w:rPr>
          <w:rFonts w:cstheme="minorHAnsi"/>
          <w:color w:val="000000" w:themeColor="text1"/>
        </w:rPr>
        <w:t xml:space="preserve"> until September 8, 2023.  The Company has the r</w:t>
      </w:r>
      <w:r w:rsidRPr="00E80FAA">
        <w:rPr>
          <w:rFonts w:cstheme="minorHAnsi"/>
          <w:color w:val="000000" w:themeColor="text1"/>
        </w:rPr>
        <w:t xml:space="preserve">ight to accelerate the expiry date of the warrants to 30 days if the closing price for the Company's shares is at least $0.30 for </w:t>
      </w:r>
      <w:r>
        <w:rPr>
          <w:rFonts w:cstheme="minorHAnsi"/>
          <w:color w:val="000000" w:themeColor="text1"/>
        </w:rPr>
        <w:t xml:space="preserve">a period of ten </w:t>
      </w:r>
      <w:r w:rsidRPr="00E80FAA">
        <w:rPr>
          <w:rFonts w:cstheme="minorHAnsi"/>
          <w:color w:val="000000" w:themeColor="text1"/>
        </w:rPr>
        <w:t>consecutive trading days.</w:t>
      </w:r>
    </w:p>
    <w:p w14:paraId="65E14602" w14:textId="77777777" w:rsidR="00E80FAA" w:rsidRPr="00E80FAA" w:rsidRDefault="003A78DB" w:rsidP="00E80FAA">
      <w:pPr>
        <w:jc w:val="both"/>
        <w:rPr>
          <w:rFonts w:cstheme="minorHAnsi"/>
          <w:color w:val="000000" w:themeColor="text1"/>
        </w:rPr>
      </w:pPr>
      <w:r>
        <w:rPr>
          <w:rFonts w:cstheme="minorHAnsi"/>
          <w:color w:val="000000" w:themeColor="text1"/>
        </w:rPr>
        <w:t>T</w:t>
      </w:r>
      <w:r w:rsidRPr="00E80FAA">
        <w:rPr>
          <w:rFonts w:cstheme="minorHAnsi"/>
          <w:color w:val="000000" w:themeColor="text1"/>
        </w:rPr>
        <w:t xml:space="preserve">he Company has paid a </w:t>
      </w:r>
      <w:r>
        <w:rPr>
          <w:rFonts w:cstheme="minorHAnsi"/>
          <w:color w:val="000000" w:themeColor="text1"/>
        </w:rPr>
        <w:t xml:space="preserve">6% </w:t>
      </w:r>
      <w:r w:rsidRPr="00E80FAA">
        <w:rPr>
          <w:rFonts w:cstheme="minorHAnsi"/>
          <w:color w:val="000000" w:themeColor="text1"/>
        </w:rPr>
        <w:t xml:space="preserve">finder’s fee to Haywood Securities Inc. (“Haywood”) </w:t>
      </w:r>
      <w:r>
        <w:rPr>
          <w:rFonts w:cstheme="minorHAnsi"/>
          <w:color w:val="000000" w:themeColor="text1"/>
        </w:rPr>
        <w:t xml:space="preserve">in connection with </w:t>
      </w:r>
      <w:r w:rsidRPr="00E80FAA">
        <w:rPr>
          <w:rFonts w:cstheme="minorHAnsi"/>
          <w:color w:val="000000" w:themeColor="text1"/>
        </w:rPr>
        <w:t>proceeds raised by the Company from investors introduced to the Company by Haywood, consisting of a cash amount of $</w:t>
      </w:r>
      <w:r>
        <w:rPr>
          <w:rFonts w:cstheme="minorHAnsi"/>
          <w:color w:val="000000" w:themeColor="text1"/>
        </w:rPr>
        <w:t>24,000</w:t>
      </w:r>
      <w:r w:rsidRPr="00E80FAA">
        <w:rPr>
          <w:rFonts w:cstheme="minorHAnsi"/>
          <w:color w:val="000000" w:themeColor="text1"/>
        </w:rPr>
        <w:t xml:space="preserve"> and </w:t>
      </w:r>
      <w:r>
        <w:rPr>
          <w:rFonts w:cstheme="minorHAnsi"/>
          <w:color w:val="000000" w:themeColor="text1"/>
        </w:rPr>
        <w:t>480,000</w:t>
      </w:r>
      <w:r w:rsidRPr="00E80FAA">
        <w:rPr>
          <w:rFonts w:cstheme="minorHAnsi"/>
          <w:color w:val="000000" w:themeColor="text1"/>
        </w:rPr>
        <w:t xml:space="preserve"> broker warrants (each a "Broker's Warrant").  Each Broker’s Warrant has the same terms as the Warrants</w:t>
      </w:r>
      <w:r w:rsidRPr="00E80FAA">
        <w:rPr>
          <w:rFonts w:cstheme="minorHAnsi"/>
          <w:color w:val="000000" w:themeColor="text1"/>
        </w:rPr>
        <w:t>.  All securities issued pursuant to the Private Placement are subject to a statutory hold period of four months from the date of issuance.</w:t>
      </w:r>
    </w:p>
    <w:p w14:paraId="0E47A248" w14:textId="77777777" w:rsidR="00E80FAA" w:rsidRPr="00E80FAA" w:rsidRDefault="003A78DB" w:rsidP="00E80FAA">
      <w:pPr>
        <w:jc w:val="both"/>
        <w:rPr>
          <w:rFonts w:cstheme="minorHAnsi"/>
          <w:color w:val="000000" w:themeColor="text1"/>
        </w:rPr>
      </w:pPr>
      <w:r w:rsidRPr="00E80FAA">
        <w:rPr>
          <w:rFonts w:cstheme="minorHAnsi"/>
          <w:color w:val="000000" w:themeColor="text1"/>
        </w:rPr>
        <w:t>Certain insiders of the Company have subscribed for Units pursuant to the Private Placement. The issuance of the Uni</w:t>
      </w:r>
      <w:r w:rsidRPr="00E80FAA">
        <w:rPr>
          <w:rFonts w:cstheme="minorHAnsi"/>
          <w:color w:val="000000" w:themeColor="text1"/>
        </w:rPr>
        <w:t>ts to the insiders pursuant to the Private Placement (the “Insider Participation”) will be considered to be a related party transaction within the meaning of Multilateral Instrument 61-101 (“MI 61-101”). The Company intends to rely on the exemptions from t</w:t>
      </w:r>
      <w:r w:rsidRPr="00E80FAA">
        <w:rPr>
          <w:rFonts w:cstheme="minorHAnsi"/>
          <w:color w:val="000000" w:themeColor="text1"/>
        </w:rPr>
        <w:t>he valuation and minority shareholder approval requirements of MI 61-101 contained in Sections 5.5(b) and 5.7(1)(a) of MI 61-101 in respect of any Insider Participation.</w:t>
      </w:r>
    </w:p>
    <w:p w14:paraId="6D2958AE" w14:textId="77777777" w:rsidR="00931638" w:rsidRDefault="003A78DB" w:rsidP="00931638">
      <w:pPr>
        <w:widowControl w:val="0"/>
        <w:autoSpaceDE w:val="0"/>
        <w:autoSpaceDN w:val="0"/>
        <w:adjustRightInd w:val="0"/>
        <w:spacing w:after="320"/>
        <w:jc w:val="both"/>
        <w:rPr>
          <w:rFonts w:eastAsia="Times New Roman" w:cstheme="minorHAnsi"/>
          <w:lang w:val="en-CA"/>
        </w:rPr>
      </w:pPr>
      <w:r w:rsidRPr="0075319E">
        <w:rPr>
          <w:rFonts w:eastAsia="Times New Roman" w:cstheme="minorHAnsi"/>
          <w:lang w:val="en-CA"/>
        </w:rPr>
        <w:t xml:space="preserve">The proceeds from the sale of Units will be </w:t>
      </w:r>
      <w:r>
        <w:rPr>
          <w:rFonts w:eastAsia="Times New Roman" w:cstheme="minorHAnsi"/>
          <w:lang w:val="en-CA"/>
        </w:rPr>
        <w:t>used for</w:t>
      </w:r>
      <w:r w:rsidRPr="0075319E">
        <w:rPr>
          <w:rFonts w:eastAsia="Times New Roman" w:cstheme="minorHAnsi"/>
          <w:lang w:val="en-CA"/>
        </w:rPr>
        <w:t xml:space="preserve"> working capital</w:t>
      </w:r>
      <w:r>
        <w:rPr>
          <w:rFonts w:eastAsia="Times New Roman" w:cstheme="minorHAnsi"/>
          <w:lang w:val="en-CA"/>
        </w:rPr>
        <w:t>, payment of exist</w:t>
      </w:r>
      <w:r>
        <w:rPr>
          <w:rFonts w:eastAsia="Times New Roman" w:cstheme="minorHAnsi"/>
          <w:lang w:val="en-CA"/>
        </w:rPr>
        <w:t xml:space="preserve">ing payables and the review of possible new acquisitions. </w:t>
      </w:r>
    </w:p>
    <w:p w14:paraId="663BF1B6" w14:textId="77777777" w:rsidR="00D452BD" w:rsidRPr="0075319E" w:rsidRDefault="003A78DB" w:rsidP="00931638">
      <w:pPr>
        <w:widowControl w:val="0"/>
        <w:autoSpaceDE w:val="0"/>
        <w:autoSpaceDN w:val="0"/>
        <w:adjustRightInd w:val="0"/>
        <w:spacing w:after="320"/>
        <w:jc w:val="both"/>
        <w:rPr>
          <w:rFonts w:cstheme="minorHAnsi"/>
          <w:u w:val="single"/>
        </w:rPr>
      </w:pPr>
      <w:r w:rsidRPr="0075319E">
        <w:rPr>
          <w:rFonts w:cstheme="minorHAnsi"/>
          <w:u w:val="single"/>
        </w:rPr>
        <w:t>About New Tech Minerals Corp.</w:t>
      </w:r>
    </w:p>
    <w:p w14:paraId="24B4BF8A" w14:textId="77777777" w:rsidR="00C27245" w:rsidRPr="0075319E" w:rsidRDefault="003A78DB" w:rsidP="00D452BD">
      <w:pPr>
        <w:jc w:val="both"/>
        <w:rPr>
          <w:rFonts w:cstheme="minorHAnsi"/>
          <w:b/>
          <w:bCs/>
          <w:color w:val="000000"/>
        </w:rPr>
      </w:pPr>
      <w:r w:rsidRPr="0075319E">
        <w:rPr>
          <w:rFonts w:cstheme="minorHAnsi"/>
        </w:rPr>
        <w:t xml:space="preserve">New Tech is engaged in the exploration and development of promising </w:t>
      </w:r>
      <w:r>
        <w:rPr>
          <w:rFonts w:cstheme="minorHAnsi"/>
        </w:rPr>
        <w:t>potash and cobalt projects</w:t>
      </w:r>
      <w:r w:rsidRPr="0075319E">
        <w:rPr>
          <w:rFonts w:cstheme="minorHAnsi"/>
        </w:rPr>
        <w:t xml:space="preserve"> in America, including the </w:t>
      </w:r>
      <w:r w:rsidRPr="0075319E">
        <w:rPr>
          <w:rFonts w:cstheme="minorHAnsi"/>
        </w:rPr>
        <w:t>Pa</w:t>
      </w:r>
      <w:r>
        <w:rPr>
          <w:rFonts w:cstheme="minorHAnsi"/>
        </w:rPr>
        <w:t xml:space="preserve">radox Basin Potash project in Utah, </w:t>
      </w:r>
      <w:r w:rsidRPr="0075319E">
        <w:rPr>
          <w:rFonts w:cstheme="minorHAnsi"/>
        </w:rPr>
        <w:t xml:space="preserve">and </w:t>
      </w:r>
      <w:r>
        <w:rPr>
          <w:rFonts w:cstheme="minorHAnsi"/>
        </w:rPr>
        <w:t xml:space="preserve">the </w:t>
      </w:r>
      <w:r>
        <w:rPr>
          <w:rFonts w:cstheme="minorHAnsi"/>
        </w:rPr>
        <w:t>Tule cobalt project</w:t>
      </w:r>
      <w:r w:rsidRPr="0075319E">
        <w:rPr>
          <w:rFonts w:cstheme="minorHAnsi"/>
        </w:rPr>
        <w:t xml:space="preserve"> in Nevada</w:t>
      </w:r>
      <w:r>
        <w:rPr>
          <w:rFonts w:cstheme="minorHAnsi"/>
        </w:rPr>
        <w:t xml:space="preserve"> .</w:t>
      </w:r>
    </w:p>
    <w:p w14:paraId="4524E49A" w14:textId="77777777" w:rsidR="00D452BD" w:rsidRPr="00D452BD" w:rsidRDefault="003A78DB" w:rsidP="00D452BD">
      <w:pPr>
        <w:jc w:val="both"/>
        <w:rPr>
          <w:rFonts w:cstheme="minorHAnsi"/>
          <w:b/>
          <w:bCs/>
          <w:color w:val="000000"/>
          <w:sz w:val="24"/>
          <w:szCs w:val="24"/>
        </w:rPr>
      </w:pPr>
      <w:r w:rsidRPr="00D452BD">
        <w:rPr>
          <w:rFonts w:cstheme="minorHAnsi"/>
          <w:b/>
          <w:bCs/>
          <w:color w:val="000000"/>
          <w:sz w:val="24"/>
          <w:szCs w:val="24"/>
        </w:rPr>
        <w:t>On behalf of the Board of Directors</w:t>
      </w:r>
    </w:p>
    <w:p w14:paraId="3362CF1F" w14:textId="77777777" w:rsidR="00D452BD" w:rsidRPr="00D452BD" w:rsidRDefault="003A78DB" w:rsidP="00D452BD">
      <w:pPr>
        <w:autoSpaceDE w:val="0"/>
        <w:autoSpaceDN w:val="0"/>
        <w:adjustRightInd w:val="0"/>
        <w:spacing w:after="0" w:line="240" w:lineRule="auto"/>
        <w:jc w:val="both"/>
        <w:rPr>
          <w:rFonts w:cstheme="minorHAnsi"/>
          <w:color w:val="000000"/>
          <w:sz w:val="24"/>
          <w:szCs w:val="24"/>
        </w:rPr>
      </w:pPr>
      <w:r w:rsidRPr="00D452BD">
        <w:rPr>
          <w:rFonts w:cstheme="minorHAnsi"/>
          <w:color w:val="000000"/>
          <w:sz w:val="24"/>
          <w:szCs w:val="24"/>
        </w:rPr>
        <w:t>“</w:t>
      </w:r>
      <w:r w:rsidRPr="00D452BD">
        <w:rPr>
          <w:rFonts w:cstheme="minorHAnsi"/>
          <w:i/>
          <w:color w:val="000000"/>
          <w:sz w:val="24"/>
          <w:szCs w:val="24"/>
        </w:rPr>
        <w:t>Jonathan George</w:t>
      </w:r>
      <w:r w:rsidRPr="00D452BD">
        <w:rPr>
          <w:rFonts w:cstheme="minorHAnsi"/>
          <w:color w:val="000000"/>
          <w:sz w:val="24"/>
          <w:szCs w:val="24"/>
        </w:rPr>
        <w:t>”</w:t>
      </w:r>
    </w:p>
    <w:p w14:paraId="70B0B6AB" w14:textId="77777777" w:rsidR="00D452BD" w:rsidRPr="00D452BD" w:rsidRDefault="003A78DB" w:rsidP="00D452BD">
      <w:pPr>
        <w:autoSpaceDE w:val="0"/>
        <w:autoSpaceDN w:val="0"/>
        <w:adjustRightInd w:val="0"/>
        <w:spacing w:after="0" w:line="240" w:lineRule="auto"/>
        <w:jc w:val="both"/>
        <w:rPr>
          <w:rFonts w:cstheme="minorHAnsi"/>
          <w:b/>
          <w:bCs/>
          <w:color w:val="000000"/>
          <w:sz w:val="24"/>
          <w:szCs w:val="24"/>
        </w:rPr>
      </w:pPr>
    </w:p>
    <w:p w14:paraId="465CB93A" w14:textId="77777777" w:rsidR="00D452BD" w:rsidRPr="00D452BD" w:rsidRDefault="003A78DB" w:rsidP="00D452BD">
      <w:pPr>
        <w:autoSpaceDE w:val="0"/>
        <w:autoSpaceDN w:val="0"/>
        <w:adjustRightInd w:val="0"/>
        <w:spacing w:after="0" w:line="240" w:lineRule="auto"/>
        <w:jc w:val="both"/>
        <w:rPr>
          <w:rFonts w:cstheme="minorHAnsi"/>
          <w:b/>
          <w:bCs/>
          <w:color w:val="000000"/>
          <w:sz w:val="24"/>
          <w:szCs w:val="24"/>
        </w:rPr>
      </w:pPr>
      <w:r w:rsidRPr="00D452BD">
        <w:rPr>
          <w:rFonts w:cstheme="minorHAnsi"/>
          <w:b/>
          <w:bCs/>
          <w:color w:val="000000"/>
          <w:sz w:val="24"/>
          <w:szCs w:val="24"/>
        </w:rPr>
        <w:t xml:space="preserve">Jonathan George, </w:t>
      </w:r>
      <w:r>
        <w:rPr>
          <w:rFonts w:cstheme="minorHAnsi"/>
          <w:b/>
          <w:bCs/>
          <w:color w:val="000000"/>
          <w:sz w:val="24"/>
          <w:szCs w:val="24"/>
        </w:rPr>
        <w:t xml:space="preserve">President </w:t>
      </w:r>
      <w:r>
        <w:rPr>
          <w:rFonts w:cstheme="minorHAnsi"/>
          <w:b/>
          <w:bCs/>
          <w:color w:val="000000"/>
          <w:sz w:val="24"/>
          <w:szCs w:val="24"/>
        </w:rPr>
        <w:t>and</w:t>
      </w:r>
      <w:r>
        <w:rPr>
          <w:rFonts w:cstheme="minorHAnsi"/>
          <w:b/>
          <w:bCs/>
          <w:color w:val="000000"/>
          <w:sz w:val="24"/>
          <w:szCs w:val="24"/>
        </w:rPr>
        <w:t xml:space="preserve"> </w:t>
      </w:r>
      <w:r w:rsidRPr="00D452BD">
        <w:rPr>
          <w:rFonts w:cstheme="minorHAnsi"/>
          <w:b/>
          <w:bCs/>
          <w:color w:val="000000"/>
          <w:sz w:val="24"/>
          <w:szCs w:val="24"/>
        </w:rPr>
        <w:t>CEO</w:t>
      </w:r>
    </w:p>
    <w:p w14:paraId="6E3AD0B1" w14:textId="77777777" w:rsidR="00D452BD" w:rsidRPr="00D452BD" w:rsidRDefault="003A78DB" w:rsidP="00D452BD">
      <w:pPr>
        <w:autoSpaceDE w:val="0"/>
        <w:autoSpaceDN w:val="0"/>
        <w:adjustRightInd w:val="0"/>
        <w:spacing w:after="0" w:line="240" w:lineRule="auto"/>
        <w:jc w:val="both"/>
        <w:rPr>
          <w:rFonts w:cstheme="minorHAnsi"/>
          <w:i/>
          <w:iCs/>
          <w:color w:val="000000"/>
          <w:sz w:val="24"/>
          <w:szCs w:val="24"/>
        </w:rPr>
      </w:pPr>
    </w:p>
    <w:p w14:paraId="61650258" w14:textId="77777777" w:rsidR="00D452BD" w:rsidRPr="00D452BD" w:rsidRDefault="003A78DB" w:rsidP="00D452BD">
      <w:pPr>
        <w:spacing w:after="0" w:line="240" w:lineRule="auto"/>
        <w:jc w:val="both"/>
        <w:rPr>
          <w:rFonts w:eastAsia="Calibri" w:cstheme="minorHAnsi"/>
          <w:i/>
          <w:lang w:val="en-CA"/>
        </w:rPr>
      </w:pPr>
      <w:r w:rsidRPr="00D452BD">
        <w:rPr>
          <w:rFonts w:eastAsia="Calibri" w:cstheme="minorHAnsi"/>
          <w:i/>
          <w:lang w:val="en-CA"/>
        </w:rPr>
        <w:lastRenderedPageBreak/>
        <w:t xml:space="preserve">Neither the OTCQX nor the Canadian Securities Exchange nor its Regulation Services Provider (as that term is defined in the policies of the Canadian Securities Exchange) accepts responsibility for the adequacy or accuracy of this release. </w:t>
      </w:r>
    </w:p>
    <w:p w14:paraId="7B17E778" w14:textId="77777777" w:rsidR="00D452BD" w:rsidRPr="00D452BD" w:rsidRDefault="003A78DB" w:rsidP="00D452BD">
      <w:pPr>
        <w:spacing w:after="0" w:line="240" w:lineRule="auto"/>
        <w:jc w:val="both"/>
        <w:rPr>
          <w:rFonts w:eastAsia="Calibri" w:cstheme="minorHAnsi"/>
          <w:i/>
          <w:lang w:val="en-CA"/>
        </w:rPr>
      </w:pPr>
    </w:p>
    <w:p w14:paraId="5F17F04F" w14:textId="77777777" w:rsidR="000050AE" w:rsidRDefault="003A78DB" w:rsidP="00637357">
      <w:pPr>
        <w:spacing w:after="0" w:line="240" w:lineRule="auto"/>
        <w:jc w:val="both"/>
        <w:rPr>
          <w:rFonts w:eastAsia="Calibri" w:cstheme="minorHAnsi"/>
          <w:i/>
          <w:iCs/>
          <w:lang w:val="en-CA"/>
        </w:rPr>
      </w:pPr>
      <w:r w:rsidRPr="000050AE">
        <w:rPr>
          <w:rFonts w:eastAsia="Calibri" w:cstheme="minorHAnsi"/>
          <w:i/>
          <w:iCs/>
          <w:lang w:val="en-CA"/>
        </w:rPr>
        <w:t xml:space="preserve">This </w:t>
      </w:r>
      <w:r>
        <w:rPr>
          <w:rFonts w:eastAsia="Calibri" w:cstheme="minorHAnsi"/>
          <w:i/>
          <w:iCs/>
          <w:lang w:val="en-CA"/>
        </w:rPr>
        <w:t>news</w:t>
      </w:r>
      <w:r w:rsidRPr="000050AE">
        <w:rPr>
          <w:rFonts w:eastAsia="Calibri" w:cstheme="minorHAnsi"/>
          <w:i/>
          <w:iCs/>
          <w:lang w:val="en-CA"/>
        </w:rPr>
        <w:t xml:space="preserve"> relea</w:t>
      </w:r>
      <w:r w:rsidRPr="000050AE">
        <w:rPr>
          <w:rFonts w:eastAsia="Calibri" w:cstheme="minorHAnsi"/>
          <w:i/>
          <w:iCs/>
          <w:lang w:val="en-CA"/>
        </w:rPr>
        <w:t>se contains “forward-looking statements”, within the meaning of the United States Private Securities Litigation Reform Act of 1995 or forward looking information within the meaning of applicable Canadian securities legislation, concerning the business, ope</w:t>
      </w:r>
      <w:r w:rsidRPr="000050AE">
        <w:rPr>
          <w:rFonts w:eastAsia="Calibri" w:cstheme="minorHAnsi"/>
          <w:i/>
          <w:iCs/>
          <w:lang w:val="en-CA"/>
        </w:rPr>
        <w:t>rations and financial performance and condition of the Company. Forward-looking statements include, but are not limited to, statements with respect to the proposed use of proceeds of the Private Placement and the Company's intention to source new acquisiti</w:t>
      </w:r>
      <w:r w:rsidRPr="000050AE">
        <w:rPr>
          <w:rFonts w:eastAsia="Calibri" w:cstheme="minorHAnsi"/>
          <w:i/>
          <w:iCs/>
          <w:lang w:val="en-CA"/>
        </w:rPr>
        <w:t xml:space="preserve">ons. Generally, these forward-looking statements can be identified by the use of forward-looking terminology such as “plans”, “expects” or “does not expect”, “is expected”, “budget”, “scheduled”, “estimates”, “forecasts”, “intends”, “anticipates” or “does </w:t>
      </w:r>
      <w:r w:rsidRPr="000050AE">
        <w:rPr>
          <w:rFonts w:eastAsia="Calibri" w:cstheme="minorHAnsi"/>
          <w:i/>
          <w:iCs/>
          <w:lang w:val="en-CA"/>
        </w:rPr>
        <w:t>not anticipate”, or “believes”, or variations of such words and phrases or statements that certain actions, events or results “may”, “could”, “would”, “might” or “will be taken”, “occur” or “be achieved”. Forward-looking statements are subject to known and</w:t>
      </w:r>
      <w:r w:rsidRPr="000050AE">
        <w:rPr>
          <w:rFonts w:eastAsia="Calibri" w:cstheme="minorHAnsi"/>
          <w:i/>
          <w:iCs/>
          <w:lang w:val="en-CA"/>
        </w:rPr>
        <w:t xml:space="preserve"> unknown risks, uncertainties and other factors that may cause the actual results, level of activity, performance or achievements of the Company to be materially different from those expressed or implied by such forward-looking statements, including but no</w:t>
      </w:r>
      <w:r w:rsidRPr="000050AE">
        <w:rPr>
          <w:rFonts w:eastAsia="Calibri" w:cstheme="minorHAnsi"/>
          <w:i/>
          <w:iCs/>
          <w:lang w:val="en-CA"/>
        </w:rPr>
        <w:t xml:space="preserve">t limited to: management's discretion to reallocate the proceeds of the Private Placement, management's ability to source new acquisitions, actual results of current exploration activities and future prices of metals, as well as those factors discussed in </w:t>
      </w:r>
      <w:r w:rsidRPr="000050AE">
        <w:rPr>
          <w:rFonts w:eastAsia="Calibri" w:cstheme="minorHAnsi"/>
          <w:i/>
          <w:iCs/>
          <w:lang w:val="en-CA"/>
        </w:rPr>
        <w:t>the Company's securities filings. Although the Company has attempted to identify important factors that could cause actual results to differ materially from those contained in forward-looking statements, there may be other factors that cause results not to</w:t>
      </w:r>
      <w:r w:rsidRPr="000050AE">
        <w:rPr>
          <w:rFonts w:eastAsia="Calibri" w:cstheme="minorHAnsi"/>
          <w:i/>
          <w:iCs/>
          <w:lang w:val="en-CA"/>
        </w:rPr>
        <w:t xml:space="preserve"> be as anticipated, estimated or intended. There can be no assurance that such statements will prove to be accurate, as actual results and future events could differ materially from those anticipated in such statements. Accordingly, readers should not plac</w:t>
      </w:r>
      <w:r w:rsidRPr="000050AE">
        <w:rPr>
          <w:rFonts w:eastAsia="Calibri" w:cstheme="minorHAnsi"/>
          <w:i/>
          <w:iCs/>
          <w:lang w:val="en-CA"/>
        </w:rPr>
        <w:t>e undue reliance on forward-looking statements. The Company does not undertake to update any forward-looking statements, except in accordance with applicable securities laws.</w:t>
      </w:r>
    </w:p>
    <w:p w14:paraId="346B0182" w14:textId="77777777" w:rsidR="000050AE" w:rsidRDefault="003A78DB" w:rsidP="00637357">
      <w:pPr>
        <w:spacing w:after="0" w:line="240" w:lineRule="auto"/>
        <w:jc w:val="both"/>
        <w:rPr>
          <w:rFonts w:eastAsia="Calibri" w:cstheme="minorHAnsi"/>
          <w:i/>
          <w:iCs/>
          <w:lang w:val="en-CA"/>
        </w:rPr>
      </w:pPr>
    </w:p>
    <w:sectPr w:rsidR="000050AE" w:rsidSect="000165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22B98" w14:textId="77777777" w:rsidR="00000000" w:rsidRDefault="003A78DB">
      <w:pPr>
        <w:spacing w:after="0" w:line="240" w:lineRule="auto"/>
      </w:pPr>
      <w:r>
        <w:separator/>
      </w:r>
    </w:p>
  </w:endnote>
  <w:endnote w:type="continuationSeparator" w:id="0">
    <w:p w14:paraId="03F064F8" w14:textId="77777777" w:rsidR="00000000" w:rsidRDefault="003A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5A6E8" w14:textId="77777777" w:rsidR="00000000" w:rsidRDefault="003A78DB">
      <w:pPr>
        <w:spacing w:after="0" w:line="240" w:lineRule="auto"/>
      </w:pPr>
      <w:r>
        <w:separator/>
      </w:r>
    </w:p>
  </w:footnote>
  <w:footnote w:type="continuationSeparator" w:id="0">
    <w:p w14:paraId="10974784" w14:textId="77777777" w:rsidR="00000000" w:rsidRDefault="003A7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C322" w14:textId="77777777" w:rsidR="00BE1300" w:rsidRPr="00627422" w:rsidRDefault="003A78DB" w:rsidP="00BE1300">
    <w:pPr>
      <w:pStyle w:val="Header"/>
      <w:tabs>
        <w:tab w:val="clear" w:pos="4680"/>
        <w:tab w:val="clear" w:pos="9360"/>
      </w:tabs>
      <w:rPr>
        <w:sz w:val="20"/>
        <w:szCs w:val="20"/>
      </w:rPr>
    </w:pPr>
    <w:r>
      <w:rPr>
        <w:noProof/>
      </w:rPr>
      <mc:AlternateContent>
        <mc:Choice Requires="wps">
          <w:drawing>
            <wp:anchor distT="0" distB="0" distL="114300" distR="114300" simplePos="0" relativeHeight="251658240" behindDoc="0" locked="0" layoutInCell="1" allowOverlap="1" wp14:anchorId="02817457" wp14:editId="3B58CC54">
              <wp:simplePos x="0" y="0"/>
              <wp:positionH relativeFrom="column">
                <wp:posOffset>4319270</wp:posOffset>
              </wp:positionH>
              <wp:positionV relativeFrom="paragraph">
                <wp:posOffset>-635</wp:posOffset>
              </wp:positionV>
              <wp:extent cx="2197100" cy="7512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51205"/>
                      </a:xfrm>
                      <a:prstGeom prst="rect">
                        <a:avLst/>
                      </a:prstGeom>
                      <a:noFill/>
                      <a:ln w="9525">
                        <a:noFill/>
                        <a:miter lim="800000"/>
                        <a:headEnd/>
                        <a:tailEnd/>
                      </a:ln>
                    </wps:spPr>
                    <wps:txbx>
                      <w:txbxContent>
                        <w:p w14:paraId="27DC3FB6" w14:textId="77777777" w:rsidR="00BE1300" w:rsidRPr="007F6413" w:rsidRDefault="003A78DB" w:rsidP="00D452BD">
                          <w:pPr>
                            <w:spacing w:after="0" w:line="240" w:lineRule="auto"/>
                            <w:jc w:val="right"/>
                            <w:rPr>
                              <w:sz w:val="21"/>
                              <w:szCs w:val="21"/>
                            </w:rPr>
                          </w:pPr>
                          <w:r>
                            <w:rPr>
                              <w:sz w:val="21"/>
                              <w:szCs w:val="21"/>
                            </w:rPr>
                            <w:t>880-580 Hornby Street</w:t>
                          </w:r>
                        </w:p>
                        <w:p w14:paraId="4784EB0E" w14:textId="77777777" w:rsidR="00BE1300" w:rsidRPr="00D452BD" w:rsidRDefault="003A78DB" w:rsidP="00D452BD">
                          <w:pPr>
                            <w:spacing w:after="0" w:line="240" w:lineRule="auto"/>
                            <w:jc w:val="right"/>
                            <w:rPr>
                              <w:sz w:val="21"/>
                              <w:szCs w:val="21"/>
                            </w:rPr>
                          </w:pPr>
                          <w:r w:rsidRPr="00D452BD">
                            <w:rPr>
                              <w:sz w:val="21"/>
                              <w:szCs w:val="21"/>
                            </w:rPr>
                            <w:t>Vancouver, BC, Canada, V6</w:t>
                          </w:r>
                          <w:r w:rsidRPr="00D452BD">
                            <w:rPr>
                              <w:sz w:val="21"/>
                              <w:szCs w:val="21"/>
                            </w:rPr>
                            <w:t>C 3B6</w:t>
                          </w:r>
                        </w:p>
                        <w:p w14:paraId="513A4BEE" w14:textId="77777777" w:rsidR="00BE1300" w:rsidRPr="00D452BD" w:rsidRDefault="003A78DB" w:rsidP="00D452BD">
                          <w:pPr>
                            <w:spacing w:after="0" w:line="240" w:lineRule="auto"/>
                            <w:jc w:val="right"/>
                            <w:rPr>
                              <w:sz w:val="21"/>
                              <w:szCs w:val="21"/>
                            </w:rPr>
                          </w:pPr>
                          <w:r w:rsidRPr="00D452BD">
                            <w:rPr>
                              <w:sz w:val="21"/>
                              <w:szCs w:val="21"/>
                            </w:rPr>
                            <w:t>Tel:  604-</w:t>
                          </w:r>
                          <w:r w:rsidRPr="00D452BD">
                            <w:rPr>
                              <w:sz w:val="21"/>
                              <w:szCs w:val="21"/>
                            </w:rPr>
                            <w:t>803-5838</w:t>
                          </w:r>
                        </w:p>
                        <w:p w14:paraId="447FCD1E" w14:textId="77777777" w:rsidR="00BE1300" w:rsidRPr="00D452BD" w:rsidRDefault="003A78DB" w:rsidP="00D452BD">
                          <w:pPr>
                            <w:spacing w:after="0" w:line="240" w:lineRule="auto"/>
                            <w:jc w:val="right"/>
                            <w:rPr>
                              <w:sz w:val="21"/>
                              <w:szCs w:val="21"/>
                            </w:rPr>
                          </w:pPr>
                          <w:r w:rsidRPr="00D452BD">
                            <w:rPr>
                              <w:sz w:val="21"/>
                              <w:szCs w:val="21"/>
                            </w:rPr>
                            <w:t>www.</w:t>
                          </w:r>
                          <w:r w:rsidRPr="00D452BD">
                            <w:rPr>
                              <w:sz w:val="21"/>
                              <w:szCs w:val="21"/>
                            </w:rPr>
                            <w:t>newtechminerals.ca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height:59.15pt;margin-left:340.1pt;margin-top:-0.05pt;mso-height-percent:200;mso-height-relative:margin;mso-width-percent:0;mso-width-relative:margin;mso-wrap-distance-bottom:0;mso-wrap-distance-left:9pt;mso-wrap-distance-right:9pt;mso-wrap-distance-top:0;mso-wrap-style:square;position:absolute;v-text-anchor:top;visibility:visible;width:173pt;z-index:251659264" filled="f" stroked="f">
              <v:textbox style="mso-fit-shape-to-text:t">
                <w:txbxContent>
                  <w:p w:rsidR="00BE1300" w:rsidRPr="007F6413" w:rsidP="00D452BD">
                    <w:pPr>
                      <w:spacing w:after="0" w:line="240" w:lineRule="auto"/>
                      <w:jc w:val="right"/>
                      <w:rPr>
                        <w:sz w:val="21"/>
                        <w:szCs w:val="21"/>
                      </w:rPr>
                    </w:pPr>
                    <w:r>
                      <w:rPr>
                        <w:sz w:val="21"/>
                        <w:szCs w:val="21"/>
                      </w:rPr>
                      <w:t>880-580 Hornby</w:t>
                    </w:r>
                    <w:r>
                      <w:rPr>
                        <w:sz w:val="21"/>
                        <w:szCs w:val="21"/>
                      </w:rPr>
                      <w:t xml:space="preserve"> Street</w:t>
                    </w:r>
                  </w:p>
                  <w:p w:rsidR="00BE1300" w:rsidRPr="00D452BD" w:rsidP="00D452BD">
                    <w:pPr>
                      <w:spacing w:after="0" w:line="240" w:lineRule="auto"/>
                      <w:jc w:val="right"/>
                      <w:rPr>
                        <w:sz w:val="21"/>
                        <w:szCs w:val="21"/>
                      </w:rPr>
                    </w:pPr>
                    <w:r w:rsidRPr="00D452BD">
                      <w:rPr>
                        <w:sz w:val="21"/>
                        <w:szCs w:val="21"/>
                      </w:rPr>
                      <w:t>Vancouver, BC, Canada, V6</w:t>
                    </w:r>
                    <w:r w:rsidRPr="00D452BD" w:rsidR="009F7FE6">
                      <w:rPr>
                        <w:sz w:val="21"/>
                        <w:szCs w:val="21"/>
                      </w:rPr>
                      <w:t>C 3B6</w:t>
                    </w:r>
                  </w:p>
                  <w:p w:rsidR="00BE1300" w:rsidRPr="00D452BD" w:rsidP="00D452BD">
                    <w:pPr>
                      <w:spacing w:after="0" w:line="240" w:lineRule="auto"/>
                      <w:jc w:val="right"/>
                      <w:rPr>
                        <w:sz w:val="21"/>
                        <w:szCs w:val="21"/>
                      </w:rPr>
                    </w:pPr>
                    <w:r w:rsidRPr="00D452BD">
                      <w:rPr>
                        <w:sz w:val="21"/>
                        <w:szCs w:val="21"/>
                      </w:rPr>
                      <w:t>Tel:  604-</w:t>
                    </w:r>
                    <w:r w:rsidRPr="00D452BD" w:rsidR="003970E6">
                      <w:rPr>
                        <w:sz w:val="21"/>
                        <w:szCs w:val="21"/>
                      </w:rPr>
                      <w:t>803-5838</w:t>
                    </w:r>
                  </w:p>
                  <w:p w:rsidR="00BE1300" w:rsidRPr="00D452BD" w:rsidP="00D452BD">
                    <w:pPr>
                      <w:spacing w:after="0" w:line="240" w:lineRule="auto"/>
                      <w:jc w:val="right"/>
                      <w:rPr>
                        <w:sz w:val="21"/>
                        <w:szCs w:val="21"/>
                      </w:rPr>
                    </w:pPr>
                    <w:r w:rsidRPr="00D452BD">
                      <w:rPr>
                        <w:sz w:val="21"/>
                        <w:szCs w:val="21"/>
                      </w:rPr>
                      <w:t>www.</w:t>
                    </w:r>
                    <w:r w:rsidRPr="00D452BD" w:rsidR="00D452BD">
                      <w:rPr>
                        <w:sz w:val="21"/>
                        <w:szCs w:val="21"/>
                      </w:rPr>
                      <w:t>newtechminerals.ca</w:t>
                    </w:r>
                  </w:p>
                </w:txbxContent>
              </v:textbox>
            </v:shape>
          </w:pict>
        </mc:Fallback>
      </mc:AlternateContent>
    </w:r>
    <w:r>
      <w:tab/>
    </w:r>
    <w:r w:rsidRPr="005300DB">
      <w:rPr>
        <w:noProof/>
      </w:rPr>
      <w:drawing>
        <wp:inline distT="0" distB="0" distL="0" distR="0" wp14:anchorId="58A37820" wp14:editId="12444AA8">
          <wp:extent cx="3599180" cy="7505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8027" cy="752415"/>
                  </a:xfrm>
                  <a:prstGeom prst="rect">
                    <a:avLst/>
                  </a:prstGeom>
                  <a:noFill/>
                  <a:ln>
                    <a:noFill/>
                  </a:ln>
                </pic:spPr>
              </pic:pic>
            </a:graphicData>
          </a:graphic>
        </wp:inline>
      </w:drawing>
    </w:r>
    <w:r>
      <w:tab/>
    </w:r>
  </w:p>
  <w:p w14:paraId="2B19AC58" w14:textId="77777777" w:rsidR="00BE1300" w:rsidRPr="00627422" w:rsidRDefault="003A78DB" w:rsidP="00BE1300">
    <w:pPr>
      <w:pStyle w:val="Header"/>
      <w:tabs>
        <w:tab w:val="left" w:pos="6946"/>
      </w:tabs>
      <w:rPr>
        <w:sz w:val="20"/>
        <w:szCs w:val="20"/>
      </w:rPr>
    </w:pPr>
    <w:r>
      <w:tab/>
    </w:r>
  </w:p>
  <w:p w14:paraId="12F58044" w14:textId="77777777" w:rsidR="00BE1300" w:rsidRDefault="003A78DB">
    <w:pPr>
      <w:pStyle w:val="Header"/>
    </w:pPr>
    <w:r>
      <w:rPr>
        <w:noProof/>
      </w:rPr>
      <mc:AlternateContent>
        <mc:Choice Requires="wps">
          <w:drawing>
            <wp:anchor distT="0" distB="0" distL="114300" distR="114300" simplePos="0" relativeHeight="251660288" behindDoc="0" locked="0" layoutInCell="1" allowOverlap="1" wp14:anchorId="60F0B924" wp14:editId="0DFB7711">
              <wp:simplePos x="0" y="0"/>
              <wp:positionH relativeFrom="column">
                <wp:posOffset>0</wp:posOffset>
              </wp:positionH>
              <wp:positionV relativeFrom="paragraph">
                <wp:posOffset>148590</wp:posOffset>
              </wp:positionV>
              <wp:extent cx="2689225" cy="254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254000"/>
                      </a:xfrm>
                      <a:prstGeom prst="rect">
                        <a:avLst/>
                      </a:prstGeom>
                      <a:noFill/>
                      <a:ln w="9525">
                        <a:noFill/>
                        <a:miter lim="800000"/>
                        <a:headEnd/>
                        <a:tailEnd/>
                      </a:ln>
                    </wps:spPr>
                    <wps:txbx>
                      <w:txbxContent>
                        <w:p w14:paraId="16CFED03" w14:textId="77777777" w:rsidR="00BE1300" w:rsidRDefault="003A78DB" w:rsidP="00BE1300">
                          <w:pPr>
                            <w:pStyle w:val="Header"/>
                            <w:tabs>
                              <w:tab w:val="left" w:pos="6946"/>
                            </w:tabs>
                            <w:spacing w:line="240" w:lineRule="exact"/>
                          </w:pPr>
                          <w:r>
                            <w:rPr>
                              <w:rFonts w:asciiTheme="majorHAnsi" w:hAnsiTheme="majorHAnsi"/>
                              <w:b/>
                              <w:color w:val="C13C07"/>
                              <w:sz w:val="24"/>
                              <w:szCs w:val="24"/>
                            </w:rPr>
                            <w:t>NTM</w:t>
                          </w:r>
                          <w:r w:rsidRPr="00B832FC">
                            <w:rPr>
                              <w:rFonts w:asciiTheme="majorHAnsi" w:hAnsiTheme="majorHAnsi"/>
                              <w:b/>
                              <w:color w:val="F26C3C"/>
                              <w:sz w:val="24"/>
                              <w:szCs w:val="24"/>
                            </w:rPr>
                            <w:t>:</w:t>
                          </w:r>
                          <w:r>
                            <w:rPr>
                              <w:rFonts w:asciiTheme="majorHAnsi" w:hAnsiTheme="majorHAnsi"/>
                              <w:b/>
                              <w:color w:val="F26C3C"/>
                              <w:sz w:val="24"/>
                              <w:szCs w:val="24"/>
                            </w:rPr>
                            <w:t xml:space="preserve"> </w:t>
                          </w:r>
                          <w:r w:rsidRPr="00B832FC">
                            <w:rPr>
                              <w:rFonts w:asciiTheme="majorHAnsi" w:hAnsiTheme="majorHAnsi"/>
                              <w:b/>
                              <w:color w:val="F26C3C"/>
                              <w:sz w:val="24"/>
                              <w:szCs w:val="24"/>
                            </w:rPr>
                            <w:t>CS</w:t>
                          </w:r>
                          <w:r>
                            <w:rPr>
                              <w:rFonts w:asciiTheme="majorHAnsi" w:hAnsiTheme="majorHAnsi"/>
                              <w:b/>
                              <w:color w:val="F26C3C"/>
                              <w:sz w:val="24"/>
                              <w:szCs w:val="24"/>
                            </w:rPr>
                            <w:t>E</w:t>
                          </w:r>
                        </w:p>
                        <w:p w14:paraId="41C43EAB" w14:textId="77777777" w:rsidR="00BE1300" w:rsidRDefault="003A78DB" w:rsidP="00BE1300">
                          <w:pPr>
                            <w:pStyle w:val="Header"/>
                            <w:tabs>
                              <w:tab w:val="left" w:pos="6946"/>
                            </w:tabs>
                            <w:spacing w:line="240" w:lineRule="exact"/>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0" type="#_x0000_t202" style="height:20pt;margin-left:0;margin-top:11.7pt;mso-height-percent:0;mso-height-relative:margin;mso-width-percent:0;mso-width-relative:margin;mso-wrap-distance-bottom:0;mso-wrap-distance-left:9pt;mso-wrap-distance-right:9pt;mso-wrap-distance-top:0;mso-wrap-style:square;position:absolute;v-text-anchor:top;visibility:visible;width:211.75pt;z-index:251661312" filled="f" stroked="f">
              <v:textbox>
                <w:txbxContent>
                  <w:p w:rsidR="00BE1300" w:rsidP="00BE1300">
                    <w:pPr>
                      <w:pStyle w:val="Header"/>
                      <w:tabs>
                        <w:tab w:val="left" w:pos="6946"/>
                      </w:tabs>
                      <w:spacing w:line="240" w:lineRule="exact"/>
                    </w:pPr>
                    <w:r>
                      <w:rPr>
                        <w:rFonts w:asciiTheme="majorHAnsi" w:hAnsiTheme="majorHAnsi"/>
                        <w:b/>
                        <w:color w:val="C13C07"/>
                        <w:sz w:val="24"/>
                        <w:szCs w:val="24"/>
                      </w:rPr>
                      <w:t>NTM</w:t>
                    </w:r>
                    <w:r w:rsidRPr="00B832FC">
                      <w:rPr>
                        <w:rFonts w:asciiTheme="majorHAnsi" w:hAnsiTheme="majorHAnsi"/>
                        <w:b/>
                        <w:color w:val="F26C3C"/>
                        <w:sz w:val="24"/>
                        <w:szCs w:val="24"/>
                      </w:rPr>
                      <w:t>:</w:t>
                    </w:r>
                    <w:r>
                      <w:rPr>
                        <w:rFonts w:asciiTheme="majorHAnsi" w:hAnsiTheme="majorHAnsi"/>
                        <w:b/>
                        <w:color w:val="F26C3C"/>
                        <w:sz w:val="24"/>
                        <w:szCs w:val="24"/>
                      </w:rPr>
                      <w:t xml:space="preserve"> </w:t>
                    </w:r>
                    <w:r w:rsidRPr="00B832FC">
                      <w:rPr>
                        <w:rFonts w:asciiTheme="majorHAnsi" w:hAnsiTheme="majorHAnsi"/>
                        <w:b/>
                        <w:color w:val="F26C3C"/>
                        <w:sz w:val="24"/>
                        <w:szCs w:val="24"/>
                      </w:rPr>
                      <w:t>CS</w:t>
                    </w:r>
                    <w:r>
                      <w:rPr>
                        <w:rFonts w:asciiTheme="majorHAnsi" w:hAnsiTheme="majorHAnsi"/>
                        <w:b/>
                        <w:color w:val="F26C3C"/>
                        <w:sz w:val="24"/>
                        <w:szCs w:val="24"/>
                      </w:rPr>
                      <w:t>E</w:t>
                    </w:r>
                  </w:p>
                  <w:p w:rsidR="00BE1300" w:rsidP="00BE1300">
                    <w:pPr>
                      <w:pStyle w:val="Header"/>
                      <w:tabs>
                        <w:tab w:val="left" w:pos="6946"/>
                      </w:tabs>
                      <w:spacing w:line="240" w:lineRule="exact"/>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3138A9E" wp14:editId="1FB96ECC">
              <wp:simplePos x="0" y="0"/>
              <wp:positionH relativeFrom="column">
                <wp:posOffset>-533400</wp:posOffset>
              </wp:positionH>
              <wp:positionV relativeFrom="paragraph">
                <wp:posOffset>160654</wp:posOffset>
              </wp:positionV>
              <wp:extent cx="6991350" cy="0"/>
              <wp:effectExtent l="0" t="0" r="0" b="0"/>
              <wp:wrapNone/>
              <wp:docPr id="5" name="Straight Connector 4"/>
              <wp:cNvGraphicFramePr/>
              <a:graphic xmlns:a="http://schemas.openxmlformats.org/drawingml/2006/main">
                <a:graphicData uri="http://schemas.microsoft.com/office/word/2010/wordprocessingShape">
                  <wps:wsp>
                    <wps:cNvCnPr/>
                    <wps:spPr>
                      <a:xfrm>
                        <a:off x="0" y="0"/>
                        <a:ext cx="6991350" cy="0"/>
                      </a:xfrm>
                      <a:prstGeom prst="line">
                        <a:avLst/>
                      </a:prstGeom>
                      <a:ln w="12700">
                        <a:solidFill>
                          <a:srgbClr val="F4825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1" style="mso-height-percent:0;mso-height-relative:margin;mso-width-percent:0;mso-width-relative:margin;mso-wrap-distance-bottom:0pt;mso-wrap-distance-left:9pt;mso-wrap-distance-right:9pt;mso-wrap-distance-top:0pt;mso-wrap-style:square;position:absolute;visibility:visible;z-index:251663360" from="-42pt,12.65pt" to="508.5pt,12.65pt" strokecolor="#f4825a" strokeweight="1pt">
              <v:stroke joinstyle="miter"/>
            </v:line>
          </w:pict>
        </mc:Fallback>
      </mc:AlternateContent>
    </w:r>
  </w:p>
  <w:p w14:paraId="6F467170" w14:textId="77777777" w:rsidR="00BE1300" w:rsidRDefault="003A7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C6FCD"/>
    <w:multiLevelType w:val="hybridMultilevel"/>
    <w:tmpl w:val="4D88D21A"/>
    <w:lvl w:ilvl="0" w:tplc="6FD6C9C2">
      <w:start w:val="1"/>
      <w:numFmt w:val="upperLetter"/>
      <w:lvlText w:val="%1."/>
      <w:lvlJc w:val="left"/>
      <w:pPr>
        <w:ind w:left="720" w:hanging="360"/>
      </w:pPr>
      <w:rPr>
        <w:rFonts w:hint="default"/>
      </w:rPr>
    </w:lvl>
    <w:lvl w:ilvl="1" w:tplc="9528878E" w:tentative="1">
      <w:start w:val="1"/>
      <w:numFmt w:val="lowerLetter"/>
      <w:lvlText w:val="%2."/>
      <w:lvlJc w:val="left"/>
      <w:pPr>
        <w:ind w:left="1440" w:hanging="360"/>
      </w:pPr>
    </w:lvl>
    <w:lvl w:ilvl="2" w:tplc="C5BAFD54" w:tentative="1">
      <w:start w:val="1"/>
      <w:numFmt w:val="lowerRoman"/>
      <w:lvlText w:val="%3."/>
      <w:lvlJc w:val="right"/>
      <w:pPr>
        <w:ind w:left="2160" w:hanging="180"/>
      </w:pPr>
    </w:lvl>
    <w:lvl w:ilvl="3" w:tplc="09020120" w:tentative="1">
      <w:start w:val="1"/>
      <w:numFmt w:val="decimal"/>
      <w:lvlText w:val="%4."/>
      <w:lvlJc w:val="left"/>
      <w:pPr>
        <w:ind w:left="2880" w:hanging="360"/>
      </w:pPr>
    </w:lvl>
    <w:lvl w:ilvl="4" w:tplc="7F52EA3A" w:tentative="1">
      <w:start w:val="1"/>
      <w:numFmt w:val="lowerLetter"/>
      <w:lvlText w:val="%5."/>
      <w:lvlJc w:val="left"/>
      <w:pPr>
        <w:ind w:left="3600" w:hanging="360"/>
      </w:pPr>
    </w:lvl>
    <w:lvl w:ilvl="5" w:tplc="4B6A8846" w:tentative="1">
      <w:start w:val="1"/>
      <w:numFmt w:val="lowerRoman"/>
      <w:lvlText w:val="%6."/>
      <w:lvlJc w:val="right"/>
      <w:pPr>
        <w:ind w:left="4320" w:hanging="180"/>
      </w:pPr>
    </w:lvl>
    <w:lvl w:ilvl="6" w:tplc="5ED4775A" w:tentative="1">
      <w:start w:val="1"/>
      <w:numFmt w:val="decimal"/>
      <w:lvlText w:val="%7."/>
      <w:lvlJc w:val="left"/>
      <w:pPr>
        <w:ind w:left="5040" w:hanging="360"/>
      </w:pPr>
    </w:lvl>
    <w:lvl w:ilvl="7" w:tplc="2D08F42C" w:tentative="1">
      <w:start w:val="1"/>
      <w:numFmt w:val="lowerLetter"/>
      <w:lvlText w:val="%8."/>
      <w:lvlJc w:val="left"/>
      <w:pPr>
        <w:ind w:left="5760" w:hanging="360"/>
      </w:pPr>
    </w:lvl>
    <w:lvl w:ilvl="8" w:tplc="0418664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8DB"/>
    <w:rsid w:val="003A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A3572A6"/>
  <w15:docId w15:val="{DBA5E059-B403-CF46-8761-28476930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00"/>
  </w:style>
  <w:style w:type="paragraph" w:styleId="Footer">
    <w:name w:val="footer"/>
    <w:basedOn w:val="Normal"/>
    <w:link w:val="FooterChar"/>
    <w:uiPriority w:val="99"/>
    <w:unhideWhenUsed/>
    <w:rsid w:val="00BE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00"/>
  </w:style>
  <w:style w:type="paragraph" w:styleId="BodyText">
    <w:name w:val="Body Text"/>
    <w:basedOn w:val="Normal"/>
    <w:link w:val="BodyTextChar"/>
    <w:semiHidden/>
    <w:rsid w:val="00A909B3"/>
    <w:pPr>
      <w:spacing w:after="0" w:line="240" w:lineRule="auto"/>
      <w:jc w:val="center"/>
    </w:pPr>
    <w:rPr>
      <w:rFonts w:ascii="Times New Roman" w:eastAsia="Calibri" w:hAnsi="Times New Roman" w:cs="Times New Roman"/>
      <w:sz w:val="16"/>
      <w:szCs w:val="20"/>
      <w:lang w:val="en-CA"/>
    </w:rPr>
  </w:style>
  <w:style w:type="character" w:customStyle="1" w:styleId="BodyTextChar">
    <w:name w:val="Body Text Char"/>
    <w:basedOn w:val="DefaultParagraphFont"/>
    <w:link w:val="BodyText"/>
    <w:semiHidden/>
    <w:rsid w:val="00A909B3"/>
    <w:rPr>
      <w:rFonts w:ascii="Times New Roman" w:eastAsia="Calibri" w:hAnsi="Times New Roman" w:cs="Times New Roman"/>
      <w:sz w:val="16"/>
      <w:szCs w:val="20"/>
      <w:lang w:val="en-CA"/>
    </w:rPr>
  </w:style>
  <w:style w:type="paragraph" w:customStyle="1" w:styleId="Style3">
    <w:name w:val="Style3"/>
    <w:basedOn w:val="Normal"/>
    <w:uiPriority w:val="99"/>
    <w:rsid w:val="009F429E"/>
    <w:pPr>
      <w:widowControl w:val="0"/>
      <w:autoSpaceDE w:val="0"/>
      <w:autoSpaceDN w:val="0"/>
      <w:adjustRightInd w:val="0"/>
      <w:spacing w:after="0" w:line="223" w:lineRule="exact"/>
      <w:ind w:firstLine="662"/>
      <w:jc w:val="both"/>
    </w:pPr>
    <w:rPr>
      <w:rFonts w:ascii="Times New Roman" w:eastAsia="Times New Roman" w:hAnsi="Times New Roman" w:cs="Times New Roman"/>
      <w:sz w:val="24"/>
      <w:szCs w:val="24"/>
      <w:lang w:val="en-CA" w:eastAsia="en-CA"/>
    </w:rPr>
  </w:style>
  <w:style w:type="character" w:customStyle="1" w:styleId="FontStyle13">
    <w:name w:val="Font Style13"/>
    <w:uiPriority w:val="99"/>
    <w:rsid w:val="009F429E"/>
    <w:rPr>
      <w:rFonts w:ascii="Times New Roman" w:hAnsi="Times New Roman" w:cs="Times New Roman"/>
      <w:sz w:val="18"/>
      <w:szCs w:val="18"/>
    </w:rPr>
  </w:style>
  <w:style w:type="paragraph" w:styleId="ListParagraph">
    <w:name w:val="List Paragraph"/>
    <w:basedOn w:val="Normal"/>
    <w:uiPriority w:val="34"/>
    <w:qFormat/>
    <w:rsid w:val="007B6BA6"/>
    <w:pPr>
      <w:ind w:left="720"/>
      <w:contextualSpacing/>
    </w:pPr>
  </w:style>
  <w:style w:type="paragraph" w:styleId="BalloonText">
    <w:name w:val="Balloon Text"/>
    <w:basedOn w:val="Normal"/>
    <w:link w:val="BalloonTextChar"/>
    <w:uiPriority w:val="99"/>
    <w:semiHidden/>
    <w:unhideWhenUsed/>
    <w:rsid w:val="0063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57"/>
    <w:rPr>
      <w:rFonts w:ascii="Segoe UI" w:hAnsi="Segoe UI" w:cs="Segoe UI"/>
      <w:sz w:val="18"/>
      <w:szCs w:val="18"/>
    </w:rPr>
  </w:style>
  <w:style w:type="paragraph" w:customStyle="1" w:styleId="MacPacTrailer">
    <w:name w:val="MacPac Trailer"/>
    <w:rsid w:val="00FD3895"/>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D3895"/>
    <w:rPr>
      <w:color w:val="808080"/>
    </w:rPr>
  </w:style>
  <w:style w:type="paragraph" w:customStyle="1" w:styleId="Standard">
    <w:name w:val="Standard"/>
    <w:rsid w:val="00A35AF8"/>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george</cp:lastModifiedBy>
  <cp:revision>1</cp:revision>
  <dcterms:created xsi:type="dcterms:W3CDTF">2020-09-10T00:50:00Z</dcterms:created>
  <dcterms:modified xsi:type="dcterms:W3CDTF">2020-09-10T00:51:00Z</dcterms:modified>
</cp:coreProperties>
</file>