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98D1" w14:textId="3FD18422" w:rsidR="00503915" w:rsidRDefault="00503915" w:rsidP="00503915">
      <w:pPr>
        <w:rPr>
          <w:b/>
          <w:bCs/>
        </w:rPr>
      </w:pPr>
      <w:r>
        <w:rPr>
          <w:noProof/>
          <w:lang w:val="en-US"/>
        </w:rPr>
        <w:drawing>
          <wp:inline distT="0" distB="0" distL="0" distR="0" wp14:anchorId="63C6F014" wp14:editId="61F52666">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84705" cy="560705"/>
                    </a:xfrm>
                    <a:prstGeom prst="rect">
                      <a:avLst/>
                    </a:prstGeom>
                    <a:ln/>
                  </pic:spPr>
                </pic:pic>
              </a:graphicData>
            </a:graphic>
          </wp:inline>
        </w:drawing>
      </w:r>
    </w:p>
    <w:p w14:paraId="1C56D144" w14:textId="4ADDCB2A" w:rsidR="00D64ACC" w:rsidRDefault="00503915" w:rsidP="00D64ACC">
      <w:pPr>
        <w:jc w:val="center"/>
        <w:rPr>
          <w:b/>
          <w:bCs/>
        </w:rPr>
      </w:pPr>
      <w:r>
        <w:rPr>
          <w:b/>
          <w:bCs/>
        </w:rPr>
        <w:t>NETCENTS TEC</w:t>
      </w:r>
      <w:r w:rsidR="00E83A96">
        <w:rPr>
          <w:b/>
          <w:bCs/>
        </w:rPr>
        <w:t>H</w:t>
      </w:r>
      <w:r>
        <w:rPr>
          <w:b/>
          <w:bCs/>
        </w:rPr>
        <w:t>NOLOGY</w:t>
      </w:r>
      <w:r w:rsidR="0064017A">
        <w:rPr>
          <w:b/>
          <w:bCs/>
        </w:rPr>
        <w:t xml:space="preserve"> FILES AMENDED AND RESTATED ANNUAL AND INTERIM FINANCIAL DISCLOSURES</w:t>
      </w:r>
    </w:p>
    <w:p w14:paraId="1FD06218" w14:textId="77777777" w:rsidR="00D64ACC" w:rsidRDefault="007C7C36" w:rsidP="005C27F8">
      <w:pPr>
        <w:rPr>
          <w:b/>
          <w:bCs/>
        </w:rPr>
      </w:pPr>
    </w:p>
    <w:p w14:paraId="184FE2E7" w14:textId="7ABFA674" w:rsidR="00217FB9" w:rsidRDefault="0064017A" w:rsidP="00217FB9">
      <w:r w:rsidRPr="00217FB9">
        <w:rPr>
          <w:b/>
          <w:bCs/>
        </w:rPr>
        <w:t xml:space="preserve">VANCOUVER, B.C., August </w:t>
      </w:r>
      <w:r>
        <w:rPr>
          <w:b/>
          <w:bCs/>
        </w:rPr>
        <w:t>20</w:t>
      </w:r>
      <w:r w:rsidRPr="00217FB9">
        <w:rPr>
          <w:b/>
          <w:bCs/>
        </w:rPr>
        <w:t xml:space="preserve">, 2018 </w:t>
      </w:r>
      <w:r w:rsidRPr="00217FB9">
        <w:t xml:space="preserve">– </w:t>
      </w:r>
      <w:r w:rsidRPr="00217FB9">
        <w:rPr>
          <w:b/>
          <w:bCs/>
        </w:rPr>
        <w:t>NetCents Technology Inc.</w:t>
      </w:r>
      <w:r w:rsidRPr="00217FB9">
        <w:t xml:space="preserve"> (“</w:t>
      </w:r>
      <w:r w:rsidRPr="00217FB9">
        <w:rPr>
          <w:b/>
          <w:bCs/>
        </w:rPr>
        <w:t>NetCents</w:t>
      </w:r>
      <w:r w:rsidRPr="00217FB9">
        <w:t>” or the “</w:t>
      </w:r>
      <w:r w:rsidRPr="00217FB9">
        <w:rPr>
          <w:b/>
          <w:bCs/>
        </w:rPr>
        <w:t>Company</w:t>
      </w:r>
      <w:r w:rsidRPr="00217FB9">
        <w:t xml:space="preserve">”) (CSE: NC/ Frankfurt: 26N). </w:t>
      </w:r>
    </w:p>
    <w:p w14:paraId="4BC06387" w14:textId="0FE29EB0" w:rsidR="00217FB9" w:rsidRDefault="0064017A" w:rsidP="00217FB9">
      <w:r>
        <w:t>The Company has made amended filings of the annual management discussion and analysis (MD&amp;A) for the 2017 fiscal year, first quarter 2018 f</w:t>
      </w:r>
      <w:r w:rsidR="009440BA">
        <w:t>i</w:t>
      </w:r>
      <w:r>
        <w:t xml:space="preserve">nancial statements and MD&amp;A, and second quarter 2018 financial statements and MD&amp;A. </w:t>
      </w:r>
    </w:p>
    <w:p w14:paraId="2EB700F2" w14:textId="77777777" w:rsidR="00266A99" w:rsidRDefault="0064017A" w:rsidP="00217FB9">
      <w:r>
        <w:t>The amended filings are a result of a review by the BCSC and a concern over the level of disclosure related to specific items and the accounting treatment for the proceeds of the NCCO coin. The Company in response has increased the disclosure in the filings related to the NCCO coin, related party transactions, variance on some expenses and risk exposure to the Company. The financial statements have been adjusted to reflect the NCCO coin proceeds and corresponding liability to the NCCO foundation.</w:t>
      </w:r>
    </w:p>
    <w:p w14:paraId="3DAC01A8" w14:textId="71B01F73" w:rsidR="00266A99" w:rsidRPr="00217FB9" w:rsidRDefault="0064017A" w:rsidP="00217FB9">
      <w:r>
        <w:t>The material amendments inc</w:t>
      </w:r>
      <w:r w:rsidR="009440BA">
        <w:t>l</w:t>
      </w:r>
      <w:r>
        <w:t>uded in the amended filing are described below:</w:t>
      </w:r>
    </w:p>
    <w:p w14:paraId="0AC85749" w14:textId="1E414331" w:rsidR="00217FB9" w:rsidRPr="00266A99" w:rsidRDefault="0064017A" w:rsidP="00266A99">
      <w:pPr>
        <w:pStyle w:val="ListParagraph"/>
        <w:numPr>
          <w:ilvl w:val="0"/>
          <w:numId w:val="1"/>
        </w:numPr>
        <w:rPr>
          <w:b/>
        </w:rPr>
      </w:pPr>
      <w:r>
        <w:t xml:space="preserve"> Amended and Restated MD&amp;A for the year ended October 31, 2017</w:t>
      </w:r>
    </w:p>
    <w:p w14:paraId="42C94969" w14:textId="48BB8006" w:rsidR="00217FB9" w:rsidRPr="005C27F8" w:rsidRDefault="0064017A" w:rsidP="00266A99">
      <w:pPr>
        <w:ind w:left="720"/>
        <w:rPr>
          <w:lang w:val="en-US"/>
        </w:rPr>
      </w:pPr>
      <w:r w:rsidRPr="005C27F8">
        <w:rPr>
          <w:lang w:val="en-US"/>
        </w:rPr>
        <w:t xml:space="preserve">The Company </w:t>
      </w:r>
      <w:r>
        <w:rPr>
          <w:lang w:val="en-US"/>
        </w:rPr>
        <w:t>filed an amended and restated</w:t>
      </w:r>
      <w:r w:rsidRPr="005C27F8">
        <w:rPr>
          <w:lang w:val="en-US"/>
        </w:rPr>
        <w:t xml:space="preserve"> Annual MD&amp;A for </w:t>
      </w:r>
      <w:r>
        <w:rPr>
          <w:lang w:val="en-US"/>
        </w:rPr>
        <w:t xml:space="preserve">the year ended </w:t>
      </w:r>
      <w:r w:rsidRPr="005C27F8">
        <w:rPr>
          <w:lang w:val="en-US"/>
        </w:rPr>
        <w:t xml:space="preserve">October 31, 2017 to provide additional disclosure relating to the sale of the NCCO coin, more detailed explanation on the bad debt expense, and to include the business reason for related party transactions. </w:t>
      </w:r>
    </w:p>
    <w:p w14:paraId="3F121C55" w14:textId="01AE5838" w:rsidR="00217FB9" w:rsidRPr="005C27F8" w:rsidRDefault="0064017A" w:rsidP="00266A99">
      <w:pPr>
        <w:ind w:left="720"/>
        <w:rPr>
          <w:lang w:val="en-US"/>
        </w:rPr>
      </w:pPr>
      <w:r w:rsidRPr="005C27F8">
        <w:rPr>
          <w:lang w:val="en-US"/>
        </w:rPr>
        <w:t xml:space="preserve">The Company has also included reference to the stock halt in the risk section of the amended </w:t>
      </w:r>
      <w:r>
        <w:rPr>
          <w:lang w:val="en-US"/>
        </w:rPr>
        <w:t xml:space="preserve">and restated </w:t>
      </w:r>
      <w:r w:rsidRPr="005C27F8">
        <w:rPr>
          <w:lang w:val="en-US"/>
        </w:rPr>
        <w:t>MD&amp;A to discuss the risk for the Company of</w:t>
      </w:r>
      <w:r>
        <w:rPr>
          <w:lang w:val="en-US"/>
        </w:rPr>
        <w:t xml:space="preserve"> the</w:t>
      </w:r>
      <w:r w:rsidRPr="005C27F8">
        <w:rPr>
          <w:lang w:val="en-US"/>
        </w:rPr>
        <w:t xml:space="preserve"> continued stock halt.</w:t>
      </w:r>
    </w:p>
    <w:p w14:paraId="34D5C4E4" w14:textId="41A81928" w:rsidR="00217FB9" w:rsidRPr="00266A99" w:rsidRDefault="0064017A" w:rsidP="00266A99">
      <w:pPr>
        <w:pStyle w:val="ListParagraph"/>
        <w:numPr>
          <w:ilvl w:val="0"/>
          <w:numId w:val="1"/>
        </w:numPr>
        <w:rPr>
          <w:b/>
        </w:rPr>
      </w:pPr>
      <w:bookmarkStart w:id="0" w:name="_Hlk521873120"/>
      <w:r>
        <w:t>Amended and Restated MD&amp;A and Financial Statements for the first quarter ended January 31, 2018</w:t>
      </w:r>
    </w:p>
    <w:bookmarkEnd w:id="0"/>
    <w:p w14:paraId="07EF3AC5" w14:textId="0CB375EB" w:rsidR="00D64ACC" w:rsidRPr="00D64ACC" w:rsidRDefault="0064017A" w:rsidP="00D64ACC">
      <w:pPr>
        <w:ind w:left="720"/>
        <w:rPr>
          <w:lang w:val="en-US"/>
        </w:rPr>
      </w:pPr>
      <w:r w:rsidRPr="005C27F8">
        <w:rPr>
          <w:lang w:val="en-US"/>
        </w:rPr>
        <w:t xml:space="preserve">The Company </w:t>
      </w:r>
      <w:r>
        <w:rPr>
          <w:lang w:val="en-US"/>
        </w:rPr>
        <w:t xml:space="preserve">filed amended and restated </w:t>
      </w:r>
      <w:r w:rsidRPr="005C27F8">
        <w:rPr>
          <w:lang w:val="en-US"/>
        </w:rPr>
        <w:t xml:space="preserve">MD&amp;A for </w:t>
      </w:r>
      <w:r>
        <w:rPr>
          <w:lang w:val="en-US"/>
        </w:rPr>
        <w:t>the first quarter ended January 31, 2018</w:t>
      </w:r>
      <w:r w:rsidRPr="005C27F8">
        <w:rPr>
          <w:lang w:val="en-US"/>
        </w:rPr>
        <w:t xml:space="preserve"> to provide additional disclosure relating to the sale of the NCCO coin, more detailed explanation on certain expenses (loss on settlement of debt and share-based payments), and to include the business reason for related party transactions. </w:t>
      </w:r>
      <w:r w:rsidRPr="00D64ACC">
        <w:rPr>
          <w:lang w:val="en-US"/>
        </w:rPr>
        <w:t xml:space="preserve">The Company also included reference to the stock halt in the risk section of the </w:t>
      </w:r>
      <w:r>
        <w:rPr>
          <w:lang w:val="en-US"/>
        </w:rPr>
        <w:t>amended and restated</w:t>
      </w:r>
      <w:r w:rsidRPr="00D64ACC">
        <w:rPr>
          <w:lang w:val="en-US"/>
        </w:rPr>
        <w:t xml:space="preserve"> MD&amp;A to discuss the risk for the Company of a continued stock halt.</w:t>
      </w:r>
    </w:p>
    <w:p w14:paraId="5BC6DF13" w14:textId="1262E970" w:rsidR="00217FB9" w:rsidRPr="005C27F8" w:rsidRDefault="0064017A" w:rsidP="00266A99">
      <w:pPr>
        <w:ind w:left="720"/>
        <w:rPr>
          <w:lang w:val="en-US"/>
        </w:rPr>
      </w:pPr>
      <w:r>
        <w:rPr>
          <w:lang w:val="en-US"/>
        </w:rPr>
        <w:t>In addition, the Company filed amended and restated financial statements for the first quarter ended January 31. 2018</w:t>
      </w:r>
      <w:r w:rsidRPr="005C27F8">
        <w:rPr>
          <w:lang w:val="en-US"/>
        </w:rPr>
        <w:t xml:space="preserve"> to include a liability related to the proceeds of the NCCO coin sale. In the original filing the Company had taken the position that the liability to the foundation was not required to be recorded in the financial statements due to the fact the foundation did not </w:t>
      </w:r>
      <w:r w:rsidRPr="005C27F8">
        <w:rPr>
          <w:lang w:val="en-US"/>
        </w:rPr>
        <w:lastRenderedPageBreak/>
        <w:t>exist. Originally, the funds received for the sale of the NCCO coin were not recorded in the financial statements although held in the Company’s operating bank accounts. The Company also did not record the corresponding liability to the foundation in the financial statements. Expenses related to the foundation were not recorded in the Company’s accounts as the Company was confident that the expenses were to be reimbursed by the foundation.</w:t>
      </w:r>
    </w:p>
    <w:p w14:paraId="7768B4B0" w14:textId="77777777" w:rsidR="00217FB9" w:rsidRPr="005C27F8" w:rsidRDefault="0064017A" w:rsidP="00266A99">
      <w:pPr>
        <w:ind w:left="720"/>
        <w:rPr>
          <w:lang w:val="en-US"/>
        </w:rPr>
      </w:pPr>
      <w:bookmarkStart w:id="1" w:name="_Hlk521873185"/>
      <w:r w:rsidRPr="005C27F8">
        <w:rPr>
          <w:lang w:val="en-US"/>
        </w:rPr>
        <w:t xml:space="preserve">The Company has revised its position with respect to the accounting for the NCCO coin proceeds and all related transactions. Refer to the financial statement notes for more detail on the accounting treatment. </w:t>
      </w:r>
    </w:p>
    <w:p w14:paraId="47E459A6" w14:textId="1D0C8D4F" w:rsidR="00217FB9" w:rsidRPr="005C27F8" w:rsidRDefault="0064017A" w:rsidP="00D64ACC">
      <w:pPr>
        <w:ind w:left="720"/>
        <w:rPr>
          <w:lang w:val="en-US"/>
        </w:rPr>
      </w:pPr>
      <w:bookmarkStart w:id="2" w:name="_Hlk520830763"/>
      <w:bookmarkEnd w:id="1"/>
      <w:r>
        <w:t>Amended and Restated MD&amp;A and Financial Statements for the second quarter ended April 30, 2018</w:t>
      </w:r>
      <w:r w:rsidR="00E83A96">
        <w:t xml:space="preserve">. </w:t>
      </w:r>
      <w:r w:rsidRPr="005C27F8">
        <w:rPr>
          <w:lang w:val="en-US"/>
        </w:rPr>
        <w:t>The Company</w:t>
      </w:r>
      <w:r>
        <w:rPr>
          <w:lang w:val="en-US"/>
        </w:rPr>
        <w:t xml:space="preserve"> filed amended and restated</w:t>
      </w:r>
      <w:r w:rsidRPr="005C27F8">
        <w:rPr>
          <w:lang w:val="en-US"/>
        </w:rPr>
        <w:t xml:space="preserve"> MD&amp;A for </w:t>
      </w:r>
      <w:r>
        <w:rPr>
          <w:lang w:val="en-US"/>
        </w:rPr>
        <w:t xml:space="preserve">second quarter ended April 30, 2018 </w:t>
      </w:r>
      <w:r w:rsidRPr="005C27F8">
        <w:rPr>
          <w:lang w:val="en-US"/>
        </w:rPr>
        <w:t>reduce the focus and extensive detail of the NCCO coin sale from what had been previously included in the filed MD&amp;A</w:t>
      </w:r>
      <w:r>
        <w:rPr>
          <w:lang w:val="en-US"/>
        </w:rPr>
        <w:t>, to more accurately reflect the amount of emphasis the Company is placing on the NCCO as part of the Company’s business.</w:t>
      </w:r>
      <w:r w:rsidR="009440BA">
        <w:rPr>
          <w:lang w:val="en-US"/>
        </w:rPr>
        <w:t xml:space="preserve"> </w:t>
      </w:r>
      <w:r w:rsidRPr="005C27F8">
        <w:rPr>
          <w:lang w:val="en-US"/>
        </w:rPr>
        <w:t>The Company has also included reference to the stock halt in the risk section of the revised and amended MD&amp;A to discuss the risk for the Company of a continued stock halt.</w:t>
      </w:r>
    </w:p>
    <w:p w14:paraId="1E50154A" w14:textId="7CB30BC1" w:rsidR="00217FB9" w:rsidRPr="005C27F8" w:rsidRDefault="0064017A" w:rsidP="00266A99">
      <w:pPr>
        <w:ind w:left="720"/>
        <w:rPr>
          <w:lang w:val="en-US"/>
        </w:rPr>
      </w:pPr>
      <w:r w:rsidRPr="005C27F8">
        <w:rPr>
          <w:lang w:val="en-US"/>
        </w:rPr>
        <w:t>The Company</w:t>
      </w:r>
      <w:r>
        <w:rPr>
          <w:lang w:val="en-US"/>
        </w:rPr>
        <w:t xml:space="preserve"> also filed</w:t>
      </w:r>
      <w:r w:rsidRPr="005C27F8">
        <w:rPr>
          <w:lang w:val="en-US"/>
        </w:rPr>
        <w:t xml:space="preserve"> </w:t>
      </w:r>
      <w:r>
        <w:rPr>
          <w:lang w:val="en-US"/>
        </w:rPr>
        <w:t xml:space="preserve">amended and restated financial statements for the second quarter ended April 30, 2018 </w:t>
      </w:r>
      <w:r w:rsidRPr="005C27F8">
        <w:rPr>
          <w:lang w:val="en-US"/>
        </w:rPr>
        <w:t xml:space="preserve">to provide additional information related to the NCCO transactions. Refer to note 10 </w:t>
      </w:r>
      <w:r>
        <w:rPr>
          <w:lang w:val="en-US"/>
        </w:rPr>
        <w:t xml:space="preserve">of the amended and restated financial statements for the second quarter </w:t>
      </w:r>
      <w:r w:rsidRPr="005C27F8">
        <w:rPr>
          <w:lang w:val="en-US"/>
        </w:rPr>
        <w:t xml:space="preserve">for more information. </w:t>
      </w:r>
    </w:p>
    <w:p w14:paraId="014D8583" w14:textId="39C7D7F6" w:rsidR="00217FB9" w:rsidRPr="005C27F8" w:rsidRDefault="0064017A" w:rsidP="00217FB9">
      <w:pPr>
        <w:rPr>
          <w:lang w:val="en-US"/>
        </w:rPr>
      </w:pPr>
      <w:r w:rsidRPr="005C27F8">
        <w:rPr>
          <w:lang w:val="en-US"/>
        </w:rPr>
        <w:t xml:space="preserve">The amended and restated </w:t>
      </w:r>
      <w:r>
        <w:rPr>
          <w:lang w:val="en-US"/>
        </w:rPr>
        <w:t>MD&amp;A for the year ended October 31, 2017, the amended and restated financial statements and MD&amp;A for the first quarter ended January 31, 2018, and the</w:t>
      </w:r>
      <w:r w:rsidRPr="006C24C2">
        <w:rPr>
          <w:lang w:val="en-US"/>
        </w:rPr>
        <w:t xml:space="preserve"> </w:t>
      </w:r>
      <w:r>
        <w:rPr>
          <w:lang w:val="en-US"/>
        </w:rPr>
        <w:t>amended and restated financial statements and MD&amp;A for the second quarter ended April 30 2018</w:t>
      </w:r>
      <w:r w:rsidR="00E83A96">
        <w:rPr>
          <w:lang w:val="en-US"/>
        </w:rPr>
        <w:t>,</w:t>
      </w:r>
      <w:r>
        <w:rPr>
          <w:lang w:val="en-US"/>
        </w:rPr>
        <w:t xml:space="preserve"> have been filed on SEDAR and are available upon request from the Company.  Readers are encouraged to review the amended and restated filings in their entirety to understand the amendments made to the Company’s financial disclosure.</w:t>
      </w:r>
      <w:bookmarkStart w:id="3" w:name="_GoBack"/>
      <w:bookmarkEnd w:id="3"/>
    </w:p>
    <w:bookmarkEnd w:id="2"/>
    <w:p w14:paraId="1607ACF6" w14:textId="77777777" w:rsidR="00217FB9" w:rsidRPr="00217FB9" w:rsidRDefault="0064017A" w:rsidP="00217FB9">
      <w:r w:rsidRPr="00217FB9">
        <w:rPr>
          <w:b/>
          <w:bCs/>
        </w:rPr>
        <w:t>About NetCents</w:t>
      </w:r>
    </w:p>
    <w:p w14:paraId="3F831FF3" w14:textId="77777777" w:rsidR="00217FB9" w:rsidRPr="00217FB9" w:rsidRDefault="0064017A" w:rsidP="00217FB9">
      <w:r w:rsidRPr="00217FB9">
        <w:t>NetCents is a next 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 free. NetCents works with its financial partners, mobile operators, exchanges, etc., to streamline the user experience of transacting online. 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w:t>
      </w:r>
    </w:p>
    <w:p w14:paraId="246D96AA" w14:textId="77777777" w:rsidR="00217FB9" w:rsidRPr="00217FB9" w:rsidRDefault="0064017A" w:rsidP="00217FB9">
      <w:r w:rsidRPr="00217FB9">
        <w:t xml:space="preserve">For more information, please visit the corporate website at </w:t>
      </w:r>
      <w:hyperlink r:id="rId8" w:history="1">
        <w:r w:rsidRPr="00217FB9">
          <w:rPr>
            <w:rStyle w:val="Hyperlink"/>
          </w:rPr>
          <w:t>www.net-cents.com</w:t>
        </w:r>
      </w:hyperlink>
      <w:r w:rsidRPr="00217FB9">
        <w:t xml:space="preserve"> or contact Gordon Jessop, President, email: </w:t>
      </w:r>
      <w:hyperlink r:id="rId9" w:history="1">
        <w:r w:rsidRPr="00217FB9">
          <w:rPr>
            <w:rStyle w:val="Hyperlink"/>
          </w:rPr>
          <w:t>gord.jessop@net-cents.com</w:t>
        </w:r>
      </w:hyperlink>
      <w:r w:rsidRPr="00217FB9">
        <w:t>.</w:t>
      </w:r>
    </w:p>
    <w:p w14:paraId="1B39D0C6" w14:textId="77777777" w:rsidR="00217FB9" w:rsidRPr="00217FB9" w:rsidRDefault="0064017A" w:rsidP="00217FB9">
      <w:r w:rsidRPr="00217FB9">
        <w:t> </w:t>
      </w:r>
    </w:p>
    <w:p w14:paraId="140B0DAE" w14:textId="77777777" w:rsidR="00217FB9" w:rsidRPr="00217FB9" w:rsidRDefault="0064017A" w:rsidP="00217FB9">
      <w:r w:rsidRPr="00217FB9">
        <w:t>On Behalf of the Board of Directors</w:t>
      </w:r>
    </w:p>
    <w:p w14:paraId="07188636" w14:textId="77777777" w:rsidR="00217FB9" w:rsidRPr="00217FB9" w:rsidRDefault="0064017A" w:rsidP="00217FB9">
      <w:r w:rsidRPr="00217FB9">
        <w:lastRenderedPageBreak/>
        <w:t>NetCents Technology Inc.</w:t>
      </w:r>
    </w:p>
    <w:p w14:paraId="52E1695B" w14:textId="77777777" w:rsidR="00217FB9" w:rsidRPr="00217FB9" w:rsidRDefault="0064017A" w:rsidP="00217FB9">
      <w:r w:rsidRPr="00217FB9">
        <w:t> </w:t>
      </w:r>
    </w:p>
    <w:p w14:paraId="2C93BA8D" w14:textId="77777777" w:rsidR="00217FB9" w:rsidRPr="00217FB9" w:rsidRDefault="0064017A" w:rsidP="00217FB9">
      <w:r w:rsidRPr="00217FB9">
        <w:rPr>
          <w:u w:val="single"/>
        </w:rPr>
        <w:t>“Clayton Moore”</w:t>
      </w:r>
    </w:p>
    <w:p w14:paraId="3A687BAE" w14:textId="77777777" w:rsidR="00217FB9" w:rsidRPr="00217FB9" w:rsidRDefault="0064017A" w:rsidP="00217FB9">
      <w:r w:rsidRPr="00217FB9">
        <w:t>Clayton Moore, CEO, Founder and Director</w:t>
      </w:r>
    </w:p>
    <w:p w14:paraId="555D8E7D" w14:textId="77777777" w:rsidR="00217FB9" w:rsidRPr="00217FB9" w:rsidRDefault="0064017A" w:rsidP="00217FB9">
      <w:r w:rsidRPr="00217FB9">
        <w:t> </w:t>
      </w:r>
    </w:p>
    <w:p w14:paraId="013027CE" w14:textId="77777777" w:rsidR="00217FB9" w:rsidRPr="00217FB9" w:rsidRDefault="0064017A" w:rsidP="00217FB9">
      <w:r w:rsidRPr="00217FB9">
        <w:t>NetCents Technology Inc.</w:t>
      </w:r>
    </w:p>
    <w:p w14:paraId="2F73CDDF" w14:textId="77777777" w:rsidR="00217FB9" w:rsidRPr="00217FB9" w:rsidRDefault="0064017A" w:rsidP="00217FB9">
      <w:r w:rsidRPr="00217FB9">
        <w:t>Suite 880, 505 Burrard St (Bentall 1),</w:t>
      </w:r>
    </w:p>
    <w:p w14:paraId="08ADBB28" w14:textId="77777777" w:rsidR="00217FB9" w:rsidRPr="00217FB9" w:rsidRDefault="0064017A" w:rsidP="00217FB9">
      <w:r w:rsidRPr="00217FB9">
        <w:t>Vancouver, BC, V7X 1M4</w:t>
      </w:r>
    </w:p>
    <w:p w14:paraId="0BF1B607" w14:textId="77777777" w:rsidR="00217FB9" w:rsidRPr="00217FB9" w:rsidRDefault="0064017A" w:rsidP="00217FB9">
      <w:r w:rsidRPr="00217FB9">
        <w:t> </w:t>
      </w:r>
    </w:p>
    <w:p w14:paraId="52E0E71F" w14:textId="77777777" w:rsidR="00217FB9" w:rsidRPr="00217FB9" w:rsidRDefault="0064017A" w:rsidP="00217FB9">
      <w:r w:rsidRPr="00217FB9">
        <w:t>Cautionary Note Regarding Forward Looking Information</w:t>
      </w:r>
    </w:p>
    <w:p w14:paraId="190F77C7" w14:textId="77777777" w:rsidR="00217FB9" w:rsidRPr="00217FB9" w:rsidRDefault="0064017A" w:rsidP="00217FB9">
      <w:r w:rsidRPr="00217FB9">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14:paraId="0172D17B" w14:textId="77777777" w:rsidR="00217FB9" w:rsidRPr="00217FB9" w:rsidRDefault="0064017A" w:rsidP="00217FB9">
      <w:r w:rsidRPr="00217FB9">
        <w:t>The CSE has not reviewed, approved or disapproved the content of this press release</w:t>
      </w:r>
    </w:p>
    <w:p w14:paraId="2CDB1A66" w14:textId="77777777" w:rsidR="00217FB9" w:rsidRPr="00217FB9" w:rsidRDefault="0064017A" w:rsidP="00217FB9">
      <w:r w:rsidRPr="00217FB9">
        <w:t> </w:t>
      </w:r>
    </w:p>
    <w:p w14:paraId="01DDD02C" w14:textId="67D950B4" w:rsidR="00572363" w:rsidRDefault="007C7C36"/>
    <w:sectPr w:rsidR="00572363" w:rsidSect="00C2680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045B" w14:textId="77777777" w:rsidR="007C7C36" w:rsidRDefault="007C7C36">
      <w:pPr>
        <w:spacing w:after="0" w:line="240" w:lineRule="auto"/>
      </w:pPr>
      <w:r>
        <w:separator/>
      </w:r>
    </w:p>
  </w:endnote>
  <w:endnote w:type="continuationSeparator" w:id="0">
    <w:p w14:paraId="0E0E2D97" w14:textId="77777777" w:rsidR="007C7C36" w:rsidRDefault="007C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93543" w14:textId="77777777" w:rsidR="007C7C36" w:rsidRDefault="007C7C36">
      <w:pPr>
        <w:spacing w:after="0" w:line="240" w:lineRule="auto"/>
      </w:pPr>
      <w:r>
        <w:separator/>
      </w:r>
    </w:p>
  </w:footnote>
  <w:footnote w:type="continuationSeparator" w:id="0">
    <w:p w14:paraId="3AF33F4B" w14:textId="77777777" w:rsidR="007C7C36" w:rsidRDefault="007C7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A7CBF"/>
    <w:multiLevelType w:val="hybridMultilevel"/>
    <w:tmpl w:val="8306EAD4"/>
    <w:lvl w:ilvl="0" w:tplc="D780CAC2">
      <w:start w:val="1"/>
      <w:numFmt w:val="bullet"/>
      <w:lvlText w:val=""/>
      <w:lvlJc w:val="left"/>
      <w:pPr>
        <w:ind w:left="720" w:hanging="360"/>
      </w:pPr>
      <w:rPr>
        <w:rFonts w:ascii="Symbol" w:hAnsi="Symbol" w:hint="default"/>
      </w:rPr>
    </w:lvl>
    <w:lvl w:ilvl="1" w:tplc="F07C5866" w:tentative="1">
      <w:start w:val="1"/>
      <w:numFmt w:val="bullet"/>
      <w:lvlText w:val="o"/>
      <w:lvlJc w:val="left"/>
      <w:pPr>
        <w:ind w:left="1440" w:hanging="360"/>
      </w:pPr>
      <w:rPr>
        <w:rFonts w:ascii="Courier New" w:hAnsi="Courier New" w:cs="Courier New" w:hint="default"/>
      </w:rPr>
    </w:lvl>
    <w:lvl w:ilvl="2" w:tplc="C8645B54" w:tentative="1">
      <w:start w:val="1"/>
      <w:numFmt w:val="bullet"/>
      <w:lvlText w:val=""/>
      <w:lvlJc w:val="left"/>
      <w:pPr>
        <w:ind w:left="2160" w:hanging="360"/>
      </w:pPr>
      <w:rPr>
        <w:rFonts w:ascii="Wingdings" w:hAnsi="Wingdings" w:hint="default"/>
      </w:rPr>
    </w:lvl>
    <w:lvl w:ilvl="3" w:tplc="406A6D9A" w:tentative="1">
      <w:start w:val="1"/>
      <w:numFmt w:val="bullet"/>
      <w:lvlText w:val=""/>
      <w:lvlJc w:val="left"/>
      <w:pPr>
        <w:ind w:left="2880" w:hanging="360"/>
      </w:pPr>
      <w:rPr>
        <w:rFonts w:ascii="Symbol" w:hAnsi="Symbol" w:hint="default"/>
      </w:rPr>
    </w:lvl>
    <w:lvl w:ilvl="4" w:tplc="11009928" w:tentative="1">
      <w:start w:val="1"/>
      <w:numFmt w:val="bullet"/>
      <w:lvlText w:val="o"/>
      <w:lvlJc w:val="left"/>
      <w:pPr>
        <w:ind w:left="3600" w:hanging="360"/>
      </w:pPr>
      <w:rPr>
        <w:rFonts w:ascii="Courier New" w:hAnsi="Courier New" w:cs="Courier New" w:hint="default"/>
      </w:rPr>
    </w:lvl>
    <w:lvl w:ilvl="5" w:tplc="1D709670" w:tentative="1">
      <w:start w:val="1"/>
      <w:numFmt w:val="bullet"/>
      <w:lvlText w:val=""/>
      <w:lvlJc w:val="left"/>
      <w:pPr>
        <w:ind w:left="4320" w:hanging="360"/>
      </w:pPr>
      <w:rPr>
        <w:rFonts w:ascii="Wingdings" w:hAnsi="Wingdings" w:hint="default"/>
      </w:rPr>
    </w:lvl>
    <w:lvl w:ilvl="6" w:tplc="DF184796" w:tentative="1">
      <w:start w:val="1"/>
      <w:numFmt w:val="bullet"/>
      <w:lvlText w:val=""/>
      <w:lvlJc w:val="left"/>
      <w:pPr>
        <w:ind w:left="5040" w:hanging="360"/>
      </w:pPr>
      <w:rPr>
        <w:rFonts w:ascii="Symbol" w:hAnsi="Symbol" w:hint="default"/>
      </w:rPr>
    </w:lvl>
    <w:lvl w:ilvl="7" w:tplc="DC9A7B4C" w:tentative="1">
      <w:start w:val="1"/>
      <w:numFmt w:val="bullet"/>
      <w:lvlText w:val="o"/>
      <w:lvlJc w:val="left"/>
      <w:pPr>
        <w:ind w:left="5760" w:hanging="360"/>
      </w:pPr>
      <w:rPr>
        <w:rFonts w:ascii="Courier New" w:hAnsi="Courier New" w:cs="Courier New" w:hint="default"/>
      </w:rPr>
    </w:lvl>
    <w:lvl w:ilvl="8" w:tplc="B1E42C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7F8"/>
    <w:rsid w:val="00022475"/>
    <w:rsid w:val="00034D09"/>
    <w:rsid w:val="003F3495"/>
    <w:rsid w:val="00436D90"/>
    <w:rsid w:val="00503915"/>
    <w:rsid w:val="005C27F8"/>
    <w:rsid w:val="005E3AD1"/>
    <w:rsid w:val="0064017A"/>
    <w:rsid w:val="00667FD8"/>
    <w:rsid w:val="007C7C36"/>
    <w:rsid w:val="009440BA"/>
    <w:rsid w:val="00B70615"/>
    <w:rsid w:val="00D568AE"/>
    <w:rsid w:val="00E8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5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FB9"/>
  </w:style>
  <w:style w:type="paragraph" w:styleId="Heading1">
    <w:name w:val="heading 1"/>
    <w:basedOn w:val="Normal"/>
    <w:next w:val="Normal"/>
    <w:link w:val="Heading1Char"/>
    <w:uiPriority w:val="9"/>
    <w:qFormat/>
    <w:rsid w:val="00217FB9"/>
    <w:pPr>
      <w:keepNext/>
      <w:keepLines/>
      <w:spacing w:before="240" w:after="0" w:line="240" w:lineRule="auto"/>
      <w:outlineLvl w:val="0"/>
    </w:pPr>
    <w:rPr>
      <w:rFonts w:ascii="Calibri" w:eastAsia="MS Gothic" w:hAnsi="Calibri" w:cs="Times New Roman"/>
      <w:b/>
      <w:bCs/>
      <w:smallCaps/>
      <w:color w:val="1F49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FB9"/>
    <w:rPr>
      <w:rFonts w:ascii="Calibri" w:eastAsia="MS Gothic" w:hAnsi="Calibri" w:cs="Times New Roman"/>
      <w:b/>
      <w:bCs/>
      <w:smallCaps/>
      <w:color w:val="1F497D"/>
      <w:sz w:val="28"/>
      <w:szCs w:val="28"/>
    </w:rPr>
  </w:style>
  <w:style w:type="character" w:styleId="CommentReference">
    <w:name w:val="annotation reference"/>
    <w:uiPriority w:val="99"/>
    <w:semiHidden/>
    <w:unhideWhenUsed/>
    <w:rsid w:val="00217FB9"/>
    <w:rPr>
      <w:sz w:val="16"/>
      <w:szCs w:val="16"/>
    </w:rPr>
  </w:style>
  <w:style w:type="paragraph" w:styleId="CommentText">
    <w:name w:val="annotation text"/>
    <w:basedOn w:val="Normal"/>
    <w:link w:val="CommentTextChar"/>
    <w:uiPriority w:val="99"/>
    <w:semiHidden/>
    <w:unhideWhenUsed/>
    <w:rsid w:val="00217FB9"/>
  </w:style>
  <w:style w:type="character" w:customStyle="1" w:styleId="CommentTextChar">
    <w:name w:val="Comment Text Char"/>
    <w:basedOn w:val="DefaultParagraphFont"/>
    <w:link w:val="CommentText"/>
    <w:uiPriority w:val="99"/>
    <w:semiHidden/>
    <w:rsid w:val="00217FB9"/>
  </w:style>
  <w:style w:type="paragraph" w:styleId="BalloonText">
    <w:name w:val="Balloon Text"/>
    <w:basedOn w:val="Normal"/>
    <w:link w:val="BalloonTextChar"/>
    <w:uiPriority w:val="99"/>
    <w:semiHidden/>
    <w:unhideWhenUsed/>
    <w:rsid w:val="00217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B9"/>
    <w:rPr>
      <w:rFonts w:ascii="Segoe UI" w:hAnsi="Segoe UI" w:cs="Segoe UI"/>
      <w:sz w:val="18"/>
      <w:szCs w:val="18"/>
    </w:rPr>
  </w:style>
  <w:style w:type="character" w:styleId="Hyperlink">
    <w:name w:val="Hyperlink"/>
    <w:basedOn w:val="DefaultParagraphFont"/>
    <w:uiPriority w:val="99"/>
    <w:unhideWhenUsed/>
    <w:rsid w:val="00217FB9"/>
    <w:rPr>
      <w:color w:val="0563C1" w:themeColor="hyperlink"/>
      <w:u w:val="single"/>
    </w:rPr>
  </w:style>
  <w:style w:type="character" w:customStyle="1" w:styleId="UnresolvedMention1">
    <w:name w:val="Unresolved Mention1"/>
    <w:basedOn w:val="DefaultParagraphFont"/>
    <w:uiPriority w:val="99"/>
    <w:semiHidden/>
    <w:unhideWhenUsed/>
    <w:rsid w:val="00217FB9"/>
    <w:rPr>
      <w:color w:val="605E5C"/>
      <w:shd w:val="clear" w:color="auto" w:fill="E1DFDD"/>
    </w:rPr>
  </w:style>
  <w:style w:type="paragraph" w:styleId="ListParagraph">
    <w:name w:val="List Paragraph"/>
    <w:basedOn w:val="Normal"/>
    <w:uiPriority w:val="34"/>
    <w:qFormat/>
    <w:rsid w:val="00266A99"/>
    <w:pPr>
      <w:ind w:left="720"/>
      <w:contextualSpacing/>
    </w:pPr>
  </w:style>
  <w:style w:type="paragraph" w:styleId="Header">
    <w:name w:val="header"/>
    <w:basedOn w:val="Normal"/>
    <w:link w:val="HeaderChar"/>
    <w:uiPriority w:val="99"/>
    <w:unhideWhenUsed/>
    <w:rsid w:val="00D64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ACC"/>
  </w:style>
  <w:style w:type="paragraph" w:styleId="Footer">
    <w:name w:val="footer"/>
    <w:basedOn w:val="Normal"/>
    <w:link w:val="FooterChar"/>
    <w:uiPriority w:val="99"/>
    <w:unhideWhenUsed/>
    <w:rsid w:val="00D64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CC"/>
  </w:style>
  <w:style w:type="paragraph" w:styleId="CommentSubject">
    <w:name w:val="annotation subject"/>
    <w:basedOn w:val="CommentText"/>
    <w:next w:val="CommentText"/>
    <w:link w:val="CommentSubjectChar"/>
    <w:uiPriority w:val="99"/>
    <w:semiHidden/>
    <w:unhideWhenUsed/>
    <w:rsid w:val="006C24C2"/>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6C24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d.jessop@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2018-08-20T22:56:00Z</dcterms:created>
  <dcterms:modified xsi:type="dcterms:W3CDTF">2018-08-21T00:50:00Z</dcterms:modified>
</cp:coreProperties>
</file>