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A025" w14:textId="1D20414D" w:rsidR="005E191D" w:rsidRPr="00AE7E14" w:rsidRDefault="005E191D" w:rsidP="00D64944">
      <w:pPr>
        <w:shd w:val="clear" w:color="auto" w:fill="FFFFFF"/>
        <w:spacing w:before="300" w:after="150" w:line="240" w:lineRule="auto"/>
        <w:jc w:val="both"/>
        <w:outlineLvl w:val="0"/>
        <w:rPr>
          <w:rFonts w:eastAsia="Times New Roman" w:cstheme="minorHAnsi"/>
          <w:b/>
          <w:color w:val="333333"/>
          <w:kern w:val="36"/>
          <w:lang w:eastAsia="en-CA"/>
        </w:rPr>
      </w:pPr>
      <w:bookmarkStart w:id="0" w:name="_GoBack"/>
      <w:bookmarkEnd w:id="0"/>
      <w:r w:rsidRPr="00AE7E14">
        <w:rPr>
          <w:rFonts w:eastAsia="Times New Roman" w:cstheme="minorHAnsi"/>
          <w:b/>
          <w:color w:val="333333"/>
          <w:kern w:val="36"/>
          <w:lang w:eastAsia="en-CA"/>
        </w:rPr>
        <w:t xml:space="preserve">Plaintree Systems Inc. Announces </w:t>
      </w:r>
      <w:r w:rsidR="00D920D9">
        <w:rPr>
          <w:rFonts w:eastAsia="Times New Roman" w:cstheme="minorHAnsi"/>
          <w:b/>
          <w:color w:val="333333"/>
          <w:kern w:val="36"/>
          <w:lang w:eastAsia="en-CA"/>
        </w:rPr>
        <w:t xml:space="preserve">Terminations of Negotiations for the </w:t>
      </w:r>
      <w:r w:rsidR="00FA4E20" w:rsidRPr="00AE7E14">
        <w:rPr>
          <w:rFonts w:eastAsia="Times New Roman" w:cstheme="minorHAnsi"/>
          <w:b/>
          <w:color w:val="333333"/>
          <w:kern w:val="36"/>
          <w:lang w:eastAsia="en-CA"/>
        </w:rPr>
        <w:t>S</w:t>
      </w:r>
      <w:r w:rsidR="00D920D9">
        <w:rPr>
          <w:rFonts w:eastAsia="Times New Roman" w:cstheme="minorHAnsi"/>
          <w:b/>
          <w:color w:val="333333"/>
          <w:kern w:val="36"/>
          <w:lang w:eastAsia="en-CA"/>
        </w:rPr>
        <w:t xml:space="preserve">ale of </w:t>
      </w:r>
      <w:r w:rsidR="00FA4E20" w:rsidRPr="00AE7E14">
        <w:rPr>
          <w:rFonts w:eastAsia="Times New Roman" w:cstheme="minorHAnsi"/>
          <w:b/>
          <w:color w:val="333333"/>
          <w:kern w:val="36"/>
          <w:lang w:eastAsia="en-CA"/>
        </w:rPr>
        <w:t xml:space="preserve">Its Hypernetics Business </w:t>
      </w:r>
    </w:p>
    <w:p w14:paraId="229F7C97" w14:textId="498F9865" w:rsidR="00220230" w:rsidRPr="00AE7E14" w:rsidRDefault="005E191D" w:rsidP="00220230">
      <w:pPr>
        <w:shd w:val="clear" w:color="auto" w:fill="FFFFFF"/>
        <w:spacing w:after="150" w:line="240" w:lineRule="auto"/>
        <w:jc w:val="both"/>
        <w:rPr>
          <w:rFonts w:eastAsia="Times New Roman" w:cstheme="minorHAnsi"/>
          <w:color w:val="333333"/>
          <w:lang w:eastAsia="en-CA"/>
        </w:rPr>
      </w:pPr>
      <w:r w:rsidRPr="00AE7E14">
        <w:rPr>
          <w:rFonts w:eastAsia="Times New Roman" w:cstheme="minorHAnsi"/>
          <w:color w:val="333333"/>
          <w:lang w:eastAsia="en-CA"/>
        </w:rPr>
        <w:t>Arnprior, Ontario (</w:t>
      </w:r>
      <w:r w:rsidR="00D920D9">
        <w:rPr>
          <w:rFonts w:eastAsia="Times New Roman" w:cstheme="minorHAnsi"/>
          <w:color w:val="333333"/>
          <w:lang w:eastAsia="en-CA"/>
        </w:rPr>
        <w:t xml:space="preserve">October </w:t>
      </w:r>
      <w:r w:rsidR="000001C4">
        <w:rPr>
          <w:rFonts w:eastAsia="Times New Roman" w:cstheme="minorHAnsi"/>
          <w:color w:val="333333"/>
          <w:lang w:eastAsia="en-CA"/>
        </w:rPr>
        <w:t>3</w:t>
      </w:r>
      <w:r w:rsidRPr="00AE7E14">
        <w:rPr>
          <w:rFonts w:eastAsia="Times New Roman" w:cstheme="minorHAnsi"/>
          <w:color w:val="333333"/>
          <w:lang w:eastAsia="en-CA"/>
        </w:rPr>
        <w:t xml:space="preserve">, 2019) – </w:t>
      </w:r>
      <w:r w:rsidR="008F21BE" w:rsidRPr="00AE7E14">
        <w:rPr>
          <w:rFonts w:eastAsia="Times New Roman" w:cstheme="minorHAnsi"/>
          <w:color w:val="333333"/>
          <w:lang w:eastAsia="en-CA"/>
        </w:rPr>
        <w:t>Plaintree Systems Inc. (</w:t>
      </w:r>
      <w:r w:rsidR="008F21BE" w:rsidRPr="00AE7E14">
        <w:rPr>
          <w:rFonts w:eastAsia="Times New Roman" w:cstheme="minorHAnsi"/>
          <w:b/>
          <w:bCs/>
          <w:color w:val="333333"/>
          <w:lang w:eastAsia="en-CA"/>
        </w:rPr>
        <w:t>CSE: NPT</w:t>
      </w:r>
      <w:r w:rsidR="008F21BE" w:rsidRPr="00AE7E14">
        <w:rPr>
          <w:rFonts w:eastAsia="Times New Roman" w:cstheme="minorHAnsi"/>
          <w:color w:val="333333"/>
          <w:lang w:eastAsia="en-CA"/>
        </w:rPr>
        <w:t>) (“</w:t>
      </w:r>
      <w:r w:rsidR="008F21BE" w:rsidRPr="00AE7E14">
        <w:rPr>
          <w:rFonts w:eastAsia="Times New Roman" w:cstheme="minorHAnsi"/>
          <w:b/>
          <w:color w:val="333333"/>
          <w:lang w:eastAsia="en-CA"/>
        </w:rPr>
        <w:t>Plaintree</w:t>
      </w:r>
      <w:r w:rsidR="008F21BE" w:rsidRPr="00AE7E14">
        <w:rPr>
          <w:rFonts w:eastAsia="Times New Roman" w:cstheme="minorHAnsi"/>
          <w:color w:val="333333"/>
          <w:lang w:eastAsia="en-CA"/>
        </w:rPr>
        <w:t>” or the “</w:t>
      </w:r>
      <w:r w:rsidR="008F21BE" w:rsidRPr="00AE7E14">
        <w:rPr>
          <w:rFonts w:eastAsia="Times New Roman" w:cstheme="minorHAnsi"/>
          <w:b/>
          <w:bCs/>
          <w:color w:val="333333"/>
          <w:lang w:eastAsia="en-CA"/>
        </w:rPr>
        <w:t>Company”</w:t>
      </w:r>
      <w:r w:rsidR="008F21BE" w:rsidRPr="00AE7E14">
        <w:rPr>
          <w:rFonts w:eastAsia="Times New Roman" w:cstheme="minorHAnsi"/>
          <w:color w:val="333333"/>
          <w:lang w:eastAsia="en-CA"/>
        </w:rPr>
        <w:t>)</w:t>
      </w:r>
      <w:r w:rsidR="00220230" w:rsidRPr="00AE7E14">
        <w:rPr>
          <w:rFonts w:eastAsia="Times New Roman" w:cstheme="minorHAnsi"/>
          <w:color w:val="333333"/>
          <w:lang w:eastAsia="en-CA"/>
        </w:rPr>
        <w:t>.</w:t>
      </w:r>
    </w:p>
    <w:p w14:paraId="02B27A5D" w14:textId="0D86822E" w:rsidR="00036BBB" w:rsidRPr="00AE7E14" w:rsidRDefault="00220230" w:rsidP="00D64944">
      <w:pPr>
        <w:shd w:val="clear" w:color="auto" w:fill="FFFFFF"/>
        <w:spacing w:after="150" w:line="240" w:lineRule="auto"/>
        <w:jc w:val="both"/>
        <w:rPr>
          <w:rFonts w:eastAsia="Times New Roman" w:cstheme="minorHAnsi"/>
          <w:color w:val="333333"/>
          <w:lang w:eastAsia="en-CA"/>
        </w:rPr>
      </w:pPr>
      <w:r w:rsidRPr="00AE7E14">
        <w:rPr>
          <w:rFonts w:eastAsia="Times New Roman" w:cstheme="minorHAnsi"/>
          <w:color w:val="333333"/>
          <w:lang w:eastAsia="en-CA"/>
        </w:rPr>
        <w:t xml:space="preserve">Plaintree </w:t>
      </w:r>
      <w:r w:rsidR="008F21BE" w:rsidRPr="00AE7E14">
        <w:rPr>
          <w:rFonts w:eastAsia="Times New Roman" w:cstheme="minorHAnsi"/>
          <w:color w:val="333333"/>
          <w:lang w:eastAsia="en-CA"/>
        </w:rPr>
        <w:t>today announce</w:t>
      </w:r>
      <w:r w:rsidR="00394DEE">
        <w:rPr>
          <w:rFonts w:eastAsia="Times New Roman" w:cstheme="minorHAnsi"/>
          <w:color w:val="333333"/>
          <w:lang w:eastAsia="en-CA"/>
        </w:rPr>
        <w:t>d</w:t>
      </w:r>
      <w:r w:rsidR="008F21BE" w:rsidRPr="00AE7E14">
        <w:rPr>
          <w:rFonts w:eastAsia="Times New Roman" w:cstheme="minorHAnsi"/>
          <w:color w:val="333333"/>
          <w:lang w:eastAsia="en-CA"/>
        </w:rPr>
        <w:t xml:space="preserve"> that </w:t>
      </w:r>
      <w:r w:rsidR="00AA0DE8">
        <w:rPr>
          <w:rFonts w:eastAsia="Times New Roman" w:cstheme="minorHAnsi"/>
          <w:color w:val="333333"/>
          <w:lang w:eastAsia="en-CA"/>
        </w:rPr>
        <w:t xml:space="preserve">the </w:t>
      </w:r>
      <w:r w:rsidR="00394DEE">
        <w:rPr>
          <w:rFonts w:eastAsia="Times New Roman" w:cstheme="minorHAnsi"/>
          <w:color w:val="333333"/>
          <w:lang w:eastAsia="en-CA"/>
        </w:rPr>
        <w:t>negotiations</w:t>
      </w:r>
      <w:r w:rsidR="00AA0DE8">
        <w:rPr>
          <w:rFonts w:eastAsia="Times New Roman" w:cstheme="minorHAnsi"/>
          <w:color w:val="333333"/>
          <w:lang w:eastAsia="en-CA"/>
        </w:rPr>
        <w:t>, that were previously announced on July 26, 2019,</w:t>
      </w:r>
      <w:r w:rsidR="00394DEE">
        <w:rPr>
          <w:rFonts w:eastAsia="Times New Roman" w:cstheme="minorHAnsi"/>
          <w:color w:val="333333"/>
          <w:lang w:eastAsia="en-CA"/>
        </w:rPr>
        <w:t xml:space="preserve"> </w:t>
      </w:r>
      <w:r w:rsidR="003032B3">
        <w:rPr>
          <w:rFonts w:eastAsia="Times New Roman" w:cstheme="minorHAnsi"/>
          <w:color w:val="333333"/>
          <w:lang w:eastAsia="en-CA"/>
        </w:rPr>
        <w:t>have ceased</w:t>
      </w:r>
      <w:r w:rsidR="00394DEE">
        <w:rPr>
          <w:rFonts w:eastAsia="Times New Roman" w:cstheme="minorHAnsi"/>
          <w:color w:val="333333"/>
          <w:lang w:eastAsia="en-CA"/>
        </w:rPr>
        <w:t xml:space="preserve"> </w:t>
      </w:r>
      <w:r w:rsidR="003032B3">
        <w:rPr>
          <w:rFonts w:eastAsia="Times New Roman" w:cstheme="minorHAnsi"/>
          <w:color w:val="333333"/>
          <w:lang w:eastAsia="en-CA"/>
        </w:rPr>
        <w:t xml:space="preserve">regarding the potential sale of </w:t>
      </w:r>
      <w:r w:rsidR="008F21BE" w:rsidRPr="00AE7E14">
        <w:rPr>
          <w:rFonts w:eastAsia="Times New Roman" w:cstheme="minorHAnsi"/>
          <w:color w:val="333333"/>
          <w:lang w:eastAsia="en-CA"/>
        </w:rPr>
        <w:t xml:space="preserve">the business and assets of its Hypernetics division (“Hypernetics”) </w:t>
      </w:r>
      <w:r w:rsidR="00AA0DE8">
        <w:rPr>
          <w:rFonts w:eastAsia="Times New Roman" w:cstheme="minorHAnsi"/>
          <w:color w:val="333333"/>
          <w:lang w:eastAsia="en-CA"/>
        </w:rPr>
        <w:t xml:space="preserve">to </w:t>
      </w:r>
      <w:r w:rsidR="00AA0DE8" w:rsidRPr="00AE7E14">
        <w:rPr>
          <w:rFonts w:eastAsia="Times New Roman" w:cstheme="minorHAnsi"/>
          <w:color w:val="333333"/>
          <w:lang w:eastAsia="en-CA"/>
        </w:rPr>
        <w:t xml:space="preserve">a large privately held </w:t>
      </w:r>
      <w:r w:rsidR="00AA0DE8" w:rsidRPr="00AE7E14">
        <w:rPr>
          <w:rFonts w:eastAsia="Times New Roman" w:cstheme="minorHAnsi"/>
          <w:color w:val="333333"/>
          <w:lang w:val="en-US" w:eastAsia="en-CA"/>
        </w:rPr>
        <w:t>US company</w:t>
      </w:r>
      <w:r w:rsidR="00AA0DE8">
        <w:rPr>
          <w:rFonts w:eastAsia="Times New Roman" w:cstheme="minorHAnsi"/>
          <w:color w:val="333333"/>
          <w:lang w:val="en-US" w:eastAsia="en-CA"/>
        </w:rPr>
        <w:t xml:space="preserve"> and a </w:t>
      </w:r>
      <w:r w:rsidR="00394DEE">
        <w:rPr>
          <w:rFonts w:eastAsia="Times New Roman" w:cstheme="minorHAnsi"/>
          <w:color w:val="333333"/>
          <w:lang w:val="en-US" w:eastAsia="en-CA"/>
        </w:rPr>
        <w:t xml:space="preserve">non-binding letter of intent with this company has been terminated.  The Company </w:t>
      </w:r>
      <w:r w:rsidR="00CB6E38">
        <w:rPr>
          <w:rFonts w:eastAsia="Times New Roman" w:cstheme="minorHAnsi"/>
          <w:color w:val="333333"/>
          <w:lang w:val="en-US" w:eastAsia="en-CA"/>
        </w:rPr>
        <w:t xml:space="preserve">is currently </w:t>
      </w:r>
      <w:r w:rsidR="00394DEE">
        <w:rPr>
          <w:rFonts w:eastAsia="Times New Roman" w:cstheme="minorHAnsi"/>
          <w:color w:val="333333"/>
          <w:lang w:val="en-US" w:eastAsia="en-CA"/>
        </w:rPr>
        <w:t>consider</w:t>
      </w:r>
      <w:r w:rsidR="00CB6E38">
        <w:rPr>
          <w:rFonts w:eastAsia="Times New Roman" w:cstheme="minorHAnsi"/>
          <w:color w:val="333333"/>
          <w:lang w:val="en-US" w:eastAsia="en-CA"/>
        </w:rPr>
        <w:t xml:space="preserve">ing </w:t>
      </w:r>
      <w:r w:rsidR="00AA0DE8">
        <w:rPr>
          <w:rFonts w:eastAsia="Times New Roman" w:cstheme="minorHAnsi"/>
          <w:color w:val="333333"/>
          <w:lang w:val="en-US" w:eastAsia="en-CA"/>
        </w:rPr>
        <w:t xml:space="preserve">evaluating </w:t>
      </w:r>
      <w:r w:rsidR="00394DEE">
        <w:rPr>
          <w:rFonts w:eastAsia="Times New Roman" w:cstheme="minorHAnsi"/>
          <w:color w:val="333333"/>
          <w:lang w:val="en-US" w:eastAsia="en-CA"/>
        </w:rPr>
        <w:t>interest from other parties regarding it</w:t>
      </w:r>
      <w:r w:rsidR="00192691">
        <w:rPr>
          <w:rFonts w:eastAsia="Times New Roman" w:cstheme="minorHAnsi"/>
          <w:color w:val="333333"/>
          <w:lang w:val="en-US" w:eastAsia="en-CA"/>
        </w:rPr>
        <w:t>s</w:t>
      </w:r>
      <w:r w:rsidR="00394DEE">
        <w:rPr>
          <w:rFonts w:eastAsia="Times New Roman" w:cstheme="minorHAnsi"/>
          <w:color w:val="333333"/>
          <w:lang w:val="en-US" w:eastAsia="en-CA"/>
        </w:rPr>
        <w:t xml:space="preserve"> Hypernetics business and as a result the assets and business of Hypernetics will continue to be classified as being assets held for sale in its financial statements.  </w:t>
      </w:r>
    </w:p>
    <w:p w14:paraId="7F8A8E43" w14:textId="02747F64" w:rsidR="005E191D" w:rsidRDefault="005E191D" w:rsidP="00D64944">
      <w:pPr>
        <w:shd w:val="clear" w:color="auto" w:fill="FFFFFF"/>
        <w:spacing w:after="150" w:line="240" w:lineRule="auto"/>
        <w:jc w:val="both"/>
        <w:rPr>
          <w:rFonts w:eastAsia="Times New Roman" w:cstheme="minorHAnsi"/>
          <w:lang w:eastAsia="en-CA"/>
        </w:rPr>
      </w:pPr>
      <w:r w:rsidRPr="00AE7E14">
        <w:rPr>
          <w:rFonts w:eastAsia="Times New Roman" w:cstheme="minorHAnsi"/>
          <w:lang w:eastAsia="en-CA"/>
        </w:rPr>
        <w:t xml:space="preserve">David Watson, President and CEO of Plaintree, commented, </w:t>
      </w:r>
      <w:r w:rsidR="002F1123" w:rsidRPr="00AE7E14">
        <w:rPr>
          <w:rFonts w:eastAsia="Times New Roman" w:cstheme="minorHAnsi"/>
          <w:lang w:eastAsia="en-CA"/>
        </w:rPr>
        <w:t>“</w:t>
      </w:r>
    </w:p>
    <w:p w14:paraId="3746B2EB" w14:textId="4415FEAA" w:rsidR="00CB6E38" w:rsidRPr="00AE7E14" w:rsidRDefault="008A05BE" w:rsidP="00D64944">
      <w:pPr>
        <w:shd w:val="clear" w:color="auto" w:fill="FFFFFF"/>
        <w:spacing w:after="150" w:line="240" w:lineRule="auto"/>
        <w:jc w:val="both"/>
        <w:rPr>
          <w:rFonts w:eastAsia="Times New Roman" w:cstheme="minorHAnsi"/>
          <w:lang w:eastAsia="en-CA"/>
        </w:rPr>
      </w:pPr>
      <w:r>
        <w:rPr>
          <w:rFonts w:eastAsia="Times New Roman" w:cstheme="minorHAnsi"/>
          <w:lang w:eastAsia="en-CA"/>
        </w:rPr>
        <w:t>“</w:t>
      </w:r>
      <w:r w:rsidR="00CB6E38">
        <w:rPr>
          <w:rFonts w:eastAsia="Times New Roman" w:cstheme="minorHAnsi"/>
          <w:lang w:eastAsia="en-CA"/>
        </w:rPr>
        <w:t xml:space="preserve">As happens many times in the sale process of a company, </w:t>
      </w:r>
      <w:r>
        <w:rPr>
          <w:rFonts w:eastAsia="Times New Roman" w:cstheme="minorHAnsi"/>
          <w:lang w:eastAsia="en-CA"/>
        </w:rPr>
        <w:t>deal terms and issues arise that do not allow the transaction to come to fruition</w:t>
      </w:r>
      <w:r w:rsidR="00CB6E38">
        <w:rPr>
          <w:rFonts w:eastAsia="Times New Roman" w:cstheme="minorHAnsi"/>
          <w:lang w:eastAsia="en-CA"/>
        </w:rPr>
        <w:t xml:space="preserve">. The Hypernetics division is now, and always has been an excellent financial performer and </w:t>
      </w:r>
      <w:r w:rsidR="00596AA9">
        <w:rPr>
          <w:rFonts w:eastAsia="Times New Roman" w:cstheme="minorHAnsi"/>
          <w:lang w:eastAsia="en-CA"/>
        </w:rPr>
        <w:t xml:space="preserve">should a credible buyer not be found, </w:t>
      </w:r>
      <w:r>
        <w:rPr>
          <w:rFonts w:eastAsia="Times New Roman" w:cstheme="minorHAnsi"/>
          <w:lang w:eastAsia="en-CA"/>
        </w:rPr>
        <w:t xml:space="preserve">Hypernetics will continue to operate within the </w:t>
      </w:r>
      <w:r w:rsidR="00596AA9">
        <w:rPr>
          <w:rFonts w:eastAsia="Times New Roman" w:cstheme="minorHAnsi"/>
          <w:lang w:eastAsia="en-CA"/>
        </w:rPr>
        <w:t>Plaintree portfolio.”</w:t>
      </w:r>
    </w:p>
    <w:p w14:paraId="5898B05B" w14:textId="77777777" w:rsidR="00D64944" w:rsidRPr="00AE7E14" w:rsidRDefault="00D64944" w:rsidP="00D64944">
      <w:pPr>
        <w:widowControl w:val="0"/>
        <w:jc w:val="both"/>
        <w:outlineLvl w:val="0"/>
        <w:rPr>
          <w:rFonts w:cstheme="minorHAnsi"/>
          <w:b/>
          <w:u w:val="single"/>
        </w:rPr>
      </w:pPr>
      <w:r w:rsidRPr="00AE7E14">
        <w:rPr>
          <w:rFonts w:cstheme="minorHAnsi"/>
          <w:b/>
          <w:u w:val="single"/>
        </w:rPr>
        <w:t>About Plaintree Systems</w:t>
      </w:r>
    </w:p>
    <w:p w14:paraId="74B28519" w14:textId="77777777" w:rsidR="00D64944" w:rsidRPr="00AE7E14" w:rsidRDefault="00D64944" w:rsidP="00D64944">
      <w:pPr>
        <w:jc w:val="both"/>
        <w:rPr>
          <w:rFonts w:cstheme="minorHAnsi"/>
        </w:rPr>
      </w:pPr>
      <w:r w:rsidRPr="000001C4">
        <w:rPr>
          <w:rFonts w:cstheme="minorHAnsi"/>
        </w:rPr>
        <w:t xml:space="preserve">Plaintree </w:t>
      </w:r>
      <w:r w:rsidRPr="00AE7E14">
        <w:rPr>
          <w:rFonts w:cstheme="minorHAnsi"/>
        </w:rPr>
        <w:t>has two diversified product lines consisting of Specialty Structures and Electronics.</w:t>
      </w:r>
    </w:p>
    <w:p w14:paraId="7FA8FB73" w14:textId="71113B77" w:rsidR="00D64944" w:rsidRPr="00AE7E14" w:rsidRDefault="00D64944" w:rsidP="00D64944">
      <w:pPr>
        <w:jc w:val="both"/>
        <w:rPr>
          <w:rFonts w:cstheme="minorHAnsi"/>
        </w:rPr>
      </w:pPr>
      <w:r w:rsidRPr="00AE7E14">
        <w:rPr>
          <w:rFonts w:cstheme="minorHAnsi"/>
        </w:rPr>
        <w:t xml:space="preserve">The Specialty Structures Division includes the former Triodetic Group with over 40 years of experience, is a design/build manufacturer of steel, aluminum and stainless steel specialty structures such as </w:t>
      </w:r>
      <w:r w:rsidR="00596AA9">
        <w:rPr>
          <w:rFonts w:cstheme="minorHAnsi"/>
        </w:rPr>
        <w:t xml:space="preserve"> mining</w:t>
      </w:r>
      <w:r w:rsidRPr="00AE7E14">
        <w:rPr>
          <w:rFonts w:cstheme="minorHAnsi"/>
        </w:rPr>
        <w:t xml:space="preserve"> domes, free form structures, barrel vaults, space frames and industrial dome coverings and </w:t>
      </w:r>
      <w:r w:rsidR="00596AA9">
        <w:rPr>
          <w:rFonts w:cstheme="minorHAnsi"/>
        </w:rPr>
        <w:t xml:space="preserve">geodesic foundations specifically designed for unstable  or contaminated soils and flood zones. This division also includes </w:t>
      </w:r>
      <w:r w:rsidRPr="00AE7E14">
        <w:rPr>
          <w:rFonts w:cstheme="minorHAnsi"/>
        </w:rPr>
        <w:t>Spotton Corporation, a design and manufacturer of high end custom hydraulic and pneumatic valves and cylinders.</w:t>
      </w:r>
    </w:p>
    <w:p w14:paraId="10C37639" w14:textId="77777777" w:rsidR="00D64944" w:rsidRPr="00AE7E14" w:rsidRDefault="00D64944" w:rsidP="00D64944">
      <w:pPr>
        <w:jc w:val="both"/>
        <w:rPr>
          <w:rFonts w:cstheme="minorHAnsi"/>
          <w:lang w:eastAsia="en-CA"/>
        </w:rPr>
      </w:pPr>
      <w:r w:rsidRPr="00AE7E14">
        <w:rPr>
          <w:rFonts w:cstheme="minorHAnsi"/>
        </w:rPr>
        <w:t xml:space="preserve">The Electronics Division includes the legacy Hypernetics and Summit Aerospace USA Inc. businesses.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AE7E14">
        <w:rPr>
          <w:rFonts w:cstheme="minorHAnsi"/>
          <w:lang w:eastAsia="en-CA"/>
        </w:rPr>
        <w:t xml:space="preserve">will support requirements from concept, prototype and throughout production.  </w:t>
      </w:r>
    </w:p>
    <w:p w14:paraId="359B1D88" w14:textId="77777777" w:rsidR="00D64944" w:rsidRPr="00AE7E14" w:rsidRDefault="00D64944" w:rsidP="00D64944">
      <w:pPr>
        <w:spacing w:before="120"/>
        <w:jc w:val="both"/>
        <w:rPr>
          <w:rFonts w:cstheme="minorHAnsi"/>
        </w:rPr>
      </w:pPr>
      <w:r w:rsidRPr="00AE7E14">
        <w:rPr>
          <w:rFonts w:cstheme="minorHAnsi"/>
          <w:color w:val="000000"/>
        </w:rPr>
        <w:t>Plaintree’s shares are traded under the symbol “NPT”.  Shareholders and Investors can access Company information on CSE’s website and receive full Company disclosure monthly.  For more information on Plaintree or to receive stock quotes, complete with trading summaries, bid size and ask price, brokerage house participation, insider reports, news releases, disclosure information, and CSE and SEDAR filings, visit the CSE website at www.cnsx.ca</w:t>
      </w:r>
      <w:hyperlink w:history="1"/>
      <w:r w:rsidRPr="00AE7E14">
        <w:rPr>
          <w:rFonts w:cstheme="minorHAnsi"/>
          <w:color w:val="000000"/>
        </w:rPr>
        <w:t xml:space="preserve"> or the Company’s website at www.plaintree.com.</w:t>
      </w:r>
      <w:r w:rsidRPr="00AE7E14">
        <w:rPr>
          <w:rFonts w:cstheme="minorHAnsi"/>
          <w:color w:val="000080"/>
        </w:rPr>
        <w:t xml:space="preserve"> </w:t>
      </w:r>
    </w:p>
    <w:p w14:paraId="1AC8C66C" w14:textId="77777777" w:rsidR="00D64944" w:rsidRPr="00AE7E14" w:rsidRDefault="00D64944" w:rsidP="00D64944">
      <w:pPr>
        <w:jc w:val="both"/>
        <w:rPr>
          <w:rFonts w:cstheme="minorHAnsi"/>
          <w:snapToGrid w:val="0"/>
        </w:rPr>
      </w:pPr>
      <w:r w:rsidRPr="00AE7E14">
        <w:rPr>
          <w:rFonts w:cstheme="minorHAnsi"/>
          <w:snapToGrid w:val="0"/>
        </w:rPr>
        <w:t xml:space="preserve">Plaintree is publicly traded in Canada on the CSE (NPT) with </w:t>
      </w:r>
      <w:r w:rsidRPr="00AE7E14">
        <w:rPr>
          <w:rFonts w:cstheme="minorHAnsi"/>
          <w:b/>
          <w:snapToGrid w:val="0"/>
        </w:rPr>
        <w:t>12,925,253</w:t>
      </w:r>
      <w:r w:rsidRPr="00AE7E14">
        <w:rPr>
          <w:rFonts w:cstheme="minorHAnsi"/>
          <w:snapToGrid w:val="0"/>
        </w:rPr>
        <w:t xml:space="preserve"> common shares and 18,325 class </w:t>
      </w:r>
      <w:proofErr w:type="gramStart"/>
      <w:r w:rsidRPr="00AE7E14">
        <w:rPr>
          <w:rFonts w:cstheme="minorHAnsi"/>
          <w:snapToGrid w:val="0"/>
        </w:rPr>
        <w:t>A</w:t>
      </w:r>
      <w:proofErr w:type="gramEnd"/>
      <w:r w:rsidRPr="00AE7E14">
        <w:rPr>
          <w:rFonts w:cstheme="minorHAnsi"/>
          <w:snapToGrid w:val="0"/>
        </w:rPr>
        <w:t xml:space="preserve"> preferred shares outstanding. </w:t>
      </w:r>
    </w:p>
    <w:p w14:paraId="2370D2CF" w14:textId="77777777" w:rsidR="00D64944" w:rsidRPr="00AE7E14" w:rsidRDefault="00D64944" w:rsidP="00D64944">
      <w:pPr>
        <w:jc w:val="both"/>
        <w:rPr>
          <w:rFonts w:cstheme="minorHAnsi"/>
          <w:i/>
          <w:snapToGrid w:val="0"/>
        </w:rPr>
      </w:pPr>
      <w:r w:rsidRPr="00AE7E14">
        <w:rPr>
          <w:rFonts w:cstheme="minorHAnsi"/>
          <w:i/>
          <w:snapToGrid w:val="0"/>
        </w:rPr>
        <w:lastRenderedPageBreak/>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w:t>
      </w:r>
      <w:r w:rsidR="0026657A" w:rsidRPr="00AE7E14">
        <w:rPr>
          <w:rFonts w:cstheme="minorHAnsi"/>
          <w:i/>
          <w:snapToGrid w:val="0"/>
        </w:rPr>
        <w:t>9</w:t>
      </w:r>
      <w:r w:rsidRPr="00AE7E14">
        <w:rPr>
          <w:rFonts w:cstheme="minorHAnsi"/>
          <w:i/>
          <w:snapToGrid w:val="0"/>
        </w:rPr>
        <w:t xml:space="preserve"> and related management discussion and analysis. </w:t>
      </w:r>
    </w:p>
    <w:p w14:paraId="3A54242B" w14:textId="77777777" w:rsidR="00D64944" w:rsidRPr="00AE7E14" w:rsidRDefault="00D64944" w:rsidP="00D64944">
      <w:pPr>
        <w:autoSpaceDE w:val="0"/>
        <w:autoSpaceDN w:val="0"/>
        <w:adjustRightInd w:val="0"/>
        <w:jc w:val="both"/>
        <w:rPr>
          <w:rFonts w:cstheme="minorHAnsi"/>
          <w:i/>
          <w:iCs/>
          <w:lang w:eastAsia="en-CA"/>
        </w:rPr>
      </w:pPr>
      <w:r w:rsidRPr="00AE7E14">
        <w:rPr>
          <w:rFonts w:cstheme="minorHAnsi"/>
          <w:i/>
          <w:iCs/>
          <w:lang w:eastAsia="en-CA"/>
        </w:rPr>
        <w:t>Canadian Securities Exchange has not reviewed and does not accept responsibility for the adequacy or accuracy of the content of this news release.</w:t>
      </w:r>
    </w:p>
    <w:p w14:paraId="48FC5EB6" w14:textId="3D2347CE" w:rsidR="00D64944" w:rsidRPr="00AE7E14" w:rsidRDefault="00D64944" w:rsidP="00D64944">
      <w:pPr>
        <w:autoSpaceDE w:val="0"/>
        <w:autoSpaceDN w:val="0"/>
        <w:adjustRightInd w:val="0"/>
        <w:jc w:val="both"/>
        <w:rPr>
          <w:rFonts w:cstheme="minorHAnsi"/>
        </w:rPr>
      </w:pPr>
      <w:r w:rsidRPr="00AE7E14">
        <w:rPr>
          <w:rFonts w:cstheme="minorHAnsi"/>
        </w:rPr>
        <w:t>For further information:</w:t>
      </w:r>
      <w:r w:rsidR="00AE7E14">
        <w:rPr>
          <w:rFonts w:cstheme="minorHAnsi"/>
        </w:rPr>
        <w:t xml:space="preserve"> Lynn Saunders, CFO</w:t>
      </w:r>
      <w:r w:rsidRPr="00AE7E14">
        <w:rPr>
          <w:rFonts w:cstheme="minorHAnsi"/>
        </w:rPr>
        <w:t xml:space="preserve"> (613) 623-3434 </w:t>
      </w:r>
      <w:r w:rsidR="00AE7E14">
        <w:rPr>
          <w:rFonts w:cstheme="minorHAnsi"/>
        </w:rPr>
        <w:t>x2223</w:t>
      </w:r>
    </w:p>
    <w:sectPr w:rsidR="00D64944" w:rsidRPr="00AE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5B9"/>
    <w:multiLevelType w:val="multilevel"/>
    <w:tmpl w:val="565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EA71D9"/>
    <w:multiLevelType w:val="multilevel"/>
    <w:tmpl w:val="C8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8467BA"/>
    <w:multiLevelType w:val="multilevel"/>
    <w:tmpl w:val="145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2F3CA6"/>
    <w:multiLevelType w:val="multilevel"/>
    <w:tmpl w:val="BA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E5352D"/>
    <w:multiLevelType w:val="multilevel"/>
    <w:tmpl w:val="812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1D"/>
    <w:rsid w:val="000001C4"/>
    <w:rsid w:val="00036BBB"/>
    <w:rsid w:val="000938F6"/>
    <w:rsid w:val="00146CC2"/>
    <w:rsid w:val="00192691"/>
    <w:rsid w:val="00220230"/>
    <w:rsid w:val="00227094"/>
    <w:rsid w:val="00243C86"/>
    <w:rsid w:val="0026657A"/>
    <w:rsid w:val="002F1123"/>
    <w:rsid w:val="003032B3"/>
    <w:rsid w:val="00394DEE"/>
    <w:rsid w:val="00445607"/>
    <w:rsid w:val="00457F17"/>
    <w:rsid w:val="004A4A8F"/>
    <w:rsid w:val="00591FF8"/>
    <w:rsid w:val="00596AA9"/>
    <w:rsid w:val="005B6488"/>
    <w:rsid w:val="005E191D"/>
    <w:rsid w:val="00630950"/>
    <w:rsid w:val="007F2199"/>
    <w:rsid w:val="008570D2"/>
    <w:rsid w:val="00886C4C"/>
    <w:rsid w:val="008A05BE"/>
    <w:rsid w:val="008A6002"/>
    <w:rsid w:val="008F21BE"/>
    <w:rsid w:val="0095504F"/>
    <w:rsid w:val="00AA0DE8"/>
    <w:rsid w:val="00AC675C"/>
    <w:rsid w:val="00AE7E14"/>
    <w:rsid w:val="00B154E3"/>
    <w:rsid w:val="00B408FC"/>
    <w:rsid w:val="00C43362"/>
    <w:rsid w:val="00CB6E38"/>
    <w:rsid w:val="00D40448"/>
    <w:rsid w:val="00D6353A"/>
    <w:rsid w:val="00D64944"/>
    <w:rsid w:val="00D920D9"/>
    <w:rsid w:val="00E06E85"/>
    <w:rsid w:val="00E80248"/>
    <w:rsid w:val="00EC3714"/>
    <w:rsid w:val="00EC4620"/>
    <w:rsid w:val="00F65345"/>
    <w:rsid w:val="00F8714D"/>
    <w:rsid w:val="00FA4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3404">
      <w:bodyDiv w:val="1"/>
      <w:marLeft w:val="0"/>
      <w:marRight w:val="0"/>
      <w:marTop w:val="0"/>
      <w:marBottom w:val="0"/>
      <w:divBdr>
        <w:top w:val="none" w:sz="0" w:space="0" w:color="auto"/>
        <w:left w:val="none" w:sz="0" w:space="0" w:color="auto"/>
        <w:bottom w:val="none" w:sz="0" w:space="0" w:color="auto"/>
        <w:right w:val="none" w:sz="0" w:space="0" w:color="auto"/>
      </w:divBdr>
    </w:div>
    <w:div w:id="1131096766">
      <w:bodyDiv w:val="1"/>
      <w:marLeft w:val="0"/>
      <w:marRight w:val="0"/>
      <w:marTop w:val="0"/>
      <w:marBottom w:val="0"/>
      <w:divBdr>
        <w:top w:val="none" w:sz="0" w:space="0" w:color="auto"/>
        <w:left w:val="none" w:sz="0" w:space="0" w:color="auto"/>
        <w:bottom w:val="none" w:sz="0" w:space="0" w:color="auto"/>
        <w:right w:val="none" w:sz="0" w:space="0" w:color="auto"/>
      </w:divBdr>
    </w:div>
    <w:div w:id="1981499921">
      <w:bodyDiv w:val="1"/>
      <w:marLeft w:val="0"/>
      <w:marRight w:val="0"/>
      <w:marTop w:val="0"/>
      <w:marBottom w:val="0"/>
      <w:divBdr>
        <w:top w:val="none" w:sz="0" w:space="0" w:color="auto"/>
        <w:left w:val="none" w:sz="0" w:space="0" w:color="auto"/>
        <w:bottom w:val="none" w:sz="0" w:space="0" w:color="auto"/>
        <w:right w:val="none" w:sz="0" w:space="0" w:color="auto"/>
      </w:divBdr>
    </w:div>
    <w:div w:id="20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B224-9671-4B66-8970-34FF601E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Jessop</dc:creator>
  <cp:lastModifiedBy>Lynn Saunders</cp:lastModifiedBy>
  <cp:revision>2</cp:revision>
  <dcterms:created xsi:type="dcterms:W3CDTF">2019-10-03T00:26:00Z</dcterms:created>
  <dcterms:modified xsi:type="dcterms:W3CDTF">2019-10-03T00:26:00Z</dcterms:modified>
</cp:coreProperties>
</file>