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04D93" w14:textId="151F8ECB" w:rsidR="00ED1EE2" w:rsidRDefault="00ED1EE2" w:rsidP="00ED1EE2">
      <w:pPr>
        <w:pStyle w:val="DeltaViewTableBody"/>
        <w:ind w:right="18"/>
        <w:jc w:val="center"/>
        <w:rPr>
          <w:rFonts w:ascii="Calibri" w:hAnsi="Calibri" w:cs="Arial"/>
          <w:i/>
          <w:sz w:val="20"/>
          <w:szCs w:val="20"/>
        </w:rPr>
      </w:pPr>
      <w:r>
        <w:rPr>
          <w:rFonts w:ascii="Calibri" w:hAnsi="Calibri" w:cs="Arial"/>
          <w:i/>
          <w:sz w:val="20"/>
          <w:szCs w:val="20"/>
        </w:rPr>
        <w:t>NOT FOR DISTRIBUTION TO THE U.S. NEWSWIRE OR FOR DISSEMINATION IN THE UNITED STATES</w:t>
      </w:r>
    </w:p>
    <w:p w14:paraId="7F4CE720" w14:textId="77777777" w:rsidR="00ED1EE2" w:rsidRDefault="00ED1EE2" w:rsidP="00ED1EE2">
      <w:pPr>
        <w:pStyle w:val="DeltaViewTableBody"/>
        <w:ind w:right="18"/>
        <w:rPr>
          <w:rFonts w:ascii="Calibri" w:hAnsi="Calibri" w:cs="Arial"/>
          <w:i/>
          <w:sz w:val="20"/>
          <w:szCs w:val="20"/>
        </w:rPr>
      </w:pPr>
    </w:p>
    <w:p w14:paraId="444BB807" w14:textId="77777777" w:rsidR="00ED1EE2" w:rsidRDefault="00ED1EE2" w:rsidP="00ED1EE2">
      <w:pPr>
        <w:pStyle w:val="DeltaViewTableBody"/>
        <w:ind w:right="18"/>
        <w:jc w:val="center"/>
        <w:rPr>
          <w:rFonts w:ascii="Calibri" w:hAnsi="Calibri" w:cs="Arial"/>
          <w:b/>
          <w:sz w:val="36"/>
          <w:szCs w:val="32"/>
        </w:rPr>
      </w:pPr>
      <w:r>
        <w:rPr>
          <w:rFonts w:ascii="Calibri" w:hAnsi="Calibri" w:cs="Arial"/>
          <w:b/>
          <w:sz w:val="36"/>
          <w:szCs w:val="32"/>
        </w:rPr>
        <w:t xml:space="preserve">FATHOM NICKEL </w:t>
      </w:r>
      <w:r w:rsidRPr="005552AA">
        <w:rPr>
          <w:rFonts w:ascii="Calibri" w:hAnsi="Calibri" w:cs="Arial"/>
          <w:b/>
          <w:sz w:val="36"/>
          <w:szCs w:val="32"/>
        </w:rPr>
        <w:t xml:space="preserve">ANNOUNCES </w:t>
      </w:r>
    </w:p>
    <w:p w14:paraId="344770E3" w14:textId="77777777" w:rsidR="00F42B7D" w:rsidRDefault="00F42B7D" w:rsidP="00ED1EE2">
      <w:pPr>
        <w:pStyle w:val="DeltaViewTableBody"/>
        <w:ind w:right="18"/>
        <w:jc w:val="center"/>
        <w:rPr>
          <w:rFonts w:ascii="Calibri" w:hAnsi="Calibri" w:cs="Arial"/>
          <w:b/>
          <w:sz w:val="36"/>
          <w:szCs w:val="32"/>
        </w:rPr>
      </w:pPr>
      <w:r>
        <w:rPr>
          <w:rFonts w:ascii="Calibri" w:hAnsi="Calibri" w:cs="Arial"/>
          <w:b/>
          <w:sz w:val="36"/>
          <w:szCs w:val="32"/>
        </w:rPr>
        <w:t xml:space="preserve">SIZE AND PRICING OF PREVIOUSLY ANNOUNCED </w:t>
      </w:r>
    </w:p>
    <w:p w14:paraId="27DFB2B2" w14:textId="415D530A" w:rsidR="00ED1EE2" w:rsidRPr="005552AA" w:rsidRDefault="00F42B7D" w:rsidP="00ED1EE2">
      <w:pPr>
        <w:pStyle w:val="DeltaViewTableBody"/>
        <w:ind w:right="18"/>
        <w:jc w:val="center"/>
        <w:rPr>
          <w:rFonts w:ascii="Calibri" w:hAnsi="Calibri" w:cs="Arial"/>
          <w:sz w:val="32"/>
          <w:szCs w:val="32"/>
        </w:rPr>
      </w:pPr>
      <w:r>
        <w:rPr>
          <w:rFonts w:ascii="Calibri" w:hAnsi="Calibri" w:cs="Arial"/>
          <w:b/>
          <w:sz w:val="36"/>
          <w:szCs w:val="32"/>
        </w:rPr>
        <w:t>OVERNIGHT MARKETED OFFERING</w:t>
      </w:r>
    </w:p>
    <w:p w14:paraId="4BD71B73" w14:textId="77777777" w:rsidR="00ED1EE2" w:rsidRDefault="00ED1EE2" w:rsidP="00ED1EE2">
      <w:pPr>
        <w:pStyle w:val="DeltaViewTableBody"/>
        <w:ind w:right="18"/>
        <w:rPr>
          <w:rFonts w:ascii="Calibri" w:hAnsi="Calibri" w:cs="Arial"/>
          <w:sz w:val="20"/>
          <w:szCs w:val="20"/>
        </w:rPr>
      </w:pPr>
    </w:p>
    <w:p w14:paraId="0245DBC8" w14:textId="186DCFD1" w:rsidR="00F42B7D" w:rsidRPr="00F42B7D" w:rsidRDefault="00ED1EE2" w:rsidP="00F42B7D">
      <w:pPr>
        <w:jc w:val="both"/>
        <w:rPr>
          <w:rFonts w:eastAsia="Times New Roman" w:cstheme="minorHAnsi"/>
          <w:sz w:val="20"/>
          <w:szCs w:val="20"/>
          <w:lang w:val="en-US" w:eastAsia="fr-CA"/>
        </w:rPr>
      </w:pPr>
      <w:r w:rsidRPr="000F17AC">
        <w:rPr>
          <w:rFonts w:cstheme="minorHAnsi"/>
          <w:sz w:val="20"/>
          <w:szCs w:val="20"/>
        </w:rPr>
        <w:t>Calgary, Alberta--(</w:t>
      </w:r>
      <w:r>
        <w:rPr>
          <w:rFonts w:cstheme="minorHAnsi"/>
          <w:sz w:val="20"/>
          <w:szCs w:val="20"/>
        </w:rPr>
        <w:t xml:space="preserve">October </w:t>
      </w:r>
      <w:r w:rsidR="005D72C9">
        <w:rPr>
          <w:rFonts w:cstheme="minorHAnsi"/>
          <w:sz w:val="20"/>
          <w:szCs w:val="20"/>
        </w:rPr>
        <w:t>2</w:t>
      </w:r>
      <w:r w:rsidR="00F42B7D">
        <w:rPr>
          <w:rFonts w:cstheme="minorHAnsi"/>
          <w:sz w:val="20"/>
          <w:szCs w:val="20"/>
        </w:rPr>
        <w:t>6</w:t>
      </w:r>
      <w:r w:rsidRPr="000F17AC">
        <w:rPr>
          <w:rFonts w:cstheme="minorHAnsi"/>
          <w:sz w:val="20"/>
          <w:szCs w:val="20"/>
        </w:rPr>
        <w:t>, 2021) - Fathom Nickel Inc. (CSE: FNI) (FSE: 6Q5) (OTCQB: FNICF) (the "</w:t>
      </w:r>
      <w:r w:rsidRPr="000F17AC">
        <w:rPr>
          <w:rFonts w:cstheme="minorHAnsi"/>
          <w:b/>
          <w:bCs/>
          <w:sz w:val="20"/>
          <w:szCs w:val="20"/>
        </w:rPr>
        <w:t>Company</w:t>
      </w:r>
      <w:r w:rsidRPr="000F17AC">
        <w:rPr>
          <w:rFonts w:cstheme="minorHAnsi"/>
          <w:sz w:val="20"/>
          <w:szCs w:val="20"/>
        </w:rPr>
        <w:t>" or "</w:t>
      </w:r>
      <w:r w:rsidRPr="000F17AC">
        <w:rPr>
          <w:rFonts w:cstheme="minorHAnsi"/>
          <w:b/>
          <w:bCs/>
          <w:sz w:val="20"/>
          <w:szCs w:val="20"/>
        </w:rPr>
        <w:t>Fathom</w:t>
      </w:r>
      <w:r w:rsidRPr="000F17AC">
        <w:rPr>
          <w:rFonts w:cstheme="minorHAnsi"/>
          <w:sz w:val="20"/>
          <w:szCs w:val="20"/>
        </w:rPr>
        <w:t xml:space="preserve">") </w:t>
      </w:r>
      <w:r w:rsidR="00F42B7D" w:rsidRPr="00F42B7D">
        <w:rPr>
          <w:rFonts w:eastAsia="Times New Roman" w:cstheme="minorHAnsi"/>
          <w:sz w:val="20"/>
          <w:szCs w:val="20"/>
          <w:lang w:val="en-US" w:eastAsia="fr-CA"/>
        </w:rPr>
        <w:t>is pleased to announce today that it has priced its previously announced overnight marketed offering of equity securities (the "</w:t>
      </w:r>
      <w:r w:rsidR="00F42B7D" w:rsidRPr="00F42B7D">
        <w:rPr>
          <w:rFonts w:eastAsia="Times New Roman" w:cstheme="minorHAnsi"/>
          <w:b/>
          <w:bCs/>
          <w:sz w:val="20"/>
          <w:szCs w:val="20"/>
          <w:lang w:val="en-US" w:eastAsia="fr-CA"/>
        </w:rPr>
        <w:t>Offering</w:t>
      </w:r>
      <w:r w:rsidR="00F42B7D" w:rsidRPr="00F42B7D">
        <w:rPr>
          <w:rFonts w:eastAsia="Times New Roman" w:cstheme="minorHAnsi"/>
          <w:sz w:val="20"/>
          <w:szCs w:val="20"/>
          <w:lang w:val="en-US" w:eastAsia="fr-CA"/>
        </w:rPr>
        <w:t>").</w:t>
      </w:r>
      <w:r w:rsidR="00F42B7D">
        <w:rPr>
          <w:rFonts w:eastAsia="Times New Roman" w:cstheme="minorHAnsi"/>
          <w:sz w:val="20"/>
          <w:szCs w:val="20"/>
          <w:lang w:val="en-US" w:eastAsia="fr-CA"/>
        </w:rPr>
        <w:t xml:space="preserve">  </w:t>
      </w:r>
      <w:r w:rsidR="00F42B7D" w:rsidRPr="00F42B7D">
        <w:rPr>
          <w:rFonts w:eastAsia="Times New Roman" w:cstheme="minorHAnsi"/>
          <w:sz w:val="20"/>
          <w:szCs w:val="20"/>
          <w:lang w:val="en-US" w:eastAsia="fr-CA"/>
        </w:rPr>
        <w:t>Pursuant to the Offering,</w:t>
      </w:r>
      <w:r w:rsidR="00F42B7D">
        <w:rPr>
          <w:rFonts w:eastAsia="Times New Roman" w:cstheme="minorHAnsi"/>
          <w:sz w:val="20"/>
          <w:szCs w:val="20"/>
          <w:lang w:val="en-US" w:eastAsia="fr-CA"/>
        </w:rPr>
        <w:t xml:space="preserve"> the Company</w:t>
      </w:r>
      <w:r w:rsidR="00F42B7D" w:rsidRPr="00F42B7D">
        <w:rPr>
          <w:rFonts w:eastAsia="Times New Roman" w:cstheme="minorHAnsi"/>
          <w:sz w:val="20"/>
          <w:szCs w:val="20"/>
          <w:lang w:val="en-US" w:eastAsia="fr-CA"/>
        </w:rPr>
        <w:t xml:space="preserve"> will issue </w:t>
      </w:r>
      <w:r w:rsidR="00C07457">
        <w:rPr>
          <w:rFonts w:eastAsia="Times New Roman" w:cstheme="minorHAnsi"/>
          <w:sz w:val="20"/>
          <w:szCs w:val="20"/>
          <w:lang w:val="en-US" w:eastAsia="fr-CA"/>
        </w:rPr>
        <w:t>8,88</w:t>
      </w:r>
      <w:r w:rsidR="00DA6A1E">
        <w:rPr>
          <w:rFonts w:eastAsia="Times New Roman" w:cstheme="minorHAnsi"/>
          <w:sz w:val="20"/>
          <w:szCs w:val="20"/>
          <w:lang w:val="en-US" w:eastAsia="fr-CA"/>
        </w:rPr>
        <w:t>9</w:t>
      </w:r>
      <w:r w:rsidR="00C07457">
        <w:rPr>
          <w:rFonts w:eastAsia="Times New Roman" w:cstheme="minorHAnsi"/>
          <w:sz w:val="20"/>
          <w:szCs w:val="20"/>
          <w:lang w:val="en-US" w:eastAsia="fr-CA"/>
        </w:rPr>
        <w:t>,</w:t>
      </w:r>
      <w:r w:rsidR="00DA6A1E">
        <w:rPr>
          <w:rFonts w:eastAsia="Times New Roman" w:cstheme="minorHAnsi"/>
          <w:sz w:val="20"/>
          <w:szCs w:val="20"/>
          <w:lang w:val="en-US" w:eastAsia="fr-CA"/>
        </w:rPr>
        <w:t>0</w:t>
      </w:r>
      <w:r w:rsidR="00C07457">
        <w:rPr>
          <w:rFonts w:eastAsia="Times New Roman" w:cstheme="minorHAnsi"/>
          <w:sz w:val="20"/>
          <w:szCs w:val="20"/>
          <w:lang w:val="en-US" w:eastAsia="fr-CA"/>
        </w:rPr>
        <w:t>00</w:t>
      </w:r>
      <w:r w:rsidR="00C07457" w:rsidRPr="00F42B7D">
        <w:rPr>
          <w:rFonts w:eastAsia="Times New Roman" w:cstheme="minorHAnsi"/>
          <w:sz w:val="20"/>
          <w:szCs w:val="20"/>
          <w:lang w:val="en-US" w:eastAsia="fr-CA"/>
        </w:rPr>
        <w:t xml:space="preserve"> </w:t>
      </w:r>
      <w:r w:rsidR="00F42B7D">
        <w:rPr>
          <w:rFonts w:eastAsia="Times New Roman" w:cstheme="minorHAnsi"/>
          <w:sz w:val="20"/>
          <w:szCs w:val="20"/>
          <w:lang w:val="en-US" w:eastAsia="fr-CA"/>
        </w:rPr>
        <w:t>flow-through shares</w:t>
      </w:r>
      <w:r w:rsidR="00F42B7D" w:rsidRPr="00F42B7D">
        <w:rPr>
          <w:rFonts w:eastAsia="Times New Roman" w:cstheme="minorHAnsi"/>
          <w:sz w:val="20"/>
          <w:szCs w:val="20"/>
          <w:lang w:val="en-US" w:eastAsia="fr-CA"/>
        </w:rPr>
        <w:t xml:space="preserve"> of the Company ("</w:t>
      </w:r>
      <w:r w:rsidR="00F42B7D" w:rsidRPr="00F42B7D">
        <w:rPr>
          <w:rFonts w:eastAsia="Times New Roman" w:cstheme="minorHAnsi"/>
          <w:b/>
          <w:bCs/>
          <w:sz w:val="20"/>
          <w:szCs w:val="20"/>
          <w:lang w:val="en-US" w:eastAsia="fr-CA"/>
        </w:rPr>
        <w:t>FT Shares</w:t>
      </w:r>
      <w:r w:rsidR="00F42B7D" w:rsidRPr="00F42B7D">
        <w:rPr>
          <w:rFonts w:eastAsia="Times New Roman" w:cstheme="minorHAnsi"/>
          <w:sz w:val="20"/>
          <w:szCs w:val="20"/>
          <w:lang w:val="en-US" w:eastAsia="fr-CA"/>
        </w:rPr>
        <w:t>") at a price of C$</w:t>
      </w:r>
      <w:r w:rsidR="00C07457">
        <w:rPr>
          <w:rFonts w:eastAsia="Times New Roman" w:cstheme="minorHAnsi"/>
          <w:sz w:val="20"/>
          <w:szCs w:val="20"/>
          <w:lang w:val="en-US" w:eastAsia="fr-CA"/>
        </w:rPr>
        <w:t>0.45</w:t>
      </w:r>
      <w:r w:rsidR="00F42B7D" w:rsidRPr="001D45BD">
        <w:rPr>
          <w:rFonts w:eastAsia="Times New Roman" w:cstheme="minorHAnsi"/>
          <w:sz w:val="20"/>
          <w:szCs w:val="20"/>
          <w:lang w:val="en-US" w:eastAsia="fr-CA"/>
        </w:rPr>
        <w:t xml:space="preserve"> </w:t>
      </w:r>
      <w:r w:rsidR="00F42B7D" w:rsidRPr="00F42B7D">
        <w:rPr>
          <w:rFonts w:eastAsia="Times New Roman" w:cstheme="minorHAnsi"/>
          <w:sz w:val="20"/>
          <w:szCs w:val="20"/>
          <w:lang w:val="en-US" w:eastAsia="fr-CA"/>
        </w:rPr>
        <w:t xml:space="preserve">per </w:t>
      </w:r>
      <w:r w:rsidR="00D02852">
        <w:rPr>
          <w:rFonts w:eastAsia="Times New Roman" w:cstheme="minorHAnsi"/>
          <w:sz w:val="20"/>
          <w:szCs w:val="20"/>
          <w:lang w:val="en-US" w:eastAsia="fr-CA"/>
        </w:rPr>
        <w:t>FT Share</w:t>
      </w:r>
      <w:r w:rsidR="00F42B7D" w:rsidRPr="00F42B7D">
        <w:rPr>
          <w:rFonts w:eastAsia="Times New Roman" w:cstheme="minorHAnsi"/>
          <w:sz w:val="20"/>
          <w:szCs w:val="20"/>
          <w:lang w:val="en-US" w:eastAsia="fr-CA"/>
        </w:rPr>
        <w:t xml:space="preserve"> (the </w:t>
      </w:r>
      <w:r w:rsidR="002817AB" w:rsidRPr="00F42B7D">
        <w:rPr>
          <w:rFonts w:eastAsia="Times New Roman" w:cstheme="minorHAnsi"/>
          <w:sz w:val="20"/>
          <w:szCs w:val="20"/>
          <w:lang w:val="en-US" w:eastAsia="fr-CA"/>
        </w:rPr>
        <w:t>"</w:t>
      </w:r>
      <w:r w:rsidR="00F42B7D" w:rsidRPr="00F42B7D">
        <w:rPr>
          <w:rFonts w:eastAsia="Times New Roman" w:cstheme="minorHAnsi"/>
          <w:b/>
          <w:bCs/>
          <w:sz w:val="20"/>
          <w:szCs w:val="20"/>
          <w:lang w:val="en-US" w:eastAsia="fr-CA"/>
        </w:rPr>
        <w:t>Offering Price</w:t>
      </w:r>
      <w:r w:rsidR="002817AB" w:rsidRPr="00F42B7D">
        <w:rPr>
          <w:rFonts w:eastAsia="Times New Roman" w:cstheme="minorHAnsi"/>
          <w:sz w:val="20"/>
          <w:szCs w:val="20"/>
          <w:lang w:val="en-US" w:eastAsia="fr-CA"/>
        </w:rPr>
        <w:t>"</w:t>
      </w:r>
      <w:r w:rsidR="00F42B7D" w:rsidRPr="00F42B7D">
        <w:rPr>
          <w:rFonts w:eastAsia="Times New Roman" w:cstheme="minorHAnsi"/>
          <w:sz w:val="20"/>
          <w:szCs w:val="20"/>
          <w:lang w:val="en-US" w:eastAsia="fr-CA"/>
        </w:rPr>
        <w:t>) for gross proceeds of C</w:t>
      </w:r>
      <w:r w:rsidR="00C07457" w:rsidRPr="00F42B7D">
        <w:rPr>
          <w:rFonts w:eastAsia="Times New Roman" w:cstheme="minorHAnsi"/>
          <w:sz w:val="20"/>
          <w:szCs w:val="20"/>
          <w:lang w:val="en-US" w:eastAsia="fr-CA"/>
        </w:rPr>
        <w:t>$</w:t>
      </w:r>
      <w:r w:rsidR="00C07457">
        <w:rPr>
          <w:rFonts w:eastAsia="Times New Roman" w:cstheme="minorHAnsi"/>
          <w:sz w:val="20"/>
          <w:szCs w:val="20"/>
          <w:lang w:val="en-US" w:eastAsia="fr-CA"/>
        </w:rPr>
        <w:t>4,000,00</w:t>
      </w:r>
      <w:r w:rsidR="00DA6A1E">
        <w:rPr>
          <w:rFonts w:eastAsia="Times New Roman" w:cstheme="minorHAnsi"/>
          <w:sz w:val="20"/>
          <w:szCs w:val="20"/>
          <w:lang w:val="en-US" w:eastAsia="fr-CA"/>
        </w:rPr>
        <w:t>0</w:t>
      </w:r>
      <w:r w:rsidR="00C07457" w:rsidRPr="00F42B7D">
        <w:rPr>
          <w:rFonts w:eastAsia="Times New Roman" w:cstheme="minorHAnsi"/>
          <w:sz w:val="20"/>
          <w:szCs w:val="20"/>
          <w:lang w:val="en-US" w:eastAsia="fr-CA"/>
        </w:rPr>
        <w:t>.</w:t>
      </w:r>
      <w:r w:rsidR="00C07457">
        <w:rPr>
          <w:rFonts w:eastAsia="Times New Roman" w:cstheme="minorHAnsi"/>
          <w:sz w:val="20"/>
          <w:szCs w:val="20"/>
          <w:lang w:val="en-US" w:eastAsia="fr-CA"/>
        </w:rPr>
        <w:t xml:space="preserve">  </w:t>
      </w:r>
      <w:r w:rsidR="00D02852" w:rsidRPr="005552AA">
        <w:rPr>
          <w:rFonts w:cstheme="minorHAnsi"/>
          <w:sz w:val="20"/>
          <w:szCs w:val="20"/>
        </w:rPr>
        <w:t>The Company has granted the</w:t>
      </w:r>
      <w:r w:rsidR="00D02852">
        <w:rPr>
          <w:rFonts w:cstheme="minorHAnsi"/>
          <w:sz w:val="20"/>
          <w:szCs w:val="20"/>
        </w:rPr>
        <w:t xml:space="preserve"> Agents </w:t>
      </w:r>
      <w:r w:rsidR="00D02852" w:rsidRPr="005552AA">
        <w:rPr>
          <w:rFonts w:cstheme="minorHAnsi"/>
          <w:sz w:val="20"/>
          <w:szCs w:val="20"/>
        </w:rPr>
        <w:t xml:space="preserve">an option to purchase up to an additional 15% of the </w:t>
      </w:r>
      <w:r w:rsidR="00D02852">
        <w:rPr>
          <w:rFonts w:cstheme="minorHAnsi"/>
          <w:sz w:val="20"/>
          <w:szCs w:val="20"/>
        </w:rPr>
        <w:t>FT Share</w:t>
      </w:r>
      <w:r w:rsidR="00D02852" w:rsidRPr="005552AA">
        <w:rPr>
          <w:rFonts w:cstheme="minorHAnsi"/>
          <w:sz w:val="20"/>
          <w:szCs w:val="20"/>
        </w:rPr>
        <w:t>s sold under the Offering.</w:t>
      </w:r>
      <w:r w:rsidR="001D45BD">
        <w:rPr>
          <w:rFonts w:cstheme="minorHAnsi"/>
          <w:sz w:val="20"/>
          <w:szCs w:val="20"/>
        </w:rPr>
        <w:t xml:space="preserve">  </w:t>
      </w:r>
      <w:r w:rsidR="00D02852" w:rsidRPr="005552AA">
        <w:rPr>
          <w:rFonts w:cstheme="minorHAnsi"/>
          <w:sz w:val="20"/>
          <w:szCs w:val="20"/>
        </w:rPr>
        <w:t xml:space="preserve">The Over-Allotment Option may be exercised in whole or in part as determined by </w:t>
      </w:r>
      <w:r w:rsidR="00D02852">
        <w:rPr>
          <w:rFonts w:cstheme="minorHAnsi"/>
          <w:sz w:val="20"/>
          <w:szCs w:val="20"/>
        </w:rPr>
        <w:t>the Agents</w:t>
      </w:r>
      <w:r w:rsidR="00D02852" w:rsidRPr="005552AA">
        <w:rPr>
          <w:rFonts w:cstheme="minorHAnsi"/>
          <w:sz w:val="20"/>
          <w:szCs w:val="20"/>
        </w:rPr>
        <w:t xml:space="preserve"> upon written notice to the Company at any time up to 30 days following the closing date of the Offering (the </w:t>
      </w:r>
      <w:r w:rsidR="002817AB" w:rsidRPr="00F42B7D">
        <w:rPr>
          <w:rFonts w:eastAsia="Times New Roman" w:cstheme="minorHAnsi"/>
          <w:sz w:val="20"/>
          <w:szCs w:val="20"/>
          <w:lang w:val="en-US" w:eastAsia="fr-CA"/>
        </w:rPr>
        <w:t>"</w:t>
      </w:r>
      <w:r w:rsidR="00D02852" w:rsidRPr="005552AA">
        <w:rPr>
          <w:rFonts w:cstheme="minorHAnsi"/>
          <w:b/>
          <w:sz w:val="20"/>
          <w:szCs w:val="20"/>
        </w:rPr>
        <w:t>Over-Allotment Option</w:t>
      </w:r>
      <w:r w:rsidR="002817AB" w:rsidRPr="00F42B7D">
        <w:rPr>
          <w:rFonts w:eastAsia="Times New Roman" w:cstheme="minorHAnsi"/>
          <w:sz w:val="20"/>
          <w:szCs w:val="20"/>
          <w:lang w:val="en-US" w:eastAsia="fr-CA"/>
        </w:rPr>
        <w:t>"</w:t>
      </w:r>
      <w:r w:rsidR="00D02852" w:rsidRPr="005552AA">
        <w:rPr>
          <w:rFonts w:cstheme="minorHAnsi"/>
          <w:sz w:val="20"/>
          <w:szCs w:val="20"/>
        </w:rPr>
        <w:t>).</w:t>
      </w:r>
    </w:p>
    <w:p w14:paraId="2A8ED00C" w14:textId="45F6D262" w:rsidR="00D02852" w:rsidRDefault="00F42B7D" w:rsidP="00F42B7D">
      <w:pPr>
        <w:jc w:val="both"/>
        <w:rPr>
          <w:rFonts w:eastAsia="Times New Roman" w:cstheme="minorHAnsi"/>
          <w:sz w:val="20"/>
          <w:szCs w:val="20"/>
          <w:lang w:val="en-US" w:eastAsia="fr-CA"/>
        </w:rPr>
      </w:pPr>
      <w:r w:rsidRPr="00F42B7D">
        <w:rPr>
          <w:rFonts w:eastAsia="Times New Roman" w:cstheme="minorHAnsi"/>
          <w:sz w:val="20"/>
          <w:szCs w:val="20"/>
          <w:lang w:val="en-US" w:eastAsia="fr-CA"/>
        </w:rPr>
        <w:t xml:space="preserve">The Offering will be conducted on a commercially reasonable efforts agency basis pursuant to the terms and conditions of an agency agreement to be entered into between the Company and a syndicate of agents led by </w:t>
      </w:r>
      <w:r>
        <w:rPr>
          <w:rFonts w:eastAsia="Times New Roman" w:cstheme="minorHAnsi"/>
          <w:sz w:val="20"/>
          <w:szCs w:val="20"/>
          <w:lang w:val="en-US" w:eastAsia="fr-CA"/>
        </w:rPr>
        <w:t>Echelon Wealth Partners</w:t>
      </w:r>
      <w:r w:rsidRPr="00F42B7D">
        <w:rPr>
          <w:rFonts w:eastAsia="Times New Roman" w:cstheme="minorHAnsi"/>
          <w:sz w:val="20"/>
          <w:szCs w:val="20"/>
          <w:lang w:val="en-US" w:eastAsia="fr-CA"/>
        </w:rPr>
        <w:t xml:space="preserve"> Inc. ("</w:t>
      </w:r>
      <w:r w:rsidRPr="00F42B7D">
        <w:rPr>
          <w:rFonts w:eastAsia="Times New Roman" w:cstheme="minorHAnsi"/>
          <w:b/>
          <w:bCs/>
          <w:sz w:val="20"/>
          <w:szCs w:val="20"/>
          <w:lang w:val="en-US" w:eastAsia="fr-CA"/>
        </w:rPr>
        <w:t>Echelon</w:t>
      </w:r>
      <w:r w:rsidRPr="00F42B7D">
        <w:rPr>
          <w:rFonts w:eastAsia="Times New Roman" w:cstheme="minorHAnsi"/>
          <w:sz w:val="20"/>
          <w:szCs w:val="20"/>
          <w:lang w:val="en-US" w:eastAsia="fr-CA"/>
        </w:rPr>
        <w:t xml:space="preserve">") and including </w:t>
      </w:r>
      <w:proofErr w:type="spellStart"/>
      <w:r>
        <w:rPr>
          <w:rFonts w:eastAsia="Times New Roman" w:cstheme="minorHAnsi"/>
          <w:sz w:val="20"/>
          <w:szCs w:val="20"/>
          <w:lang w:val="en-US" w:eastAsia="fr-CA"/>
        </w:rPr>
        <w:t>Sprott</w:t>
      </w:r>
      <w:proofErr w:type="spellEnd"/>
      <w:r>
        <w:rPr>
          <w:rFonts w:eastAsia="Times New Roman" w:cstheme="minorHAnsi"/>
          <w:sz w:val="20"/>
          <w:szCs w:val="20"/>
          <w:lang w:val="en-US" w:eastAsia="fr-CA"/>
        </w:rPr>
        <w:t xml:space="preserve"> Capital Partners</w:t>
      </w:r>
      <w:r w:rsidR="001D45BD">
        <w:rPr>
          <w:rFonts w:eastAsia="Times New Roman" w:cstheme="minorHAnsi"/>
          <w:sz w:val="20"/>
          <w:szCs w:val="20"/>
          <w:lang w:val="en-US" w:eastAsia="fr-CA"/>
        </w:rPr>
        <w:t xml:space="preserve"> LP</w:t>
      </w:r>
      <w:r w:rsidR="00650676">
        <w:rPr>
          <w:rFonts w:eastAsia="Times New Roman" w:cstheme="minorHAnsi"/>
          <w:sz w:val="20"/>
          <w:szCs w:val="20"/>
          <w:lang w:val="en-US" w:eastAsia="fr-CA"/>
        </w:rPr>
        <w:t xml:space="preserve"> </w:t>
      </w:r>
      <w:r>
        <w:rPr>
          <w:rFonts w:eastAsia="Times New Roman" w:cstheme="minorHAnsi"/>
          <w:sz w:val="20"/>
          <w:szCs w:val="20"/>
          <w:lang w:val="en-US" w:eastAsia="fr-CA"/>
        </w:rPr>
        <w:t>and</w:t>
      </w:r>
      <w:r w:rsidRPr="00F42B7D">
        <w:rPr>
          <w:rFonts w:eastAsia="Times New Roman" w:cstheme="minorHAnsi"/>
          <w:sz w:val="20"/>
          <w:szCs w:val="20"/>
          <w:lang w:val="en-US" w:eastAsia="fr-CA"/>
        </w:rPr>
        <w:t xml:space="preserve"> Research Capital Corporation, (collectively with </w:t>
      </w:r>
      <w:r>
        <w:rPr>
          <w:rFonts w:eastAsia="Times New Roman" w:cstheme="minorHAnsi"/>
          <w:sz w:val="20"/>
          <w:szCs w:val="20"/>
          <w:lang w:val="en-US" w:eastAsia="fr-CA"/>
        </w:rPr>
        <w:t>Echelon</w:t>
      </w:r>
      <w:r w:rsidRPr="00F42B7D">
        <w:rPr>
          <w:rFonts w:eastAsia="Times New Roman" w:cstheme="minorHAnsi"/>
          <w:sz w:val="20"/>
          <w:szCs w:val="20"/>
          <w:lang w:val="en-US" w:eastAsia="fr-CA"/>
        </w:rPr>
        <w:t xml:space="preserve">, the </w:t>
      </w:r>
      <w:r w:rsidR="002817AB" w:rsidRPr="00F42B7D">
        <w:rPr>
          <w:rFonts w:eastAsia="Times New Roman" w:cstheme="minorHAnsi"/>
          <w:sz w:val="20"/>
          <w:szCs w:val="20"/>
          <w:lang w:val="en-US" w:eastAsia="fr-CA"/>
        </w:rPr>
        <w:t>"</w:t>
      </w:r>
      <w:r w:rsidRPr="00F42B7D">
        <w:rPr>
          <w:rFonts w:eastAsia="Times New Roman" w:cstheme="minorHAnsi"/>
          <w:b/>
          <w:bCs/>
          <w:sz w:val="20"/>
          <w:szCs w:val="20"/>
          <w:lang w:val="en-US" w:eastAsia="fr-CA"/>
        </w:rPr>
        <w:t>Agents</w:t>
      </w:r>
      <w:r w:rsidR="002817AB" w:rsidRPr="00F42B7D">
        <w:rPr>
          <w:rFonts w:eastAsia="Times New Roman" w:cstheme="minorHAnsi"/>
          <w:sz w:val="20"/>
          <w:szCs w:val="20"/>
          <w:lang w:val="en-US" w:eastAsia="fr-CA"/>
        </w:rPr>
        <w:t>"</w:t>
      </w:r>
      <w:r w:rsidRPr="00F42B7D">
        <w:rPr>
          <w:rFonts w:eastAsia="Times New Roman" w:cstheme="minorHAnsi"/>
          <w:sz w:val="20"/>
          <w:szCs w:val="20"/>
          <w:lang w:val="en-US" w:eastAsia="fr-CA"/>
        </w:rPr>
        <w:t>).</w:t>
      </w:r>
      <w:r>
        <w:rPr>
          <w:rFonts w:eastAsia="Times New Roman" w:cstheme="minorHAnsi"/>
          <w:sz w:val="20"/>
          <w:szCs w:val="20"/>
          <w:lang w:val="en-US" w:eastAsia="fr-CA"/>
        </w:rPr>
        <w:t xml:space="preserve">  </w:t>
      </w:r>
    </w:p>
    <w:p w14:paraId="1F452A53" w14:textId="5BFD6CAC" w:rsidR="001D45BD" w:rsidRDefault="001D45BD" w:rsidP="001D45BD">
      <w:pPr>
        <w:pStyle w:val="DeltaViewTableBody"/>
        <w:ind w:right="18"/>
        <w:jc w:val="both"/>
        <w:rPr>
          <w:rFonts w:asciiTheme="minorHAnsi" w:hAnsiTheme="minorHAnsi" w:cstheme="minorHAnsi"/>
          <w:sz w:val="20"/>
          <w:szCs w:val="20"/>
        </w:rPr>
      </w:pPr>
      <w:r w:rsidRPr="005552AA">
        <w:rPr>
          <w:rFonts w:asciiTheme="minorHAnsi" w:hAnsiTheme="minorHAnsi" w:cstheme="minorHAnsi"/>
          <w:color w:val="000000"/>
          <w:sz w:val="20"/>
          <w:szCs w:val="20"/>
        </w:rPr>
        <w:t xml:space="preserve">The Offering will be completed by way of a short form prospectus to be filed in the </w:t>
      </w:r>
      <w:r w:rsidRPr="005552AA">
        <w:rPr>
          <w:rFonts w:asciiTheme="minorHAnsi" w:hAnsiTheme="minorHAnsi" w:cstheme="minorHAnsi"/>
          <w:sz w:val="20"/>
          <w:szCs w:val="20"/>
        </w:rPr>
        <w:t xml:space="preserve">Provinces of </w:t>
      </w:r>
      <w:r w:rsidRPr="000F17AC">
        <w:rPr>
          <w:rFonts w:asciiTheme="minorHAnsi" w:hAnsiTheme="minorHAnsi" w:cstheme="minorHAnsi"/>
          <w:sz w:val="20"/>
          <w:szCs w:val="20"/>
        </w:rPr>
        <w:t xml:space="preserve">British Columbia, Alberta, Manitoba, Ontario, and Nova Scotia </w:t>
      </w:r>
      <w:r w:rsidRPr="005552AA">
        <w:rPr>
          <w:rFonts w:asciiTheme="minorHAnsi" w:hAnsiTheme="minorHAnsi" w:cstheme="minorHAnsi"/>
          <w:sz w:val="20"/>
          <w:szCs w:val="20"/>
        </w:rPr>
        <w:t xml:space="preserve">(the </w:t>
      </w:r>
      <w:r w:rsidR="002817AB" w:rsidRPr="002817AB">
        <w:rPr>
          <w:rFonts w:cstheme="minorHAnsi"/>
          <w:sz w:val="20"/>
          <w:szCs w:val="20"/>
        </w:rPr>
        <w:t>"</w:t>
      </w:r>
      <w:r w:rsidRPr="005552AA">
        <w:rPr>
          <w:rFonts w:asciiTheme="minorHAnsi" w:hAnsiTheme="minorHAnsi" w:cstheme="minorHAnsi"/>
          <w:b/>
          <w:sz w:val="20"/>
          <w:szCs w:val="20"/>
        </w:rPr>
        <w:t>Canadian Jurisdictions</w:t>
      </w:r>
      <w:r w:rsidR="002817AB" w:rsidRPr="00F42B7D">
        <w:rPr>
          <w:rFonts w:cstheme="minorHAnsi"/>
          <w:sz w:val="20"/>
          <w:szCs w:val="20"/>
        </w:rPr>
        <w:t>"</w:t>
      </w:r>
      <w:r w:rsidRPr="005552AA">
        <w:rPr>
          <w:rFonts w:asciiTheme="minorHAnsi" w:hAnsiTheme="minorHAnsi" w:cstheme="minorHAnsi"/>
          <w:sz w:val="20"/>
          <w:szCs w:val="20"/>
        </w:rPr>
        <w:t>)</w:t>
      </w:r>
      <w:r>
        <w:rPr>
          <w:rFonts w:asciiTheme="minorHAnsi" w:hAnsiTheme="minorHAnsi" w:cstheme="minorHAnsi"/>
          <w:sz w:val="20"/>
          <w:szCs w:val="20"/>
        </w:rPr>
        <w:t>.</w:t>
      </w:r>
    </w:p>
    <w:p w14:paraId="6FA3E199" w14:textId="77777777" w:rsidR="001D45BD" w:rsidRPr="001D45BD" w:rsidRDefault="001D45BD" w:rsidP="001D45BD">
      <w:pPr>
        <w:pStyle w:val="DeltaViewTableBody"/>
        <w:ind w:right="18"/>
        <w:jc w:val="both"/>
        <w:rPr>
          <w:rFonts w:asciiTheme="minorHAnsi" w:hAnsiTheme="minorHAnsi" w:cstheme="minorHAnsi"/>
          <w:sz w:val="20"/>
          <w:szCs w:val="20"/>
        </w:rPr>
      </w:pPr>
    </w:p>
    <w:p w14:paraId="349BB8DF" w14:textId="2BA11F5A" w:rsidR="003C0F67" w:rsidRPr="001D45BD" w:rsidRDefault="00F42B7D" w:rsidP="001D45BD">
      <w:pPr>
        <w:jc w:val="both"/>
        <w:rPr>
          <w:rFonts w:eastAsia="Times New Roman" w:cstheme="minorHAnsi"/>
          <w:sz w:val="20"/>
          <w:szCs w:val="20"/>
          <w:lang w:val="en-US" w:eastAsia="fr-CA"/>
        </w:rPr>
      </w:pPr>
      <w:r w:rsidRPr="00F42B7D">
        <w:rPr>
          <w:rFonts w:eastAsia="Times New Roman" w:cstheme="minorHAnsi"/>
          <w:sz w:val="20"/>
          <w:szCs w:val="20"/>
          <w:lang w:val="en-US" w:eastAsia="fr-CA"/>
        </w:rPr>
        <w:t>In connection with the Offering, the Agents will be paid a cash commission equal to 7.0% of the gross proceeds of the Offering and will be issued that number of non-transferable broker warrants (</w:t>
      </w:r>
      <w:r w:rsidR="002817AB" w:rsidRPr="00F42B7D">
        <w:rPr>
          <w:rFonts w:eastAsia="Times New Roman" w:cstheme="minorHAnsi"/>
          <w:sz w:val="20"/>
          <w:szCs w:val="20"/>
          <w:lang w:val="en-US" w:eastAsia="fr-CA"/>
        </w:rPr>
        <w:t>"</w:t>
      </w:r>
      <w:r w:rsidRPr="00620529">
        <w:rPr>
          <w:rFonts w:eastAsia="Times New Roman" w:cstheme="minorHAnsi"/>
          <w:b/>
          <w:bCs/>
          <w:sz w:val="20"/>
          <w:szCs w:val="20"/>
          <w:lang w:val="en-US" w:eastAsia="fr-CA"/>
        </w:rPr>
        <w:t>Broker Warrants</w:t>
      </w:r>
      <w:r w:rsidR="002817AB" w:rsidRPr="00F42B7D">
        <w:rPr>
          <w:rFonts w:eastAsia="Times New Roman" w:cstheme="minorHAnsi"/>
          <w:sz w:val="20"/>
          <w:szCs w:val="20"/>
          <w:lang w:val="en-US" w:eastAsia="fr-CA"/>
        </w:rPr>
        <w:t>"</w:t>
      </w:r>
      <w:r w:rsidRPr="00F42B7D">
        <w:rPr>
          <w:rFonts w:eastAsia="Times New Roman" w:cstheme="minorHAnsi"/>
          <w:sz w:val="20"/>
          <w:szCs w:val="20"/>
          <w:lang w:val="en-US" w:eastAsia="fr-CA"/>
        </w:rPr>
        <w:t xml:space="preserve">) equal to 7.0% of the number of </w:t>
      </w:r>
      <w:r w:rsidR="00D02852">
        <w:rPr>
          <w:rFonts w:eastAsia="Times New Roman" w:cstheme="minorHAnsi"/>
          <w:sz w:val="20"/>
          <w:szCs w:val="20"/>
          <w:lang w:val="en-US" w:eastAsia="fr-CA"/>
        </w:rPr>
        <w:t>FT Shares</w:t>
      </w:r>
      <w:r w:rsidRPr="00F42B7D">
        <w:rPr>
          <w:rFonts w:eastAsia="Times New Roman" w:cstheme="minorHAnsi"/>
          <w:sz w:val="20"/>
          <w:szCs w:val="20"/>
          <w:lang w:val="en-US" w:eastAsia="fr-CA"/>
        </w:rPr>
        <w:t xml:space="preserve"> sold in the Offering. </w:t>
      </w:r>
      <w:r w:rsidR="00650676">
        <w:rPr>
          <w:rFonts w:eastAsia="Times New Roman" w:cstheme="minorHAnsi"/>
          <w:sz w:val="20"/>
          <w:szCs w:val="20"/>
          <w:lang w:val="en-US" w:eastAsia="fr-CA"/>
        </w:rPr>
        <w:t xml:space="preserve"> </w:t>
      </w:r>
      <w:r w:rsidRPr="00F42B7D">
        <w:rPr>
          <w:rFonts w:eastAsia="Times New Roman" w:cstheme="minorHAnsi"/>
          <w:sz w:val="20"/>
          <w:szCs w:val="20"/>
          <w:lang w:val="en-US" w:eastAsia="fr-CA"/>
        </w:rPr>
        <w:t xml:space="preserve">Each Broker Warrant will be exercisable to acquire one </w:t>
      </w:r>
      <w:r>
        <w:rPr>
          <w:rFonts w:eastAsia="Times New Roman" w:cstheme="minorHAnsi"/>
          <w:sz w:val="20"/>
          <w:szCs w:val="20"/>
          <w:lang w:val="en-US" w:eastAsia="fr-CA"/>
        </w:rPr>
        <w:t>c</w:t>
      </w:r>
      <w:r w:rsidRPr="00F42B7D">
        <w:rPr>
          <w:rFonts w:eastAsia="Times New Roman" w:cstheme="minorHAnsi"/>
          <w:sz w:val="20"/>
          <w:szCs w:val="20"/>
          <w:lang w:val="en-US" w:eastAsia="fr-CA"/>
        </w:rPr>
        <w:t xml:space="preserve">ommon </w:t>
      </w:r>
      <w:r>
        <w:rPr>
          <w:rFonts w:eastAsia="Times New Roman" w:cstheme="minorHAnsi"/>
          <w:sz w:val="20"/>
          <w:szCs w:val="20"/>
          <w:lang w:val="en-US" w:eastAsia="fr-CA"/>
        </w:rPr>
        <w:t>s</w:t>
      </w:r>
      <w:r w:rsidRPr="00F42B7D">
        <w:rPr>
          <w:rFonts w:eastAsia="Times New Roman" w:cstheme="minorHAnsi"/>
          <w:sz w:val="20"/>
          <w:szCs w:val="20"/>
          <w:lang w:val="en-US" w:eastAsia="fr-CA"/>
        </w:rPr>
        <w:t xml:space="preserve">hare at the Offering Price for a period of </w:t>
      </w:r>
      <w:r>
        <w:rPr>
          <w:rFonts w:eastAsia="Times New Roman" w:cstheme="minorHAnsi"/>
          <w:sz w:val="20"/>
          <w:szCs w:val="20"/>
          <w:lang w:val="en-US" w:eastAsia="fr-CA"/>
        </w:rPr>
        <w:t>18</w:t>
      </w:r>
      <w:r w:rsidRPr="00F42B7D">
        <w:rPr>
          <w:rFonts w:eastAsia="Times New Roman" w:cstheme="minorHAnsi"/>
          <w:sz w:val="20"/>
          <w:szCs w:val="20"/>
          <w:lang w:val="en-US" w:eastAsia="fr-CA"/>
        </w:rPr>
        <w:t xml:space="preserve"> months from the Closing Date.</w:t>
      </w:r>
    </w:p>
    <w:p w14:paraId="2C201819" w14:textId="0670BC6B" w:rsidR="003C0F67" w:rsidRPr="005552AA" w:rsidRDefault="003C0F67" w:rsidP="003C0F67">
      <w:pPr>
        <w:pStyle w:val="DeltaViewTableBody"/>
        <w:ind w:right="18"/>
        <w:jc w:val="both"/>
        <w:rPr>
          <w:rFonts w:asciiTheme="minorHAnsi" w:hAnsiTheme="minorHAnsi" w:cstheme="minorHAnsi"/>
          <w:sz w:val="20"/>
          <w:szCs w:val="20"/>
        </w:rPr>
      </w:pPr>
      <w:r w:rsidRPr="00A618D2">
        <w:rPr>
          <w:rFonts w:asciiTheme="minorHAnsi" w:hAnsiTheme="minorHAnsi" w:cstheme="minorHAnsi"/>
          <w:sz w:val="20"/>
          <w:szCs w:val="20"/>
        </w:rPr>
        <w:t xml:space="preserve">The gross proceeds of the Offering will be used by the Company to incur eligible “Canadian exploration expenses” that will qualify as “flow-through mining expenditures” as such terms are defined in the Income Tax Act (Canada) (the </w:t>
      </w:r>
      <w:r w:rsidR="002817AB" w:rsidRPr="00F42B7D">
        <w:rPr>
          <w:rFonts w:cstheme="minorHAnsi"/>
          <w:sz w:val="20"/>
          <w:szCs w:val="20"/>
        </w:rPr>
        <w:t>"</w:t>
      </w:r>
      <w:r w:rsidRPr="00A618D2">
        <w:rPr>
          <w:rFonts w:asciiTheme="minorHAnsi" w:hAnsiTheme="minorHAnsi" w:cstheme="minorHAnsi"/>
          <w:b/>
          <w:bCs/>
          <w:sz w:val="20"/>
          <w:szCs w:val="20"/>
        </w:rPr>
        <w:t>Qualifying Expenditures</w:t>
      </w:r>
      <w:r w:rsidR="002817AB" w:rsidRPr="002817AB">
        <w:rPr>
          <w:rFonts w:cstheme="minorHAnsi"/>
          <w:sz w:val="20"/>
          <w:szCs w:val="20"/>
        </w:rPr>
        <w:t>"</w:t>
      </w:r>
      <w:r w:rsidRPr="00A618D2">
        <w:rPr>
          <w:rFonts w:asciiTheme="minorHAnsi" w:hAnsiTheme="minorHAnsi" w:cstheme="minorHAnsi"/>
          <w:sz w:val="20"/>
          <w:szCs w:val="20"/>
        </w:rPr>
        <w:t xml:space="preserve">) related to the Company’s </w:t>
      </w:r>
      <w:r w:rsidRPr="000F17AC">
        <w:rPr>
          <w:rFonts w:asciiTheme="minorHAnsi" w:hAnsiTheme="minorHAnsi" w:cstheme="minorHAnsi"/>
          <w:sz w:val="20"/>
          <w:szCs w:val="20"/>
        </w:rPr>
        <w:t xml:space="preserve">Albert Lake Project </w:t>
      </w:r>
      <w:r w:rsidRPr="00A618D2">
        <w:rPr>
          <w:rFonts w:asciiTheme="minorHAnsi" w:hAnsiTheme="minorHAnsi" w:cstheme="minorHAnsi"/>
          <w:sz w:val="20"/>
          <w:szCs w:val="20"/>
        </w:rPr>
        <w:t xml:space="preserve">located in </w:t>
      </w:r>
      <w:r>
        <w:rPr>
          <w:rFonts w:asciiTheme="minorHAnsi" w:hAnsiTheme="minorHAnsi" w:cstheme="minorHAnsi"/>
          <w:sz w:val="20"/>
          <w:szCs w:val="20"/>
        </w:rPr>
        <w:t>Saskatchewan</w:t>
      </w:r>
      <w:r w:rsidRPr="00A618D2">
        <w:rPr>
          <w:rFonts w:asciiTheme="minorHAnsi" w:hAnsiTheme="minorHAnsi" w:cstheme="minorHAnsi"/>
          <w:sz w:val="20"/>
          <w:szCs w:val="20"/>
        </w:rPr>
        <w:t>, Canada</w:t>
      </w:r>
      <w:r>
        <w:rPr>
          <w:rFonts w:asciiTheme="minorHAnsi" w:hAnsiTheme="minorHAnsi" w:cstheme="minorHAnsi"/>
          <w:sz w:val="20"/>
          <w:szCs w:val="20"/>
        </w:rPr>
        <w:t xml:space="preserve"> </w:t>
      </w:r>
      <w:r w:rsidRPr="00A618D2">
        <w:rPr>
          <w:rFonts w:asciiTheme="minorHAnsi" w:hAnsiTheme="minorHAnsi" w:cstheme="minorHAnsi"/>
          <w:sz w:val="20"/>
          <w:szCs w:val="20"/>
        </w:rPr>
        <w:t xml:space="preserve">on or before December 31, 2022. </w:t>
      </w:r>
      <w:r w:rsidR="00650676">
        <w:rPr>
          <w:rFonts w:asciiTheme="minorHAnsi" w:hAnsiTheme="minorHAnsi" w:cstheme="minorHAnsi"/>
          <w:sz w:val="20"/>
          <w:szCs w:val="20"/>
        </w:rPr>
        <w:t xml:space="preserve"> </w:t>
      </w:r>
      <w:r w:rsidRPr="00A618D2">
        <w:rPr>
          <w:rFonts w:asciiTheme="minorHAnsi" w:hAnsiTheme="minorHAnsi" w:cstheme="minorHAnsi"/>
          <w:sz w:val="20"/>
          <w:szCs w:val="20"/>
        </w:rPr>
        <w:t xml:space="preserve">All Qualifying Expenditures will be renounced in </w:t>
      </w:r>
      <w:proofErr w:type="spellStart"/>
      <w:r w:rsidRPr="00A618D2">
        <w:rPr>
          <w:rFonts w:asciiTheme="minorHAnsi" w:hAnsiTheme="minorHAnsi" w:cstheme="minorHAnsi"/>
          <w:sz w:val="20"/>
          <w:szCs w:val="20"/>
        </w:rPr>
        <w:t>favour</w:t>
      </w:r>
      <w:proofErr w:type="spellEnd"/>
      <w:r w:rsidRPr="00A618D2">
        <w:rPr>
          <w:rFonts w:asciiTheme="minorHAnsi" w:hAnsiTheme="minorHAnsi" w:cstheme="minorHAnsi"/>
          <w:sz w:val="20"/>
          <w:szCs w:val="20"/>
        </w:rPr>
        <w:t xml:space="preserve"> of the subscribers effective December 31, 202</w:t>
      </w:r>
      <w:r>
        <w:rPr>
          <w:rFonts w:asciiTheme="minorHAnsi" w:hAnsiTheme="minorHAnsi" w:cstheme="minorHAnsi"/>
          <w:sz w:val="20"/>
          <w:szCs w:val="20"/>
        </w:rPr>
        <w:t>1</w:t>
      </w:r>
      <w:r w:rsidRPr="00A618D2">
        <w:rPr>
          <w:rFonts w:asciiTheme="minorHAnsi" w:hAnsiTheme="minorHAnsi" w:cstheme="minorHAnsi"/>
          <w:sz w:val="20"/>
          <w:szCs w:val="20"/>
        </w:rPr>
        <w:t>.</w:t>
      </w:r>
    </w:p>
    <w:p w14:paraId="652734C3" w14:textId="77777777" w:rsidR="003C0F67" w:rsidRDefault="003C0F67" w:rsidP="00ED1EE2">
      <w:pPr>
        <w:pStyle w:val="DeltaViewTableBody"/>
        <w:ind w:right="18"/>
        <w:jc w:val="both"/>
        <w:rPr>
          <w:rFonts w:asciiTheme="minorHAnsi" w:hAnsiTheme="minorHAnsi" w:cstheme="minorHAnsi"/>
          <w:sz w:val="20"/>
          <w:szCs w:val="20"/>
          <w:lang w:val="en-CA"/>
        </w:rPr>
      </w:pPr>
    </w:p>
    <w:p w14:paraId="08338A80" w14:textId="0B635A5D" w:rsidR="00ED1EE2" w:rsidRDefault="00ED1EE2" w:rsidP="00ED1EE2">
      <w:pPr>
        <w:pStyle w:val="DeltaViewTableBody"/>
        <w:ind w:right="18"/>
        <w:jc w:val="both"/>
        <w:rPr>
          <w:rFonts w:asciiTheme="minorHAnsi" w:hAnsiTheme="minorHAnsi" w:cstheme="minorHAnsi"/>
          <w:sz w:val="20"/>
          <w:szCs w:val="20"/>
        </w:rPr>
      </w:pPr>
      <w:r w:rsidRPr="005552AA">
        <w:rPr>
          <w:rFonts w:asciiTheme="minorHAnsi" w:hAnsiTheme="minorHAnsi" w:cstheme="minorHAnsi"/>
          <w:sz w:val="20"/>
          <w:szCs w:val="20"/>
          <w:lang w:val="en-CA"/>
        </w:rPr>
        <w:t xml:space="preserve">The Offering is expected to close on </w:t>
      </w:r>
      <w:r w:rsidRPr="005552AA">
        <w:rPr>
          <w:rFonts w:asciiTheme="minorHAnsi" w:hAnsiTheme="minorHAnsi" w:cstheme="minorHAnsi"/>
          <w:sz w:val="20"/>
          <w:szCs w:val="20"/>
        </w:rPr>
        <w:t xml:space="preserve">or about </w:t>
      </w:r>
      <w:r>
        <w:rPr>
          <w:rFonts w:asciiTheme="minorHAnsi" w:hAnsiTheme="minorHAnsi" w:cstheme="minorHAnsi"/>
          <w:sz w:val="20"/>
          <w:szCs w:val="20"/>
        </w:rPr>
        <w:t xml:space="preserve">November </w:t>
      </w:r>
      <w:r w:rsidR="005D72C9">
        <w:rPr>
          <w:rFonts w:asciiTheme="minorHAnsi" w:hAnsiTheme="minorHAnsi" w:cstheme="minorHAnsi"/>
          <w:sz w:val="20"/>
          <w:szCs w:val="20"/>
        </w:rPr>
        <w:t>1</w:t>
      </w:r>
      <w:r w:rsidR="003D773D">
        <w:rPr>
          <w:rFonts w:asciiTheme="minorHAnsi" w:hAnsiTheme="minorHAnsi" w:cstheme="minorHAnsi"/>
          <w:sz w:val="20"/>
          <w:szCs w:val="20"/>
        </w:rPr>
        <w:t>6</w:t>
      </w:r>
      <w:r w:rsidRPr="005552AA">
        <w:rPr>
          <w:rFonts w:asciiTheme="minorHAnsi" w:hAnsiTheme="minorHAnsi" w:cstheme="minorHAnsi"/>
          <w:sz w:val="20"/>
          <w:szCs w:val="20"/>
        </w:rPr>
        <w:t xml:space="preserve">, 2021, or such other date as the Company and </w:t>
      </w:r>
      <w:r>
        <w:rPr>
          <w:rFonts w:asciiTheme="minorHAnsi" w:hAnsiTheme="minorHAnsi" w:cstheme="minorHAnsi"/>
          <w:sz w:val="20"/>
          <w:szCs w:val="20"/>
        </w:rPr>
        <w:t>Echelon</w:t>
      </w:r>
      <w:r w:rsidRPr="005552AA">
        <w:rPr>
          <w:rFonts w:asciiTheme="minorHAnsi" w:hAnsiTheme="minorHAnsi" w:cstheme="minorHAnsi"/>
          <w:sz w:val="20"/>
          <w:szCs w:val="20"/>
        </w:rPr>
        <w:t xml:space="preserve"> may agree</w:t>
      </w:r>
      <w:r>
        <w:rPr>
          <w:rFonts w:asciiTheme="minorHAnsi" w:hAnsiTheme="minorHAnsi" w:cstheme="minorHAnsi"/>
          <w:sz w:val="20"/>
          <w:szCs w:val="20"/>
        </w:rPr>
        <w:t>.</w:t>
      </w:r>
    </w:p>
    <w:p w14:paraId="24863979" w14:textId="4C5795AC" w:rsidR="00E97B34" w:rsidRDefault="00E97B34" w:rsidP="00ED1EE2">
      <w:pPr>
        <w:pStyle w:val="DeltaViewTableBody"/>
        <w:ind w:right="18"/>
        <w:jc w:val="both"/>
        <w:rPr>
          <w:rFonts w:asciiTheme="minorHAnsi" w:hAnsiTheme="minorHAnsi" w:cstheme="minorHAnsi"/>
          <w:sz w:val="20"/>
          <w:szCs w:val="20"/>
        </w:rPr>
      </w:pPr>
    </w:p>
    <w:p w14:paraId="5715C299" w14:textId="34FB93D8" w:rsidR="00E97B34" w:rsidRPr="005552AA" w:rsidRDefault="00E97B34" w:rsidP="00ED1EE2">
      <w:pPr>
        <w:pStyle w:val="DeltaViewTableBody"/>
        <w:ind w:right="18"/>
        <w:jc w:val="both"/>
        <w:rPr>
          <w:rFonts w:asciiTheme="minorHAnsi" w:hAnsiTheme="minorHAnsi" w:cstheme="minorHAnsi"/>
          <w:sz w:val="20"/>
          <w:szCs w:val="20"/>
        </w:rPr>
      </w:pPr>
      <w:r w:rsidRPr="005552AA">
        <w:rPr>
          <w:rFonts w:asciiTheme="minorHAnsi" w:hAnsiTheme="minorHAnsi" w:cstheme="minorHAnsi"/>
          <w:sz w:val="20"/>
          <w:szCs w:val="20"/>
        </w:rPr>
        <w:t xml:space="preserve">The Offering is subject to customary closing conditions, including the approval of the </w:t>
      </w:r>
      <w:proofErr w:type="gramStart"/>
      <w:r w:rsidRPr="005552AA">
        <w:rPr>
          <w:rFonts w:asciiTheme="minorHAnsi" w:hAnsiTheme="minorHAnsi" w:cstheme="minorHAnsi"/>
          <w:sz w:val="20"/>
          <w:szCs w:val="20"/>
        </w:rPr>
        <w:t>securities</w:t>
      </w:r>
      <w:proofErr w:type="gramEnd"/>
      <w:r w:rsidRPr="005552AA">
        <w:rPr>
          <w:rFonts w:asciiTheme="minorHAnsi" w:hAnsiTheme="minorHAnsi" w:cstheme="minorHAnsi"/>
          <w:sz w:val="20"/>
          <w:szCs w:val="20"/>
        </w:rPr>
        <w:t xml:space="preserve"> regulatory authorities and the </w:t>
      </w:r>
      <w:r>
        <w:rPr>
          <w:rFonts w:asciiTheme="minorHAnsi" w:hAnsiTheme="minorHAnsi" w:cstheme="minorHAnsi"/>
          <w:sz w:val="20"/>
          <w:szCs w:val="20"/>
        </w:rPr>
        <w:t xml:space="preserve">Canadian Securities Exchange (the </w:t>
      </w:r>
      <w:r w:rsidR="002817AB" w:rsidRPr="00F42B7D">
        <w:rPr>
          <w:rFonts w:cstheme="minorHAnsi"/>
          <w:sz w:val="20"/>
          <w:szCs w:val="20"/>
        </w:rPr>
        <w:t>"</w:t>
      </w:r>
      <w:r w:rsidRPr="00A618D2">
        <w:rPr>
          <w:rFonts w:asciiTheme="minorHAnsi" w:hAnsiTheme="minorHAnsi" w:cstheme="minorHAnsi"/>
          <w:b/>
          <w:bCs/>
          <w:sz w:val="20"/>
          <w:szCs w:val="20"/>
        </w:rPr>
        <w:t>CSE</w:t>
      </w:r>
      <w:r w:rsidR="002817AB" w:rsidRPr="002817AB">
        <w:rPr>
          <w:rFonts w:cstheme="minorHAnsi"/>
          <w:sz w:val="20"/>
          <w:szCs w:val="20"/>
        </w:rPr>
        <w:t>"</w:t>
      </w:r>
      <w:r>
        <w:rPr>
          <w:rFonts w:asciiTheme="minorHAnsi" w:hAnsiTheme="minorHAnsi" w:cstheme="minorHAnsi"/>
          <w:sz w:val="20"/>
          <w:szCs w:val="20"/>
        </w:rPr>
        <w:t>)</w:t>
      </w:r>
      <w:r w:rsidRPr="005552AA">
        <w:rPr>
          <w:rFonts w:asciiTheme="minorHAnsi" w:hAnsiTheme="minorHAnsi" w:cstheme="minorHAnsi"/>
          <w:sz w:val="20"/>
          <w:szCs w:val="20"/>
        </w:rPr>
        <w:t>.</w:t>
      </w:r>
    </w:p>
    <w:p w14:paraId="3C54F73D" w14:textId="77777777" w:rsidR="00ED1EE2" w:rsidRPr="005552AA" w:rsidRDefault="00ED1EE2" w:rsidP="00ED1EE2">
      <w:pPr>
        <w:pStyle w:val="DeltaViewTableBody"/>
        <w:ind w:right="18"/>
        <w:jc w:val="both"/>
        <w:rPr>
          <w:rFonts w:asciiTheme="minorHAnsi" w:hAnsiTheme="minorHAnsi" w:cstheme="minorHAnsi"/>
          <w:sz w:val="20"/>
          <w:szCs w:val="20"/>
        </w:rPr>
      </w:pPr>
    </w:p>
    <w:p w14:paraId="229DB57B" w14:textId="77777777" w:rsidR="00ED1EE2" w:rsidRPr="005552AA" w:rsidRDefault="00ED1EE2" w:rsidP="00ED1EE2">
      <w:pPr>
        <w:pStyle w:val="DeltaViewTableBody"/>
        <w:ind w:right="18"/>
        <w:jc w:val="both"/>
        <w:rPr>
          <w:rFonts w:asciiTheme="minorHAnsi" w:hAnsiTheme="minorHAnsi" w:cstheme="minorHAnsi"/>
          <w:sz w:val="20"/>
          <w:szCs w:val="20"/>
        </w:rPr>
      </w:pPr>
      <w:r w:rsidRPr="005552AA">
        <w:rPr>
          <w:rFonts w:asciiTheme="minorHAnsi" w:hAnsiTheme="minorHAnsi" w:cstheme="minorHAnsi"/>
          <w:sz w:val="20"/>
          <w:szCs w:val="20"/>
        </w:rPr>
        <w:t>The preliminary short form prospectus is available on SEDAR at www.sedar.com.</w:t>
      </w:r>
    </w:p>
    <w:p w14:paraId="1747ECC1" w14:textId="77777777" w:rsidR="00ED1EE2" w:rsidRPr="000F17AC" w:rsidRDefault="00ED1EE2" w:rsidP="00ED1EE2">
      <w:pPr>
        <w:pStyle w:val="DeltaViewTableBody"/>
        <w:ind w:right="18"/>
        <w:jc w:val="both"/>
        <w:rPr>
          <w:rFonts w:asciiTheme="minorHAnsi" w:hAnsiTheme="minorHAnsi" w:cstheme="minorHAnsi"/>
          <w:sz w:val="20"/>
          <w:szCs w:val="20"/>
        </w:rPr>
      </w:pPr>
    </w:p>
    <w:p w14:paraId="3D525D03" w14:textId="77777777" w:rsidR="00ED1EE2" w:rsidRPr="00D850EF" w:rsidRDefault="00ED1EE2" w:rsidP="00ED1EE2">
      <w:pPr>
        <w:pStyle w:val="DeltaViewTableBody"/>
        <w:ind w:right="18"/>
        <w:jc w:val="both"/>
        <w:rPr>
          <w:rFonts w:asciiTheme="minorHAnsi" w:hAnsiTheme="minorHAnsi"/>
          <w:sz w:val="20"/>
        </w:rPr>
      </w:pPr>
      <w:r w:rsidRPr="00F37CCB">
        <w:rPr>
          <w:rFonts w:asciiTheme="minorHAnsi" w:hAnsiTheme="minorHAnsi" w:cstheme="minorHAnsi"/>
          <w:sz w:val="20"/>
          <w:szCs w:val="20"/>
        </w:rPr>
        <w:t>This news release does not constitute an offer to sell or a solicitation of an offer to sell any of securities in the United States. The securities have not been and will not be registered under the U.S. Securities Act or any state securities laws and may not be offered or sold within the United States or to U.S. Persons unless registered under the U.S. Securities Act and applicable state securities laws or an exemption from such registration is available.</w:t>
      </w:r>
    </w:p>
    <w:p w14:paraId="1BC71F13" w14:textId="77777777" w:rsidR="00ED1EE2" w:rsidRDefault="00ED1EE2" w:rsidP="00ED1EE2">
      <w:pPr>
        <w:pStyle w:val="DeltaViewTableBody"/>
        <w:ind w:right="18"/>
        <w:jc w:val="both"/>
        <w:rPr>
          <w:b/>
          <w:bCs/>
        </w:rPr>
      </w:pPr>
    </w:p>
    <w:p w14:paraId="0A15270C" w14:textId="77777777" w:rsidR="00904C73" w:rsidRDefault="00904C73">
      <w:pPr>
        <w:spacing w:after="160" w:line="259" w:lineRule="auto"/>
        <w:rPr>
          <w:rFonts w:cstheme="minorHAnsi"/>
          <w:b/>
          <w:bCs/>
          <w:sz w:val="20"/>
          <w:szCs w:val="20"/>
        </w:rPr>
      </w:pPr>
      <w:r>
        <w:rPr>
          <w:rFonts w:cstheme="minorHAnsi"/>
          <w:b/>
          <w:bCs/>
          <w:sz w:val="20"/>
          <w:szCs w:val="20"/>
        </w:rPr>
        <w:br w:type="page"/>
      </w:r>
    </w:p>
    <w:p w14:paraId="40FFCD5B" w14:textId="03EF301B" w:rsidR="00ED1EE2" w:rsidRPr="00BB0D7D" w:rsidRDefault="00ED1EE2" w:rsidP="00ED1EE2">
      <w:pPr>
        <w:rPr>
          <w:rFonts w:cstheme="minorHAnsi"/>
          <w:b/>
          <w:bCs/>
          <w:sz w:val="20"/>
          <w:szCs w:val="20"/>
        </w:rPr>
      </w:pPr>
      <w:r w:rsidRPr="00BB0D7D">
        <w:rPr>
          <w:rFonts w:cstheme="minorHAnsi"/>
          <w:b/>
          <w:bCs/>
          <w:sz w:val="20"/>
          <w:szCs w:val="20"/>
        </w:rPr>
        <w:lastRenderedPageBreak/>
        <w:t>About Fathom Nickel Inc.</w:t>
      </w:r>
    </w:p>
    <w:p w14:paraId="3075F167" w14:textId="77777777" w:rsidR="00ED1EE2" w:rsidRPr="00BB0D7D" w:rsidRDefault="00ED1EE2" w:rsidP="002817AB">
      <w:pPr>
        <w:jc w:val="both"/>
        <w:rPr>
          <w:rFonts w:cstheme="minorHAnsi"/>
          <w:sz w:val="20"/>
          <w:szCs w:val="20"/>
        </w:rPr>
      </w:pPr>
      <w:r w:rsidRPr="00BB0D7D">
        <w:rPr>
          <w:rFonts w:cstheme="minorHAnsi"/>
          <w:sz w:val="20"/>
          <w:szCs w:val="20"/>
        </w:rPr>
        <w:t>Fathom Nickel is a resource exploration and development company that is targeting high-grade nickel sulphide discoveries for use in the rapidly growing global electric vehicle market.</w:t>
      </w:r>
    </w:p>
    <w:p w14:paraId="37BAD1FD" w14:textId="77777777" w:rsidR="00ED1EE2" w:rsidRPr="00BB0D7D" w:rsidRDefault="00ED1EE2" w:rsidP="002817AB">
      <w:pPr>
        <w:jc w:val="both"/>
        <w:rPr>
          <w:rFonts w:cstheme="minorHAnsi"/>
          <w:sz w:val="20"/>
          <w:szCs w:val="20"/>
        </w:rPr>
      </w:pPr>
      <w:r w:rsidRPr="00BB0D7D">
        <w:rPr>
          <w:rFonts w:cstheme="minorHAnsi"/>
          <w:sz w:val="20"/>
          <w:szCs w:val="20"/>
        </w:rPr>
        <w:t>The Company is accelerating exploration on its flagship Albert Lake Project, host to the historic Rottenstone mine, which is recognized as one of the highest‐grade (Nickel, Copper, Platinum group metals) deposits of its type ever mined in Canada. The Albert Lake Project consists of over 90,000 ha of mineral claims located in the Trans-Hudson Corridor of Saskatchewan, which is home to numerous world-class mining camps.</w:t>
      </w:r>
    </w:p>
    <w:p w14:paraId="15169B06" w14:textId="77777777" w:rsidR="00ED1EE2" w:rsidRPr="00BB0D7D" w:rsidRDefault="00ED1EE2" w:rsidP="00ED1EE2">
      <w:pPr>
        <w:rPr>
          <w:rFonts w:cstheme="minorHAnsi"/>
          <w:sz w:val="20"/>
          <w:szCs w:val="20"/>
        </w:rPr>
      </w:pPr>
      <w:r w:rsidRPr="00BB0D7D">
        <w:rPr>
          <w:rFonts w:cstheme="minorHAnsi"/>
          <w:sz w:val="20"/>
          <w:szCs w:val="20"/>
        </w:rPr>
        <w:t>ON BEHALF OF THE BOARD</w:t>
      </w:r>
    </w:p>
    <w:p w14:paraId="1F45ECEE" w14:textId="77777777" w:rsidR="00ED1EE2" w:rsidRPr="00BB0D7D" w:rsidRDefault="00ED1EE2" w:rsidP="00ED1EE2">
      <w:pPr>
        <w:rPr>
          <w:rFonts w:cstheme="minorHAnsi"/>
          <w:sz w:val="20"/>
          <w:szCs w:val="20"/>
        </w:rPr>
      </w:pPr>
      <w:r w:rsidRPr="00BB0D7D">
        <w:rPr>
          <w:rFonts w:cstheme="minorHAnsi"/>
          <w:sz w:val="20"/>
          <w:szCs w:val="20"/>
        </w:rPr>
        <w:t>"Brad Van Den Bussche"</w:t>
      </w:r>
      <w:r w:rsidRPr="00BB0D7D">
        <w:rPr>
          <w:rFonts w:cstheme="minorHAnsi"/>
          <w:sz w:val="20"/>
          <w:szCs w:val="20"/>
        </w:rPr>
        <w:br/>
        <w:t>President and CEO, Director</w:t>
      </w:r>
    </w:p>
    <w:p w14:paraId="589F1F55" w14:textId="77777777" w:rsidR="00ED1EE2" w:rsidRPr="00BB0D7D" w:rsidRDefault="00ED1EE2" w:rsidP="00ED1EE2">
      <w:pPr>
        <w:rPr>
          <w:rFonts w:cstheme="minorHAnsi"/>
          <w:sz w:val="20"/>
          <w:szCs w:val="20"/>
        </w:rPr>
      </w:pPr>
      <w:r w:rsidRPr="00BB0D7D">
        <w:rPr>
          <w:rFonts w:cstheme="minorHAnsi"/>
          <w:sz w:val="20"/>
          <w:szCs w:val="20"/>
        </w:rPr>
        <w:t>For further information, please contact:</w:t>
      </w:r>
    </w:p>
    <w:p w14:paraId="6B81D48C" w14:textId="77777777" w:rsidR="00ED1EE2" w:rsidRPr="00BB0D7D" w:rsidRDefault="00ED1EE2" w:rsidP="00ED1EE2">
      <w:pPr>
        <w:rPr>
          <w:rFonts w:cstheme="minorHAnsi"/>
          <w:sz w:val="20"/>
          <w:szCs w:val="20"/>
        </w:rPr>
      </w:pPr>
      <w:r w:rsidRPr="00BB0D7D">
        <w:rPr>
          <w:rFonts w:cstheme="minorHAnsi"/>
          <w:sz w:val="20"/>
          <w:szCs w:val="20"/>
        </w:rPr>
        <w:t>Brad Van Den Bussche, President and CEO</w:t>
      </w:r>
    </w:p>
    <w:p w14:paraId="6EC3E270" w14:textId="77777777" w:rsidR="00ED1EE2" w:rsidRPr="00BB0D7D" w:rsidRDefault="00ED1EE2" w:rsidP="00ED1EE2">
      <w:pPr>
        <w:rPr>
          <w:rFonts w:cstheme="minorHAnsi"/>
          <w:sz w:val="20"/>
          <w:szCs w:val="20"/>
        </w:rPr>
      </w:pPr>
      <w:r w:rsidRPr="00BB0D7D">
        <w:rPr>
          <w:rFonts w:cstheme="minorHAnsi"/>
          <w:sz w:val="20"/>
          <w:szCs w:val="20"/>
        </w:rPr>
        <w:t>or</w:t>
      </w:r>
    </w:p>
    <w:p w14:paraId="6BD2CBF6" w14:textId="77777777" w:rsidR="00ED1EE2" w:rsidRPr="00BB0D7D" w:rsidRDefault="00ED1EE2" w:rsidP="00ED1EE2">
      <w:pPr>
        <w:rPr>
          <w:rFonts w:cstheme="minorHAnsi"/>
          <w:sz w:val="20"/>
          <w:szCs w:val="20"/>
        </w:rPr>
      </w:pPr>
      <w:r w:rsidRPr="00BB0D7D">
        <w:rPr>
          <w:rFonts w:cstheme="minorHAnsi"/>
          <w:sz w:val="20"/>
          <w:szCs w:val="20"/>
        </w:rPr>
        <w:t>Manish Grigo, Director of Corporate Development</w:t>
      </w:r>
      <w:r w:rsidRPr="00BB0D7D">
        <w:rPr>
          <w:rFonts w:cstheme="minorHAnsi"/>
          <w:sz w:val="20"/>
          <w:szCs w:val="20"/>
        </w:rPr>
        <w:br/>
        <w:t>+1-416-569-3292</w:t>
      </w:r>
      <w:r w:rsidRPr="00BB0D7D">
        <w:rPr>
          <w:rFonts w:cstheme="minorHAnsi"/>
          <w:sz w:val="20"/>
          <w:szCs w:val="20"/>
        </w:rPr>
        <w:br/>
        <w:t xml:space="preserve">Email: </w:t>
      </w:r>
      <w:hyperlink r:id="rId5" w:history="1">
        <w:r w:rsidRPr="00BB0D7D">
          <w:rPr>
            <w:rStyle w:val="Hyperlink"/>
            <w:rFonts w:cstheme="minorHAnsi"/>
            <w:sz w:val="20"/>
            <w:szCs w:val="20"/>
          </w:rPr>
          <w:t>ir@fathomnickel.com</w:t>
        </w:r>
      </w:hyperlink>
      <w:r w:rsidRPr="00BB0D7D">
        <w:rPr>
          <w:rFonts w:cstheme="minorHAnsi"/>
          <w:sz w:val="20"/>
          <w:szCs w:val="20"/>
        </w:rPr>
        <w:t xml:space="preserve"> </w:t>
      </w:r>
    </w:p>
    <w:p w14:paraId="10E77E27" w14:textId="77777777" w:rsidR="00ED1EE2" w:rsidRPr="00BB0D7D" w:rsidRDefault="00ED1EE2" w:rsidP="00ED1EE2">
      <w:pPr>
        <w:rPr>
          <w:rFonts w:cstheme="minorHAnsi"/>
          <w:sz w:val="20"/>
          <w:szCs w:val="20"/>
        </w:rPr>
      </w:pPr>
      <w:r w:rsidRPr="00BB0D7D">
        <w:rPr>
          <w:rFonts w:cstheme="minorHAnsi"/>
          <w:sz w:val="20"/>
          <w:szCs w:val="20"/>
        </w:rPr>
        <w:t>Forward-Looking Statements:</w:t>
      </w:r>
    </w:p>
    <w:p w14:paraId="1BDF534B" w14:textId="77777777" w:rsidR="00ED1EE2" w:rsidRPr="00BB0D7D" w:rsidRDefault="00ED1EE2" w:rsidP="002B00D3">
      <w:pPr>
        <w:jc w:val="both"/>
        <w:rPr>
          <w:rFonts w:cstheme="minorHAnsi"/>
          <w:sz w:val="20"/>
          <w:szCs w:val="20"/>
        </w:rPr>
      </w:pPr>
      <w:r w:rsidRPr="00BB0D7D">
        <w:rPr>
          <w:rFonts w:cstheme="minorHAnsi"/>
          <w:sz w:val="20"/>
          <w:szCs w:val="20"/>
        </w:rPr>
        <w:t xml:space="preserve">This news release may contain "forward-looking statements" that are based on expectations, estimates, </w:t>
      </w:r>
      <w:proofErr w:type="gramStart"/>
      <w:r w:rsidRPr="00BB0D7D">
        <w:rPr>
          <w:rFonts w:cstheme="minorHAnsi"/>
          <w:sz w:val="20"/>
          <w:szCs w:val="20"/>
        </w:rPr>
        <w:t>projections</w:t>
      </w:r>
      <w:proofErr w:type="gramEnd"/>
      <w:r w:rsidRPr="00BB0D7D">
        <w:rPr>
          <w:rFonts w:cstheme="minorHAnsi"/>
          <w:sz w:val="20"/>
          <w:szCs w:val="20"/>
        </w:rPr>
        <w:t xml:space="preserve"> and interpretations as at the date of this news release. Forward-looking statements are frequently characterized by words such as "plan", "expect", "project", "seek", "intend", "believe", "anticipate", "estimate", "suggest", "indicate" and other similar words or statements that certain events or conditions "may" or "will" occur, and include, without limitation, statements regarding the enhancement of the Company's geologic model and extending the areas of known mineralization and the Company's work towards defining a resource base. Such forward looking statements involve known and unknown risks, uncertainties and other factors which may cause the actual results, performance or achievements of the Company to be materially different from any future results, performance or achievements expressed or implied by such forward-looking statements. Such risks and other factors may include, but are not limited to, the results of exploration activities; the ability of the Company to complete further exploration activities; timing and availability of external financing on acceptable terms. The Company does not undertake to update any forward-looking information except in accordance with applicable securities laws.</w:t>
      </w:r>
    </w:p>
    <w:p w14:paraId="618B35C4" w14:textId="77777777" w:rsidR="00ED1EE2" w:rsidRPr="00BB0D7D" w:rsidRDefault="00ED1EE2" w:rsidP="002B00D3">
      <w:pPr>
        <w:jc w:val="both"/>
        <w:rPr>
          <w:sz w:val="20"/>
          <w:szCs w:val="20"/>
        </w:rPr>
      </w:pPr>
      <w:r w:rsidRPr="00BB0D7D">
        <w:rPr>
          <w:sz w:val="20"/>
          <w:szCs w:val="20"/>
        </w:rPr>
        <w:t>NOT FOR DISTRIBUTION TO UNITED STATES NEWSWIRE SERVICES OR FOR DISSEMINATION IN THE UNITED STATES. ANY FAILURE TO COMPLY WITH THIS RESTRICTION MAY CONSTITUTE A VIOLATION OF U.S. SECURITIES LAWS.</w:t>
      </w:r>
    </w:p>
    <w:p w14:paraId="2E8578FD" w14:textId="77777777" w:rsidR="002B610F" w:rsidRDefault="002B610F"/>
    <w:sectPr w:rsidR="002B61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ED1EE2"/>
    <w:rsid w:val="00012330"/>
    <w:rsid w:val="00015A98"/>
    <w:rsid w:val="00015D65"/>
    <w:rsid w:val="000374D8"/>
    <w:rsid w:val="000512FF"/>
    <w:rsid w:val="00051AFF"/>
    <w:rsid w:val="0005565A"/>
    <w:rsid w:val="00056E68"/>
    <w:rsid w:val="00060381"/>
    <w:rsid w:val="000676D1"/>
    <w:rsid w:val="00083687"/>
    <w:rsid w:val="000B1420"/>
    <w:rsid w:val="000B5F3E"/>
    <w:rsid w:val="000E1F7B"/>
    <w:rsid w:val="000E75AE"/>
    <w:rsid w:val="00105753"/>
    <w:rsid w:val="001157BB"/>
    <w:rsid w:val="00117FDD"/>
    <w:rsid w:val="001446FB"/>
    <w:rsid w:val="00157FAD"/>
    <w:rsid w:val="00167890"/>
    <w:rsid w:val="001972C2"/>
    <w:rsid w:val="001A5FF9"/>
    <w:rsid w:val="001C4EBC"/>
    <w:rsid w:val="001C7771"/>
    <w:rsid w:val="001C7EA6"/>
    <w:rsid w:val="001D45BD"/>
    <w:rsid w:val="001F18F2"/>
    <w:rsid w:val="001F7383"/>
    <w:rsid w:val="00205E8D"/>
    <w:rsid w:val="0021085E"/>
    <w:rsid w:val="00250A5F"/>
    <w:rsid w:val="00252FA9"/>
    <w:rsid w:val="002536BB"/>
    <w:rsid w:val="00270B8C"/>
    <w:rsid w:val="00274726"/>
    <w:rsid w:val="002817AB"/>
    <w:rsid w:val="0029121E"/>
    <w:rsid w:val="002966DB"/>
    <w:rsid w:val="002A1229"/>
    <w:rsid w:val="002B00D3"/>
    <w:rsid w:val="002B610F"/>
    <w:rsid w:val="002C3096"/>
    <w:rsid w:val="002F4366"/>
    <w:rsid w:val="003226CF"/>
    <w:rsid w:val="00325F40"/>
    <w:rsid w:val="00353A97"/>
    <w:rsid w:val="003606FB"/>
    <w:rsid w:val="00367DC4"/>
    <w:rsid w:val="00371765"/>
    <w:rsid w:val="003811F6"/>
    <w:rsid w:val="00386FF3"/>
    <w:rsid w:val="003873C6"/>
    <w:rsid w:val="0039112F"/>
    <w:rsid w:val="00393E74"/>
    <w:rsid w:val="0039461E"/>
    <w:rsid w:val="003A7430"/>
    <w:rsid w:val="003C0F67"/>
    <w:rsid w:val="003C3E27"/>
    <w:rsid w:val="003D773D"/>
    <w:rsid w:val="004012BA"/>
    <w:rsid w:val="00404DBC"/>
    <w:rsid w:val="00405E44"/>
    <w:rsid w:val="004214C7"/>
    <w:rsid w:val="0044121E"/>
    <w:rsid w:val="00447332"/>
    <w:rsid w:val="00475DA0"/>
    <w:rsid w:val="004900AC"/>
    <w:rsid w:val="004C3D8F"/>
    <w:rsid w:val="004C4523"/>
    <w:rsid w:val="004C5A05"/>
    <w:rsid w:val="004E786D"/>
    <w:rsid w:val="004F59D8"/>
    <w:rsid w:val="0050190C"/>
    <w:rsid w:val="00502DDB"/>
    <w:rsid w:val="005041C5"/>
    <w:rsid w:val="0054797A"/>
    <w:rsid w:val="005541DC"/>
    <w:rsid w:val="00581DD5"/>
    <w:rsid w:val="00584C14"/>
    <w:rsid w:val="00591A52"/>
    <w:rsid w:val="005921FB"/>
    <w:rsid w:val="00595F5B"/>
    <w:rsid w:val="00597607"/>
    <w:rsid w:val="005B38BD"/>
    <w:rsid w:val="005B3937"/>
    <w:rsid w:val="005C0C6D"/>
    <w:rsid w:val="005D0947"/>
    <w:rsid w:val="005D72C9"/>
    <w:rsid w:val="005E4295"/>
    <w:rsid w:val="00613D4C"/>
    <w:rsid w:val="00615006"/>
    <w:rsid w:val="00620529"/>
    <w:rsid w:val="0062293B"/>
    <w:rsid w:val="00632CC9"/>
    <w:rsid w:val="006330E9"/>
    <w:rsid w:val="006410DC"/>
    <w:rsid w:val="006464D4"/>
    <w:rsid w:val="00650676"/>
    <w:rsid w:val="00665640"/>
    <w:rsid w:val="0068015E"/>
    <w:rsid w:val="0068387B"/>
    <w:rsid w:val="00684CC9"/>
    <w:rsid w:val="006B1933"/>
    <w:rsid w:val="006C1E9E"/>
    <w:rsid w:val="006E5779"/>
    <w:rsid w:val="00734DC8"/>
    <w:rsid w:val="00766DE1"/>
    <w:rsid w:val="007910E5"/>
    <w:rsid w:val="0079685F"/>
    <w:rsid w:val="007D2134"/>
    <w:rsid w:val="007F02D4"/>
    <w:rsid w:val="007F0C9E"/>
    <w:rsid w:val="008041BC"/>
    <w:rsid w:val="00846B1C"/>
    <w:rsid w:val="00851907"/>
    <w:rsid w:val="00861499"/>
    <w:rsid w:val="00884852"/>
    <w:rsid w:val="008A4977"/>
    <w:rsid w:val="008A7E25"/>
    <w:rsid w:val="008B02C2"/>
    <w:rsid w:val="008B24AD"/>
    <w:rsid w:val="008B6242"/>
    <w:rsid w:val="008C0C8D"/>
    <w:rsid w:val="008D1089"/>
    <w:rsid w:val="009023ED"/>
    <w:rsid w:val="00902B2F"/>
    <w:rsid w:val="0090451B"/>
    <w:rsid w:val="00904C73"/>
    <w:rsid w:val="009104F3"/>
    <w:rsid w:val="00914DAA"/>
    <w:rsid w:val="00942C76"/>
    <w:rsid w:val="00966361"/>
    <w:rsid w:val="0098470F"/>
    <w:rsid w:val="0099185B"/>
    <w:rsid w:val="00994DEF"/>
    <w:rsid w:val="009A20CF"/>
    <w:rsid w:val="009A716D"/>
    <w:rsid w:val="009C10CB"/>
    <w:rsid w:val="009C1379"/>
    <w:rsid w:val="009D267E"/>
    <w:rsid w:val="009E4E21"/>
    <w:rsid w:val="00A03D89"/>
    <w:rsid w:val="00A10F7F"/>
    <w:rsid w:val="00A13F61"/>
    <w:rsid w:val="00A329D0"/>
    <w:rsid w:val="00A33ECA"/>
    <w:rsid w:val="00A34D83"/>
    <w:rsid w:val="00A354BA"/>
    <w:rsid w:val="00A5352A"/>
    <w:rsid w:val="00A53DCB"/>
    <w:rsid w:val="00A67A4B"/>
    <w:rsid w:val="00A82F0E"/>
    <w:rsid w:val="00A83C8B"/>
    <w:rsid w:val="00A85458"/>
    <w:rsid w:val="00A85C53"/>
    <w:rsid w:val="00A92187"/>
    <w:rsid w:val="00A929A1"/>
    <w:rsid w:val="00A96EC2"/>
    <w:rsid w:val="00AA6176"/>
    <w:rsid w:val="00AA7009"/>
    <w:rsid w:val="00AE087F"/>
    <w:rsid w:val="00AF54AC"/>
    <w:rsid w:val="00B008FA"/>
    <w:rsid w:val="00B1180F"/>
    <w:rsid w:val="00B26C97"/>
    <w:rsid w:val="00B44EB9"/>
    <w:rsid w:val="00B52DD3"/>
    <w:rsid w:val="00B60D9E"/>
    <w:rsid w:val="00B61297"/>
    <w:rsid w:val="00B739F3"/>
    <w:rsid w:val="00B8774D"/>
    <w:rsid w:val="00B87C92"/>
    <w:rsid w:val="00B90EC5"/>
    <w:rsid w:val="00B9227C"/>
    <w:rsid w:val="00BA41FD"/>
    <w:rsid w:val="00BD2289"/>
    <w:rsid w:val="00BF0915"/>
    <w:rsid w:val="00BF2B5B"/>
    <w:rsid w:val="00C07457"/>
    <w:rsid w:val="00C204B5"/>
    <w:rsid w:val="00C53F7C"/>
    <w:rsid w:val="00C54EED"/>
    <w:rsid w:val="00C727B0"/>
    <w:rsid w:val="00C73C82"/>
    <w:rsid w:val="00C76C26"/>
    <w:rsid w:val="00C86F98"/>
    <w:rsid w:val="00C91DFE"/>
    <w:rsid w:val="00CA1805"/>
    <w:rsid w:val="00CA7D60"/>
    <w:rsid w:val="00CB36B7"/>
    <w:rsid w:val="00CB6346"/>
    <w:rsid w:val="00CD640E"/>
    <w:rsid w:val="00CE336C"/>
    <w:rsid w:val="00CE75D4"/>
    <w:rsid w:val="00CF7C85"/>
    <w:rsid w:val="00D02852"/>
    <w:rsid w:val="00D120E1"/>
    <w:rsid w:val="00D32AA0"/>
    <w:rsid w:val="00D4041C"/>
    <w:rsid w:val="00D955F9"/>
    <w:rsid w:val="00DA6A1E"/>
    <w:rsid w:val="00DB17B8"/>
    <w:rsid w:val="00DC6B86"/>
    <w:rsid w:val="00DD38C7"/>
    <w:rsid w:val="00E01590"/>
    <w:rsid w:val="00E10BA3"/>
    <w:rsid w:val="00E22A44"/>
    <w:rsid w:val="00E96C22"/>
    <w:rsid w:val="00E97B34"/>
    <w:rsid w:val="00E97B57"/>
    <w:rsid w:val="00ED1EE2"/>
    <w:rsid w:val="00EE530B"/>
    <w:rsid w:val="00F123CC"/>
    <w:rsid w:val="00F12EFC"/>
    <w:rsid w:val="00F33B10"/>
    <w:rsid w:val="00F37F37"/>
    <w:rsid w:val="00F42B7D"/>
    <w:rsid w:val="00F44CFD"/>
    <w:rsid w:val="00F5251F"/>
    <w:rsid w:val="00F52980"/>
    <w:rsid w:val="00F56EC6"/>
    <w:rsid w:val="00FC75C6"/>
    <w:rsid w:val="00FD5DB3"/>
    <w:rsid w:val="00FE5D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853C"/>
  <w15:chartTrackingRefBased/>
  <w15:docId w15:val="{7619B8E5-3E29-4124-B4A5-76B0A78F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1EE2"/>
    <w:pPr>
      <w:spacing w:after="200" w:line="276"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1EE2"/>
    <w:rPr>
      <w:rFonts w:ascii="Times New Roman" w:hAnsi="Times New Roman" w:cs="Times New Roman" w:hint="default"/>
      <w:color w:val="0000FF"/>
      <w:u w:val="single"/>
    </w:rPr>
  </w:style>
  <w:style w:type="paragraph" w:customStyle="1" w:styleId="DeltaViewTableBody">
    <w:name w:val="DeltaView Table Body"/>
    <w:basedOn w:val="Normal"/>
    <w:uiPriority w:val="99"/>
    <w:rsid w:val="00ED1EE2"/>
    <w:pPr>
      <w:autoSpaceDE w:val="0"/>
      <w:autoSpaceDN w:val="0"/>
      <w:adjustRightInd w:val="0"/>
      <w:spacing w:after="0" w:line="240" w:lineRule="auto"/>
    </w:pPr>
    <w:rPr>
      <w:rFonts w:ascii="Arial" w:eastAsia="Times New Roman" w:hAnsi="Arial" w:cs="Times New Roman"/>
      <w:sz w:val="24"/>
      <w:szCs w:val="24"/>
      <w:lang w:val="en-US" w:eastAsia="fr-CA"/>
    </w:rPr>
  </w:style>
  <w:style w:type="character" w:customStyle="1" w:styleId="highlight-multiple-secondary">
    <w:name w:val="highlight-multiple-secondary"/>
    <w:basedOn w:val="DefaultParagraphFont"/>
    <w:rsid w:val="00BF0915"/>
  </w:style>
  <w:style w:type="paragraph" w:customStyle="1" w:styleId="font7">
    <w:name w:val="font_7"/>
    <w:basedOn w:val="Normal"/>
    <w:rsid w:val="00F42B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2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22074">
      <w:bodyDiv w:val="1"/>
      <w:marLeft w:val="0"/>
      <w:marRight w:val="0"/>
      <w:marTop w:val="0"/>
      <w:marBottom w:val="0"/>
      <w:divBdr>
        <w:top w:val="none" w:sz="0" w:space="0" w:color="auto"/>
        <w:left w:val="none" w:sz="0" w:space="0" w:color="auto"/>
        <w:bottom w:val="none" w:sz="0" w:space="0" w:color="auto"/>
        <w:right w:val="none" w:sz="0" w:space="0" w:color="auto"/>
      </w:divBdr>
    </w:div>
    <w:div w:id="1756974552">
      <w:bodyDiv w:val="1"/>
      <w:marLeft w:val="0"/>
      <w:marRight w:val="0"/>
      <w:marTop w:val="0"/>
      <w:marBottom w:val="0"/>
      <w:divBdr>
        <w:top w:val="none" w:sz="0" w:space="0" w:color="auto"/>
        <w:left w:val="none" w:sz="0" w:space="0" w:color="auto"/>
        <w:bottom w:val="none" w:sz="0" w:space="0" w:color="auto"/>
        <w:right w:val="none" w:sz="0" w:space="0" w:color="auto"/>
      </w:divBdr>
    </w:div>
    <w:div w:id="21023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r@fathomnick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E837D-483C-4DC7-BAF3-BBE0335E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4884</Characters>
  <Application>Microsoft Office Word</Application>
  <DocSecurity>0</DocSecurity>
  <Lines>78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Gillin</dc:creator>
  <cp:keywords/>
  <dc:description/>
  <cp:lastModifiedBy>Doug Porter</cp:lastModifiedBy>
  <cp:revision>2</cp:revision>
  <cp:lastPrinted>2021-10-26T17:00:00Z</cp:lastPrinted>
  <dcterms:created xsi:type="dcterms:W3CDTF">2021-10-26T17:00:00Z</dcterms:created>
  <dcterms:modified xsi:type="dcterms:W3CDTF">2021-10-26T17:00:00Z</dcterms:modified>
</cp:coreProperties>
</file>