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EB14" w14:textId="77777777" w:rsidR="00AA6762" w:rsidRDefault="00AA6762" w:rsidP="00343D81">
      <w:pPr>
        <w:jc w:val="center"/>
        <w:rPr>
          <w:rFonts w:eastAsia="MS Mincho" w:cs="Times New Roman"/>
          <w:b/>
          <w:bCs/>
          <w:sz w:val="22"/>
          <w:szCs w:val="22"/>
          <w:lang w:val="en-CA"/>
        </w:rPr>
      </w:pPr>
    </w:p>
    <w:p w14:paraId="7E27251C" w14:textId="77777777" w:rsidR="00AA6762" w:rsidRDefault="00AA6762" w:rsidP="00343D81">
      <w:pPr>
        <w:jc w:val="center"/>
        <w:rPr>
          <w:rFonts w:eastAsia="MS Mincho" w:cs="Times New Roman"/>
          <w:b/>
          <w:bCs/>
          <w:sz w:val="22"/>
          <w:szCs w:val="22"/>
          <w:lang w:val="en-CA"/>
        </w:rPr>
      </w:pPr>
    </w:p>
    <w:p w14:paraId="76B3104A" w14:textId="77777777" w:rsidR="00AA6762" w:rsidRPr="00AA6762" w:rsidRDefault="003B4D10" w:rsidP="00AA6762">
      <w:pPr>
        <w:autoSpaceDE w:val="0"/>
        <w:autoSpaceDN w:val="0"/>
        <w:adjustRightInd w:val="0"/>
        <w:jc w:val="left"/>
        <w:rPr>
          <w:rFonts w:ascii="Cambria" w:hAnsi="Cambria" w:cs="Cambria"/>
          <w:b/>
          <w:sz w:val="28"/>
          <w:szCs w:val="28"/>
        </w:rPr>
      </w:pPr>
      <w:r w:rsidRPr="00AA6762">
        <w:rPr>
          <w:rFonts w:ascii="Cambria" w:hAnsi="Cambria" w:cs="Cambria"/>
          <w:b/>
          <w:sz w:val="28"/>
          <w:szCs w:val="28"/>
        </w:rPr>
        <w:t>AMERICAN POTASH CORP.</w:t>
      </w:r>
    </w:p>
    <w:p w14:paraId="0E427C07" w14:textId="5938E4EC" w:rsidR="00AA6762" w:rsidRDefault="003B4D10" w:rsidP="00AA6762">
      <w:pPr>
        <w:autoSpaceDE w:val="0"/>
        <w:autoSpaceDN w:val="0"/>
        <w:adjustRightInd w:val="0"/>
        <w:jc w:val="left"/>
        <w:rPr>
          <w:rFonts w:ascii="Cambria" w:hAnsi="Cambria" w:cs="Cambria"/>
        </w:rPr>
      </w:pPr>
      <w:r>
        <w:rPr>
          <w:rFonts w:ascii="Cambria" w:hAnsi="Cambria" w:cs="Cambria"/>
        </w:rPr>
        <w:t>880-580 Hornby Street</w:t>
      </w:r>
    </w:p>
    <w:p w14:paraId="279CD6CF" w14:textId="77777777" w:rsidR="00AA6762" w:rsidRDefault="003B4D10" w:rsidP="00AA6762">
      <w:pPr>
        <w:autoSpaceDE w:val="0"/>
        <w:autoSpaceDN w:val="0"/>
        <w:adjustRightInd w:val="0"/>
        <w:jc w:val="left"/>
        <w:rPr>
          <w:rFonts w:ascii="Cambria" w:hAnsi="Cambria" w:cs="Cambria"/>
        </w:rPr>
      </w:pPr>
      <w:r>
        <w:rPr>
          <w:rFonts w:ascii="Cambria" w:hAnsi="Cambria" w:cs="Cambria"/>
        </w:rPr>
        <w:t>Vancouver B.C. V6C 3B6</w:t>
      </w:r>
    </w:p>
    <w:p w14:paraId="46E99ADD" w14:textId="6CF44E86" w:rsidR="00AA6762" w:rsidRDefault="003B4D10" w:rsidP="00AA6762">
      <w:pPr>
        <w:autoSpaceDE w:val="0"/>
        <w:autoSpaceDN w:val="0"/>
        <w:adjustRightInd w:val="0"/>
        <w:jc w:val="left"/>
        <w:rPr>
          <w:rFonts w:ascii="Cambria" w:hAnsi="Cambria" w:cs="Cambria"/>
        </w:rPr>
      </w:pPr>
      <w:r>
        <w:rPr>
          <w:rFonts w:ascii="Cambria" w:hAnsi="Cambria" w:cs="Cambria"/>
        </w:rPr>
        <w:t>604-803-5838</w:t>
      </w:r>
    </w:p>
    <w:p w14:paraId="7375614A" w14:textId="7EBE6FA6" w:rsidR="00AA6762" w:rsidRDefault="003B4D10" w:rsidP="00AA6762">
      <w:pPr>
        <w:autoSpaceDE w:val="0"/>
        <w:autoSpaceDN w:val="0"/>
        <w:adjustRightInd w:val="0"/>
        <w:jc w:val="left"/>
        <w:rPr>
          <w:rFonts w:ascii="Cambria" w:hAnsi="Cambria" w:cs="Cambria"/>
        </w:rPr>
      </w:pPr>
      <w:r>
        <w:rPr>
          <w:rFonts w:ascii="Cambria" w:hAnsi="Cambria" w:cs="Cambria"/>
        </w:rPr>
        <w:t>info @ americanpotash.com</w:t>
      </w:r>
    </w:p>
    <w:p w14:paraId="0DDBB424" w14:textId="59442429" w:rsidR="00AA6762" w:rsidRDefault="00AA6762" w:rsidP="00AA6762">
      <w:pPr>
        <w:jc w:val="center"/>
        <w:rPr>
          <w:rFonts w:eastAsia="MS Mincho" w:cs="Times New Roman"/>
          <w:b/>
          <w:bCs/>
          <w:sz w:val="22"/>
          <w:szCs w:val="22"/>
          <w:lang w:val="en-CA"/>
        </w:rPr>
      </w:pPr>
    </w:p>
    <w:p w14:paraId="0887CB2A" w14:textId="7B8832B0" w:rsidR="00343D81" w:rsidRPr="00343D81" w:rsidRDefault="003B4D10" w:rsidP="00343D81">
      <w:pPr>
        <w:jc w:val="center"/>
        <w:rPr>
          <w:rFonts w:eastAsia="MS Mincho" w:cs="Times New Roman"/>
          <w:sz w:val="22"/>
          <w:szCs w:val="22"/>
        </w:rPr>
      </w:pPr>
      <w:r w:rsidRPr="00343D81">
        <w:rPr>
          <w:rFonts w:eastAsia="MS Mincho" w:cs="Times New Roman"/>
          <w:b/>
          <w:bCs/>
          <w:sz w:val="22"/>
          <w:szCs w:val="22"/>
          <w:lang w:val="en-CA"/>
        </w:rPr>
        <w:t>NEWS RELEASE</w:t>
      </w:r>
    </w:p>
    <w:p w14:paraId="5C89B26B" w14:textId="77777777" w:rsidR="00343D81" w:rsidRPr="00343D81" w:rsidRDefault="00343D81" w:rsidP="0023408E">
      <w:pPr>
        <w:autoSpaceDE w:val="0"/>
        <w:autoSpaceDN w:val="0"/>
        <w:adjustRightInd w:val="0"/>
        <w:jc w:val="center"/>
        <w:rPr>
          <w:rFonts w:eastAsia="MS Mincho" w:cs="Times New Roman"/>
          <w:b/>
          <w:bCs/>
          <w:sz w:val="22"/>
          <w:szCs w:val="22"/>
          <w:lang w:val="en-CA"/>
        </w:rPr>
      </w:pPr>
    </w:p>
    <w:p w14:paraId="7F0382FB" w14:textId="77777777" w:rsidR="00C40988" w:rsidRDefault="003B4D10" w:rsidP="00C40988">
      <w:pPr>
        <w:jc w:val="center"/>
        <w:rPr>
          <w:rFonts w:eastAsia="MS Mincho" w:cs="Times New Roman"/>
          <w:b/>
          <w:sz w:val="22"/>
          <w:szCs w:val="22"/>
          <w:lang w:val="en-CA" w:eastAsia="ja-JP"/>
        </w:rPr>
      </w:pPr>
      <w:bookmarkStart w:id="0" w:name="_DV_M8"/>
      <w:bookmarkEnd w:id="0"/>
      <w:r>
        <w:rPr>
          <w:rFonts w:eastAsia="MS Mincho" w:cs="Times New Roman"/>
          <w:b/>
          <w:sz w:val="22"/>
          <w:szCs w:val="22"/>
          <w:lang w:val="en-CA" w:eastAsia="ja-JP"/>
        </w:rPr>
        <w:t xml:space="preserve">New Tech Minerals Corp. </w:t>
      </w:r>
      <w:r w:rsidR="0023408E">
        <w:rPr>
          <w:rFonts w:eastAsia="MS Mincho" w:cs="Times New Roman"/>
          <w:b/>
          <w:sz w:val="22"/>
          <w:szCs w:val="22"/>
          <w:lang w:val="en-CA" w:eastAsia="ja-JP"/>
        </w:rPr>
        <w:t xml:space="preserve">Announces Name Change to </w:t>
      </w:r>
      <w:r>
        <w:rPr>
          <w:rFonts w:eastAsia="MS Mincho" w:cs="Times New Roman"/>
          <w:b/>
          <w:sz w:val="22"/>
          <w:szCs w:val="22"/>
          <w:lang w:val="en-CA" w:eastAsia="ja-JP"/>
        </w:rPr>
        <w:t xml:space="preserve">American Potash Corp. </w:t>
      </w:r>
      <w:r w:rsidR="0023408E">
        <w:rPr>
          <w:rFonts w:eastAsia="MS Mincho" w:cs="Times New Roman"/>
          <w:b/>
          <w:sz w:val="22"/>
          <w:szCs w:val="22"/>
          <w:lang w:val="en-CA" w:eastAsia="ja-JP"/>
        </w:rPr>
        <w:t>and</w:t>
      </w:r>
    </w:p>
    <w:p w14:paraId="298E9A80" w14:textId="44C4DF54" w:rsidR="00343D81" w:rsidRPr="00343D81" w:rsidRDefault="003B4D10" w:rsidP="00C40988">
      <w:pPr>
        <w:spacing w:after="360"/>
        <w:jc w:val="center"/>
        <w:rPr>
          <w:rFonts w:eastAsia="MS Mincho" w:cs="Times New Roman"/>
          <w:b/>
          <w:sz w:val="22"/>
          <w:szCs w:val="22"/>
          <w:lang w:val="en-CA" w:eastAsia="ja-JP"/>
        </w:rPr>
      </w:pPr>
      <w:r>
        <w:rPr>
          <w:rFonts w:eastAsia="MS Mincho" w:cs="Times New Roman"/>
          <w:b/>
          <w:sz w:val="22"/>
          <w:szCs w:val="22"/>
          <w:lang w:val="en-CA" w:eastAsia="ja-JP"/>
        </w:rPr>
        <w:t>Appointment of New Chief Financial Officer</w:t>
      </w:r>
    </w:p>
    <w:p w14:paraId="5EC9DBFE" w14:textId="7468000D" w:rsidR="00343D81" w:rsidRPr="0023408E" w:rsidRDefault="003B4D10" w:rsidP="00343D81">
      <w:pPr>
        <w:autoSpaceDE w:val="0"/>
        <w:autoSpaceDN w:val="0"/>
        <w:adjustRightInd w:val="0"/>
        <w:rPr>
          <w:rFonts w:eastAsia="MS Mincho" w:cs="Times New Roman"/>
          <w:color w:val="000000"/>
          <w:sz w:val="22"/>
          <w:szCs w:val="22"/>
        </w:rPr>
      </w:pPr>
      <w:r w:rsidRPr="0023408E">
        <w:rPr>
          <w:rFonts w:eastAsia="Times New Roman" w:cs="Times New Roman"/>
          <w:b/>
          <w:color w:val="000000"/>
          <w:sz w:val="22"/>
          <w:szCs w:val="22"/>
          <w:lang w:val="en-CA" w:eastAsia="en-CA"/>
        </w:rPr>
        <w:t xml:space="preserve">Vancouver, B.C., August </w:t>
      </w:r>
      <w:r w:rsidR="00740DBA" w:rsidRPr="0023408E">
        <w:rPr>
          <w:rFonts w:eastAsia="Times New Roman" w:cs="Times New Roman"/>
          <w:b/>
          <w:color w:val="000000"/>
          <w:sz w:val="22"/>
          <w:szCs w:val="22"/>
          <w:lang w:val="en-CA" w:eastAsia="en-CA"/>
        </w:rPr>
        <w:t>29</w:t>
      </w:r>
      <w:r w:rsidRPr="0023408E">
        <w:rPr>
          <w:rFonts w:eastAsia="Times New Roman" w:cs="Times New Roman"/>
          <w:b/>
          <w:color w:val="000000"/>
          <w:sz w:val="22"/>
          <w:szCs w:val="22"/>
          <w:lang w:val="en-CA" w:eastAsia="en-CA"/>
        </w:rPr>
        <w:t>, 2022.</w:t>
      </w:r>
      <w:r w:rsidRPr="0023408E">
        <w:rPr>
          <w:rFonts w:eastAsia="Times New Roman" w:cs="Times New Roman"/>
          <w:color w:val="000000"/>
          <w:sz w:val="22"/>
          <w:szCs w:val="22"/>
          <w:lang w:val="en-CA" w:eastAsia="en-CA"/>
        </w:rPr>
        <w:t xml:space="preserve">   </w:t>
      </w:r>
      <w:r w:rsidRPr="0023408E">
        <w:rPr>
          <w:rFonts w:eastAsia="Times New Roman" w:cs="Times New Roman"/>
          <w:b/>
          <w:color w:val="000000"/>
          <w:sz w:val="22"/>
          <w:szCs w:val="22"/>
          <w:lang w:val="en-CA" w:eastAsia="en-CA"/>
        </w:rPr>
        <w:t xml:space="preserve">American Potash Corp. KCL-CSE ("American Potash" </w:t>
      </w:r>
      <w:r w:rsidRPr="0023408E">
        <w:rPr>
          <w:rFonts w:eastAsia="Times New Roman" w:cs="Times New Roman"/>
          <w:color w:val="000000"/>
          <w:sz w:val="22"/>
          <w:szCs w:val="22"/>
          <w:lang w:val="en-CA" w:eastAsia="en-CA"/>
        </w:rPr>
        <w:t>or the</w:t>
      </w:r>
      <w:r w:rsidRPr="0023408E">
        <w:rPr>
          <w:rFonts w:eastAsia="Times New Roman" w:cs="Times New Roman"/>
          <w:b/>
          <w:color w:val="000000"/>
          <w:sz w:val="22"/>
          <w:szCs w:val="22"/>
          <w:lang w:val="en-CA" w:eastAsia="en-CA"/>
        </w:rPr>
        <w:t xml:space="preserve"> "Company")</w:t>
      </w:r>
      <w:r w:rsidRPr="0023408E">
        <w:rPr>
          <w:rFonts w:eastAsia="MS Mincho" w:cs="Times New Roman"/>
          <w:color w:val="000000"/>
          <w:sz w:val="22"/>
          <w:szCs w:val="22"/>
        </w:rPr>
        <w:t>,</w:t>
      </w:r>
      <w:r w:rsidRPr="0023408E">
        <w:rPr>
          <w:rFonts w:eastAsia="Times New Roman" w:cs="Times New Roman"/>
          <w:color w:val="000000"/>
          <w:sz w:val="22"/>
          <w:szCs w:val="22"/>
          <w:lang w:val="en-CA" w:eastAsia="en-CA"/>
        </w:rPr>
        <w:t xml:space="preserve"> </w:t>
      </w:r>
      <w:r w:rsidRPr="0023408E">
        <w:rPr>
          <w:rFonts w:eastAsia="MS Mincho" w:cs="Times New Roman"/>
          <w:color w:val="000000"/>
          <w:sz w:val="22"/>
          <w:szCs w:val="22"/>
        </w:rPr>
        <w:t xml:space="preserve">is pleased to announce that effective </w:t>
      </w:r>
      <w:r w:rsidR="005157F0" w:rsidRPr="0023408E">
        <w:rPr>
          <w:rFonts w:eastAsia="MS Mincho" w:cs="Times New Roman"/>
          <w:color w:val="000000"/>
          <w:sz w:val="22"/>
          <w:szCs w:val="22"/>
        </w:rPr>
        <w:t>today,</w:t>
      </w:r>
      <w:r w:rsidRPr="0023408E">
        <w:rPr>
          <w:rFonts w:eastAsia="MS Mincho" w:cs="Times New Roman"/>
          <w:color w:val="000000"/>
          <w:sz w:val="22"/>
          <w:szCs w:val="22"/>
        </w:rPr>
        <w:t xml:space="preserve"> the Company has changed its name</w:t>
      </w:r>
      <w:r w:rsidR="00122E02" w:rsidRPr="0023408E">
        <w:rPr>
          <w:rFonts w:eastAsia="MS Mincho" w:cs="Times New Roman"/>
          <w:color w:val="000000"/>
          <w:sz w:val="22"/>
          <w:szCs w:val="22"/>
        </w:rPr>
        <w:t xml:space="preserve"> from New Tech Minerals Corp. (NTM-CSE)</w:t>
      </w:r>
      <w:r w:rsidRPr="0023408E">
        <w:rPr>
          <w:rFonts w:eastAsia="MS Mincho" w:cs="Times New Roman"/>
          <w:color w:val="000000"/>
          <w:sz w:val="22"/>
          <w:szCs w:val="22"/>
        </w:rPr>
        <w:t xml:space="preserve"> to "American Potash Corp.".  Accord</w:t>
      </w:r>
      <w:r w:rsidRPr="0023408E">
        <w:rPr>
          <w:rFonts w:eastAsia="MS Mincho" w:cs="Times New Roman"/>
          <w:color w:val="000000"/>
          <w:sz w:val="22"/>
          <w:szCs w:val="22"/>
        </w:rPr>
        <w:t xml:space="preserve">ingly, the Company's common shares will </w:t>
      </w:r>
      <w:r w:rsidR="00526DAE" w:rsidRPr="0023408E">
        <w:rPr>
          <w:rFonts w:eastAsia="MS Mincho" w:cs="Times New Roman"/>
          <w:color w:val="000000"/>
          <w:sz w:val="22"/>
          <w:szCs w:val="22"/>
        </w:rPr>
        <w:t>commence</w:t>
      </w:r>
      <w:r w:rsidRPr="0023408E">
        <w:rPr>
          <w:rFonts w:eastAsia="MS Mincho" w:cs="Times New Roman"/>
          <w:color w:val="000000"/>
          <w:sz w:val="22"/>
          <w:szCs w:val="22"/>
        </w:rPr>
        <w:t xml:space="preserve"> trading on a post-name change basis at the opening of the market on </w:t>
      </w:r>
      <w:r w:rsidR="005157F0" w:rsidRPr="0023408E">
        <w:rPr>
          <w:rFonts w:eastAsia="MS Mincho" w:cs="Times New Roman"/>
          <w:color w:val="000000"/>
          <w:sz w:val="22"/>
          <w:szCs w:val="22"/>
        </w:rPr>
        <w:t>August 31</w:t>
      </w:r>
      <w:r w:rsidRPr="0023408E">
        <w:rPr>
          <w:rFonts w:eastAsia="MS Mincho" w:cs="Times New Roman"/>
          <w:color w:val="000000"/>
          <w:sz w:val="22"/>
          <w:szCs w:val="22"/>
        </w:rPr>
        <w:t>, 2022 under the new trading symbol “KCL”.</w:t>
      </w:r>
    </w:p>
    <w:p w14:paraId="4BBDB5B6" w14:textId="47F0EC6C" w:rsidR="001B532C" w:rsidRPr="0023408E" w:rsidRDefault="001B532C" w:rsidP="00343D81">
      <w:pPr>
        <w:autoSpaceDE w:val="0"/>
        <w:autoSpaceDN w:val="0"/>
        <w:adjustRightInd w:val="0"/>
        <w:rPr>
          <w:rFonts w:eastAsia="MS Mincho" w:cs="Times New Roman"/>
          <w:color w:val="000000"/>
          <w:sz w:val="22"/>
          <w:szCs w:val="22"/>
        </w:rPr>
      </w:pPr>
    </w:p>
    <w:p w14:paraId="00AAB4E5" w14:textId="30B9FBF2" w:rsidR="001B532C" w:rsidRPr="0023408E" w:rsidRDefault="003B4D10" w:rsidP="00343D81">
      <w:pPr>
        <w:autoSpaceDE w:val="0"/>
        <w:autoSpaceDN w:val="0"/>
        <w:adjustRightInd w:val="0"/>
        <w:rPr>
          <w:rFonts w:eastAsia="MS Mincho" w:cs="Times New Roman"/>
          <w:color w:val="000000"/>
          <w:sz w:val="22"/>
          <w:szCs w:val="22"/>
        </w:rPr>
      </w:pPr>
      <w:r w:rsidRPr="0023408E">
        <w:rPr>
          <w:rFonts w:eastAsia="MS Mincho" w:cs="Times New Roman"/>
          <w:color w:val="000000"/>
          <w:sz w:val="22"/>
          <w:szCs w:val="22"/>
        </w:rPr>
        <w:t>The decision to change the name reflects the Company’s renewed focus on its Green Rive</w:t>
      </w:r>
      <w:r w:rsidRPr="0023408E">
        <w:rPr>
          <w:rFonts w:eastAsia="MS Mincho" w:cs="Times New Roman"/>
          <w:color w:val="000000"/>
          <w:sz w:val="22"/>
          <w:szCs w:val="22"/>
        </w:rPr>
        <w:t>r Potash and Lithium project, located in the Paradox Basin, Utah</w:t>
      </w:r>
      <w:r w:rsidR="0023408E" w:rsidRPr="0023408E">
        <w:rPr>
          <w:rFonts w:eastAsia="MS Mincho" w:cs="Times New Roman"/>
          <w:color w:val="000000"/>
          <w:sz w:val="22"/>
          <w:szCs w:val="22"/>
        </w:rPr>
        <w:t xml:space="preserve">. </w:t>
      </w:r>
      <w:r w:rsidR="0023408E" w:rsidRPr="0023408E">
        <w:rPr>
          <w:rFonts w:eastAsia="MS Mincho" w:cs="Times New Roman"/>
          <w:color w:val="000000"/>
          <w:sz w:val="22"/>
          <w:szCs w:val="22"/>
          <w:lang w:val="en-CA"/>
        </w:rPr>
        <w:t>Through its wholly owned subsidiary, American Potash LLC, the Company holds a 100% interest in 11 State of Utah Potash and Lithium leases totaling 7,050 acres, 128 Federal Lithium/Brine placer claims (2,560 acres) and 11 Federal Potash Permit Exploration Applications covering 25,000 acres, collectively referred to as the Green River Potash and Lithium Project located in Grand County, Utah (the "</w:t>
      </w:r>
      <w:r w:rsidR="0023408E" w:rsidRPr="0023408E">
        <w:rPr>
          <w:rFonts w:eastAsia="MS Mincho" w:cs="Times New Roman"/>
          <w:b/>
          <w:color w:val="000000"/>
          <w:sz w:val="22"/>
          <w:szCs w:val="22"/>
          <w:lang w:val="en-CA"/>
        </w:rPr>
        <w:t>Project</w:t>
      </w:r>
      <w:r w:rsidR="0023408E" w:rsidRPr="0023408E">
        <w:rPr>
          <w:rFonts w:eastAsia="MS Mincho" w:cs="Times New Roman"/>
          <w:color w:val="000000"/>
          <w:sz w:val="22"/>
          <w:szCs w:val="22"/>
          <w:lang w:val="en-CA"/>
        </w:rPr>
        <w:t>")</w:t>
      </w:r>
    </w:p>
    <w:p w14:paraId="40D34085" w14:textId="77777777" w:rsidR="0023408E" w:rsidRPr="0023408E" w:rsidRDefault="0023408E" w:rsidP="001B532C">
      <w:pPr>
        <w:autoSpaceDE w:val="0"/>
        <w:autoSpaceDN w:val="0"/>
        <w:adjustRightInd w:val="0"/>
        <w:rPr>
          <w:rFonts w:eastAsia="MS Mincho" w:cs="Times New Roman"/>
          <w:color w:val="000000"/>
          <w:sz w:val="22"/>
          <w:szCs w:val="22"/>
        </w:rPr>
      </w:pPr>
    </w:p>
    <w:p w14:paraId="669EB970" w14:textId="47D56369" w:rsidR="001B532C" w:rsidRPr="0023408E" w:rsidRDefault="003B4D10" w:rsidP="001B532C">
      <w:pPr>
        <w:autoSpaceDE w:val="0"/>
        <w:autoSpaceDN w:val="0"/>
        <w:adjustRightInd w:val="0"/>
        <w:rPr>
          <w:rFonts w:eastAsia="MS Mincho" w:cs="Times New Roman"/>
          <w:color w:val="000000"/>
          <w:sz w:val="22"/>
          <w:szCs w:val="22"/>
        </w:rPr>
      </w:pPr>
      <w:r w:rsidRPr="0023408E">
        <w:rPr>
          <w:rFonts w:eastAsia="MS Mincho" w:cs="Times New Roman"/>
          <w:color w:val="000000"/>
          <w:sz w:val="22"/>
          <w:szCs w:val="22"/>
        </w:rPr>
        <w:t xml:space="preserve">The Project hosts an </w:t>
      </w:r>
      <w:r w:rsidRPr="0023408E">
        <w:rPr>
          <w:rFonts w:eastAsia="MS Mincho" w:cs="Times New Roman"/>
          <w:color w:val="000000"/>
          <w:sz w:val="22"/>
          <w:szCs w:val="22"/>
        </w:rPr>
        <w:t>exploration target estimated to contain 600 million to 1 billion tons of sylvinite grading between 19% to 29% KCL</w:t>
      </w:r>
      <w:r w:rsidR="00DE4DC4" w:rsidRPr="0023408E">
        <w:rPr>
          <w:rFonts w:eastAsia="MS Mincho" w:cs="Times New Roman"/>
          <w:color w:val="000000"/>
          <w:sz w:val="22"/>
          <w:szCs w:val="22"/>
        </w:rPr>
        <w:t>*</w:t>
      </w:r>
      <w:r w:rsidRPr="0023408E">
        <w:rPr>
          <w:rFonts w:eastAsia="MS Mincho" w:cs="Times New Roman"/>
          <w:color w:val="000000"/>
          <w:sz w:val="22"/>
          <w:szCs w:val="22"/>
        </w:rPr>
        <w:t>, one of the largest</w:t>
      </w:r>
      <w:r w:rsidR="00DE4DC4" w:rsidRPr="0023408E">
        <w:rPr>
          <w:rFonts w:eastAsia="MS Mincho" w:cs="Times New Roman"/>
          <w:color w:val="000000"/>
          <w:sz w:val="22"/>
          <w:szCs w:val="22"/>
        </w:rPr>
        <w:t xml:space="preserve"> potential sources of potash</w:t>
      </w:r>
      <w:r w:rsidRPr="0023408E">
        <w:rPr>
          <w:rFonts w:eastAsia="MS Mincho" w:cs="Times New Roman"/>
          <w:color w:val="000000"/>
          <w:sz w:val="22"/>
          <w:szCs w:val="22"/>
        </w:rPr>
        <w:t xml:space="preserve"> in the US</w:t>
      </w:r>
      <w:r w:rsidR="00DE4DC4" w:rsidRPr="0023408E">
        <w:rPr>
          <w:rFonts w:eastAsia="MS Mincho" w:cs="Times New Roman"/>
          <w:color w:val="000000"/>
          <w:sz w:val="22"/>
          <w:szCs w:val="22"/>
        </w:rPr>
        <w:t>A**</w:t>
      </w:r>
      <w:r w:rsidR="007B461C" w:rsidRPr="0023408E">
        <w:rPr>
          <w:rFonts w:eastAsia="MS Mincho" w:cs="Times New Roman"/>
          <w:color w:val="000000"/>
          <w:sz w:val="22"/>
          <w:szCs w:val="22"/>
        </w:rPr>
        <w:t>.</w:t>
      </w:r>
      <w:r w:rsidRPr="0023408E">
        <w:rPr>
          <w:rFonts w:eastAsia="MS Mincho" w:cs="Times New Roman"/>
          <w:color w:val="000000"/>
          <w:sz w:val="22"/>
          <w:szCs w:val="22"/>
        </w:rPr>
        <w:t xml:space="preserve"> </w:t>
      </w:r>
    </w:p>
    <w:p w14:paraId="56FB861B" w14:textId="77777777" w:rsidR="001B532C" w:rsidRPr="0023408E" w:rsidRDefault="001B532C" w:rsidP="001B532C">
      <w:pPr>
        <w:autoSpaceDE w:val="0"/>
        <w:autoSpaceDN w:val="0"/>
        <w:adjustRightInd w:val="0"/>
        <w:rPr>
          <w:rFonts w:eastAsia="MS Mincho" w:cs="Times New Roman"/>
          <w:color w:val="000000"/>
          <w:sz w:val="22"/>
          <w:szCs w:val="22"/>
          <w:lang w:val="en-CA"/>
        </w:rPr>
      </w:pPr>
    </w:p>
    <w:p w14:paraId="343BEC0A" w14:textId="1CD82F6E" w:rsidR="001B532C" w:rsidRPr="0023408E" w:rsidRDefault="003B4D10" w:rsidP="001B532C">
      <w:pPr>
        <w:autoSpaceDE w:val="0"/>
        <w:autoSpaceDN w:val="0"/>
        <w:adjustRightInd w:val="0"/>
        <w:rPr>
          <w:rFonts w:eastAsia="MS Mincho" w:cs="Times New Roman"/>
          <w:color w:val="000000"/>
          <w:sz w:val="22"/>
          <w:szCs w:val="22"/>
        </w:rPr>
      </w:pPr>
      <w:r w:rsidRPr="0023408E">
        <w:rPr>
          <w:rFonts w:eastAsia="MS Mincho" w:cs="Times New Roman"/>
          <w:color w:val="000000"/>
          <w:sz w:val="22"/>
          <w:szCs w:val="22"/>
        </w:rPr>
        <w:t>This target was modelled utilizing well-logs of 33 historic local and regiona</w:t>
      </w:r>
      <w:r w:rsidRPr="0023408E">
        <w:rPr>
          <w:rFonts w:eastAsia="MS Mincho" w:cs="Times New Roman"/>
          <w:color w:val="000000"/>
          <w:sz w:val="22"/>
          <w:szCs w:val="22"/>
        </w:rPr>
        <w:t>l oil and gas wells and was based on a specific stratigraphic horizon know as Cycle 5. This is the same horizon that Intrepid Potash Inc. (NYSE-IPI</w:t>
      </w:r>
      <w:r w:rsidR="00D67870" w:rsidRPr="0023408E">
        <w:rPr>
          <w:rFonts w:eastAsia="MS Mincho" w:cs="Times New Roman"/>
          <w:color w:val="000000"/>
          <w:sz w:val="22"/>
          <w:szCs w:val="22"/>
        </w:rPr>
        <w:t>~</w:t>
      </w:r>
      <w:r w:rsidRPr="0023408E">
        <w:rPr>
          <w:rFonts w:eastAsia="MS Mincho" w:cs="Times New Roman"/>
          <w:color w:val="000000"/>
          <w:sz w:val="22"/>
          <w:szCs w:val="22"/>
        </w:rPr>
        <w:t>$</w:t>
      </w:r>
      <w:r w:rsidR="001E696F">
        <w:rPr>
          <w:rFonts w:eastAsia="MS Mincho" w:cs="Times New Roman"/>
          <w:color w:val="000000"/>
          <w:sz w:val="22"/>
          <w:szCs w:val="22"/>
        </w:rPr>
        <w:t>55</w:t>
      </w:r>
      <w:r w:rsidRPr="0023408E">
        <w:rPr>
          <w:rFonts w:eastAsia="MS Mincho" w:cs="Times New Roman"/>
          <w:color w:val="000000"/>
          <w:sz w:val="22"/>
          <w:szCs w:val="22"/>
        </w:rPr>
        <w:t>), America’s largest potash company, produces from their nearby Moab, Utah solution mine, with annual pro</w:t>
      </w:r>
      <w:r w:rsidRPr="0023408E">
        <w:rPr>
          <w:rFonts w:eastAsia="MS Mincho" w:cs="Times New Roman"/>
          <w:color w:val="000000"/>
          <w:sz w:val="22"/>
          <w:szCs w:val="22"/>
        </w:rPr>
        <w:t>duction (finished) of 118,000 tons K2O</w:t>
      </w:r>
      <w:r w:rsidR="00A809BF" w:rsidRPr="0023408E">
        <w:rPr>
          <w:rFonts w:eastAsia="MS Mincho" w:cs="Times New Roman"/>
          <w:color w:val="000000"/>
          <w:sz w:val="22"/>
          <w:szCs w:val="22"/>
        </w:rPr>
        <w:t xml:space="preserve"> </w:t>
      </w:r>
      <w:r w:rsidRPr="0023408E">
        <w:rPr>
          <w:rFonts w:eastAsia="MS Mincho" w:cs="Times New Roman"/>
          <w:color w:val="000000"/>
          <w:sz w:val="22"/>
          <w:szCs w:val="22"/>
        </w:rPr>
        <w:t>(</w:t>
      </w:r>
      <w:r w:rsidR="0023408E">
        <w:rPr>
          <w:rFonts w:eastAsia="MS Mincho" w:cs="Times New Roman"/>
          <w:color w:val="000000"/>
          <w:sz w:val="22"/>
          <w:szCs w:val="22"/>
        </w:rPr>
        <w:t xml:space="preserve">Intrepid Potash Inc., </w:t>
      </w:r>
      <w:r w:rsidRPr="0023408E">
        <w:rPr>
          <w:rFonts w:eastAsia="MS Mincho" w:cs="Times New Roman"/>
          <w:color w:val="000000"/>
          <w:sz w:val="22"/>
          <w:szCs w:val="22"/>
        </w:rPr>
        <w:t>2021 Annual Report).</w:t>
      </w:r>
    </w:p>
    <w:p w14:paraId="01FAFE36" w14:textId="77777777" w:rsidR="0023408E" w:rsidRPr="0023408E" w:rsidRDefault="0023408E" w:rsidP="001B532C">
      <w:pPr>
        <w:autoSpaceDE w:val="0"/>
        <w:autoSpaceDN w:val="0"/>
        <w:adjustRightInd w:val="0"/>
        <w:rPr>
          <w:rFonts w:eastAsia="MS Mincho" w:cs="Times New Roman"/>
          <w:color w:val="000000"/>
          <w:sz w:val="22"/>
          <w:szCs w:val="22"/>
        </w:rPr>
      </w:pPr>
    </w:p>
    <w:p w14:paraId="0629EE9A" w14:textId="605397FF" w:rsidR="001B532C" w:rsidRPr="0023408E" w:rsidRDefault="003B4D10" w:rsidP="001B532C">
      <w:pPr>
        <w:autoSpaceDE w:val="0"/>
        <w:autoSpaceDN w:val="0"/>
        <w:adjustRightInd w:val="0"/>
        <w:rPr>
          <w:rFonts w:eastAsia="MS Mincho" w:cs="Times New Roman"/>
          <w:color w:val="000000"/>
          <w:sz w:val="22"/>
          <w:szCs w:val="22"/>
        </w:rPr>
      </w:pPr>
      <w:r w:rsidRPr="0023408E">
        <w:rPr>
          <w:rFonts w:eastAsia="MS Mincho" w:cs="Times New Roman"/>
          <w:color w:val="000000"/>
          <w:sz w:val="22"/>
          <w:szCs w:val="22"/>
        </w:rPr>
        <w:t>The price of Muriate of Potash</w:t>
      </w:r>
      <w:r w:rsidR="00A809BF" w:rsidRPr="0023408E">
        <w:rPr>
          <w:rFonts w:eastAsia="MS Mincho" w:cs="Times New Roman"/>
          <w:color w:val="000000"/>
          <w:sz w:val="22"/>
          <w:szCs w:val="22"/>
        </w:rPr>
        <w:t>-KCL</w:t>
      </w:r>
      <w:r w:rsidRPr="0023408E">
        <w:rPr>
          <w:rFonts w:eastAsia="MS Mincho" w:cs="Times New Roman"/>
          <w:color w:val="000000"/>
          <w:sz w:val="22"/>
          <w:szCs w:val="22"/>
        </w:rPr>
        <w:t xml:space="preserve"> has</w:t>
      </w:r>
      <w:r w:rsidR="009C70E9" w:rsidRPr="0023408E">
        <w:rPr>
          <w:rFonts w:eastAsia="MS Mincho" w:cs="Times New Roman"/>
          <w:color w:val="000000"/>
          <w:sz w:val="22"/>
          <w:szCs w:val="22"/>
        </w:rPr>
        <w:t xml:space="preserve"> recently</w:t>
      </w:r>
      <w:r w:rsidRPr="0023408E">
        <w:rPr>
          <w:rFonts w:eastAsia="MS Mincho" w:cs="Times New Roman"/>
          <w:color w:val="000000"/>
          <w:sz w:val="22"/>
          <w:szCs w:val="22"/>
        </w:rPr>
        <w:t xml:space="preserve"> soared from US $221 (Jan</w:t>
      </w:r>
      <w:r w:rsidR="007B461C" w:rsidRPr="0023408E">
        <w:rPr>
          <w:rFonts w:eastAsia="MS Mincho" w:cs="Times New Roman"/>
          <w:color w:val="000000"/>
          <w:sz w:val="22"/>
          <w:szCs w:val="22"/>
        </w:rPr>
        <w:t xml:space="preserve"> </w:t>
      </w:r>
      <w:r w:rsidRPr="0023408E">
        <w:rPr>
          <w:rFonts w:eastAsia="MS Mincho" w:cs="Times New Roman"/>
          <w:color w:val="000000"/>
          <w:sz w:val="22"/>
          <w:szCs w:val="22"/>
        </w:rPr>
        <w:t>‘22) to US $562 (</w:t>
      </w:r>
      <w:r w:rsidR="00D67870" w:rsidRPr="0023408E">
        <w:rPr>
          <w:rFonts w:eastAsia="MS Mincho" w:cs="Times New Roman"/>
          <w:color w:val="000000"/>
          <w:sz w:val="22"/>
          <w:szCs w:val="22"/>
        </w:rPr>
        <w:t>Aug</w:t>
      </w:r>
      <w:r w:rsidRPr="0023408E">
        <w:rPr>
          <w:rFonts w:eastAsia="MS Mincho" w:cs="Times New Roman"/>
          <w:color w:val="000000"/>
          <w:sz w:val="22"/>
          <w:szCs w:val="22"/>
        </w:rPr>
        <w:t xml:space="preserve"> ‘22) with the US</w:t>
      </w:r>
      <w:r w:rsidR="00361566" w:rsidRPr="0023408E">
        <w:rPr>
          <w:rFonts w:eastAsia="MS Mincho" w:cs="Times New Roman"/>
          <w:color w:val="000000"/>
          <w:sz w:val="22"/>
          <w:szCs w:val="22"/>
        </w:rPr>
        <w:t xml:space="preserve">A </w:t>
      </w:r>
      <w:r w:rsidRPr="0023408E">
        <w:rPr>
          <w:rFonts w:eastAsia="MS Mincho" w:cs="Times New Roman"/>
          <w:color w:val="000000"/>
          <w:sz w:val="22"/>
          <w:szCs w:val="22"/>
        </w:rPr>
        <w:t xml:space="preserve">importing over 90% of its annual requirement of 11 </w:t>
      </w:r>
      <w:r w:rsidRPr="0023408E">
        <w:rPr>
          <w:rFonts w:eastAsia="MS Mincho" w:cs="Times New Roman"/>
          <w:color w:val="000000"/>
          <w:sz w:val="22"/>
          <w:szCs w:val="22"/>
        </w:rPr>
        <w:t>million tons.</w:t>
      </w:r>
    </w:p>
    <w:p w14:paraId="75ACC011" w14:textId="7F5146D4" w:rsidR="00D67870" w:rsidRPr="0023408E" w:rsidRDefault="00D67870" w:rsidP="001B532C">
      <w:pPr>
        <w:autoSpaceDE w:val="0"/>
        <w:autoSpaceDN w:val="0"/>
        <w:adjustRightInd w:val="0"/>
        <w:rPr>
          <w:rFonts w:eastAsia="MS Mincho" w:cs="Times New Roman"/>
          <w:color w:val="000000"/>
          <w:sz w:val="22"/>
          <w:szCs w:val="22"/>
        </w:rPr>
      </w:pPr>
    </w:p>
    <w:p w14:paraId="7B7C7BDC" w14:textId="7C44D9AE" w:rsidR="000E43FF" w:rsidRDefault="003B4D10" w:rsidP="000E43FF">
      <w:pPr>
        <w:rPr>
          <w:rFonts w:cstheme="minorHAnsi"/>
          <w:sz w:val="22"/>
          <w:szCs w:val="22"/>
        </w:rPr>
      </w:pPr>
      <w:r w:rsidRPr="0023408E">
        <w:rPr>
          <w:rFonts w:cstheme="minorHAnsi"/>
          <w:sz w:val="22"/>
          <w:szCs w:val="22"/>
        </w:rPr>
        <w:t xml:space="preserve">Kent </w:t>
      </w:r>
      <w:proofErr w:type="spellStart"/>
      <w:r w:rsidRPr="0023408E">
        <w:rPr>
          <w:rFonts w:cstheme="minorHAnsi"/>
          <w:sz w:val="22"/>
          <w:szCs w:val="22"/>
        </w:rPr>
        <w:t>Ausburn</w:t>
      </w:r>
      <w:proofErr w:type="spellEnd"/>
      <w:r w:rsidRPr="0023408E">
        <w:rPr>
          <w:rFonts w:cstheme="minorHAnsi"/>
          <w:sz w:val="22"/>
          <w:szCs w:val="22"/>
        </w:rPr>
        <w:t>, PhD, PG</w:t>
      </w:r>
      <w:r w:rsidR="00B341B2">
        <w:rPr>
          <w:rFonts w:cstheme="minorHAnsi"/>
          <w:sz w:val="22"/>
          <w:szCs w:val="22"/>
        </w:rPr>
        <w:t>,</w:t>
      </w:r>
      <w:r w:rsidR="00A11637">
        <w:rPr>
          <w:rFonts w:cstheme="minorHAnsi"/>
          <w:sz w:val="22"/>
          <w:szCs w:val="22"/>
        </w:rPr>
        <w:t xml:space="preserve"> </w:t>
      </w:r>
      <w:r w:rsidRPr="0023408E">
        <w:rPr>
          <w:rFonts w:cstheme="minorHAnsi"/>
          <w:sz w:val="22"/>
          <w:szCs w:val="22"/>
        </w:rPr>
        <w:t>a qualified person within the meaning of NI-43-</w:t>
      </w:r>
      <w:proofErr w:type="gramStart"/>
      <w:r w:rsidRPr="0023408E">
        <w:rPr>
          <w:rFonts w:cstheme="minorHAnsi"/>
          <w:sz w:val="22"/>
          <w:szCs w:val="22"/>
        </w:rPr>
        <w:t>10</w:t>
      </w:r>
      <w:r w:rsidR="00B341B2">
        <w:rPr>
          <w:rFonts w:cstheme="minorHAnsi"/>
          <w:sz w:val="22"/>
          <w:szCs w:val="22"/>
        </w:rPr>
        <w:t xml:space="preserve"> </w:t>
      </w:r>
      <w:r w:rsidRPr="0023408E">
        <w:rPr>
          <w:rFonts w:cstheme="minorHAnsi"/>
          <w:sz w:val="22"/>
          <w:szCs w:val="22"/>
        </w:rPr>
        <w:t xml:space="preserve"> has</w:t>
      </w:r>
      <w:proofErr w:type="gramEnd"/>
      <w:r w:rsidRPr="0023408E">
        <w:rPr>
          <w:rFonts w:cstheme="minorHAnsi"/>
          <w:sz w:val="22"/>
          <w:szCs w:val="22"/>
        </w:rPr>
        <w:t xml:space="preserve"> reviewed and is responsible for the technical details of this release.</w:t>
      </w:r>
    </w:p>
    <w:p w14:paraId="04A0ED98" w14:textId="2CC79D10" w:rsidR="0023408E" w:rsidRDefault="0023408E" w:rsidP="000E43FF">
      <w:pPr>
        <w:rPr>
          <w:rFonts w:cstheme="minorHAnsi"/>
          <w:sz w:val="22"/>
          <w:szCs w:val="22"/>
        </w:rPr>
      </w:pPr>
    </w:p>
    <w:p w14:paraId="00E1352D" w14:textId="666B52F9" w:rsidR="0023408E" w:rsidRPr="0023408E" w:rsidRDefault="003B4D10" w:rsidP="000E43FF">
      <w:pPr>
        <w:rPr>
          <w:rFonts w:cstheme="minorHAnsi"/>
          <w:b/>
          <w:sz w:val="22"/>
          <w:szCs w:val="22"/>
        </w:rPr>
      </w:pPr>
      <w:r>
        <w:rPr>
          <w:rFonts w:cstheme="minorHAnsi"/>
          <w:sz w:val="22"/>
          <w:szCs w:val="22"/>
        </w:rPr>
        <w:t>In addition, the Company announces the resignation of Carmen Amezquita, its Chief Financial Officer, who has resigned to pursue other opportunities. The Company would like to thank Ms. Amezquita for her service to the Company and wish her well with her fut</w:t>
      </w:r>
      <w:r>
        <w:rPr>
          <w:rFonts w:cstheme="minorHAnsi"/>
          <w:sz w:val="22"/>
          <w:szCs w:val="22"/>
        </w:rPr>
        <w:t xml:space="preserve">ure </w:t>
      </w:r>
      <w:proofErr w:type="spellStart"/>
      <w:r>
        <w:rPr>
          <w:rFonts w:cstheme="minorHAnsi"/>
          <w:sz w:val="22"/>
          <w:szCs w:val="22"/>
        </w:rPr>
        <w:t>endeavours</w:t>
      </w:r>
      <w:proofErr w:type="spellEnd"/>
      <w:r>
        <w:rPr>
          <w:rFonts w:cstheme="minorHAnsi"/>
          <w:sz w:val="22"/>
          <w:szCs w:val="22"/>
        </w:rPr>
        <w:t xml:space="preserve">. Effective September 1, 2022, Mr. Lawrence Cheung will be appointed as the Chief Financial Officer of the Company. </w:t>
      </w:r>
      <w:r w:rsidR="00C066BA">
        <w:rPr>
          <w:rFonts w:cstheme="minorHAnsi"/>
          <w:sz w:val="22"/>
          <w:szCs w:val="22"/>
        </w:rPr>
        <w:t xml:space="preserve">Mr. Cheung </w:t>
      </w:r>
      <w:r w:rsidR="00C066BA" w:rsidRPr="00C066BA">
        <w:rPr>
          <w:rFonts w:cstheme="minorHAnsi"/>
          <w:sz w:val="22"/>
          <w:szCs w:val="22"/>
        </w:rPr>
        <w:t xml:space="preserve">is a Controller at Malaspina Consultants Inc. and provides controllership and advisory services to help clients meet their financial reporting and regulatory requirements. Prior to joining Malaspina in 2021, </w:t>
      </w:r>
      <w:r w:rsidR="00C066BA">
        <w:rPr>
          <w:rFonts w:cstheme="minorHAnsi"/>
          <w:sz w:val="22"/>
          <w:szCs w:val="22"/>
        </w:rPr>
        <w:t xml:space="preserve">Mr. Cheung </w:t>
      </w:r>
      <w:r w:rsidR="00C066BA" w:rsidRPr="00C066BA">
        <w:rPr>
          <w:rFonts w:cstheme="minorHAnsi"/>
          <w:sz w:val="22"/>
          <w:szCs w:val="22"/>
        </w:rPr>
        <w:t xml:space="preserve">was a Senior Associate at PricewaterhouseCoopers LLP where he provided assurance services to private and publicly traded clients in the US and Canada. He </w:t>
      </w:r>
      <w:r w:rsidR="00C066BA">
        <w:rPr>
          <w:rFonts w:cstheme="minorHAnsi"/>
          <w:sz w:val="22"/>
          <w:szCs w:val="22"/>
        </w:rPr>
        <w:t xml:space="preserve">has </w:t>
      </w:r>
      <w:r w:rsidR="00C066BA" w:rsidRPr="00C066BA">
        <w:rPr>
          <w:rFonts w:cstheme="minorHAnsi"/>
          <w:sz w:val="22"/>
          <w:szCs w:val="22"/>
        </w:rPr>
        <w:t xml:space="preserve">worked </w:t>
      </w:r>
      <w:r w:rsidR="003D3625">
        <w:rPr>
          <w:rFonts w:cstheme="minorHAnsi"/>
          <w:sz w:val="22"/>
          <w:szCs w:val="22"/>
        </w:rPr>
        <w:t>with</w:t>
      </w:r>
      <w:r w:rsidR="00C066BA" w:rsidRPr="00C066BA">
        <w:rPr>
          <w:rFonts w:cstheme="minorHAnsi"/>
          <w:sz w:val="22"/>
          <w:szCs w:val="22"/>
        </w:rPr>
        <w:t xml:space="preserve"> clients across a broad range of industries with a specialization in mining. Lawrence received his Chartered Professional Accountant designation in 2021 and holds a Bachelor of Commerce degree from the UBC Sauder School of Business.</w:t>
      </w:r>
    </w:p>
    <w:p w14:paraId="16A12F63" w14:textId="40A3ACA0" w:rsidR="00122E02" w:rsidRPr="0023408E" w:rsidRDefault="00122E02" w:rsidP="00D67870">
      <w:pPr>
        <w:autoSpaceDE w:val="0"/>
        <w:autoSpaceDN w:val="0"/>
        <w:adjustRightInd w:val="0"/>
        <w:rPr>
          <w:rFonts w:eastAsia="MS Mincho" w:cs="Times New Roman"/>
          <w:color w:val="000000"/>
          <w:sz w:val="22"/>
          <w:szCs w:val="22"/>
          <w:lang w:val="en-CA"/>
        </w:rPr>
      </w:pPr>
    </w:p>
    <w:p w14:paraId="43FB3C15" w14:textId="60E92554" w:rsidR="00122E02" w:rsidRPr="0023408E" w:rsidRDefault="003B4D10" w:rsidP="00122E02">
      <w:pPr>
        <w:autoSpaceDE w:val="0"/>
        <w:autoSpaceDN w:val="0"/>
        <w:adjustRightInd w:val="0"/>
        <w:rPr>
          <w:rFonts w:eastAsia="MS Mincho" w:cs="Times New Roman"/>
          <w:color w:val="000000"/>
          <w:sz w:val="22"/>
          <w:szCs w:val="22"/>
          <w:lang w:val="en-CA"/>
        </w:rPr>
      </w:pPr>
      <w:r w:rsidRPr="0023408E">
        <w:rPr>
          <w:rFonts w:eastAsia="MS Mincho" w:cs="Times New Roman"/>
          <w:color w:val="000000"/>
          <w:sz w:val="22"/>
          <w:szCs w:val="22"/>
          <w:lang w:val="en-CA"/>
        </w:rPr>
        <w:t>Furth</w:t>
      </w:r>
      <w:r w:rsidRPr="0023408E">
        <w:rPr>
          <w:rFonts w:eastAsia="MS Mincho" w:cs="Times New Roman"/>
          <w:color w:val="000000"/>
          <w:sz w:val="22"/>
          <w:szCs w:val="22"/>
          <w:lang w:val="en-CA"/>
        </w:rPr>
        <w:t xml:space="preserve">er information is available on the Company’s new website: </w:t>
      </w:r>
      <w:hyperlink r:id="rId7" w:history="1">
        <w:r w:rsidRPr="0023408E">
          <w:rPr>
            <w:rStyle w:val="Hyperlink"/>
            <w:rFonts w:eastAsia="MS Mincho" w:cs="Times New Roman"/>
            <w:sz w:val="22"/>
            <w:szCs w:val="22"/>
            <w:lang w:val="en-CA"/>
          </w:rPr>
          <w:t>www.americanpotash.com</w:t>
        </w:r>
      </w:hyperlink>
    </w:p>
    <w:p w14:paraId="2DAD352E" w14:textId="08265069" w:rsidR="00526DAE" w:rsidRPr="0023408E" w:rsidRDefault="00526DAE" w:rsidP="00343D81">
      <w:pPr>
        <w:rPr>
          <w:rFonts w:eastAsia="Times New Roman" w:cs="Times New Roman"/>
          <w:sz w:val="22"/>
          <w:szCs w:val="22"/>
          <w:lang w:val="en-CA" w:eastAsia="en-CA"/>
        </w:rPr>
      </w:pPr>
    </w:p>
    <w:p w14:paraId="40E793ED" w14:textId="39264D50" w:rsidR="00122E02" w:rsidRPr="0023408E" w:rsidRDefault="003B4D10" w:rsidP="00343D81">
      <w:pPr>
        <w:rPr>
          <w:rFonts w:eastAsia="Times New Roman" w:cs="Times New Roman"/>
          <w:sz w:val="22"/>
          <w:szCs w:val="22"/>
          <w:lang w:val="en-CA" w:eastAsia="en-CA"/>
        </w:rPr>
      </w:pPr>
      <w:r w:rsidRPr="0023408E">
        <w:rPr>
          <w:rFonts w:eastAsia="Times New Roman" w:cs="Times New Roman"/>
          <w:sz w:val="22"/>
          <w:szCs w:val="22"/>
          <w:lang w:val="en-CA" w:eastAsia="en-CA"/>
        </w:rPr>
        <w:t>Trading on a Post-Name Change Basis: August 31,</w:t>
      </w:r>
      <w:r w:rsidR="00A86577">
        <w:rPr>
          <w:rFonts w:eastAsia="Times New Roman" w:cs="Times New Roman"/>
          <w:sz w:val="22"/>
          <w:szCs w:val="22"/>
          <w:lang w:val="en-CA" w:eastAsia="en-CA"/>
        </w:rPr>
        <w:t xml:space="preserve"> </w:t>
      </w:r>
      <w:r w:rsidRPr="0023408E">
        <w:rPr>
          <w:rFonts w:eastAsia="Times New Roman" w:cs="Times New Roman"/>
          <w:sz w:val="22"/>
          <w:szCs w:val="22"/>
          <w:lang w:val="en-CA" w:eastAsia="en-CA"/>
        </w:rPr>
        <w:t>2022</w:t>
      </w:r>
    </w:p>
    <w:p w14:paraId="7453BAAD" w14:textId="2C28DCBC" w:rsidR="00122E02" w:rsidRPr="0023408E" w:rsidRDefault="003B4D10" w:rsidP="00343D81">
      <w:pPr>
        <w:spacing w:before="240"/>
        <w:jc w:val="left"/>
        <w:rPr>
          <w:rFonts w:eastAsia="Times New Roman" w:cs="Times New Roman"/>
          <w:sz w:val="22"/>
          <w:szCs w:val="22"/>
          <w:lang w:val="en-CA" w:eastAsia="en-CA"/>
        </w:rPr>
      </w:pPr>
      <w:r w:rsidRPr="0023408E">
        <w:rPr>
          <w:rFonts w:eastAsia="Times New Roman" w:cs="Times New Roman"/>
          <w:sz w:val="22"/>
          <w:szCs w:val="22"/>
          <w:lang w:val="en-CA" w:eastAsia="en-CA"/>
        </w:rPr>
        <w:t>N</w:t>
      </w:r>
      <w:r w:rsidR="00343D81" w:rsidRPr="0023408E">
        <w:rPr>
          <w:rFonts w:eastAsia="Times New Roman" w:cs="Times New Roman"/>
          <w:sz w:val="22"/>
          <w:szCs w:val="22"/>
          <w:lang w:val="en-CA" w:eastAsia="en-CA"/>
        </w:rPr>
        <w:t>EW CUSIP:  02906A108</w:t>
      </w:r>
      <w:r w:rsidR="00343D81" w:rsidRPr="0023408E">
        <w:rPr>
          <w:rFonts w:eastAsia="Times New Roman" w:cs="Times New Roman"/>
          <w:sz w:val="22"/>
          <w:szCs w:val="22"/>
          <w:lang w:val="en-CA" w:eastAsia="en-CA"/>
        </w:rPr>
        <w:br/>
        <w:t xml:space="preserve">NEW ISIN:  </w:t>
      </w:r>
      <w:r w:rsidR="008A12DA">
        <w:rPr>
          <w:rFonts w:eastAsia="Times New Roman" w:cs="Times New Roman"/>
          <w:sz w:val="22"/>
          <w:szCs w:val="22"/>
          <w:lang w:val="en-CA" w:eastAsia="en-CA"/>
        </w:rPr>
        <w:t xml:space="preserve">   </w:t>
      </w:r>
      <w:r w:rsidR="00343D81" w:rsidRPr="0023408E">
        <w:rPr>
          <w:rFonts w:eastAsia="Times New Roman" w:cs="Times New Roman"/>
          <w:sz w:val="22"/>
          <w:szCs w:val="22"/>
          <w:lang w:val="en-CA" w:eastAsia="en-CA"/>
        </w:rPr>
        <w:t>CA02906A1084</w:t>
      </w:r>
    </w:p>
    <w:p w14:paraId="6A6E1A98" w14:textId="77777777" w:rsidR="000E43FF" w:rsidRPr="0023408E" w:rsidRDefault="000E43FF" w:rsidP="00343D81">
      <w:pPr>
        <w:spacing w:before="240"/>
        <w:jc w:val="left"/>
        <w:rPr>
          <w:rFonts w:eastAsia="Times New Roman" w:cs="Times New Roman"/>
          <w:sz w:val="22"/>
          <w:szCs w:val="22"/>
          <w:lang w:val="en-CA" w:eastAsia="en-CA"/>
        </w:rPr>
      </w:pPr>
    </w:p>
    <w:p w14:paraId="72B2C879" w14:textId="77777777" w:rsidR="00343D81" w:rsidRPr="0023408E" w:rsidRDefault="003B4D10" w:rsidP="00343D81">
      <w:pPr>
        <w:spacing w:after="240"/>
        <w:rPr>
          <w:rFonts w:eastAsia="Times New Roman" w:cs="Times New Roman"/>
          <w:b/>
          <w:sz w:val="22"/>
          <w:szCs w:val="22"/>
        </w:rPr>
      </w:pPr>
      <w:r w:rsidRPr="0023408E">
        <w:rPr>
          <w:rFonts w:eastAsia="Times New Roman" w:cs="Times New Roman"/>
          <w:b/>
          <w:sz w:val="22"/>
          <w:szCs w:val="22"/>
        </w:rPr>
        <w:t xml:space="preserve">On behalf of the </w:t>
      </w:r>
      <w:r w:rsidRPr="0023408E">
        <w:rPr>
          <w:rFonts w:eastAsia="Times New Roman" w:cs="Times New Roman"/>
          <w:b/>
          <w:sz w:val="22"/>
          <w:szCs w:val="22"/>
        </w:rPr>
        <w:t>Board of Directors</w:t>
      </w:r>
    </w:p>
    <w:p w14:paraId="4FC1B94D" w14:textId="77777777" w:rsidR="00343D81" w:rsidRPr="0023408E" w:rsidRDefault="003B4D10" w:rsidP="00343D81">
      <w:pPr>
        <w:spacing w:before="240" w:after="240"/>
        <w:rPr>
          <w:rFonts w:eastAsia="Times New Roman" w:cs="Times New Roman"/>
          <w:b/>
          <w:sz w:val="22"/>
          <w:szCs w:val="22"/>
        </w:rPr>
      </w:pPr>
      <w:r w:rsidRPr="0023408E">
        <w:rPr>
          <w:rFonts w:eastAsia="Times New Roman" w:cs="Times New Roman"/>
          <w:b/>
          <w:sz w:val="22"/>
          <w:szCs w:val="22"/>
        </w:rPr>
        <w:t>Jonathan George, President &amp; CEO</w:t>
      </w:r>
    </w:p>
    <w:p w14:paraId="55EE95D0" w14:textId="77777777" w:rsidR="00343D81" w:rsidRPr="0023408E" w:rsidRDefault="003B4D10" w:rsidP="00343D81">
      <w:pPr>
        <w:spacing w:after="240"/>
        <w:rPr>
          <w:rFonts w:eastAsia="Times New Roman" w:cs="Times New Roman"/>
          <w:sz w:val="22"/>
          <w:szCs w:val="22"/>
        </w:rPr>
      </w:pPr>
      <w:r w:rsidRPr="0023408E">
        <w:rPr>
          <w:rFonts w:eastAsia="Times New Roman" w:cs="Times New Roman"/>
          <w:sz w:val="22"/>
          <w:szCs w:val="22"/>
        </w:rPr>
        <w:t xml:space="preserve">Neither the OTCQX nor the Canadian Securities Exchange nor its Regulation Services Provider (as that term </w:t>
      </w:r>
      <w:r w:rsidRPr="0023408E">
        <w:rPr>
          <w:rFonts w:eastAsia="Cambria" w:cs="Times New Roman"/>
          <w:color w:val="0E233D"/>
          <w:sz w:val="22"/>
          <w:szCs w:val="22"/>
        </w:rPr>
        <w:t>is defined in the policies of the Canadian Securities Exchange) accepts responsibility for the ade</w:t>
      </w:r>
      <w:r w:rsidRPr="0023408E">
        <w:rPr>
          <w:rFonts w:eastAsia="Cambria" w:cs="Times New Roman"/>
          <w:color w:val="0E233D"/>
          <w:sz w:val="22"/>
          <w:szCs w:val="22"/>
        </w:rPr>
        <w:t xml:space="preserve">quacy or accuracy of this release. </w:t>
      </w:r>
    </w:p>
    <w:p w14:paraId="5D5C1981" w14:textId="1A268379" w:rsidR="00122E02" w:rsidRDefault="003B4D10" w:rsidP="00122E02">
      <w:pPr>
        <w:autoSpaceDE w:val="0"/>
        <w:autoSpaceDN w:val="0"/>
        <w:adjustRightInd w:val="0"/>
        <w:rPr>
          <w:rFonts w:eastAsia="MS Mincho" w:cs="Times New Roman"/>
          <w:color w:val="000000"/>
          <w:sz w:val="16"/>
          <w:szCs w:val="16"/>
        </w:rPr>
      </w:pPr>
      <w:r w:rsidRPr="001B532C">
        <w:rPr>
          <w:rFonts w:eastAsia="MS Mincho" w:cs="Times New Roman"/>
          <w:color w:val="000000"/>
          <w:sz w:val="22"/>
          <w:szCs w:val="22"/>
        </w:rPr>
        <w:t>*</w:t>
      </w:r>
      <w:r w:rsidRPr="00577C4A">
        <w:rPr>
          <w:rFonts w:eastAsia="MS Mincho" w:cs="Times New Roman"/>
          <w:color w:val="000000"/>
          <w:sz w:val="16"/>
          <w:szCs w:val="16"/>
        </w:rPr>
        <w:t xml:space="preserve"> </w:t>
      </w:r>
      <w:proofErr w:type="spellStart"/>
      <w:r w:rsidRPr="00577C4A">
        <w:rPr>
          <w:rFonts w:eastAsia="MS Mincho" w:cs="Times New Roman"/>
          <w:color w:val="000000"/>
          <w:sz w:val="16"/>
          <w:szCs w:val="16"/>
        </w:rPr>
        <w:t>Agapito</w:t>
      </w:r>
      <w:proofErr w:type="spellEnd"/>
      <w:r w:rsidRPr="00577C4A">
        <w:rPr>
          <w:rFonts w:eastAsia="MS Mincho" w:cs="Times New Roman"/>
          <w:color w:val="000000"/>
          <w:sz w:val="16"/>
          <w:szCs w:val="16"/>
        </w:rPr>
        <w:t xml:space="preserve"> </w:t>
      </w:r>
      <w:r w:rsidR="00A809BF" w:rsidRPr="00577C4A">
        <w:rPr>
          <w:rFonts w:eastAsia="MS Mincho" w:cs="Times New Roman"/>
          <w:color w:val="000000"/>
          <w:sz w:val="16"/>
          <w:szCs w:val="16"/>
        </w:rPr>
        <w:t>Associates Inc.</w:t>
      </w:r>
      <w:r w:rsidR="00DE4DC4">
        <w:rPr>
          <w:rFonts w:eastAsia="MS Mincho" w:cs="Times New Roman"/>
          <w:color w:val="000000"/>
          <w:sz w:val="16"/>
          <w:szCs w:val="16"/>
        </w:rPr>
        <w:t xml:space="preserve"> Technical</w:t>
      </w:r>
      <w:r w:rsidR="00A809BF" w:rsidRPr="00577C4A">
        <w:rPr>
          <w:rFonts w:eastAsia="MS Mincho" w:cs="Times New Roman"/>
          <w:color w:val="000000"/>
          <w:sz w:val="16"/>
          <w:szCs w:val="16"/>
        </w:rPr>
        <w:t xml:space="preserve"> r</w:t>
      </w:r>
      <w:r w:rsidRPr="00577C4A">
        <w:rPr>
          <w:rFonts w:eastAsia="MS Mincho" w:cs="Times New Roman"/>
          <w:color w:val="000000"/>
          <w:sz w:val="16"/>
          <w:szCs w:val="16"/>
        </w:rPr>
        <w:t>eport</w:t>
      </w:r>
      <w:r w:rsidR="00A809BF" w:rsidRPr="00577C4A">
        <w:rPr>
          <w:rFonts w:eastAsia="MS Mincho" w:cs="Times New Roman"/>
          <w:color w:val="000000"/>
          <w:sz w:val="16"/>
          <w:szCs w:val="16"/>
        </w:rPr>
        <w:t xml:space="preserve"> (October 2012)</w:t>
      </w:r>
      <w:r w:rsidRPr="00577C4A">
        <w:rPr>
          <w:rFonts w:eastAsia="MS Mincho" w:cs="Times New Roman"/>
          <w:color w:val="000000"/>
          <w:sz w:val="16"/>
          <w:szCs w:val="16"/>
        </w:rPr>
        <w:t xml:space="preserve"> quantifies the</w:t>
      </w:r>
      <w:r w:rsidR="009C70E9" w:rsidRPr="00577C4A">
        <w:rPr>
          <w:rFonts w:eastAsia="MS Mincho" w:cs="Times New Roman"/>
          <w:color w:val="000000"/>
          <w:sz w:val="16"/>
          <w:szCs w:val="16"/>
        </w:rPr>
        <w:t xml:space="preserve"> Green River Potash</w:t>
      </w:r>
      <w:r w:rsidRPr="00577C4A">
        <w:rPr>
          <w:rFonts w:eastAsia="MS Mincho" w:cs="Times New Roman"/>
          <w:color w:val="000000"/>
          <w:sz w:val="16"/>
          <w:szCs w:val="16"/>
        </w:rPr>
        <w:t xml:space="preserve"> Project’s potash exploration potential in the form of a NI 43-101 Exploration Target.  The Exploration Target estimate was prepared in accordance to the NI 43-101 guidelines of the Canadian securities regulators.  It should be noted that Exploration Targe</w:t>
      </w:r>
      <w:r w:rsidRPr="00577C4A">
        <w:rPr>
          <w:rFonts w:eastAsia="MS Mincho" w:cs="Times New Roman"/>
          <w:color w:val="000000"/>
          <w:sz w:val="16"/>
          <w:szCs w:val="16"/>
        </w:rPr>
        <w:t>ts are conceptual in nature and there has been insufficient exploration to define them as Mineral Resources, and, while reasonable potential may exist, it is uncertain whether further exploration will result in the determination of a Mineral Resource under</w:t>
      </w:r>
      <w:r w:rsidRPr="00577C4A">
        <w:rPr>
          <w:rFonts w:eastAsia="MS Mincho" w:cs="Times New Roman"/>
          <w:color w:val="000000"/>
          <w:sz w:val="16"/>
          <w:szCs w:val="16"/>
        </w:rPr>
        <w:t xml:space="preserve"> NI 43-101.  The Exploration Target stated in the </w:t>
      </w:r>
      <w:proofErr w:type="spellStart"/>
      <w:r w:rsidRPr="00577C4A">
        <w:rPr>
          <w:rFonts w:eastAsia="MS Mincho" w:cs="Times New Roman"/>
          <w:color w:val="000000"/>
          <w:sz w:val="16"/>
          <w:szCs w:val="16"/>
        </w:rPr>
        <w:t>Agapito</w:t>
      </w:r>
      <w:proofErr w:type="spellEnd"/>
      <w:r w:rsidRPr="00577C4A">
        <w:rPr>
          <w:rFonts w:eastAsia="MS Mincho" w:cs="Times New Roman"/>
          <w:color w:val="000000"/>
          <w:sz w:val="16"/>
          <w:szCs w:val="16"/>
        </w:rPr>
        <w:t xml:space="preserve"> Report is not being reported as part of any Mineral Resource or Mineral Reserve</w:t>
      </w:r>
      <w:r w:rsidR="00DE4DC4">
        <w:rPr>
          <w:rFonts w:eastAsia="MS Mincho" w:cs="Times New Roman"/>
          <w:color w:val="000000"/>
          <w:sz w:val="16"/>
          <w:szCs w:val="16"/>
        </w:rPr>
        <w:t>.</w:t>
      </w:r>
    </w:p>
    <w:p w14:paraId="528E89E1" w14:textId="77777777" w:rsidR="00DE4DC4" w:rsidRDefault="00DE4DC4" w:rsidP="00122E02">
      <w:pPr>
        <w:autoSpaceDE w:val="0"/>
        <w:autoSpaceDN w:val="0"/>
        <w:adjustRightInd w:val="0"/>
        <w:rPr>
          <w:rFonts w:eastAsia="MS Mincho" w:cs="Times New Roman"/>
          <w:color w:val="000000"/>
          <w:sz w:val="16"/>
          <w:szCs w:val="16"/>
        </w:rPr>
      </w:pPr>
    </w:p>
    <w:p w14:paraId="355B5CF5" w14:textId="1CFF37B3" w:rsidR="00DE4DC4" w:rsidRPr="00577C4A" w:rsidRDefault="003B4D10" w:rsidP="00122E02">
      <w:pPr>
        <w:autoSpaceDE w:val="0"/>
        <w:autoSpaceDN w:val="0"/>
        <w:adjustRightInd w:val="0"/>
        <w:rPr>
          <w:rFonts w:eastAsia="MS Mincho" w:cs="Times New Roman"/>
          <w:color w:val="000000"/>
          <w:sz w:val="16"/>
          <w:szCs w:val="16"/>
          <w:lang w:val="en-CA"/>
        </w:rPr>
      </w:pPr>
      <w:r>
        <w:rPr>
          <w:rFonts w:eastAsia="MS Mincho" w:cs="Times New Roman"/>
          <w:color w:val="000000"/>
          <w:sz w:val="16"/>
          <w:szCs w:val="16"/>
        </w:rPr>
        <w:t xml:space="preserve">** </w:t>
      </w:r>
      <w:proofErr w:type="gramStart"/>
      <w:r>
        <w:rPr>
          <w:rFonts w:eastAsia="MS Mincho" w:cs="Times New Roman"/>
          <w:color w:val="000000"/>
          <w:sz w:val="16"/>
          <w:szCs w:val="16"/>
        </w:rPr>
        <w:t>USGS ,Minerals</w:t>
      </w:r>
      <w:proofErr w:type="gramEnd"/>
      <w:r>
        <w:rPr>
          <w:rFonts w:eastAsia="MS Mincho" w:cs="Times New Roman"/>
          <w:color w:val="000000"/>
          <w:sz w:val="16"/>
          <w:szCs w:val="16"/>
        </w:rPr>
        <w:t xml:space="preserve"> Commodities Summaries, January 2022</w:t>
      </w:r>
    </w:p>
    <w:p w14:paraId="3CF63A68" w14:textId="30FE619A" w:rsidR="00F654DA" w:rsidRDefault="00F654DA">
      <w:pPr>
        <w:pStyle w:val="BodyText"/>
        <w:rPr>
          <w:sz w:val="16"/>
          <w:szCs w:val="16"/>
        </w:rPr>
      </w:pPr>
    </w:p>
    <w:p w14:paraId="7166CB0F" w14:textId="022A25A5" w:rsidR="0023408E" w:rsidRPr="0023408E" w:rsidRDefault="003B4D10" w:rsidP="0023408E">
      <w:pPr>
        <w:widowControl w:val="0"/>
        <w:rPr>
          <w:rFonts w:cstheme="minorHAnsi"/>
          <w:sz w:val="18"/>
          <w:szCs w:val="18"/>
        </w:rPr>
      </w:pPr>
      <w:r w:rsidRPr="0023408E">
        <w:rPr>
          <w:rFonts w:cstheme="minorHAnsi"/>
          <w:sz w:val="18"/>
          <w:szCs w:val="18"/>
        </w:rPr>
        <w:t>Forward Looking Information</w:t>
      </w:r>
    </w:p>
    <w:p w14:paraId="25F2DB1F" w14:textId="77777777" w:rsidR="0023408E" w:rsidRPr="0023408E" w:rsidRDefault="0023408E" w:rsidP="0023408E">
      <w:pPr>
        <w:widowControl w:val="0"/>
        <w:rPr>
          <w:rFonts w:cstheme="minorHAnsi"/>
          <w:sz w:val="18"/>
          <w:szCs w:val="18"/>
        </w:rPr>
      </w:pPr>
    </w:p>
    <w:p w14:paraId="0F88F13E" w14:textId="70CD063C" w:rsidR="0023408E" w:rsidRPr="0023408E" w:rsidRDefault="003B4D10" w:rsidP="0023408E">
      <w:pPr>
        <w:widowControl w:val="0"/>
        <w:rPr>
          <w:rFonts w:cstheme="minorHAnsi"/>
          <w:sz w:val="18"/>
          <w:szCs w:val="18"/>
        </w:rPr>
      </w:pPr>
      <w:r w:rsidRPr="0023408E">
        <w:rPr>
          <w:rFonts w:cstheme="minorHAnsi"/>
          <w:sz w:val="18"/>
          <w:szCs w:val="18"/>
        </w:rPr>
        <w:t>This press release contains forw</w:t>
      </w:r>
      <w:r w:rsidRPr="0023408E">
        <w:rPr>
          <w:rFonts w:cstheme="minorHAnsi"/>
          <w:sz w:val="18"/>
          <w:szCs w:val="18"/>
        </w:rPr>
        <w:t>ard-looking information (within the meaning of applicable Canadian securities legislation) that involves various risks and uncertainties regarding future events. Such forward-looking information includes statements based on current expectations involving a</w:t>
      </w:r>
      <w:r w:rsidRPr="0023408E">
        <w:rPr>
          <w:rFonts w:cstheme="minorHAnsi"/>
          <w:sz w:val="18"/>
          <w:szCs w:val="18"/>
        </w:rPr>
        <w:t xml:space="preserve"> number of risks and uncertainties and such forward-looking statements are not guarantees of future performance of the Company, and include, without limitation, statements relating to plans for future exploration and the magnitude and quality of the minera</w:t>
      </w:r>
      <w:r w:rsidRPr="0023408E">
        <w:rPr>
          <w:rFonts w:cstheme="minorHAnsi"/>
          <w:sz w:val="18"/>
          <w:szCs w:val="18"/>
        </w:rPr>
        <w:t xml:space="preserve">lization at the Project. There are numerous risks and uncertainties that could cause actual results and the Company's plans and objectives to differ materially from those expressed in the forward-looking information in this news release, including without </w:t>
      </w:r>
      <w:r w:rsidRPr="0023408E">
        <w:rPr>
          <w:rFonts w:cstheme="minorHAnsi"/>
          <w:sz w:val="18"/>
          <w:szCs w:val="18"/>
        </w:rPr>
        <w:t>limitation, the following risks and uncertainties;; (</w:t>
      </w:r>
      <w:proofErr w:type="spellStart"/>
      <w:r w:rsidRPr="0023408E">
        <w:rPr>
          <w:rFonts w:cstheme="minorHAnsi"/>
          <w:sz w:val="18"/>
          <w:szCs w:val="18"/>
        </w:rPr>
        <w:t>i</w:t>
      </w:r>
      <w:proofErr w:type="spellEnd"/>
      <w:r w:rsidRPr="0023408E">
        <w:rPr>
          <w:rFonts w:cstheme="minorHAnsi"/>
          <w:sz w:val="18"/>
          <w:szCs w:val="18"/>
        </w:rPr>
        <w:t>) risks inherent in the mining industry; (ii) regulatory and environmental risks; (iii) results of exploration activities and development of mineral properties; (</w:t>
      </w:r>
      <w:proofErr w:type="spellStart"/>
      <w:r w:rsidRPr="0023408E">
        <w:rPr>
          <w:rFonts w:cstheme="minorHAnsi"/>
          <w:sz w:val="18"/>
          <w:szCs w:val="18"/>
        </w:rPr>
        <w:t>i</w:t>
      </w:r>
      <w:proofErr w:type="spellEnd"/>
      <w:r w:rsidRPr="0023408E">
        <w:rPr>
          <w:rFonts w:cstheme="minorHAnsi"/>
          <w:sz w:val="18"/>
          <w:szCs w:val="18"/>
        </w:rPr>
        <w:t>) risks relating to the estimation of m</w:t>
      </w:r>
      <w:r w:rsidRPr="0023408E">
        <w:rPr>
          <w:rFonts w:cstheme="minorHAnsi"/>
          <w:sz w:val="18"/>
          <w:szCs w:val="18"/>
        </w:rPr>
        <w:t>ineral resources; (v) stock market volatility and capital market fluctuations; and (vi) general market and industry conditions. Actual results and future events could differ materially from those anticipated in such information. This forward-looking inform</w:t>
      </w:r>
      <w:r w:rsidRPr="0023408E">
        <w:rPr>
          <w:rFonts w:cstheme="minorHAnsi"/>
          <w:sz w:val="18"/>
          <w:szCs w:val="18"/>
        </w:rPr>
        <w:t xml:space="preserve">ation is based on estimates and opinions of management on the date hereof and is expressly qualified by this notice. Risks and uncertainties about the Company's business are more fully discussed in the Company's disclosure materials filed with the </w:t>
      </w:r>
      <w:proofErr w:type="gramStart"/>
      <w:r w:rsidRPr="0023408E">
        <w:rPr>
          <w:rFonts w:cstheme="minorHAnsi"/>
          <w:sz w:val="18"/>
          <w:szCs w:val="18"/>
        </w:rPr>
        <w:t>securiti</w:t>
      </w:r>
      <w:r w:rsidRPr="0023408E">
        <w:rPr>
          <w:rFonts w:cstheme="minorHAnsi"/>
          <w:sz w:val="18"/>
          <w:szCs w:val="18"/>
        </w:rPr>
        <w:t>es</w:t>
      </w:r>
      <w:proofErr w:type="gramEnd"/>
      <w:r w:rsidRPr="0023408E">
        <w:rPr>
          <w:rFonts w:cstheme="minorHAnsi"/>
          <w:sz w:val="18"/>
          <w:szCs w:val="18"/>
        </w:rPr>
        <w:t xml:space="preserve"> regulatory authorities in Canada at www.sedar.com. The Company assumes no obligation to update any forward-looking information or to update the reasons why actual results could differ from such information unless required by applicable law.</w:t>
      </w:r>
    </w:p>
    <w:p w14:paraId="29F32F35" w14:textId="77777777" w:rsidR="0023408E" w:rsidRPr="00577C4A" w:rsidRDefault="0023408E">
      <w:pPr>
        <w:pStyle w:val="BodyText"/>
        <w:rPr>
          <w:sz w:val="16"/>
          <w:szCs w:val="16"/>
        </w:rPr>
      </w:pPr>
    </w:p>
    <w:sectPr w:rsidR="0023408E" w:rsidRPr="00577C4A" w:rsidSect="00CB28DB">
      <w:footerReference w:type="default" r:id="rId8"/>
      <w:footerReference w:type="firs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F72C7" w14:textId="77777777" w:rsidR="00000000" w:rsidRDefault="003B4D10">
      <w:r>
        <w:separator/>
      </w:r>
    </w:p>
  </w:endnote>
  <w:endnote w:type="continuationSeparator" w:id="0">
    <w:p w14:paraId="3987C734" w14:textId="77777777" w:rsidR="00000000" w:rsidRDefault="003B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090D" w14:textId="77777777" w:rsidR="00C40988" w:rsidRDefault="003B4D10">
    <w:pPr>
      <w:pStyle w:val="Footer"/>
      <w:ind w:left="-144"/>
    </w:pPr>
    <w:r>
      <w:rPr>
        <w:noProof/>
        <w:lang w:val="en-GB" w:eastAsia="en-GB"/>
      </w:rPr>
      <w:pict w14:anchorId="53D1C467">
        <v:shapetype id="_x0000_t202" coordsize="21600,21600" o:spt="202" path="m,l,21600r21600,l21600,xe">
          <v:stroke joinstyle="miter"/>
          <v:path gradientshapeok="t" o:connecttype="rect"/>
        </v:shapetype>
        <v:shape id="zzmpTrailer_1078_19" o:spid="_x0000_s2049" type="#_x0000_t202" alt="" style="position:absolute;left:0;text-align:left;margin-left:0;margin-top:0;width:201.6pt;height:50.4pt;z-index:-251658240;visibility:visible;mso-wrap-style:square;mso-wrap-edited:f;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6A61A0AB" w14:textId="43BFF009" w:rsidR="00C40988" w:rsidRDefault="00C40988" w:rsidP="00C40988">
                <w:pPr>
                  <w:pStyle w:val="MacPacTrailer"/>
                  <w:spacing w:line="20" w:lineRule="exact"/>
                </w:pPr>
              </w:p>
              <w:p w14:paraId="3E5DBBD4" w14:textId="180706C9" w:rsidR="00C40988" w:rsidRDefault="003B4D10">
                <w:pPr>
                  <w:pStyle w:val="MacPacTrailer"/>
                </w:pPr>
                <w:r>
                  <w:t>WSLEGAL\085564\00001\32151405v1</w:t>
                </w:r>
              </w:p>
              <w:p w14:paraId="2CFB8996" w14:textId="6A1035D1" w:rsidR="00C40988" w:rsidRDefault="00C40988" w:rsidP="00C40988">
                <w:pPr>
                  <w:pStyle w:val="MacPacTrailer"/>
                  <w:spacing w:line="20" w:lineRule="exact"/>
                </w:pPr>
              </w:p>
              <w:p w14:paraId="48DA039A" w14:textId="2E5B08D3" w:rsidR="00C40988" w:rsidRDefault="00C40988" w:rsidP="00C40988">
                <w:pPr>
                  <w:pStyle w:val="MacPacTrailer"/>
                  <w:spacing w:line="20" w:lineRule="exact"/>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3FA4" w14:textId="77777777" w:rsidR="00C40988" w:rsidRDefault="003B4D10">
    <w:pPr>
      <w:pStyle w:val="Footer"/>
      <w:ind w:left="-144"/>
    </w:pPr>
    <w:r>
      <w:rPr>
        <w:noProof/>
        <w:lang w:val="en-GB" w:eastAsia="en-GB"/>
      </w:rPr>
      <w:pict w14:anchorId="4ACB55CA">
        <v:shapetype id="_x0000_t202" coordsize="21600,21600" o:spt="202" path="m,l,21600r21600,l21600,xe">
          <v:stroke joinstyle="miter"/>
          <v:path gradientshapeok="t" o:connecttype="rect"/>
        </v:shapetype>
        <v:shape id="zzmpTrailer_1078_1B" o:spid="_x0000_s2050" type="#_x0000_t202" alt="" style="position:absolute;left:0;text-align:left;margin-left:0;margin-top:0;width:201.6pt;height:50.4pt;z-index:-251657216;visibility:visible;mso-wrap-style:square;mso-wrap-edited:f;mso-width-percent:0;mso-height-percent:0;mso-wrap-distance-left:9pt;mso-wrap-distance-top:0;mso-wrap-distance-right:9pt;mso-wrap-distance-bottom:0;mso-position-horizontal-relative:margin;mso-position-vertical:bottom;mso-position-vertical-relative:page;mso-width-percent:0;mso-height-percent:0;mso-width-relative:page;mso-height-relative:page;v-text-anchor:top" filled="f" stroked="f">
          <v:textbox inset="0,0,0,0">
            <w:txbxContent>
              <w:p w14:paraId="2AFDABB7" w14:textId="631FF1FD" w:rsidR="00C40988" w:rsidRDefault="00C40988" w:rsidP="00C40988">
                <w:pPr>
                  <w:pStyle w:val="MacPacTrailer"/>
                  <w:spacing w:line="20" w:lineRule="exact"/>
                </w:pPr>
              </w:p>
              <w:p w14:paraId="60B14B3E" w14:textId="1C6E3A3C" w:rsidR="00C40988" w:rsidRDefault="003B4D10">
                <w:pPr>
                  <w:pStyle w:val="MacPacTrailer"/>
                </w:pPr>
                <w:r>
                  <w:t>WSLEGAL\085564\00001\32151405v1</w:t>
                </w:r>
              </w:p>
              <w:p w14:paraId="0CA07978" w14:textId="7D1C7ECE" w:rsidR="00C40988" w:rsidRDefault="00C40988" w:rsidP="00C40988">
                <w:pPr>
                  <w:pStyle w:val="MacPacTrailer"/>
                  <w:spacing w:line="20" w:lineRule="exact"/>
                </w:pPr>
              </w:p>
              <w:p w14:paraId="0360B24F" w14:textId="5758810C" w:rsidR="00C40988" w:rsidRDefault="00C40988" w:rsidP="00C40988">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3C25F" w14:textId="77777777" w:rsidR="00000000" w:rsidRDefault="003B4D10">
      <w:r>
        <w:separator/>
      </w:r>
    </w:p>
  </w:footnote>
  <w:footnote w:type="continuationSeparator" w:id="0">
    <w:p w14:paraId="7435D119" w14:textId="77777777" w:rsidR="00000000" w:rsidRDefault="003B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322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3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222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00F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C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2"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81"/>
    <w:rsid w:val="00032EEF"/>
    <w:rsid w:val="000A4678"/>
    <w:rsid w:val="000E43FF"/>
    <w:rsid w:val="00122E02"/>
    <w:rsid w:val="001B532C"/>
    <w:rsid w:val="001B6723"/>
    <w:rsid w:val="001E696F"/>
    <w:rsid w:val="0023408E"/>
    <w:rsid w:val="00314103"/>
    <w:rsid w:val="00343D81"/>
    <w:rsid w:val="00361566"/>
    <w:rsid w:val="003B4D10"/>
    <w:rsid w:val="003D3625"/>
    <w:rsid w:val="004071E5"/>
    <w:rsid w:val="005157F0"/>
    <w:rsid w:val="00526DAE"/>
    <w:rsid w:val="00577C4A"/>
    <w:rsid w:val="0058088F"/>
    <w:rsid w:val="00740DBA"/>
    <w:rsid w:val="0074514C"/>
    <w:rsid w:val="0077096A"/>
    <w:rsid w:val="007B3C55"/>
    <w:rsid w:val="007B461C"/>
    <w:rsid w:val="00807F92"/>
    <w:rsid w:val="00840B84"/>
    <w:rsid w:val="008A12DA"/>
    <w:rsid w:val="008F39CA"/>
    <w:rsid w:val="009C70E9"/>
    <w:rsid w:val="00A11637"/>
    <w:rsid w:val="00A22F6F"/>
    <w:rsid w:val="00A809BF"/>
    <w:rsid w:val="00A86577"/>
    <w:rsid w:val="00AA6762"/>
    <w:rsid w:val="00AC0FBB"/>
    <w:rsid w:val="00B341B2"/>
    <w:rsid w:val="00B97416"/>
    <w:rsid w:val="00BD64B2"/>
    <w:rsid w:val="00C055FD"/>
    <w:rsid w:val="00C066BA"/>
    <w:rsid w:val="00C40988"/>
    <w:rsid w:val="00C75DC8"/>
    <w:rsid w:val="00D67870"/>
    <w:rsid w:val="00DB1459"/>
    <w:rsid w:val="00DE4DC4"/>
    <w:rsid w:val="00E33FBC"/>
    <w:rsid w:val="00F65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6AE53AF"/>
  <w15:chartTrackingRefBased/>
  <w15:docId w15:val="{33FE427C-6ED7-41F3-8337-605E861A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b/>
      <w: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u w:val="single"/>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rFonts w:ascii="Times New Roman" w:hAnsi="Times New Roman"/>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ascii="Times New Roman" w:hAnsi="Times New Roman"/>
      <w:sz w:val="24"/>
    </w:rPr>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ascii="Times New Roman" w:hAnsi="Times New Roman"/>
      <w:iCs/>
      <w:sz w:val="24"/>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8">
    <w:name w:val="toc 8"/>
    <w:basedOn w:val="Normal"/>
    <w:next w:val="Normal"/>
    <w:uiPriority w:val="39"/>
    <w:semiHidden/>
    <w:unhideWhenUsed/>
    <w:pPr>
      <w:spacing w:after="100"/>
      <w:ind w:left="168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customStyle="1" w:styleId="MacPacTrailer">
    <w:name w:val="MacPac Trailer"/>
    <w:rsid w:val="00C40988"/>
    <w:pPr>
      <w:widowControl w:val="0"/>
      <w:spacing w:after="0" w:line="200" w:lineRule="exact"/>
    </w:pPr>
    <w:rPr>
      <w:rFonts w:eastAsia="Times New Roman" w:cs="Times New Roman"/>
      <w:sz w:val="16"/>
      <w:szCs w:val="22"/>
    </w:rPr>
  </w:style>
  <w:style w:type="character" w:styleId="PlaceholderText">
    <w:name w:val="Placeholder Text"/>
    <w:basedOn w:val="DefaultParagraphFont"/>
    <w:uiPriority w:val="99"/>
    <w:semiHidden/>
    <w:rsid w:val="00343D81"/>
    <w:rPr>
      <w:color w:val="808080"/>
    </w:rPr>
  </w:style>
  <w:style w:type="character" w:styleId="Hyperlink">
    <w:name w:val="Hyperlink"/>
    <w:basedOn w:val="DefaultParagraphFont"/>
    <w:uiPriority w:val="99"/>
    <w:unhideWhenUsed/>
    <w:rsid w:val="00122E02"/>
    <w:rPr>
      <w:color w:val="0000FF" w:themeColor="hyperlink"/>
      <w:u w:val="single"/>
    </w:rPr>
  </w:style>
  <w:style w:type="character" w:customStyle="1" w:styleId="UnresolvedMention1">
    <w:name w:val="Unresolved Mention1"/>
    <w:basedOn w:val="DefaultParagraphFont"/>
    <w:uiPriority w:val="99"/>
    <w:semiHidden/>
    <w:unhideWhenUsed/>
    <w:rsid w:val="00122E02"/>
    <w:rPr>
      <w:color w:val="605E5C"/>
      <w:shd w:val="clear" w:color="auto" w:fill="E1DFDD"/>
    </w:rPr>
  </w:style>
  <w:style w:type="character" w:styleId="FollowedHyperlink">
    <w:name w:val="FollowedHyperlink"/>
    <w:basedOn w:val="DefaultParagraphFont"/>
    <w:uiPriority w:val="99"/>
    <w:semiHidden/>
    <w:unhideWhenUsed/>
    <w:rsid w:val="00122E02"/>
    <w:rPr>
      <w:color w:val="800080" w:themeColor="followedHyperlink"/>
      <w:u w:val="single"/>
    </w:rPr>
  </w:style>
  <w:style w:type="paragraph" w:styleId="BalloonText">
    <w:name w:val="Balloon Text"/>
    <w:basedOn w:val="Normal"/>
    <w:link w:val="BalloonTextChar"/>
    <w:uiPriority w:val="99"/>
    <w:semiHidden/>
    <w:unhideWhenUsed/>
    <w:rsid w:val="00C40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ericanpota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5426</Characters>
  <Application>Microsoft Office Word</Application>
  <DocSecurity>0</DocSecurity>
  <Lines>45</Lines>
  <Paragraphs>12</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cp:revision>
  <dcterms:created xsi:type="dcterms:W3CDTF">2022-08-29T17:11:00Z</dcterms:created>
  <dcterms:modified xsi:type="dcterms:W3CDTF">2022-08-29T17:11:00Z</dcterms:modified>
</cp:coreProperties>
</file>