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B510" w14:textId="77777777" w:rsidR="00956EE4" w:rsidRDefault="00956EE4" w:rsidP="00382083">
      <w:pPr>
        <w:pStyle w:val="Heading1"/>
        <w:spacing w:before="0" w:beforeAutospacing="0" w:after="0" w:afterAutospacing="0" w:line="488" w:lineRule="atLeast"/>
        <w:rPr>
          <w:rStyle w:val="Strong"/>
          <w:rFonts w:ascii="Verdana" w:hAnsi="Verdana" w:cs="Helvetica"/>
          <w:b/>
          <w:bCs/>
          <w:sz w:val="24"/>
          <w:szCs w:val="24"/>
        </w:rPr>
      </w:pPr>
    </w:p>
    <w:p w14:paraId="4EAED6A3" w14:textId="03A2212C" w:rsidR="00334649" w:rsidRDefault="00845736" w:rsidP="00382083">
      <w:pPr>
        <w:pStyle w:val="Heading1"/>
        <w:spacing w:before="0" w:beforeAutospacing="0" w:after="0" w:afterAutospacing="0" w:line="488" w:lineRule="atLeast"/>
        <w:jc w:val="center"/>
        <w:rPr>
          <w:rStyle w:val="Strong"/>
          <w:rFonts w:ascii="Verdana" w:hAnsi="Verdana" w:cs="Helvetica"/>
          <w:b/>
          <w:bCs/>
          <w:sz w:val="24"/>
          <w:szCs w:val="24"/>
        </w:rPr>
      </w:pPr>
      <w:r>
        <w:rPr>
          <w:rStyle w:val="Strong"/>
          <w:rFonts w:ascii="Verdana" w:hAnsi="Verdana" w:cs="Helvetica"/>
          <w:b/>
          <w:bCs/>
          <w:sz w:val="24"/>
          <w:szCs w:val="24"/>
        </w:rPr>
        <w:t xml:space="preserve">CORRECTION: </w:t>
      </w:r>
      <w:r w:rsidR="00693370" w:rsidRPr="00D41BCC">
        <w:rPr>
          <w:rStyle w:val="Strong"/>
          <w:rFonts w:ascii="Verdana" w:hAnsi="Verdana" w:cs="Helvetica"/>
          <w:b/>
          <w:bCs/>
          <w:sz w:val="24"/>
          <w:szCs w:val="24"/>
        </w:rPr>
        <w:t xml:space="preserve">Empower Clinics Reports </w:t>
      </w:r>
      <w:r w:rsidR="00011E63" w:rsidRPr="00D41BCC">
        <w:rPr>
          <w:rStyle w:val="Strong"/>
          <w:rFonts w:ascii="Verdana" w:hAnsi="Verdana" w:cs="Helvetica"/>
          <w:b/>
          <w:bCs/>
          <w:sz w:val="24"/>
          <w:szCs w:val="24"/>
        </w:rPr>
        <w:t>Q</w:t>
      </w:r>
      <w:r w:rsidR="0099670E">
        <w:rPr>
          <w:rStyle w:val="Strong"/>
          <w:rFonts w:ascii="Verdana" w:hAnsi="Verdana" w:cs="Helvetica"/>
          <w:b/>
          <w:bCs/>
          <w:sz w:val="24"/>
          <w:szCs w:val="24"/>
        </w:rPr>
        <w:t>4</w:t>
      </w:r>
      <w:r w:rsidR="00011E63" w:rsidRPr="00D41BCC">
        <w:rPr>
          <w:rStyle w:val="Strong"/>
          <w:rFonts w:ascii="Verdana" w:hAnsi="Verdana" w:cs="Helvetica"/>
          <w:b/>
          <w:bCs/>
          <w:sz w:val="24"/>
          <w:szCs w:val="24"/>
        </w:rPr>
        <w:t xml:space="preserve"> 2022</w:t>
      </w:r>
      <w:r w:rsidR="00C40C8A" w:rsidRPr="00D41BCC">
        <w:rPr>
          <w:rStyle w:val="Strong"/>
          <w:rFonts w:ascii="Verdana" w:hAnsi="Verdana" w:cs="Helvetica"/>
          <w:b/>
          <w:bCs/>
          <w:sz w:val="24"/>
          <w:szCs w:val="24"/>
        </w:rPr>
        <w:t xml:space="preserve"> </w:t>
      </w:r>
      <w:r w:rsidR="00693370" w:rsidRPr="00D41BCC">
        <w:rPr>
          <w:rStyle w:val="Strong"/>
          <w:rFonts w:ascii="Verdana" w:hAnsi="Verdana" w:cs="Helvetica"/>
          <w:b/>
          <w:bCs/>
          <w:sz w:val="24"/>
          <w:szCs w:val="24"/>
        </w:rPr>
        <w:t>Results</w:t>
      </w:r>
    </w:p>
    <w:p w14:paraId="7DDF4456" w14:textId="794D8FA6" w:rsidR="00382083" w:rsidRDefault="00382083" w:rsidP="00334649">
      <w:pPr>
        <w:pStyle w:val="Heading1"/>
        <w:spacing w:before="0" w:beforeAutospacing="0" w:after="0" w:afterAutospacing="0" w:line="488" w:lineRule="atLeast"/>
        <w:jc w:val="center"/>
        <w:rPr>
          <w:rStyle w:val="Strong"/>
          <w:rFonts w:ascii="Verdana" w:hAnsi="Verdana" w:cs="Helvetica"/>
          <w:b/>
          <w:bCs/>
          <w:sz w:val="24"/>
          <w:szCs w:val="24"/>
        </w:rPr>
      </w:pPr>
    </w:p>
    <w:p w14:paraId="3007D086" w14:textId="67C2F62F" w:rsidR="00382083" w:rsidRPr="00382083" w:rsidRDefault="00382083" w:rsidP="00382083">
      <w:pPr>
        <w:pStyle w:val="Heading1"/>
        <w:spacing w:before="0" w:beforeAutospacing="0" w:after="0" w:afterAutospacing="0" w:line="488" w:lineRule="atLeast"/>
        <w:rPr>
          <w:rStyle w:val="Strong"/>
          <w:rFonts w:ascii="Verdana" w:hAnsi="Verdana" w:cs="Helvetica"/>
          <w:b/>
          <w:bCs/>
          <w:sz w:val="21"/>
          <w:szCs w:val="21"/>
        </w:rPr>
      </w:pPr>
      <w:r w:rsidRPr="00382083">
        <w:rPr>
          <w:rFonts w:ascii="Verdana" w:hAnsi="Verdana" w:cs="Helvetica"/>
          <w:b w:val="0"/>
          <w:bCs w:val="0"/>
          <w:i/>
          <w:iCs/>
          <w:sz w:val="21"/>
          <w:szCs w:val="21"/>
          <w:lang w:val="en-US"/>
        </w:rPr>
        <w:t>This amended news release reproduces the news release filed on February 28, 2023, except that this amended release updates incorrect ticker symbol and listed exchange.</w:t>
      </w:r>
    </w:p>
    <w:p w14:paraId="6060C1B8" w14:textId="1528FA4E" w:rsidR="005A5B31" w:rsidRPr="00D41BCC" w:rsidRDefault="005A5B31" w:rsidP="00116B2B">
      <w:pPr>
        <w:jc w:val="both"/>
        <w:rPr>
          <w:rFonts w:ascii="Verdana" w:eastAsia="Verdana" w:hAnsi="Verdana" w:cs="Verdana"/>
          <w:b/>
          <w:bCs/>
          <w:sz w:val="20"/>
          <w:szCs w:val="20"/>
        </w:rPr>
      </w:pPr>
    </w:p>
    <w:p w14:paraId="7DDA0730" w14:textId="77777777" w:rsidR="00382083" w:rsidRDefault="00382083" w:rsidP="002E53B1">
      <w:pPr>
        <w:jc w:val="center"/>
        <w:rPr>
          <w:rFonts w:ascii="Verdana" w:eastAsia="Verdana" w:hAnsi="Verdana" w:cs="Verdana"/>
          <w:b/>
          <w:bCs/>
          <w:sz w:val="20"/>
          <w:szCs w:val="20"/>
        </w:rPr>
      </w:pPr>
    </w:p>
    <w:p w14:paraId="6017385C" w14:textId="6828BCA5" w:rsidR="002E53B1" w:rsidRPr="00D41BCC" w:rsidRDefault="00404D51" w:rsidP="002E53B1">
      <w:pPr>
        <w:jc w:val="center"/>
        <w:rPr>
          <w:rFonts w:ascii="Verdana" w:eastAsia="Verdana" w:hAnsi="Verdana" w:cs="Verdana"/>
          <w:b/>
          <w:bCs/>
          <w:sz w:val="20"/>
          <w:szCs w:val="20"/>
        </w:rPr>
      </w:pPr>
      <w:r w:rsidRPr="00D434F9">
        <w:rPr>
          <w:rFonts w:ascii="Verdana" w:eastAsia="Verdana" w:hAnsi="Verdana" w:cs="Verdana"/>
          <w:b/>
          <w:bCs/>
          <w:sz w:val="20"/>
          <w:szCs w:val="20"/>
        </w:rPr>
        <w:t>4</w:t>
      </w:r>
      <w:r w:rsidR="00D434F9" w:rsidRPr="00D434F9">
        <w:rPr>
          <w:rFonts w:ascii="Verdana" w:eastAsia="Verdana" w:hAnsi="Verdana" w:cs="Verdana"/>
          <w:b/>
          <w:bCs/>
          <w:sz w:val="20"/>
          <w:szCs w:val="20"/>
        </w:rPr>
        <w:t>6</w:t>
      </w:r>
      <w:r w:rsidR="002E53B1" w:rsidRPr="00D434F9">
        <w:rPr>
          <w:rFonts w:ascii="Verdana" w:eastAsia="Verdana" w:hAnsi="Verdana" w:cs="Verdana"/>
          <w:b/>
          <w:bCs/>
          <w:sz w:val="20"/>
          <w:szCs w:val="20"/>
        </w:rPr>
        <w:t>% year over year</w:t>
      </w:r>
      <w:r w:rsidR="007A452F" w:rsidRPr="00D434F9">
        <w:rPr>
          <w:rFonts w:ascii="Verdana" w:eastAsia="Verdana" w:hAnsi="Verdana" w:cs="Verdana"/>
          <w:b/>
          <w:bCs/>
          <w:sz w:val="20"/>
          <w:szCs w:val="20"/>
        </w:rPr>
        <w:t xml:space="preserve"> </w:t>
      </w:r>
      <w:r w:rsidRPr="00D434F9">
        <w:rPr>
          <w:rFonts w:ascii="Verdana" w:eastAsia="Verdana" w:hAnsi="Verdana" w:cs="Verdana"/>
          <w:b/>
          <w:bCs/>
          <w:sz w:val="20"/>
          <w:szCs w:val="20"/>
        </w:rPr>
        <w:t>increase</w:t>
      </w:r>
      <w:r w:rsidR="00802A7C" w:rsidRPr="00D434F9">
        <w:rPr>
          <w:rFonts w:ascii="Verdana" w:eastAsia="Verdana" w:hAnsi="Verdana" w:cs="Verdana"/>
          <w:b/>
          <w:bCs/>
          <w:sz w:val="20"/>
          <w:szCs w:val="20"/>
        </w:rPr>
        <w:t xml:space="preserve"> in </w:t>
      </w:r>
      <w:r w:rsidRPr="00D434F9">
        <w:rPr>
          <w:rFonts w:ascii="Verdana" w:eastAsia="Verdana" w:hAnsi="Verdana" w:cs="Verdana"/>
          <w:b/>
          <w:bCs/>
          <w:sz w:val="20"/>
          <w:szCs w:val="20"/>
        </w:rPr>
        <w:t xml:space="preserve">gross </w:t>
      </w:r>
      <w:r w:rsidR="00D434F9" w:rsidRPr="00D434F9">
        <w:rPr>
          <w:rFonts w:ascii="Verdana" w:eastAsia="Verdana" w:hAnsi="Verdana" w:cs="Verdana"/>
          <w:b/>
          <w:bCs/>
          <w:sz w:val="20"/>
          <w:szCs w:val="20"/>
        </w:rPr>
        <w:t xml:space="preserve">profit </w:t>
      </w:r>
      <w:r w:rsidRPr="00D434F9">
        <w:rPr>
          <w:rFonts w:ascii="Verdana" w:eastAsia="Verdana" w:hAnsi="Verdana" w:cs="Verdana"/>
          <w:b/>
          <w:bCs/>
          <w:sz w:val="20"/>
          <w:szCs w:val="20"/>
        </w:rPr>
        <w:t>margin</w:t>
      </w:r>
      <w:r w:rsidR="00802A7C" w:rsidRPr="00D434F9">
        <w:rPr>
          <w:rFonts w:ascii="Verdana" w:eastAsia="Verdana" w:hAnsi="Verdana" w:cs="Verdana"/>
          <w:b/>
          <w:bCs/>
          <w:sz w:val="20"/>
          <w:szCs w:val="20"/>
        </w:rPr>
        <w:t xml:space="preserve"> </w:t>
      </w:r>
      <w:r w:rsidR="00D434F9">
        <w:rPr>
          <w:rFonts w:ascii="Verdana" w:eastAsia="Verdana" w:hAnsi="Verdana" w:cs="Verdana"/>
          <w:b/>
          <w:bCs/>
          <w:sz w:val="20"/>
          <w:szCs w:val="20"/>
        </w:rPr>
        <w:t>and 7% Increase in Revenue</w:t>
      </w:r>
    </w:p>
    <w:p w14:paraId="60CB349F" w14:textId="77777777" w:rsidR="00802A7C" w:rsidRPr="00D41BCC" w:rsidRDefault="00802A7C" w:rsidP="002E53B1">
      <w:pPr>
        <w:jc w:val="center"/>
        <w:rPr>
          <w:rFonts w:ascii="Verdana" w:eastAsia="Verdana" w:hAnsi="Verdana" w:cs="Verdana"/>
          <w:b/>
          <w:bCs/>
          <w:sz w:val="20"/>
          <w:szCs w:val="20"/>
        </w:rPr>
      </w:pPr>
    </w:p>
    <w:p w14:paraId="72C31AE4" w14:textId="77777777" w:rsidR="00C50DFF" w:rsidRDefault="00C17902" w:rsidP="00116B2B">
      <w:pPr>
        <w:jc w:val="both"/>
        <w:rPr>
          <w:rFonts w:ascii="Verdana" w:eastAsia="Verdana" w:hAnsi="Verdana" w:cs="Verdana"/>
          <w:b/>
          <w:bCs/>
          <w:sz w:val="20"/>
          <w:szCs w:val="20"/>
        </w:rPr>
      </w:pPr>
      <w:r w:rsidRPr="00D41BCC">
        <w:rPr>
          <w:rFonts w:ascii="Verdana" w:eastAsia="Verdana" w:hAnsi="Verdana" w:cs="Verdana"/>
          <w:b/>
          <w:bCs/>
          <w:sz w:val="20"/>
          <w:szCs w:val="20"/>
        </w:rPr>
        <w:t xml:space="preserve">VANCOUVER, B.C.: </w:t>
      </w:r>
      <w:r w:rsidR="00A025F2">
        <w:rPr>
          <w:rFonts w:ascii="Verdana" w:eastAsia="Verdana" w:hAnsi="Verdana" w:cs="Verdana"/>
          <w:b/>
          <w:bCs/>
          <w:sz w:val="20"/>
          <w:szCs w:val="20"/>
        </w:rPr>
        <w:t>February</w:t>
      </w:r>
      <w:r w:rsidRPr="00D41BCC">
        <w:rPr>
          <w:rFonts w:ascii="Verdana" w:eastAsia="Verdana" w:hAnsi="Verdana" w:cs="Verdana"/>
          <w:b/>
          <w:bCs/>
          <w:sz w:val="20"/>
          <w:szCs w:val="20"/>
        </w:rPr>
        <w:t xml:space="preserve"> </w:t>
      </w:r>
      <w:r w:rsidR="00D434F9">
        <w:rPr>
          <w:rFonts w:ascii="Verdana" w:eastAsia="Verdana" w:hAnsi="Verdana" w:cs="Verdana"/>
          <w:b/>
          <w:bCs/>
          <w:sz w:val="20"/>
          <w:szCs w:val="20"/>
        </w:rPr>
        <w:t>28</w:t>
      </w:r>
      <w:r w:rsidRPr="00D41BCC">
        <w:rPr>
          <w:rFonts w:ascii="Verdana" w:eastAsia="Verdana" w:hAnsi="Verdana" w:cs="Verdana"/>
          <w:b/>
          <w:bCs/>
          <w:sz w:val="20"/>
          <w:szCs w:val="20"/>
        </w:rPr>
        <w:t>, 202</w:t>
      </w:r>
      <w:r w:rsidR="00A025F2">
        <w:rPr>
          <w:rFonts w:ascii="Verdana" w:eastAsia="Verdana" w:hAnsi="Verdana" w:cs="Verdana"/>
          <w:b/>
          <w:bCs/>
          <w:sz w:val="20"/>
          <w:szCs w:val="20"/>
        </w:rPr>
        <w:t>3</w:t>
      </w:r>
      <w:r w:rsidRPr="00D41BCC">
        <w:rPr>
          <w:rFonts w:ascii="Verdana" w:eastAsia="Verdana" w:hAnsi="Verdana" w:cs="Verdana"/>
          <w:b/>
          <w:bCs/>
          <w:sz w:val="20"/>
          <w:szCs w:val="20"/>
        </w:rPr>
        <w:t xml:space="preserve"> – EMPOWER CLINICS INC (</w:t>
      </w:r>
      <w:proofErr w:type="gramStart"/>
      <w:r w:rsidRPr="00D41BCC">
        <w:rPr>
          <w:rFonts w:ascii="Verdana" w:eastAsia="Verdana" w:hAnsi="Verdana" w:cs="Verdana"/>
          <w:b/>
          <w:bCs/>
          <w:sz w:val="20"/>
          <w:szCs w:val="20"/>
        </w:rPr>
        <w:t>CSE:</w:t>
      </w:r>
      <w:r w:rsidR="00C50DFF">
        <w:rPr>
          <w:rFonts w:ascii="Verdana" w:eastAsia="Verdana" w:hAnsi="Verdana" w:cs="Verdana"/>
          <w:b/>
          <w:bCs/>
          <w:sz w:val="20"/>
          <w:szCs w:val="20"/>
        </w:rPr>
        <w:t>EPW</w:t>
      </w:r>
      <w:proofErr w:type="gramEnd"/>
      <w:r w:rsidRPr="00D41BCC">
        <w:rPr>
          <w:rFonts w:ascii="Verdana" w:eastAsia="Verdana" w:hAnsi="Verdana" w:cs="Verdana"/>
          <w:b/>
          <w:bCs/>
          <w:sz w:val="20"/>
          <w:szCs w:val="20"/>
        </w:rPr>
        <w:t>)</w:t>
      </w:r>
    </w:p>
    <w:p w14:paraId="7BD5B3E4" w14:textId="047A39B2" w:rsidR="00116B2B" w:rsidRPr="008E4DD2" w:rsidRDefault="00C17902" w:rsidP="00116B2B">
      <w:pPr>
        <w:jc w:val="both"/>
        <w:rPr>
          <w:rFonts w:ascii="Verdana" w:eastAsia="Verdana" w:hAnsi="Verdana" w:cs="Verdana"/>
          <w:bCs/>
          <w:sz w:val="20"/>
          <w:szCs w:val="20"/>
          <w:lang w:val="en-CA"/>
        </w:rPr>
      </w:pPr>
      <w:r w:rsidRPr="00D41BCC">
        <w:rPr>
          <w:rFonts w:ascii="Verdana" w:eastAsia="Verdana" w:hAnsi="Verdana" w:cs="Verdana"/>
          <w:b/>
          <w:bCs/>
          <w:sz w:val="20"/>
          <w:szCs w:val="20"/>
        </w:rPr>
        <w:t>(OTC</w:t>
      </w:r>
      <w:r w:rsidR="00382083">
        <w:rPr>
          <w:rFonts w:ascii="Verdana" w:eastAsia="Verdana" w:hAnsi="Verdana" w:cs="Verdana"/>
          <w:b/>
          <w:bCs/>
          <w:sz w:val="20"/>
          <w:szCs w:val="20"/>
        </w:rPr>
        <w:t xml:space="preserve"> PINK</w:t>
      </w:r>
      <w:r w:rsidRPr="00D41BCC">
        <w:rPr>
          <w:rFonts w:ascii="Verdana" w:eastAsia="Verdana" w:hAnsi="Verdana" w:cs="Verdana"/>
          <w:b/>
          <w:bCs/>
          <w:sz w:val="20"/>
          <w:szCs w:val="20"/>
        </w:rPr>
        <w:t>:EPWCF) ("Empower"</w:t>
      </w:r>
      <w:r w:rsidRPr="008E4DD2">
        <w:rPr>
          <w:rFonts w:ascii="Verdana" w:eastAsia="Verdana" w:hAnsi="Verdana" w:cs="Verdana"/>
          <w:b/>
          <w:bCs/>
          <w:sz w:val="20"/>
          <w:szCs w:val="20"/>
        </w:rPr>
        <w:t xml:space="preserve"> or the "Company") </w:t>
      </w:r>
      <w:r w:rsidR="009F2E73" w:rsidRPr="006A2B17">
        <w:rPr>
          <w:rFonts w:ascii="Verdana" w:eastAsia="Verdana" w:hAnsi="Verdana" w:cs="Verdana"/>
          <w:sz w:val="20"/>
          <w:szCs w:val="20"/>
        </w:rPr>
        <w:t>a</w:t>
      </w:r>
      <w:r w:rsidR="009F2E73">
        <w:rPr>
          <w:rFonts w:ascii="Verdana" w:eastAsia="Verdana" w:hAnsi="Verdana" w:cs="Verdana"/>
          <w:sz w:val="20"/>
          <w:szCs w:val="20"/>
        </w:rPr>
        <w:t xml:space="preserve"> life sciences </w:t>
      </w:r>
      <w:r w:rsidR="009F2E73" w:rsidRPr="006A2B17">
        <w:rPr>
          <w:rFonts w:ascii="Verdana" w:eastAsia="Verdana" w:hAnsi="Verdana" w:cs="Verdana"/>
          <w:sz w:val="20"/>
          <w:szCs w:val="20"/>
        </w:rPr>
        <w:t>healthcare company - serving patients through medical centers, a medical device company</w:t>
      </w:r>
      <w:r w:rsidR="009F2E73">
        <w:rPr>
          <w:rFonts w:ascii="Verdana" w:eastAsia="Verdana" w:hAnsi="Verdana" w:cs="Verdana"/>
          <w:sz w:val="20"/>
          <w:szCs w:val="20"/>
        </w:rPr>
        <w:t xml:space="preserve"> </w:t>
      </w:r>
      <w:r w:rsidR="009F2E73" w:rsidRPr="006A2B17">
        <w:rPr>
          <w:rFonts w:ascii="Verdana" w:eastAsia="Verdana" w:hAnsi="Verdana" w:cs="Verdana"/>
          <w:sz w:val="20"/>
          <w:szCs w:val="20"/>
        </w:rPr>
        <w:t xml:space="preserve">and </w:t>
      </w:r>
      <w:r w:rsidR="009F2E73">
        <w:rPr>
          <w:rFonts w:ascii="Verdana" w:eastAsia="Verdana" w:hAnsi="Verdana" w:cs="Verdana"/>
          <w:sz w:val="20"/>
          <w:szCs w:val="20"/>
        </w:rPr>
        <w:t xml:space="preserve">the application of clinical studies that leverages it’s </w:t>
      </w:r>
      <w:r w:rsidR="009F2E73" w:rsidRPr="006A2B17">
        <w:rPr>
          <w:rFonts w:ascii="Verdana" w:eastAsia="Verdana" w:hAnsi="Verdana" w:cs="Verdana"/>
          <w:sz w:val="20"/>
          <w:szCs w:val="20"/>
        </w:rPr>
        <w:t xml:space="preserve">high complexity medical diagnostics laboratory </w:t>
      </w:r>
      <w:r w:rsidRPr="008E4DD2">
        <w:rPr>
          <w:rFonts w:ascii="Verdana" w:eastAsia="Verdana" w:hAnsi="Verdana" w:cs="Verdana"/>
          <w:sz w:val="20"/>
          <w:szCs w:val="20"/>
        </w:rPr>
        <w:t xml:space="preserve">– announced today it </w:t>
      </w:r>
      <w:r w:rsidR="00116B2B" w:rsidRPr="008E4DD2">
        <w:rPr>
          <w:rFonts w:ascii="Verdana" w:eastAsia="Verdana" w:hAnsi="Verdana" w:cs="Verdana"/>
          <w:sz w:val="20"/>
          <w:szCs w:val="20"/>
          <w:lang w:val="en-CA"/>
        </w:rPr>
        <w:t xml:space="preserve">has filed its </w:t>
      </w:r>
      <w:r w:rsidR="009D6E0C">
        <w:rPr>
          <w:rFonts w:ascii="Verdana" w:eastAsia="Verdana" w:hAnsi="Verdana" w:cs="Verdana"/>
          <w:sz w:val="20"/>
          <w:szCs w:val="20"/>
          <w:lang w:val="en-CA"/>
        </w:rPr>
        <w:t>Q4</w:t>
      </w:r>
      <w:r w:rsidR="00803A70">
        <w:rPr>
          <w:rFonts w:ascii="Verdana" w:eastAsia="Verdana" w:hAnsi="Verdana" w:cs="Verdana"/>
          <w:sz w:val="20"/>
          <w:szCs w:val="20"/>
          <w:lang w:val="en-CA"/>
        </w:rPr>
        <w:t xml:space="preserve"> 2022</w:t>
      </w:r>
      <w:r w:rsidR="009D6E0C">
        <w:rPr>
          <w:rFonts w:ascii="Verdana" w:eastAsia="Verdana" w:hAnsi="Verdana" w:cs="Verdana"/>
          <w:sz w:val="20"/>
          <w:szCs w:val="20"/>
          <w:lang w:val="en-CA"/>
        </w:rPr>
        <w:t xml:space="preserve"> interim</w:t>
      </w:r>
      <w:r w:rsidR="00D420DD" w:rsidRPr="008E4DD2">
        <w:rPr>
          <w:rFonts w:ascii="Verdana" w:eastAsia="Verdana" w:hAnsi="Verdana" w:cs="Verdana"/>
          <w:sz w:val="20"/>
          <w:szCs w:val="20"/>
          <w:lang w:val="en-CA"/>
        </w:rPr>
        <w:t xml:space="preserve"> </w:t>
      </w:r>
      <w:r w:rsidR="00116B2B" w:rsidRPr="008E4DD2">
        <w:rPr>
          <w:rFonts w:ascii="Verdana" w:eastAsia="Verdana" w:hAnsi="Verdana" w:cs="Verdana"/>
          <w:sz w:val="20"/>
          <w:szCs w:val="20"/>
          <w:lang w:val="en-CA"/>
        </w:rPr>
        <w:t xml:space="preserve">consolidated financial statements and related management’s discussion </w:t>
      </w:r>
      <w:r w:rsidR="00915B29">
        <w:rPr>
          <w:rFonts w:ascii="Verdana" w:eastAsia="Verdana" w:hAnsi="Verdana" w:cs="Verdana"/>
          <w:sz w:val="20"/>
          <w:szCs w:val="20"/>
          <w:lang w:val="en-CA"/>
        </w:rPr>
        <w:t>&amp;</w:t>
      </w:r>
      <w:r w:rsidR="00116B2B" w:rsidRPr="008E4DD2">
        <w:rPr>
          <w:rFonts w:ascii="Verdana" w:eastAsia="Verdana" w:hAnsi="Verdana" w:cs="Verdana"/>
          <w:sz w:val="20"/>
          <w:szCs w:val="20"/>
          <w:lang w:val="en-CA"/>
        </w:rPr>
        <w:t xml:space="preserve"> analysis, both of which are availab</w:t>
      </w:r>
      <w:r w:rsidR="00116B2B" w:rsidRPr="008E4DD2">
        <w:rPr>
          <w:rFonts w:ascii="Verdana" w:eastAsia="Verdana" w:hAnsi="Verdana" w:cs="Verdana"/>
          <w:bCs/>
          <w:sz w:val="20"/>
          <w:szCs w:val="20"/>
          <w:lang w:val="en-CA"/>
        </w:rPr>
        <w:t xml:space="preserve">le at </w:t>
      </w:r>
      <w:hyperlink r:id="rId10" w:history="1">
        <w:r w:rsidR="00116B2B" w:rsidRPr="008E4DD2">
          <w:rPr>
            <w:rStyle w:val="Hyperlink"/>
            <w:rFonts w:ascii="Verdana" w:eastAsia="Verdana" w:hAnsi="Verdana" w:cs="Verdana"/>
            <w:bCs/>
            <w:color w:val="auto"/>
            <w:sz w:val="20"/>
            <w:szCs w:val="20"/>
            <w:lang w:val="en-CA"/>
          </w:rPr>
          <w:t>www.SEDAR.com</w:t>
        </w:r>
      </w:hyperlink>
      <w:r w:rsidR="00116B2B" w:rsidRPr="008E4DD2">
        <w:rPr>
          <w:rFonts w:ascii="Verdana" w:eastAsia="Verdana" w:hAnsi="Verdana" w:cs="Verdana"/>
          <w:bCs/>
          <w:sz w:val="20"/>
          <w:szCs w:val="20"/>
          <w:lang w:val="en-CA"/>
        </w:rPr>
        <w:t xml:space="preserve">. All financial information in this press release is reported in United States dollars, unless otherwise indicated. </w:t>
      </w:r>
      <w:r w:rsidR="00D81975" w:rsidRPr="00D81975">
        <w:rPr>
          <w:rFonts w:ascii="Verdana" w:eastAsia="Verdana" w:hAnsi="Verdana" w:cs="Verdana"/>
          <w:bCs/>
          <w:sz w:val="20"/>
          <w:szCs w:val="20"/>
          <w:lang w:val="en-CA"/>
        </w:rPr>
        <w:t>On December 23, 2022, the Company announced it has changed its fiscal year end from December 31 to March 31.</w:t>
      </w:r>
    </w:p>
    <w:p w14:paraId="3488FD98" w14:textId="7D7FBAE2" w:rsidR="006B33E3" w:rsidRPr="008E4DD2" w:rsidRDefault="006B33E3" w:rsidP="002F1CF3">
      <w:pPr>
        <w:jc w:val="both"/>
        <w:rPr>
          <w:rFonts w:ascii="Verdana" w:eastAsia="Times New Roman" w:hAnsi="Verdana" w:cs="Helvetica"/>
          <w:bCs/>
          <w:sz w:val="22"/>
          <w:bdr w:val="none" w:sz="0" w:space="0" w:color="auto" w:frame="1"/>
          <w:lang w:val="en-CA" w:eastAsia="en-CA"/>
        </w:rPr>
      </w:pPr>
    </w:p>
    <w:p w14:paraId="7D7961A1" w14:textId="3BE43BF1" w:rsidR="009F2E73" w:rsidRPr="00803A70" w:rsidRDefault="009F2E73" w:rsidP="002F1CF3">
      <w:pPr>
        <w:jc w:val="both"/>
        <w:rPr>
          <w:rFonts w:ascii="Verdana" w:eastAsia="Times New Roman" w:hAnsi="Verdana" w:cs="Helvetica"/>
          <w:bCs/>
          <w:sz w:val="20"/>
          <w:szCs w:val="20"/>
          <w:bdr w:val="none" w:sz="0" w:space="0" w:color="auto" w:frame="1"/>
          <w:lang w:val="en-CA" w:eastAsia="en-CA"/>
        </w:rPr>
      </w:pPr>
      <w:r w:rsidRPr="009F2E73">
        <w:rPr>
          <w:rFonts w:ascii="Verdana" w:eastAsia="Times New Roman" w:hAnsi="Verdana" w:cs="Helvetica"/>
          <w:bCs/>
          <w:sz w:val="20"/>
          <w:szCs w:val="20"/>
          <w:bdr w:val="none" w:sz="0" w:space="0" w:color="auto" w:frame="1"/>
          <w:lang w:val="en-CA" w:eastAsia="en-CA"/>
        </w:rPr>
        <w:t>“</w:t>
      </w:r>
      <w:r w:rsidR="006A60E3">
        <w:rPr>
          <w:rFonts w:ascii="Verdana" w:eastAsia="Times New Roman" w:hAnsi="Verdana" w:cs="Helvetica"/>
          <w:bCs/>
          <w:sz w:val="20"/>
          <w:szCs w:val="20"/>
          <w:bdr w:val="none" w:sz="0" w:space="0" w:color="auto" w:frame="1"/>
          <w:lang w:val="en-CA" w:eastAsia="en-CA"/>
        </w:rPr>
        <w:t>I am proud of our team and their efforts to maintain growth initiatives, all while managing costs going into 2023.” said Steven McAuley, Chairman &amp; CEO. “Going forward, we continue to develop our U.S. healthcare initiatives focu</w:t>
      </w:r>
      <w:r w:rsidR="00803A70">
        <w:rPr>
          <w:rFonts w:ascii="Verdana" w:eastAsia="Times New Roman" w:hAnsi="Verdana" w:cs="Helvetica"/>
          <w:bCs/>
          <w:sz w:val="20"/>
          <w:szCs w:val="20"/>
          <w:bdr w:val="none" w:sz="0" w:space="0" w:color="auto" w:frame="1"/>
          <w:lang w:val="en-CA" w:eastAsia="en-CA"/>
        </w:rPr>
        <w:t>sing</w:t>
      </w:r>
      <w:r w:rsidR="006A60E3">
        <w:rPr>
          <w:rFonts w:ascii="Verdana" w:eastAsia="Times New Roman" w:hAnsi="Verdana" w:cs="Helvetica"/>
          <w:bCs/>
          <w:sz w:val="20"/>
          <w:szCs w:val="20"/>
          <w:bdr w:val="none" w:sz="0" w:space="0" w:color="auto" w:frame="1"/>
          <w:lang w:val="en-CA" w:eastAsia="en-CA"/>
        </w:rPr>
        <w:t xml:space="preserve"> on </w:t>
      </w:r>
      <w:r w:rsidR="00803A70" w:rsidRPr="00803A70">
        <w:rPr>
          <w:rFonts w:ascii="Verdana" w:eastAsia="Times New Roman" w:hAnsi="Verdana" w:cs="Helvetica"/>
          <w:bCs/>
          <w:sz w:val="20"/>
          <w:szCs w:val="20"/>
          <w:bdr w:val="none" w:sz="0" w:space="0" w:color="auto" w:frame="1"/>
          <w:lang w:val="en" w:eastAsia="en-CA"/>
        </w:rPr>
        <w:t>offering clinical trial services</w:t>
      </w:r>
      <w:r w:rsidR="00C505E4">
        <w:rPr>
          <w:rFonts w:ascii="Verdana" w:eastAsia="Times New Roman" w:hAnsi="Verdana" w:cs="Helvetica"/>
          <w:bCs/>
          <w:sz w:val="20"/>
          <w:szCs w:val="20"/>
          <w:bdr w:val="none" w:sz="0" w:space="0" w:color="auto" w:frame="1"/>
          <w:lang w:val="en" w:eastAsia="en-CA"/>
        </w:rPr>
        <w:t>, with the stated objective of becoming an established Site Management Organization (SMO)</w:t>
      </w:r>
      <w:r w:rsidR="00803A70" w:rsidRPr="00803A70">
        <w:rPr>
          <w:rFonts w:ascii="Verdana" w:eastAsia="Times New Roman" w:hAnsi="Verdana" w:cs="Helvetica"/>
          <w:bCs/>
          <w:sz w:val="20"/>
          <w:szCs w:val="20"/>
          <w:bdr w:val="none" w:sz="0" w:space="0" w:color="auto" w:frame="1"/>
          <w:lang w:val="en" w:eastAsia="en-CA"/>
        </w:rPr>
        <w:t xml:space="preserve"> for the pharmaceutical, biotechnology and medical device industries</w:t>
      </w:r>
      <w:r w:rsidR="006A60E3">
        <w:rPr>
          <w:rFonts w:ascii="Verdana" w:eastAsia="Times New Roman" w:hAnsi="Verdana" w:cs="Helvetica"/>
          <w:bCs/>
          <w:sz w:val="20"/>
          <w:szCs w:val="20"/>
          <w:bdr w:val="none" w:sz="0" w:space="0" w:color="auto" w:frame="1"/>
          <w:lang w:val="en-CA" w:eastAsia="en-CA"/>
        </w:rPr>
        <w:t>.”</w:t>
      </w:r>
    </w:p>
    <w:p w14:paraId="4AE1AC27" w14:textId="03D340B9" w:rsidR="00FC6E94" w:rsidRPr="008E4DD2" w:rsidRDefault="00D21177" w:rsidP="00FC6E94">
      <w:pPr>
        <w:pStyle w:val="NormalWeb"/>
        <w:spacing w:before="150" w:beforeAutospacing="0" w:after="150" w:afterAutospacing="0" w:line="360" w:lineRule="atLeast"/>
        <w:jc w:val="both"/>
        <w:rPr>
          <w:rFonts w:ascii="Verdana" w:hAnsi="Verdana" w:cs="Helvetica"/>
          <w:b/>
          <w:sz w:val="20"/>
          <w:szCs w:val="20"/>
        </w:rPr>
      </w:pPr>
      <w:r>
        <w:rPr>
          <w:rFonts w:ascii="Verdana" w:hAnsi="Verdana" w:cs="Helvetica"/>
          <w:b/>
          <w:sz w:val="20"/>
          <w:szCs w:val="20"/>
        </w:rPr>
        <w:t>Q</w:t>
      </w:r>
      <w:r w:rsidR="00A131B9">
        <w:rPr>
          <w:rFonts w:ascii="Verdana" w:hAnsi="Verdana" w:cs="Helvetica"/>
          <w:b/>
          <w:sz w:val="20"/>
          <w:szCs w:val="20"/>
        </w:rPr>
        <w:t>4</w:t>
      </w:r>
      <w:r w:rsidR="00011E63">
        <w:rPr>
          <w:rFonts w:ascii="Verdana" w:hAnsi="Verdana" w:cs="Helvetica"/>
          <w:b/>
          <w:sz w:val="20"/>
          <w:szCs w:val="20"/>
        </w:rPr>
        <w:t xml:space="preserve"> </w:t>
      </w:r>
      <w:r w:rsidR="00C40C8A" w:rsidRPr="008E4DD2">
        <w:rPr>
          <w:rFonts w:ascii="Verdana" w:hAnsi="Verdana" w:cs="Helvetica"/>
          <w:b/>
          <w:sz w:val="20"/>
          <w:szCs w:val="20"/>
        </w:rPr>
        <w:t>202</w:t>
      </w:r>
      <w:r w:rsidR="00011E63">
        <w:rPr>
          <w:rFonts w:ascii="Verdana" w:hAnsi="Verdana" w:cs="Helvetica"/>
          <w:b/>
          <w:sz w:val="20"/>
          <w:szCs w:val="20"/>
        </w:rPr>
        <w:t>2</w:t>
      </w:r>
      <w:r w:rsidR="00C40C8A" w:rsidRPr="008E4DD2">
        <w:rPr>
          <w:rFonts w:ascii="Verdana" w:hAnsi="Verdana" w:cs="Helvetica"/>
          <w:b/>
          <w:sz w:val="20"/>
          <w:szCs w:val="20"/>
        </w:rPr>
        <w:t xml:space="preserve"> </w:t>
      </w:r>
      <w:r w:rsidR="00FC6E94" w:rsidRPr="008E4DD2">
        <w:rPr>
          <w:rFonts w:ascii="Verdana" w:hAnsi="Verdana" w:cs="Helvetica"/>
          <w:b/>
          <w:sz w:val="20"/>
          <w:szCs w:val="20"/>
        </w:rPr>
        <w:t>Highlights</w:t>
      </w:r>
    </w:p>
    <w:p w14:paraId="73D80F66" w14:textId="7CE3A1E0" w:rsidR="00C11476" w:rsidRPr="008E4DD2" w:rsidRDefault="0077599B" w:rsidP="00FC0244">
      <w:pPr>
        <w:pStyle w:val="ListParagraph"/>
        <w:numPr>
          <w:ilvl w:val="0"/>
          <w:numId w:val="2"/>
        </w:numPr>
        <w:jc w:val="both"/>
        <w:rPr>
          <w:rFonts w:ascii="Verdana" w:eastAsia="Times New Roman" w:hAnsi="Verdana" w:cs="Helvetica"/>
          <w:bCs/>
          <w:sz w:val="20"/>
          <w:szCs w:val="20"/>
          <w:bdr w:val="none" w:sz="0" w:space="0" w:color="auto" w:frame="1"/>
          <w:lang w:val="en-CA" w:eastAsia="en-CA"/>
        </w:rPr>
      </w:pPr>
      <w:r w:rsidRPr="008E4DD2">
        <w:rPr>
          <w:rFonts w:ascii="Verdana" w:eastAsia="Times New Roman" w:hAnsi="Verdana" w:cs="Helvetica"/>
          <w:bCs/>
          <w:sz w:val="20"/>
          <w:szCs w:val="20"/>
          <w:bdr w:val="none" w:sz="0" w:space="0" w:color="auto" w:frame="1"/>
          <w:lang w:val="en-CA" w:eastAsia="en-CA"/>
        </w:rPr>
        <w:t>Total</w:t>
      </w:r>
      <w:r w:rsidR="00C11476" w:rsidRPr="008E4DD2">
        <w:rPr>
          <w:rFonts w:ascii="Verdana" w:eastAsia="Times New Roman" w:hAnsi="Verdana" w:cs="Helvetica"/>
          <w:bCs/>
          <w:sz w:val="20"/>
          <w:szCs w:val="20"/>
          <w:bdr w:val="none" w:sz="0" w:space="0" w:color="auto" w:frame="1"/>
          <w:lang w:val="en-CA" w:eastAsia="en-CA"/>
        </w:rPr>
        <w:t xml:space="preserve"> revenues</w:t>
      </w:r>
      <w:r w:rsidR="00437AE6" w:rsidRPr="008E4DD2">
        <w:rPr>
          <w:rFonts w:ascii="Verdana" w:eastAsia="Times New Roman" w:hAnsi="Verdana" w:cs="Helvetica"/>
          <w:bCs/>
          <w:sz w:val="20"/>
          <w:szCs w:val="20"/>
          <w:bdr w:val="none" w:sz="0" w:space="0" w:color="auto" w:frame="1"/>
          <w:lang w:val="en-CA" w:eastAsia="en-CA"/>
        </w:rPr>
        <w:t xml:space="preserve"> from continuing </w:t>
      </w:r>
      <w:r w:rsidR="00437AE6" w:rsidRPr="00FC0C01">
        <w:rPr>
          <w:rFonts w:ascii="Verdana" w:eastAsia="Times New Roman" w:hAnsi="Verdana" w:cs="Helvetica"/>
          <w:bCs/>
          <w:sz w:val="20"/>
          <w:szCs w:val="20"/>
          <w:bdr w:val="none" w:sz="0" w:space="0" w:color="auto" w:frame="1"/>
          <w:lang w:val="en-CA" w:eastAsia="en-CA"/>
        </w:rPr>
        <w:t xml:space="preserve">operations of </w:t>
      </w:r>
      <w:r w:rsidR="00437AE6" w:rsidRPr="005C6AD0">
        <w:rPr>
          <w:rFonts w:ascii="Verdana" w:eastAsia="Times New Roman" w:hAnsi="Verdana" w:cs="Helvetica"/>
          <w:bCs/>
          <w:sz w:val="20"/>
          <w:szCs w:val="20"/>
          <w:bdr w:val="none" w:sz="0" w:space="0" w:color="auto" w:frame="1"/>
          <w:lang w:val="en-CA" w:eastAsia="en-CA"/>
        </w:rPr>
        <w:t>$</w:t>
      </w:r>
      <w:r w:rsidR="00587FA6" w:rsidRPr="00587FA6">
        <w:rPr>
          <w:rFonts w:ascii="Verdana" w:eastAsia="Times New Roman" w:hAnsi="Verdana" w:cs="Helvetica"/>
          <w:bCs/>
          <w:sz w:val="20"/>
          <w:szCs w:val="20"/>
          <w:bdr w:val="none" w:sz="0" w:space="0" w:color="auto" w:frame="1"/>
          <w:lang w:val="en-CA" w:eastAsia="en-CA"/>
        </w:rPr>
        <w:t>426,786</w:t>
      </w:r>
      <w:r w:rsidR="00437AE6" w:rsidRPr="00FC0C01">
        <w:rPr>
          <w:rFonts w:ascii="Verdana" w:eastAsia="Times New Roman" w:hAnsi="Verdana" w:cs="Helvetica"/>
          <w:bCs/>
          <w:sz w:val="20"/>
          <w:szCs w:val="20"/>
          <w:bdr w:val="none" w:sz="0" w:space="0" w:color="auto" w:frame="1"/>
          <w:lang w:val="en-CA" w:eastAsia="en-CA"/>
        </w:rPr>
        <w:t xml:space="preserve"> </w:t>
      </w:r>
      <w:r w:rsidR="00C11476" w:rsidRPr="00FC0C01">
        <w:rPr>
          <w:rFonts w:ascii="Verdana" w:hAnsi="Verdana" w:cs="Helvetica"/>
          <w:sz w:val="20"/>
          <w:szCs w:val="20"/>
        </w:rPr>
        <w:t>for</w:t>
      </w:r>
      <w:r w:rsidR="00C11476" w:rsidRPr="008E4DD2">
        <w:rPr>
          <w:rFonts w:ascii="Verdana" w:hAnsi="Verdana" w:cs="Helvetica"/>
          <w:sz w:val="20"/>
          <w:szCs w:val="20"/>
        </w:rPr>
        <w:t xml:space="preserve"> </w:t>
      </w:r>
      <w:r w:rsidR="00267E58">
        <w:rPr>
          <w:rFonts w:ascii="Verdana" w:hAnsi="Verdana" w:cs="Helvetica"/>
          <w:sz w:val="20"/>
          <w:szCs w:val="20"/>
        </w:rPr>
        <w:t>Q</w:t>
      </w:r>
      <w:r w:rsidR="00587FA6">
        <w:rPr>
          <w:rFonts w:ascii="Verdana" w:hAnsi="Verdana" w:cs="Helvetica"/>
          <w:sz w:val="20"/>
          <w:szCs w:val="20"/>
        </w:rPr>
        <w:t>4</w:t>
      </w:r>
      <w:r w:rsidR="00267E58">
        <w:rPr>
          <w:rFonts w:ascii="Verdana" w:hAnsi="Verdana" w:cs="Helvetica"/>
          <w:sz w:val="20"/>
          <w:szCs w:val="20"/>
        </w:rPr>
        <w:t xml:space="preserve"> 2022</w:t>
      </w:r>
      <w:r w:rsidR="00C11476" w:rsidRPr="008E4DD2">
        <w:rPr>
          <w:rFonts w:ascii="Verdana" w:hAnsi="Verdana" w:cs="Helvetica"/>
          <w:sz w:val="20"/>
          <w:szCs w:val="20"/>
        </w:rPr>
        <w:t xml:space="preserve"> compared to revenues </w:t>
      </w:r>
      <w:r w:rsidR="00437AE6" w:rsidRPr="008E4DD2">
        <w:rPr>
          <w:rFonts w:ascii="Verdana" w:hAnsi="Verdana" w:cs="Helvetica"/>
          <w:sz w:val="20"/>
          <w:szCs w:val="20"/>
        </w:rPr>
        <w:t xml:space="preserve">of </w:t>
      </w:r>
      <w:r w:rsidR="00C11476" w:rsidRPr="008E4DD2">
        <w:rPr>
          <w:rFonts w:ascii="Verdana" w:hAnsi="Verdana" w:cs="Helvetica"/>
          <w:sz w:val="20"/>
          <w:szCs w:val="20"/>
        </w:rPr>
        <w:t>$</w:t>
      </w:r>
      <w:r w:rsidR="00587FA6" w:rsidRPr="00587FA6">
        <w:rPr>
          <w:rFonts w:ascii="Verdana" w:hAnsi="Verdana" w:cs="Helvetica"/>
          <w:sz w:val="20"/>
          <w:szCs w:val="20"/>
        </w:rPr>
        <w:t>1,142,581</w:t>
      </w:r>
      <w:r w:rsidR="00C10598">
        <w:rPr>
          <w:rFonts w:ascii="Verdana" w:hAnsi="Verdana" w:cs="Helvetica"/>
          <w:sz w:val="20"/>
          <w:szCs w:val="20"/>
        </w:rPr>
        <w:t xml:space="preserve"> for Q</w:t>
      </w:r>
      <w:r w:rsidR="00587FA6">
        <w:rPr>
          <w:rFonts w:ascii="Verdana" w:hAnsi="Verdana" w:cs="Helvetica"/>
          <w:sz w:val="20"/>
          <w:szCs w:val="20"/>
        </w:rPr>
        <w:t>4</w:t>
      </w:r>
      <w:r w:rsidR="00C10598">
        <w:rPr>
          <w:rFonts w:ascii="Verdana" w:hAnsi="Verdana" w:cs="Helvetica"/>
          <w:sz w:val="20"/>
          <w:szCs w:val="20"/>
        </w:rPr>
        <w:t xml:space="preserve"> 2021</w:t>
      </w:r>
      <w:r w:rsidR="00FC46AA">
        <w:rPr>
          <w:rFonts w:ascii="Verdana" w:hAnsi="Verdana" w:cs="Helvetica"/>
          <w:sz w:val="20"/>
          <w:szCs w:val="20"/>
        </w:rPr>
        <w:t xml:space="preserve">, representing </w:t>
      </w:r>
      <w:r w:rsidR="00281FDC">
        <w:rPr>
          <w:rFonts w:ascii="Verdana" w:hAnsi="Verdana" w:cs="Helvetica"/>
          <w:sz w:val="20"/>
          <w:szCs w:val="20"/>
        </w:rPr>
        <w:t xml:space="preserve">a </w:t>
      </w:r>
      <w:r w:rsidR="00587FA6">
        <w:rPr>
          <w:rFonts w:ascii="Verdana" w:hAnsi="Verdana" w:cs="Helvetica"/>
          <w:sz w:val="20"/>
          <w:szCs w:val="20"/>
        </w:rPr>
        <w:t>63</w:t>
      </w:r>
      <w:r w:rsidR="00D24F49">
        <w:rPr>
          <w:rFonts w:ascii="Verdana" w:hAnsi="Verdana" w:cs="Helvetica"/>
          <w:sz w:val="20"/>
          <w:szCs w:val="20"/>
        </w:rPr>
        <w:t xml:space="preserve">% </w:t>
      </w:r>
      <w:r w:rsidR="005C223C">
        <w:rPr>
          <w:rFonts w:ascii="Verdana" w:hAnsi="Verdana" w:cs="Helvetica"/>
          <w:sz w:val="20"/>
          <w:szCs w:val="20"/>
        </w:rPr>
        <w:t>de</w:t>
      </w:r>
      <w:r w:rsidR="00D24F49">
        <w:rPr>
          <w:rFonts w:ascii="Verdana" w:hAnsi="Verdana" w:cs="Helvetica"/>
          <w:sz w:val="20"/>
          <w:szCs w:val="20"/>
        </w:rPr>
        <w:t>crease year over year.</w:t>
      </w:r>
      <w:r w:rsidR="00DF5198">
        <w:rPr>
          <w:rFonts w:ascii="Verdana" w:hAnsi="Verdana" w:cs="Helvetica"/>
          <w:sz w:val="20"/>
          <w:szCs w:val="20"/>
        </w:rPr>
        <w:t xml:space="preserve"> The </w:t>
      </w:r>
      <w:r w:rsidR="00A042A2">
        <w:rPr>
          <w:rFonts w:ascii="Verdana" w:hAnsi="Verdana" w:cs="Helvetica"/>
          <w:sz w:val="20"/>
          <w:szCs w:val="20"/>
        </w:rPr>
        <w:t>decrease in revenue was mainly attributed to the decrease in C</w:t>
      </w:r>
      <w:r w:rsidR="00803A70">
        <w:rPr>
          <w:rFonts w:ascii="Verdana" w:hAnsi="Verdana" w:cs="Helvetica"/>
          <w:sz w:val="20"/>
          <w:szCs w:val="20"/>
        </w:rPr>
        <w:t>OVID</w:t>
      </w:r>
      <w:r w:rsidR="00A042A2">
        <w:rPr>
          <w:rFonts w:ascii="Verdana" w:hAnsi="Verdana" w:cs="Helvetica"/>
          <w:sz w:val="20"/>
          <w:szCs w:val="20"/>
        </w:rPr>
        <w:t>-19 testing services.</w:t>
      </w:r>
    </w:p>
    <w:p w14:paraId="68F40C9C" w14:textId="33ED7A42" w:rsidR="00040FBB" w:rsidRPr="008E4DD2" w:rsidRDefault="00040FBB" w:rsidP="00FC0244">
      <w:pPr>
        <w:pStyle w:val="ListParagraph"/>
        <w:numPr>
          <w:ilvl w:val="0"/>
          <w:numId w:val="2"/>
        </w:numPr>
        <w:jc w:val="both"/>
        <w:rPr>
          <w:rFonts w:ascii="Verdana" w:eastAsia="Times New Roman" w:hAnsi="Verdana" w:cs="Helvetica"/>
          <w:bCs/>
          <w:sz w:val="20"/>
          <w:szCs w:val="20"/>
          <w:bdr w:val="none" w:sz="0" w:space="0" w:color="auto" w:frame="1"/>
          <w:lang w:val="en-CA" w:eastAsia="en-CA"/>
        </w:rPr>
      </w:pPr>
      <w:r w:rsidRPr="008E4DD2">
        <w:rPr>
          <w:rFonts w:ascii="Verdana" w:eastAsia="Times New Roman" w:hAnsi="Verdana" w:cs="Helvetica"/>
          <w:bCs/>
          <w:sz w:val="20"/>
          <w:szCs w:val="20"/>
          <w:bdr w:val="none" w:sz="0" w:space="0" w:color="auto" w:frame="1"/>
          <w:lang w:val="en-CA" w:eastAsia="en-CA"/>
        </w:rPr>
        <w:t xml:space="preserve">Gross </w:t>
      </w:r>
      <w:r w:rsidR="007755F8">
        <w:rPr>
          <w:rFonts w:ascii="Verdana" w:eastAsia="Times New Roman" w:hAnsi="Verdana" w:cs="Helvetica"/>
          <w:bCs/>
          <w:sz w:val="20"/>
          <w:szCs w:val="20"/>
          <w:bdr w:val="none" w:sz="0" w:space="0" w:color="auto" w:frame="1"/>
          <w:lang w:val="en-CA" w:eastAsia="en-CA"/>
        </w:rPr>
        <w:t>margin</w:t>
      </w:r>
      <w:r w:rsidRPr="008E4DD2">
        <w:rPr>
          <w:rFonts w:ascii="Verdana" w:eastAsia="Times New Roman" w:hAnsi="Verdana" w:cs="Helvetica"/>
          <w:bCs/>
          <w:sz w:val="20"/>
          <w:szCs w:val="20"/>
          <w:bdr w:val="none" w:sz="0" w:space="0" w:color="auto" w:frame="1"/>
          <w:lang w:val="en-CA" w:eastAsia="en-CA"/>
        </w:rPr>
        <w:t xml:space="preserve"> from continuing operatio</w:t>
      </w:r>
      <w:r w:rsidRPr="003562B0">
        <w:rPr>
          <w:rFonts w:ascii="Verdana" w:eastAsia="Times New Roman" w:hAnsi="Verdana" w:cs="Helvetica"/>
          <w:bCs/>
          <w:sz w:val="20"/>
          <w:szCs w:val="20"/>
          <w:bdr w:val="none" w:sz="0" w:space="0" w:color="auto" w:frame="1"/>
          <w:lang w:val="en-CA" w:eastAsia="en-CA"/>
        </w:rPr>
        <w:t xml:space="preserve">ns </w:t>
      </w:r>
      <w:r w:rsidR="00281FDC">
        <w:rPr>
          <w:rFonts w:ascii="Verdana" w:eastAsia="Times New Roman" w:hAnsi="Verdana" w:cs="Helvetica"/>
          <w:bCs/>
          <w:sz w:val="20"/>
          <w:szCs w:val="20"/>
          <w:bdr w:val="none" w:sz="0" w:space="0" w:color="auto" w:frame="1"/>
          <w:lang w:val="en-CA" w:eastAsia="en-CA"/>
        </w:rPr>
        <w:t>was</w:t>
      </w:r>
      <w:r w:rsidRPr="003562B0">
        <w:rPr>
          <w:rFonts w:ascii="Verdana" w:eastAsia="Times New Roman" w:hAnsi="Verdana" w:cs="Helvetica"/>
          <w:bCs/>
          <w:sz w:val="20"/>
          <w:szCs w:val="20"/>
          <w:bdr w:val="none" w:sz="0" w:space="0" w:color="auto" w:frame="1"/>
          <w:lang w:val="en-CA" w:eastAsia="en-CA"/>
        </w:rPr>
        <w:t xml:space="preserve"> </w:t>
      </w:r>
      <w:r w:rsidR="004A5534">
        <w:rPr>
          <w:rFonts w:ascii="Verdana" w:eastAsia="Times New Roman" w:hAnsi="Verdana" w:cs="Helvetica"/>
          <w:bCs/>
          <w:sz w:val="20"/>
          <w:szCs w:val="20"/>
          <w:bdr w:val="none" w:sz="0" w:space="0" w:color="auto" w:frame="1"/>
          <w:lang w:val="en-CA" w:eastAsia="en-CA"/>
        </w:rPr>
        <w:t>16</w:t>
      </w:r>
      <w:r w:rsidRPr="003562B0">
        <w:rPr>
          <w:rFonts w:ascii="Verdana" w:eastAsia="Times New Roman" w:hAnsi="Verdana" w:cs="Helvetica"/>
          <w:bCs/>
          <w:sz w:val="20"/>
          <w:szCs w:val="20"/>
          <w:bdr w:val="none" w:sz="0" w:space="0" w:color="auto" w:frame="1"/>
          <w:lang w:val="en-CA" w:eastAsia="en-CA"/>
        </w:rPr>
        <w:t>%</w:t>
      </w:r>
      <w:r w:rsidRPr="008E4DD2">
        <w:rPr>
          <w:rFonts w:ascii="Verdana" w:eastAsia="Times New Roman" w:hAnsi="Verdana" w:cs="Helvetica"/>
          <w:bCs/>
          <w:sz w:val="20"/>
          <w:szCs w:val="20"/>
          <w:bdr w:val="none" w:sz="0" w:space="0" w:color="auto" w:frame="1"/>
          <w:lang w:val="en-CA" w:eastAsia="en-CA"/>
        </w:rPr>
        <w:t xml:space="preserve"> for </w:t>
      </w:r>
      <w:r w:rsidR="00FC46AA">
        <w:rPr>
          <w:rFonts w:ascii="Verdana" w:eastAsia="Times New Roman" w:hAnsi="Verdana" w:cs="Helvetica"/>
          <w:bCs/>
          <w:sz w:val="20"/>
          <w:szCs w:val="20"/>
          <w:bdr w:val="none" w:sz="0" w:space="0" w:color="auto" w:frame="1"/>
          <w:lang w:val="en-CA" w:eastAsia="en-CA"/>
        </w:rPr>
        <w:t>Q</w:t>
      </w:r>
      <w:r w:rsidR="004A5534">
        <w:rPr>
          <w:rFonts w:ascii="Verdana" w:eastAsia="Times New Roman" w:hAnsi="Verdana" w:cs="Helvetica"/>
          <w:bCs/>
          <w:sz w:val="20"/>
          <w:szCs w:val="20"/>
          <w:bdr w:val="none" w:sz="0" w:space="0" w:color="auto" w:frame="1"/>
          <w:lang w:val="en-CA" w:eastAsia="en-CA"/>
        </w:rPr>
        <w:t>4</w:t>
      </w:r>
      <w:r w:rsidR="00FC46AA">
        <w:rPr>
          <w:rFonts w:ascii="Verdana" w:eastAsia="Times New Roman" w:hAnsi="Verdana" w:cs="Helvetica"/>
          <w:bCs/>
          <w:sz w:val="20"/>
          <w:szCs w:val="20"/>
          <w:bdr w:val="none" w:sz="0" w:space="0" w:color="auto" w:frame="1"/>
          <w:lang w:val="en-CA" w:eastAsia="en-CA"/>
        </w:rPr>
        <w:t xml:space="preserve"> 2022</w:t>
      </w:r>
      <w:r w:rsidRPr="008E4DD2">
        <w:rPr>
          <w:rFonts w:ascii="Verdana" w:eastAsia="Times New Roman" w:hAnsi="Verdana" w:cs="Helvetica"/>
          <w:bCs/>
          <w:sz w:val="20"/>
          <w:szCs w:val="20"/>
          <w:bdr w:val="none" w:sz="0" w:space="0" w:color="auto" w:frame="1"/>
          <w:lang w:val="en-CA" w:eastAsia="en-CA"/>
        </w:rPr>
        <w:t xml:space="preserve">, compared to </w:t>
      </w:r>
      <w:r w:rsidR="007755F8">
        <w:rPr>
          <w:rFonts w:ascii="Verdana" w:eastAsia="Times New Roman" w:hAnsi="Verdana" w:cs="Helvetica"/>
          <w:bCs/>
          <w:sz w:val="20"/>
          <w:szCs w:val="20"/>
          <w:bdr w:val="none" w:sz="0" w:space="0" w:color="auto" w:frame="1"/>
          <w:lang w:val="en-CA" w:eastAsia="en-CA"/>
        </w:rPr>
        <w:t xml:space="preserve">a negative </w:t>
      </w:r>
      <w:r w:rsidR="004A5534">
        <w:rPr>
          <w:rFonts w:ascii="Verdana" w:eastAsia="Times New Roman" w:hAnsi="Verdana" w:cs="Helvetica"/>
          <w:bCs/>
          <w:sz w:val="20"/>
          <w:szCs w:val="20"/>
          <w:bdr w:val="none" w:sz="0" w:space="0" w:color="auto" w:frame="1"/>
          <w:lang w:val="en-CA" w:eastAsia="en-CA"/>
        </w:rPr>
        <w:t xml:space="preserve">gross </w:t>
      </w:r>
      <w:r w:rsidR="007755F8">
        <w:rPr>
          <w:rFonts w:ascii="Verdana" w:eastAsia="Times New Roman" w:hAnsi="Verdana" w:cs="Helvetica"/>
          <w:bCs/>
          <w:sz w:val="20"/>
          <w:szCs w:val="20"/>
          <w:bdr w:val="none" w:sz="0" w:space="0" w:color="auto" w:frame="1"/>
          <w:lang w:val="en-CA" w:eastAsia="en-CA"/>
        </w:rPr>
        <w:t xml:space="preserve">margin </w:t>
      </w:r>
      <w:r w:rsidR="004A5534">
        <w:rPr>
          <w:rFonts w:ascii="Verdana" w:eastAsia="Times New Roman" w:hAnsi="Verdana" w:cs="Helvetica"/>
          <w:bCs/>
          <w:sz w:val="20"/>
          <w:szCs w:val="20"/>
          <w:bdr w:val="none" w:sz="0" w:space="0" w:color="auto" w:frame="1"/>
          <w:lang w:val="en-CA" w:eastAsia="en-CA"/>
        </w:rPr>
        <w:t>of</w:t>
      </w:r>
      <w:r w:rsidR="007755F8">
        <w:rPr>
          <w:rFonts w:ascii="Verdana" w:eastAsia="Times New Roman" w:hAnsi="Verdana" w:cs="Helvetica"/>
          <w:bCs/>
          <w:sz w:val="20"/>
          <w:szCs w:val="20"/>
          <w:bdr w:val="none" w:sz="0" w:space="0" w:color="auto" w:frame="1"/>
          <w:lang w:val="en-CA" w:eastAsia="en-CA"/>
        </w:rPr>
        <w:t xml:space="preserve"> </w:t>
      </w:r>
      <w:r w:rsidR="004A5534">
        <w:rPr>
          <w:rFonts w:ascii="Verdana" w:eastAsia="Times New Roman" w:hAnsi="Verdana" w:cs="Helvetica"/>
          <w:bCs/>
          <w:sz w:val="20"/>
          <w:szCs w:val="20"/>
          <w:bdr w:val="none" w:sz="0" w:space="0" w:color="auto" w:frame="1"/>
          <w:lang w:val="en-CA" w:eastAsia="en-CA"/>
        </w:rPr>
        <w:t>25</w:t>
      </w:r>
      <w:r w:rsidRPr="008E4DD2">
        <w:rPr>
          <w:rFonts w:ascii="Verdana" w:eastAsia="Times New Roman" w:hAnsi="Verdana" w:cs="Helvetica"/>
          <w:bCs/>
          <w:sz w:val="20"/>
          <w:szCs w:val="20"/>
          <w:bdr w:val="none" w:sz="0" w:space="0" w:color="auto" w:frame="1"/>
          <w:lang w:val="en-CA" w:eastAsia="en-CA"/>
        </w:rPr>
        <w:t xml:space="preserve">% in </w:t>
      </w:r>
      <w:r w:rsidR="00FC46AA">
        <w:rPr>
          <w:rFonts w:ascii="Verdana" w:eastAsia="Times New Roman" w:hAnsi="Verdana" w:cs="Helvetica"/>
          <w:bCs/>
          <w:sz w:val="20"/>
          <w:szCs w:val="20"/>
          <w:bdr w:val="none" w:sz="0" w:space="0" w:color="auto" w:frame="1"/>
          <w:lang w:val="en-CA" w:eastAsia="en-CA"/>
        </w:rPr>
        <w:t>Q</w:t>
      </w:r>
      <w:r w:rsidR="004A5534">
        <w:rPr>
          <w:rFonts w:ascii="Verdana" w:eastAsia="Times New Roman" w:hAnsi="Verdana" w:cs="Helvetica"/>
          <w:bCs/>
          <w:sz w:val="20"/>
          <w:szCs w:val="20"/>
          <w:bdr w:val="none" w:sz="0" w:space="0" w:color="auto" w:frame="1"/>
          <w:lang w:val="en-CA" w:eastAsia="en-CA"/>
        </w:rPr>
        <w:t>4</w:t>
      </w:r>
      <w:r w:rsidR="00FC46AA">
        <w:rPr>
          <w:rFonts w:ascii="Verdana" w:eastAsia="Times New Roman" w:hAnsi="Verdana" w:cs="Helvetica"/>
          <w:bCs/>
          <w:sz w:val="20"/>
          <w:szCs w:val="20"/>
          <w:bdr w:val="none" w:sz="0" w:space="0" w:color="auto" w:frame="1"/>
          <w:lang w:val="en-CA" w:eastAsia="en-CA"/>
        </w:rPr>
        <w:t xml:space="preserve"> 2021</w:t>
      </w:r>
      <w:r w:rsidR="00570330">
        <w:rPr>
          <w:rFonts w:ascii="Verdana" w:eastAsia="Times New Roman" w:hAnsi="Verdana" w:cs="Helvetica"/>
          <w:bCs/>
          <w:sz w:val="20"/>
          <w:szCs w:val="20"/>
          <w:bdr w:val="none" w:sz="0" w:space="0" w:color="auto" w:frame="1"/>
          <w:lang w:val="en-CA" w:eastAsia="en-CA"/>
        </w:rPr>
        <w:t xml:space="preserve">. The increase in gross </w:t>
      </w:r>
      <w:r w:rsidR="007755F8">
        <w:rPr>
          <w:rFonts w:ascii="Verdana" w:eastAsia="Times New Roman" w:hAnsi="Verdana" w:cs="Helvetica"/>
          <w:bCs/>
          <w:sz w:val="20"/>
          <w:szCs w:val="20"/>
          <w:bdr w:val="none" w:sz="0" w:space="0" w:color="auto" w:frame="1"/>
          <w:lang w:val="en-CA" w:eastAsia="en-CA"/>
        </w:rPr>
        <w:t>margin</w:t>
      </w:r>
      <w:r w:rsidR="00570330">
        <w:rPr>
          <w:rFonts w:ascii="Verdana" w:eastAsia="Times New Roman" w:hAnsi="Verdana" w:cs="Helvetica"/>
          <w:bCs/>
          <w:sz w:val="20"/>
          <w:szCs w:val="20"/>
          <w:bdr w:val="none" w:sz="0" w:space="0" w:color="auto" w:frame="1"/>
          <w:lang w:val="en-CA" w:eastAsia="en-CA"/>
        </w:rPr>
        <w:t xml:space="preserve"> </w:t>
      </w:r>
      <w:r w:rsidR="007755F8">
        <w:rPr>
          <w:rFonts w:ascii="Verdana" w:eastAsia="Times New Roman" w:hAnsi="Verdana" w:cs="Helvetica"/>
          <w:bCs/>
          <w:sz w:val="20"/>
          <w:szCs w:val="20"/>
          <w:bdr w:val="none" w:sz="0" w:space="0" w:color="auto" w:frame="1"/>
          <w:lang w:val="en-CA" w:eastAsia="en-CA"/>
        </w:rPr>
        <w:t>resulted from savings in</w:t>
      </w:r>
      <w:r w:rsidR="00570330">
        <w:rPr>
          <w:rFonts w:ascii="Verdana" w:eastAsia="Times New Roman" w:hAnsi="Verdana" w:cs="Helvetica"/>
          <w:bCs/>
          <w:sz w:val="20"/>
          <w:szCs w:val="20"/>
          <w:bdr w:val="none" w:sz="0" w:space="0" w:color="auto" w:frame="1"/>
          <w:lang w:val="en-CA" w:eastAsia="en-CA"/>
        </w:rPr>
        <w:t xml:space="preserve"> personnel costs.</w:t>
      </w:r>
    </w:p>
    <w:p w14:paraId="1B6066CA" w14:textId="55DB6B14" w:rsidR="00AA3245" w:rsidRDefault="00864EA7" w:rsidP="00AA3245">
      <w:pPr>
        <w:pStyle w:val="ListParagraph"/>
        <w:numPr>
          <w:ilvl w:val="0"/>
          <w:numId w:val="2"/>
        </w:numPr>
        <w:jc w:val="both"/>
        <w:rPr>
          <w:rFonts w:ascii="Verdana" w:eastAsia="Times New Roman" w:hAnsi="Verdana" w:cs="Helvetica"/>
          <w:bCs/>
          <w:sz w:val="20"/>
          <w:szCs w:val="20"/>
          <w:bdr w:val="none" w:sz="0" w:space="0" w:color="auto" w:frame="1"/>
          <w:lang w:val="en-CA" w:eastAsia="en-CA"/>
        </w:rPr>
      </w:pPr>
      <w:r w:rsidRPr="00E73708">
        <w:rPr>
          <w:rFonts w:ascii="Verdana" w:eastAsia="Times New Roman" w:hAnsi="Verdana" w:cs="Helvetica"/>
          <w:bCs/>
          <w:sz w:val="20"/>
          <w:szCs w:val="20"/>
          <w:bdr w:val="none" w:sz="0" w:space="0" w:color="auto" w:frame="1"/>
          <w:lang w:val="en-CA" w:eastAsia="en-CA"/>
        </w:rPr>
        <w:t xml:space="preserve">Net </w:t>
      </w:r>
      <w:r w:rsidR="00D53A08" w:rsidRPr="00E73708">
        <w:rPr>
          <w:rFonts w:ascii="Verdana" w:eastAsia="Times New Roman" w:hAnsi="Verdana" w:cs="Helvetica"/>
          <w:bCs/>
          <w:sz w:val="20"/>
          <w:szCs w:val="20"/>
          <w:bdr w:val="none" w:sz="0" w:space="0" w:color="auto" w:frame="1"/>
          <w:lang w:val="en-CA" w:eastAsia="en-CA"/>
        </w:rPr>
        <w:t>loss</w:t>
      </w:r>
      <w:r w:rsidRPr="00E73708">
        <w:rPr>
          <w:rFonts w:ascii="Verdana" w:eastAsia="Times New Roman" w:hAnsi="Verdana" w:cs="Helvetica"/>
          <w:bCs/>
          <w:sz w:val="20"/>
          <w:szCs w:val="20"/>
          <w:bdr w:val="none" w:sz="0" w:space="0" w:color="auto" w:frame="1"/>
          <w:lang w:val="en-CA" w:eastAsia="en-CA"/>
        </w:rPr>
        <w:t xml:space="preserve"> </w:t>
      </w:r>
      <w:r w:rsidR="0054037D" w:rsidRPr="00E73708">
        <w:rPr>
          <w:rFonts w:ascii="Verdana" w:eastAsia="Times New Roman" w:hAnsi="Verdana" w:cs="Helvetica"/>
          <w:bCs/>
          <w:sz w:val="20"/>
          <w:szCs w:val="20"/>
          <w:bdr w:val="none" w:sz="0" w:space="0" w:color="auto" w:frame="1"/>
          <w:lang w:val="en-CA" w:eastAsia="en-CA"/>
        </w:rPr>
        <w:t xml:space="preserve">from continuing operations </w:t>
      </w:r>
      <w:r w:rsidR="00281FDC" w:rsidRPr="00E73708">
        <w:rPr>
          <w:rFonts w:ascii="Verdana" w:eastAsia="Times New Roman" w:hAnsi="Verdana" w:cs="Helvetica"/>
          <w:bCs/>
          <w:sz w:val="20"/>
          <w:szCs w:val="20"/>
          <w:bdr w:val="none" w:sz="0" w:space="0" w:color="auto" w:frame="1"/>
          <w:lang w:val="en-CA" w:eastAsia="en-CA"/>
        </w:rPr>
        <w:t>was</w:t>
      </w:r>
      <w:r w:rsidR="0054037D" w:rsidRPr="00E73708">
        <w:rPr>
          <w:rFonts w:ascii="Verdana" w:eastAsia="Times New Roman" w:hAnsi="Verdana" w:cs="Helvetica"/>
          <w:bCs/>
          <w:sz w:val="20"/>
          <w:szCs w:val="20"/>
          <w:bdr w:val="none" w:sz="0" w:space="0" w:color="auto" w:frame="1"/>
          <w:lang w:val="en-CA" w:eastAsia="en-CA"/>
        </w:rPr>
        <w:t xml:space="preserve"> </w:t>
      </w:r>
      <w:r w:rsidRPr="00E73708">
        <w:rPr>
          <w:rFonts w:ascii="Verdana" w:eastAsia="Times New Roman" w:hAnsi="Verdana" w:cs="Helvetica"/>
          <w:bCs/>
          <w:sz w:val="20"/>
          <w:szCs w:val="20"/>
          <w:bdr w:val="none" w:sz="0" w:space="0" w:color="auto" w:frame="1"/>
          <w:lang w:val="en-CA" w:eastAsia="en-CA"/>
        </w:rPr>
        <w:t>$</w:t>
      </w:r>
      <w:r w:rsidR="00A434DE" w:rsidRPr="00E73708">
        <w:rPr>
          <w:rFonts w:ascii="Verdana" w:eastAsia="Times New Roman" w:hAnsi="Verdana" w:cs="Helvetica"/>
          <w:bCs/>
          <w:sz w:val="20"/>
          <w:szCs w:val="20"/>
          <w:bdr w:val="none" w:sz="0" w:space="0" w:color="auto" w:frame="1"/>
          <w:lang w:val="en-CA" w:eastAsia="en-CA"/>
        </w:rPr>
        <w:t>2,370,651</w:t>
      </w:r>
      <w:r w:rsidR="00034328" w:rsidRPr="00E73708">
        <w:rPr>
          <w:rFonts w:ascii="Verdana" w:eastAsia="Times New Roman" w:hAnsi="Verdana" w:cs="Helvetica"/>
          <w:bCs/>
          <w:sz w:val="20"/>
          <w:szCs w:val="20"/>
          <w:bdr w:val="none" w:sz="0" w:space="0" w:color="auto" w:frame="1"/>
          <w:lang w:val="en-CA" w:eastAsia="en-CA"/>
        </w:rPr>
        <w:t xml:space="preserve"> </w:t>
      </w:r>
      <w:r w:rsidRPr="00E73708">
        <w:rPr>
          <w:rFonts w:ascii="Verdana" w:eastAsia="Times New Roman" w:hAnsi="Verdana" w:cs="Helvetica"/>
          <w:bCs/>
          <w:sz w:val="20"/>
          <w:szCs w:val="20"/>
          <w:bdr w:val="none" w:sz="0" w:space="0" w:color="auto" w:frame="1"/>
          <w:lang w:val="en-CA" w:eastAsia="en-CA"/>
        </w:rPr>
        <w:t>o</w:t>
      </w:r>
      <w:r w:rsidR="00D41BCC" w:rsidRPr="00E73708">
        <w:rPr>
          <w:rFonts w:ascii="Verdana" w:eastAsia="Times New Roman" w:hAnsi="Verdana" w:cs="Helvetica"/>
          <w:bCs/>
          <w:sz w:val="20"/>
          <w:szCs w:val="20"/>
          <w:bdr w:val="none" w:sz="0" w:space="0" w:color="auto" w:frame="1"/>
          <w:lang w:val="en-CA" w:eastAsia="en-CA"/>
        </w:rPr>
        <w:t>r</w:t>
      </w:r>
      <w:r w:rsidRPr="00E73708">
        <w:rPr>
          <w:rFonts w:ascii="Verdana" w:eastAsia="Times New Roman" w:hAnsi="Verdana" w:cs="Helvetica"/>
          <w:bCs/>
          <w:sz w:val="20"/>
          <w:szCs w:val="20"/>
          <w:bdr w:val="none" w:sz="0" w:space="0" w:color="auto" w:frame="1"/>
          <w:lang w:val="en-CA" w:eastAsia="en-CA"/>
        </w:rPr>
        <w:t xml:space="preserve"> $</w:t>
      </w:r>
      <w:r w:rsidR="00D53A08" w:rsidRPr="00E73708">
        <w:rPr>
          <w:rFonts w:ascii="Verdana" w:eastAsia="Times New Roman" w:hAnsi="Verdana" w:cs="Helvetica"/>
          <w:bCs/>
          <w:sz w:val="20"/>
          <w:szCs w:val="20"/>
          <w:bdr w:val="none" w:sz="0" w:space="0" w:color="auto" w:frame="1"/>
          <w:lang w:val="en-CA" w:eastAsia="en-CA"/>
        </w:rPr>
        <w:t>0.0</w:t>
      </w:r>
      <w:r w:rsidR="00A434DE" w:rsidRPr="00E73708">
        <w:rPr>
          <w:rFonts w:ascii="Verdana" w:eastAsia="Times New Roman" w:hAnsi="Verdana" w:cs="Helvetica"/>
          <w:bCs/>
          <w:sz w:val="20"/>
          <w:szCs w:val="20"/>
          <w:bdr w:val="none" w:sz="0" w:space="0" w:color="auto" w:frame="1"/>
          <w:lang w:val="en-CA" w:eastAsia="en-CA"/>
        </w:rPr>
        <w:t>1</w:t>
      </w:r>
      <w:r w:rsidRPr="00E73708">
        <w:rPr>
          <w:rFonts w:ascii="Verdana" w:eastAsia="Times New Roman" w:hAnsi="Verdana" w:cs="Helvetica"/>
          <w:bCs/>
          <w:sz w:val="20"/>
          <w:szCs w:val="20"/>
          <w:bdr w:val="none" w:sz="0" w:space="0" w:color="auto" w:frame="1"/>
          <w:lang w:val="en-CA" w:eastAsia="en-CA"/>
        </w:rPr>
        <w:t xml:space="preserve"> per share compared to</w:t>
      </w:r>
      <w:r w:rsidR="00D04860" w:rsidRPr="00E73708">
        <w:rPr>
          <w:rFonts w:ascii="Verdana" w:eastAsia="Times New Roman" w:hAnsi="Verdana" w:cs="Helvetica"/>
          <w:bCs/>
          <w:sz w:val="20"/>
          <w:szCs w:val="20"/>
          <w:bdr w:val="none" w:sz="0" w:space="0" w:color="auto" w:frame="1"/>
          <w:lang w:val="en-CA" w:eastAsia="en-CA"/>
        </w:rPr>
        <w:t xml:space="preserve"> a net loss from continuing operations of </w:t>
      </w:r>
      <w:r w:rsidRPr="00E73708">
        <w:rPr>
          <w:rFonts w:ascii="Verdana" w:eastAsia="Times New Roman" w:hAnsi="Verdana" w:cs="Helvetica"/>
          <w:bCs/>
          <w:sz w:val="20"/>
          <w:szCs w:val="20"/>
          <w:bdr w:val="none" w:sz="0" w:space="0" w:color="auto" w:frame="1"/>
          <w:lang w:val="en-CA" w:eastAsia="en-CA"/>
        </w:rPr>
        <w:t>$</w:t>
      </w:r>
      <w:r w:rsidR="00A434DE" w:rsidRPr="00E73708">
        <w:rPr>
          <w:rFonts w:ascii="Verdana" w:eastAsia="Times New Roman" w:hAnsi="Verdana" w:cs="Helvetica"/>
          <w:bCs/>
          <w:sz w:val="20"/>
          <w:szCs w:val="20"/>
          <w:bdr w:val="none" w:sz="0" w:space="0" w:color="auto" w:frame="1"/>
          <w:lang w:val="en-CA" w:eastAsia="en-CA"/>
        </w:rPr>
        <w:t>4,684,114</w:t>
      </w:r>
      <w:r w:rsidR="00D04860" w:rsidRPr="00E73708">
        <w:rPr>
          <w:rFonts w:ascii="Verdana" w:eastAsia="Times New Roman" w:hAnsi="Verdana" w:cs="Helvetica"/>
          <w:bCs/>
          <w:sz w:val="20"/>
          <w:szCs w:val="20"/>
          <w:bdr w:val="none" w:sz="0" w:space="0" w:color="auto" w:frame="1"/>
          <w:lang w:val="en-CA" w:eastAsia="en-CA"/>
        </w:rPr>
        <w:t xml:space="preserve"> </w:t>
      </w:r>
      <w:r w:rsidRPr="00E73708">
        <w:rPr>
          <w:rFonts w:ascii="Verdana" w:eastAsia="Times New Roman" w:hAnsi="Verdana" w:cs="Helvetica"/>
          <w:bCs/>
          <w:sz w:val="20"/>
          <w:szCs w:val="20"/>
          <w:bdr w:val="none" w:sz="0" w:space="0" w:color="auto" w:frame="1"/>
          <w:lang w:val="en-CA" w:eastAsia="en-CA"/>
        </w:rPr>
        <w:t>or $</w:t>
      </w:r>
      <w:r w:rsidR="00D53A08" w:rsidRPr="00E73708">
        <w:rPr>
          <w:rFonts w:ascii="Verdana" w:eastAsia="Times New Roman" w:hAnsi="Verdana" w:cs="Helvetica"/>
          <w:bCs/>
          <w:sz w:val="20"/>
          <w:szCs w:val="20"/>
          <w:bdr w:val="none" w:sz="0" w:space="0" w:color="auto" w:frame="1"/>
          <w:lang w:val="en-CA" w:eastAsia="en-CA"/>
        </w:rPr>
        <w:t>0.0</w:t>
      </w:r>
      <w:r w:rsidR="00442AA5" w:rsidRPr="00E73708">
        <w:rPr>
          <w:rFonts w:ascii="Verdana" w:eastAsia="Times New Roman" w:hAnsi="Verdana" w:cs="Helvetica"/>
          <w:bCs/>
          <w:sz w:val="20"/>
          <w:szCs w:val="20"/>
          <w:bdr w:val="none" w:sz="0" w:space="0" w:color="auto" w:frame="1"/>
          <w:lang w:val="en-CA" w:eastAsia="en-CA"/>
        </w:rPr>
        <w:t>1</w:t>
      </w:r>
      <w:r w:rsidR="00034328" w:rsidRPr="00E73708">
        <w:rPr>
          <w:rFonts w:ascii="Verdana" w:eastAsia="Times New Roman" w:hAnsi="Verdana" w:cs="Helvetica"/>
          <w:bCs/>
          <w:sz w:val="20"/>
          <w:szCs w:val="20"/>
          <w:bdr w:val="none" w:sz="0" w:space="0" w:color="auto" w:frame="1"/>
          <w:lang w:val="en-CA" w:eastAsia="en-CA"/>
        </w:rPr>
        <w:t xml:space="preserve"> </w:t>
      </w:r>
      <w:r w:rsidRPr="00E73708">
        <w:rPr>
          <w:rFonts w:ascii="Verdana" w:eastAsia="Times New Roman" w:hAnsi="Verdana" w:cs="Helvetica"/>
          <w:bCs/>
          <w:sz w:val="20"/>
          <w:szCs w:val="20"/>
          <w:bdr w:val="none" w:sz="0" w:space="0" w:color="auto" w:frame="1"/>
          <w:lang w:val="en-CA" w:eastAsia="en-CA"/>
        </w:rPr>
        <w:t xml:space="preserve">per share for </w:t>
      </w:r>
      <w:r w:rsidR="002E53B1" w:rsidRPr="00E73708">
        <w:rPr>
          <w:rFonts w:ascii="Verdana" w:eastAsia="Times New Roman" w:hAnsi="Verdana" w:cs="Helvetica"/>
          <w:bCs/>
          <w:sz w:val="20"/>
          <w:szCs w:val="20"/>
          <w:bdr w:val="none" w:sz="0" w:space="0" w:color="auto" w:frame="1"/>
          <w:lang w:val="en-CA" w:eastAsia="en-CA"/>
        </w:rPr>
        <w:t>Q</w:t>
      </w:r>
      <w:r w:rsidR="003838E4" w:rsidRPr="00E73708">
        <w:rPr>
          <w:rFonts w:ascii="Verdana" w:eastAsia="Times New Roman" w:hAnsi="Verdana" w:cs="Helvetica"/>
          <w:bCs/>
          <w:sz w:val="20"/>
          <w:szCs w:val="20"/>
          <w:bdr w:val="none" w:sz="0" w:space="0" w:color="auto" w:frame="1"/>
          <w:lang w:val="en-CA" w:eastAsia="en-CA"/>
        </w:rPr>
        <w:t>4</w:t>
      </w:r>
      <w:r w:rsidR="002E53B1" w:rsidRPr="00E73708">
        <w:rPr>
          <w:rFonts w:ascii="Verdana" w:eastAsia="Times New Roman" w:hAnsi="Verdana" w:cs="Helvetica"/>
          <w:bCs/>
          <w:sz w:val="20"/>
          <w:szCs w:val="20"/>
          <w:bdr w:val="none" w:sz="0" w:space="0" w:color="auto" w:frame="1"/>
          <w:lang w:val="en-CA" w:eastAsia="en-CA"/>
        </w:rPr>
        <w:t xml:space="preserve"> 202</w:t>
      </w:r>
      <w:r w:rsidR="000A3AEB">
        <w:rPr>
          <w:rFonts w:ascii="Verdana" w:eastAsia="Times New Roman" w:hAnsi="Verdana" w:cs="Helvetica"/>
          <w:bCs/>
          <w:sz w:val="20"/>
          <w:szCs w:val="20"/>
          <w:bdr w:val="none" w:sz="0" w:space="0" w:color="auto" w:frame="1"/>
          <w:lang w:val="en-CA" w:eastAsia="en-CA"/>
        </w:rPr>
        <w:t>1</w:t>
      </w:r>
      <w:r w:rsidR="00D04860" w:rsidRPr="00E73708">
        <w:rPr>
          <w:rFonts w:ascii="Verdana" w:eastAsia="Times New Roman" w:hAnsi="Verdana" w:cs="Helvetica"/>
          <w:bCs/>
          <w:sz w:val="20"/>
          <w:szCs w:val="20"/>
          <w:bdr w:val="none" w:sz="0" w:space="0" w:color="auto" w:frame="1"/>
          <w:lang w:val="en-CA" w:eastAsia="en-CA"/>
        </w:rPr>
        <w:t>.</w:t>
      </w:r>
      <w:r w:rsidR="000C1D13">
        <w:rPr>
          <w:rFonts w:ascii="Verdana" w:eastAsia="Times New Roman" w:hAnsi="Verdana" w:cs="Helvetica"/>
          <w:bCs/>
          <w:sz w:val="20"/>
          <w:szCs w:val="20"/>
          <w:bdr w:val="none" w:sz="0" w:space="0" w:color="auto" w:frame="1"/>
          <w:lang w:val="en-CA" w:eastAsia="en-CA"/>
        </w:rPr>
        <w:t xml:space="preserve"> </w:t>
      </w:r>
    </w:p>
    <w:p w14:paraId="09EF8916" w14:textId="076DBCB9" w:rsidR="00C11476" w:rsidRPr="00AA3245" w:rsidRDefault="00334649" w:rsidP="00AA3245">
      <w:pPr>
        <w:pStyle w:val="ListParagraph"/>
        <w:numPr>
          <w:ilvl w:val="0"/>
          <w:numId w:val="2"/>
        </w:numPr>
        <w:jc w:val="both"/>
        <w:rPr>
          <w:rFonts w:ascii="Verdana" w:eastAsia="Times New Roman" w:hAnsi="Verdana" w:cs="Helvetica"/>
          <w:bCs/>
          <w:sz w:val="20"/>
          <w:szCs w:val="20"/>
          <w:bdr w:val="none" w:sz="0" w:space="0" w:color="auto" w:frame="1"/>
          <w:lang w:val="en-CA" w:eastAsia="en-CA"/>
        </w:rPr>
      </w:pPr>
      <w:r w:rsidRPr="00AA3245">
        <w:rPr>
          <w:rFonts w:ascii="Verdana" w:eastAsia="Times New Roman" w:hAnsi="Verdana" w:cs="Helvetica"/>
          <w:bCs/>
          <w:sz w:val="20"/>
          <w:szCs w:val="20"/>
          <w:bdr w:val="none" w:sz="0" w:space="0" w:color="auto" w:frame="1"/>
          <w:lang w:val="en-CA" w:eastAsia="en-CA"/>
        </w:rPr>
        <w:t xml:space="preserve">Cash </w:t>
      </w:r>
      <w:r w:rsidR="00FC0244" w:rsidRPr="00AA3245">
        <w:rPr>
          <w:rFonts w:ascii="Verdana" w:eastAsia="Times New Roman" w:hAnsi="Verdana" w:cs="Helvetica"/>
          <w:bCs/>
          <w:sz w:val="20"/>
          <w:szCs w:val="20"/>
          <w:bdr w:val="none" w:sz="0" w:space="0" w:color="auto" w:frame="1"/>
          <w:lang w:val="en-CA" w:eastAsia="en-CA"/>
        </w:rPr>
        <w:t xml:space="preserve">as </w:t>
      </w:r>
      <w:r w:rsidRPr="00AA3245">
        <w:rPr>
          <w:rFonts w:ascii="Verdana" w:eastAsia="Times New Roman" w:hAnsi="Verdana" w:cs="Helvetica"/>
          <w:bCs/>
          <w:sz w:val="20"/>
          <w:szCs w:val="20"/>
          <w:bdr w:val="none" w:sz="0" w:space="0" w:color="auto" w:frame="1"/>
          <w:lang w:val="en-CA" w:eastAsia="en-CA"/>
        </w:rPr>
        <w:t xml:space="preserve">at </w:t>
      </w:r>
      <w:r w:rsidR="00AA3245">
        <w:rPr>
          <w:rFonts w:ascii="Verdana" w:eastAsia="Times New Roman" w:hAnsi="Verdana" w:cs="Helvetica"/>
          <w:bCs/>
          <w:sz w:val="20"/>
          <w:szCs w:val="20"/>
          <w:bdr w:val="none" w:sz="0" w:space="0" w:color="auto" w:frame="1"/>
          <w:lang w:val="en-CA" w:eastAsia="en-CA"/>
        </w:rPr>
        <w:t>December</w:t>
      </w:r>
      <w:r w:rsidR="00034328" w:rsidRPr="00AA3245">
        <w:rPr>
          <w:rFonts w:ascii="Verdana" w:eastAsia="Times New Roman" w:hAnsi="Verdana" w:cs="Helvetica"/>
          <w:bCs/>
          <w:sz w:val="20"/>
          <w:szCs w:val="20"/>
          <w:bdr w:val="none" w:sz="0" w:space="0" w:color="auto" w:frame="1"/>
          <w:lang w:val="en-CA" w:eastAsia="en-CA"/>
        </w:rPr>
        <w:t xml:space="preserve"> 3</w:t>
      </w:r>
      <w:r w:rsidR="00AA3245">
        <w:rPr>
          <w:rFonts w:ascii="Verdana" w:eastAsia="Times New Roman" w:hAnsi="Verdana" w:cs="Helvetica"/>
          <w:bCs/>
          <w:sz w:val="20"/>
          <w:szCs w:val="20"/>
          <w:bdr w:val="none" w:sz="0" w:space="0" w:color="auto" w:frame="1"/>
          <w:lang w:val="en-CA" w:eastAsia="en-CA"/>
        </w:rPr>
        <w:t>1</w:t>
      </w:r>
      <w:r w:rsidR="00D62042" w:rsidRPr="00AA3245">
        <w:rPr>
          <w:rFonts w:ascii="Verdana" w:eastAsia="Times New Roman" w:hAnsi="Verdana" w:cs="Helvetica"/>
          <w:bCs/>
          <w:sz w:val="20"/>
          <w:szCs w:val="20"/>
          <w:bdr w:val="none" w:sz="0" w:space="0" w:color="auto" w:frame="1"/>
          <w:lang w:val="en-CA" w:eastAsia="en-CA"/>
        </w:rPr>
        <w:t>, 2022</w:t>
      </w:r>
      <w:r w:rsidRPr="00AA3245">
        <w:rPr>
          <w:rFonts w:ascii="Verdana" w:eastAsia="Times New Roman" w:hAnsi="Verdana" w:cs="Helvetica"/>
          <w:bCs/>
          <w:sz w:val="20"/>
          <w:szCs w:val="20"/>
          <w:bdr w:val="none" w:sz="0" w:space="0" w:color="auto" w:frame="1"/>
          <w:lang w:val="en-CA" w:eastAsia="en-CA"/>
        </w:rPr>
        <w:t xml:space="preserve"> </w:t>
      </w:r>
      <w:r w:rsidR="00AA3245">
        <w:rPr>
          <w:rFonts w:ascii="Verdana" w:eastAsia="Times New Roman" w:hAnsi="Verdana" w:cs="Helvetica"/>
          <w:bCs/>
          <w:sz w:val="20"/>
          <w:szCs w:val="20"/>
          <w:bdr w:val="none" w:sz="0" w:space="0" w:color="auto" w:frame="1"/>
          <w:lang w:val="en-CA" w:eastAsia="en-CA"/>
        </w:rPr>
        <w:t xml:space="preserve">was </w:t>
      </w:r>
      <w:r w:rsidRPr="00AA3245">
        <w:rPr>
          <w:rFonts w:ascii="Verdana" w:eastAsia="Times New Roman" w:hAnsi="Verdana" w:cs="Helvetica"/>
          <w:bCs/>
          <w:sz w:val="20"/>
          <w:szCs w:val="20"/>
          <w:bdr w:val="none" w:sz="0" w:space="0" w:color="auto" w:frame="1"/>
          <w:lang w:val="en-CA" w:eastAsia="en-CA"/>
        </w:rPr>
        <w:t>$</w:t>
      </w:r>
      <w:r w:rsidR="00AA3245" w:rsidRPr="00AA3245">
        <w:rPr>
          <w:rFonts w:ascii="Verdana" w:eastAsia="Times New Roman" w:hAnsi="Verdana" w:cs="Helvetica"/>
          <w:bCs/>
          <w:sz w:val="20"/>
          <w:szCs w:val="20"/>
          <w:bdr w:val="none" w:sz="0" w:space="0" w:color="auto" w:frame="1"/>
          <w:lang w:val="en-CA" w:eastAsia="en-CA"/>
        </w:rPr>
        <w:t>193,144</w:t>
      </w:r>
      <w:r w:rsidRPr="00AA3245">
        <w:rPr>
          <w:rFonts w:ascii="Verdana" w:eastAsia="Times New Roman" w:hAnsi="Verdana" w:cs="Helvetica"/>
          <w:bCs/>
          <w:sz w:val="20"/>
          <w:szCs w:val="20"/>
          <w:bdr w:val="none" w:sz="0" w:space="0" w:color="auto" w:frame="1"/>
          <w:lang w:val="en-CA" w:eastAsia="en-CA"/>
        </w:rPr>
        <w:t>, compared to cash of $</w:t>
      </w:r>
      <w:r w:rsidR="003562B0" w:rsidRPr="00AA3245">
        <w:rPr>
          <w:rFonts w:ascii="Verdana" w:eastAsia="Times New Roman" w:hAnsi="Verdana" w:cs="Helvetica"/>
          <w:bCs/>
          <w:sz w:val="20"/>
          <w:szCs w:val="20"/>
          <w:bdr w:val="none" w:sz="0" w:space="0" w:color="auto" w:frame="1"/>
          <w:lang w:val="en-CA" w:eastAsia="en-CA"/>
        </w:rPr>
        <w:t>866,170</w:t>
      </w:r>
      <w:r w:rsidR="005A5B31" w:rsidRPr="00AA3245">
        <w:rPr>
          <w:rFonts w:ascii="Verdana" w:eastAsia="Times New Roman" w:hAnsi="Verdana" w:cs="Helvetica"/>
          <w:bCs/>
          <w:sz w:val="20"/>
          <w:szCs w:val="20"/>
          <w:bdr w:val="none" w:sz="0" w:space="0" w:color="auto" w:frame="1"/>
          <w:lang w:val="en-CA" w:eastAsia="en-CA"/>
        </w:rPr>
        <w:t xml:space="preserve"> </w:t>
      </w:r>
      <w:r w:rsidRPr="00AA3245">
        <w:rPr>
          <w:rFonts w:ascii="Verdana" w:eastAsia="Times New Roman" w:hAnsi="Verdana" w:cs="Helvetica"/>
          <w:bCs/>
          <w:sz w:val="20"/>
          <w:szCs w:val="20"/>
          <w:bdr w:val="none" w:sz="0" w:space="0" w:color="auto" w:frame="1"/>
          <w:lang w:val="en-CA" w:eastAsia="en-CA"/>
        </w:rPr>
        <w:t xml:space="preserve">at </w:t>
      </w:r>
      <w:r w:rsidR="00D62042" w:rsidRPr="00AA3245">
        <w:rPr>
          <w:rFonts w:ascii="Verdana" w:eastAsia="Times New Roman" w:hAnsi="Verdana" w:cs="Helvetica"/>
          <w:bCs/>
          <w:sz w:val="20"/>
          <w:szCs w:val="20"/>
          <w:bdr w:val="none" w:sz="0" w:space="0" w:color="auto" w:frame="1"/>
          <w:lang w:val="en-CA" w:eastAsia="en-CA"/>
        </w:rPr>
        <w:t>December 31, 2021</w:t>
      </w:r>
      <w:r w:rsidR="005A5B31" w:rsidRPr="00AA3245">
        <w:rPr>
          <w:rFonts w:ascii="Verdana" w:eastAsia="Times New Roman" w:hAnsi="Verdana" w:cs="Helvetica"/>
          <w:bCs/>
          <w:sz w:val="20"/>
          <w:szCs w:val="20"/>
          <w:bdr w:val="none" w:sz="0" w:space="0" w:color="auto" w:frame="1"/>
          <w:lang w:val="en-CA" w:eastAsia="en-CA"/>
        </w:rPr>
        <w:t>.</w:t>
      </w:r>
    </w:p>
    <w:p w14:paraId="7CD055AC" w14:textId="518099FE" w:rsidR="00AF6B0C" w:rsidRPr="008E4DD2" w:rsidRDefault="00AF6B0C" w:rsidP="00FC0244">
      <w:pPr>
        <w:pStyle w:val="ListParagraph"/>
        <w:numPr>
          <w:ilvl w:val="0"/>
          <w:numId w:val="2"/>
        </w:numPr>
        <w:jc w:val="both"/>
        <w:rPr>
          <w:rFonts w:ascii="Verdana" w:eastAsia="Times New Roman" w:hAnsi="Verdana" w:cs="Helvetica"/>
          <w:bCs/>
          <w:sz w:val="20"/>
          <w:szCs w:val="20"/>
          <w:bdr w:val="none" w:sz="0" w:space="0" w:color="auto" w:frame="1"/>
          <w:lang w:val="en-CA" w:eastAsia="en-CA"/>
        </w:rPr>
      </w:pPr>
      <w:r w:rsidRPr="008E4DD2">
        <w:rPr>
          <w:rFonts w:ascii="Verdana" w:eastAsia="Times New Roman" w:hAnsi="Verdana" w:cs="Helvetica"/>
          <w:bCs/>
          <w:sz w:val="20"/>
          <w:szCs w:val="20"/>
          <w:bdr w:val="none" w:sz="0" w:space="0" w:color="auto" w:frame="1"/>
          <w:lang w:val="en-CA" w:eastAsia="en-CA"/>
        </w:rPr>
        <w:t>Cash used in operating activities</w:t>
      </w:r>
      <w:r w:rsidR="003B7954" w:rsidRPr="008E4DD2">
        <w:rPr>
          <w:rFonts w:ascii="Verdana" w:eastAsia="Times New Roman" w:hAnsi="Verdana" w:cs="Helvetica"/>
          <w:bCs/>
          <w:sz w:val="20"/>
          <w:szCs w:val="20"/>
          <w:bdr w:val="none" w:sz="0" w:space="0" w:color="auto" w:frame="1"/>
          <w:lang w:val="en-CA" w:eastAsia="en-CA"/>
        </w:rPr>
        <w:t xml:space="preserve"> </w:t>
      </w:r>
      <w:r w:rsidR="00FC0244">
        <w:rPr>
          <w:rFonts w:ascii="Verdana" w:eastAsia="Times New Roman" w:hAnsi="Verdana" w:cs="Helvetica"/>
          <w:bCs/>
          <w:sz w:val="20"/>
          <w:szCs w:val="20"/>
          <w:bdr w:val="none" w:sz="0" w:space="0" w:color="auto" w:frame="1"/>
          <w:lang w:val="en-CA" w:eastAsia="en-CA"/>
        </w:rPr>
        <w:t>from</w:t>
      </w:r>
      <w:r w:rsidR="003B7954" w:rsidRPr="008E4DD2">
        <w:rPr>
          <w:rFonts w:ascii="Verdana" w:eastAsia="Times New Roman" w:hAnsi="Verdana" w:cs="Helvetica"/>
          <w:bCs/>
          <w:sz w:val="20"/>
          <w:szCs w:val="20"/>
          <w:bdr w:val="none" w:sz="0" w:space="0" w:color="auto" w:frame="1"/>
          <w:lang w:val="en-CA" w:eastAsia="en-CA"/>
        </w:rPr>
        <w:t xml:space="preserve"> continuing operations</w:t>
      </w:r>
      <w:r w:rsidRPr="008E4DD2">
        <w:rPr>
          <w:rFonts w:ascii="Verdana" w:eastAsia="Times New Roman" w:hAnsi="Verdana" w:cs="Helvetica"/>
          <w:bCs/>
          <w:sz w:val="20"/>
          <w:szCs w:val="20"/>
          <w:bdr w:val="none" w:sz="0" w:space="0" w:color="auto" w:frame="1"/>
          <w:lang w:val="en-CA" w:eastAsia="en-CA"/>
        </w:rPr>
        <w:t xml:space="preserve"> was $</w:t>
      </w:r>
      <w:r w:rsidR="0005426A" w:rsidRPr="0005426A">
        <w:rPr>
          <w:rFonts w:ascii="Verdana" w:eastAsia="Times New Roman" w:hAnsi="Verdana" w:cs="Helvetica"/>
          <w:bCs/>
          <w:sz w:val="20"/>
          <w:szCs w:val="20"/>
          <w:bdr w:val="none" w:sz="0" w:space="0" w:color="auto" w:frame="1"/>
          <w:lang w:val="en-CA" w:eastAsia="en-CA"/>
        </w:rPr>
        <w:t>447,013</w:t>
      </w:r>
      <w:r w:rsidR="00034328">
        <w:rPr>
          <w:rFonts w:ascii="Verdana" w:eastAsia="Times New Roman" w:hAnsi="Verdana" w:cs="Helvetica"/>
          <w:bCs/>
          <w:sz w:val="20"/>
          <w:szCs w:val="20"/>
          <w:bdr w:val="none" w:sz="0" w:space="0" w:color="auto" w:frame="1"/>
          <w:lang w:val="en-CA" w:eastAsia="en-CA"/>
        </w:rPr>
        <w:t xml:space="preserve"> </w:t>
      </w:r>
      <w:r w:rsidR="003B7954" w:rsidRPr="008E4DD2">
        <w:rPr>
          <w:rFonts w:ascii="Verdana" w:eastAsia="Times New Roman" w:hAnsi="Verdana" w:cs="Helvetica"/>
          <w:bCs/>
          <w:sz w:val="20"/>
          <w:szCs w:val="20"/>
          <w:bdr w:val="none" w:sz="0" w:space="0" w:color="auto" w:frame="1"/>
          <w:lang w:val="en-CA" w:eastAsia="en-CA"/>
        </w:rPr>
        <w:t xml:space="preserve">for </w:t>
      </w:r>
      <w:r w:rsidR="002E53B1">
        <w:rPr>
          <w:rFonts w:ascii="Verdana" w:eastAsia="Times New Roman" w:hAnsi="Verdana" w:cs="Helvetica"/>
          <w:bCs/>
          <w:sz w:val="20"/>
          <w:szCs w:val="20"/>
          <w:bdr w:val="none" w:sz="0" w:space="0" w:color="auto" w:frame="1"/>
          <w:lang w:val="en-CA" w:eastAsia="en-CA"/>
        </w:rPr>
        <w:t>Q</w:t>
      </w:r>
      <w:r w:rsidR="0066297E">
        <w:rPr>
          <w:rFonts w:ascii="Verdana" w:eastAsia="Times New Roman" w:hAnsi="Verdana" w:cs="Helvetica"/>
          <w:bCs/>
          <w:sz w:val="20"/>
          <w:szCs w:val="20"/>
          <w:bdr w:val="none" w:sz="0" w:space="0" w:color="auto" w:frame="1"/>
          <w:lang w:val="en-CA" w:eastAsia="en-CA"/>
        </w:rPr>
        <w:t>4</w:t>
      </w:r>
      <w:r w:rsidR="002E53B1">
        <w:rPr>
          <w:rFonts w:ascii="Verdana" w:eastAsia="Times New Roman" w:hAnsi="Verdana" w:cs="Helvetica"/>
          <w:bCs/>
          <w:sz w:val="20"/>
          <w:szCs w:val="20"/>
          <w:bdr w:val="none" w:sz="0" w:space="0" w:color="auto" w:frame="1"/>
          <w:lang w:val="en-CA" w:eastAsia="en-CA"/>
        </w:rPr>
        <w:t xml:space="preserve"> 2022</w:t>
      </w:r>
      <w:r w:rsidRPr="008E4DD2">
        <w:rPr>
          <w:rFonts w:ascii="Verdana" w:eastAsia="Times New Roman" w:hAnsi="Verdana" w:cs="Helvetica"/>
          <w:bCs/>
          <w:sz w:val="20"/>
          <w:szCs w:val="20"/>
          <w:bdr w:val="none" w:sz="0" w:space="0" w:color="auto" w:frame="1"/>
          <w:lang w:val="en-CA" w:eastAsia="en-CA"/>
        </w:rPr>
        <w:t>, compared to $</w:t>
      </w:r>
      <w:r w:rsidR="0005426A" w:rsidRPr="0005426A">
        <w:rPr>
          <w:rFonts w:ascii="Verdana" w:eastAsia="Times New Roman" w:hAnsi="Verdana" w:cs="Helvetica"/>
          <w:bCs/>
          <w:sz w:val="20"/>
          <w:szCs w:val="20"/>
          <w:bdr w:val="none" w:sz="0" w:space="0" w:color="auto" w:frame="1"/>
          <w:lang w:val="en-CA" w:eastAsia="en-CA"/>
        </w:rPr>
        <w:t>778,897</w:t>
      </w:r>
      <w:r w:rsidRPr="008E4DD2">
        <w:rPr>
          <w:rFonts w:ascii="Verdana" w:eastAsia="Times New Roman" w:hAnsi="Verdana" w:cs="Helvetica"/>
          <w:bCs/>
          <w:sz w:val="20"/>
          <w:szCs w:val="20"/>
          <w:bdr w:val="none" w:sz="0" w:space="0" w:color="auto" w:frame="1"/>
          <w:lang w:val="en-CA" w:eastAsia="en-CA"/>
        </w:rPr>
        <w:t xml:space="preserve"> for </w:t>
      </w:r>
      <w:r w:rsidR="002E53B1">
        <w:rPr>
          <w:rFonts w:ascii="Verdana" w:eastAsia="Times New Roman" w:hAnsi="Verdana" w:cs="Helvetica"/>
          <w:bCs/>
          <w:sz w:val="20"/>
          <w:szCs w:val="20"/>
          <w:bdr w:val="none" w:sz="0" w:space="0" w:color="auto" w:frame="1"/>
          <w:lang w:val="en-CA" w:eastAsia="en-CA"/>
        </w:rPr>
        <w:t>Q</w:t>
      </w:r>
      <w:r w:rsidR="0005426A">
        <w:rPr>
          <w:rFonts w:ascii="Verdana" w:eastAsia="Times New Roman" w:hAnsi="Verdana" w:cs="Helvetica"/>
          <w:bCs/>
          <w:sz w:val="20"/>
          <w:szCs w:val="20"/>
          <w:bdr w:val="none" w:sz="0" w:space="0" w:color="auto" w:frame="1"/>
          <w:lang w:val="en-CA" w:eastAsia="en-CA"/>
        </w:rPr>
        <w:t>4</w:t>
      </w:r>
      <w:r w:rsidR="002E53B1">
        <w:rPr>
          <w:rFonts w:ascii="Verdana" w:eastAsia="Times New Roman" w:hAnsi="Verdana" w:cs="Helvetica"/>
          <w:bCs/>
          <w:sz w:val="20"/>
          <w:szCs w:val="20"/>
          <w:bdr w:val="none" w:sz="0" w:space="0" w:color="auto" w:frame="1"/>
          <w:lang w:val="en-CA" w:eastAsia="en-CA"/>
        </w:rPr>
        <w:t xml:space="preserve"> 2021</w:t>
      </w:r>
      <w:r w:rsidR="00170334" w:rsidRPr="008E4DD2">
        <w:rPr>
          <w:rFonts w:ascii="Verdana" w:eastAsia="Times New Roman" w:hAnsi="Verdana" w:cs="Helvetica"/>
          <w:bCs/>
          <w:sz w:val="20"/>
          <w:szCs w:val="20"/>
          <w:bdr w:val="none" w:sz="0" w:space="0" w:color="auto" w:frame="1"/>
          <w:lang w:val="en-CA" w:eastAsia="en-CA"/>
        </w:rPr>
        <w:t>.</w:t>
      </w:r>
    </w:p>
    <w:p w14:paraId="25C391CE" w14:textId="53D33E75" w:rsidR="00B77593" w:rsidRPr="008E4DD2" w:rsidRDefault="00B77593">
      <w:pPr>
        <w:rPr>
          <w:rFonts w:ascii="Verdana" w:eastAsia="Times New Roman" w:hAnsi="Verdana" w:cs="Helvetica"/>
          <w:b/>
          <w:sz w:val="20"/>
          <w:szCs w:val="20"/>
          <w:lang w:val="en-CA"/>
        </w:rPr>
      </w:pPr>
    </w:p>
    <w:p w14:paraId="0276256F" w14:textId="77777777" w:rsidR="00281FDC" w:rsidRDefault="00281FDC">
      <w:pPr>
        <w:rPr>
          <w:rFonts w:ascii="Verdana" w:eastAsia="Times New Roman" w:hAnsi="Verdana" w:cs="Helvetica"/>
          <w:b/>
          <w:sz w:val="20"/>
          <w:szCs w:val="20"/>
          <w:lang w:val="en-CA"/>
        </w:rPr>
      </w:pPr>
      <w:r>
        <w:rPr>
          <w:rFonts w:ascii="Verdana" w:hAnsi="Verdana" w:cs="Helvetica"/>
          <w:b/>
          <w:sz w:val="20"/>
          <w:szCs w:val="20"/>
        </w:rPr>
        <w:br w:type="page"/>
      </w:r>
    </w:p>
    <w:p w14:paraId="29110659" w14:textId="6A0FFD52" w:rsidR="000218EB" w:rsidRDefault="00FC6E94" w:rsidP="00FC6E94">
      <w:pPr>
        <w:pStyle w:val="NormalWeb"/>
        <w:spacing w:before="150" w:beforeAutospacing="0" w:after="150" w:afterAutospacing="0" w:line="360" w:lineRule="atLeast"/>
        <w:jc w:val="both"/>
        <w:rPr>
          <w:rFonts w:ascii="Verdana" w:hAnsi="Verdana" w:cs="Helvetica"/>
          <w:b/>
          <w:sz w:val="20"/>
          <w:szCs w:val="20"/>
        </w:rPr>
      </w:pPr>
      <w:r w:rsidRPr="008E4DD2">
        <w:rPr>
          <w:rFonts w:ascii="Verdana" w:hAnsi="Verdana" w:cs="Helvetica"/>
          <w:b/>
          <w:sz w:val="20"/>
          <w:szCs w:val="20"/>
        </w:rPr>
        <w:lastRenderedPageBreak/>
        <w:t>Financial Summary</w:t>
      </w:r>
      <w:r w:rsidR="00953FEA" w:rsidRPr="008E4DD2">
        <w:rPr>
          <w:rFonts w:ascii="Verdana" w:hAnsi="Verdana" w:cs="Helvetica"/>
          <w:b/>
          <w:sz w:val="20"/>
          <w:szCs w:val="20"/>
        </w:rPr>
        <w:t xml:space="preserve"> </w:t>
      </w:r>
    </w:p>
    <w:tbl>
      <w:tblPr>
        <w:tblStyle w:val="TableGrid"/>
        <w:tblW w:w="5000" w:type="pct"/>
        <w:tblLayout w:type="fixed"/>
        <w:tblLook w:val="04A0" w:firstRow="1" w:lastRow="0" w:firstColumn="1" w:lastColumn="0" w:noHBand="0" w:noVBand="1"/>
      </w:tblPr>
      <w:tblGrid>
        <w:gridCol w:w="2937"/>
        <w:gridCol w:w="1603"/>
        <w:gridCol w:w="1552"/>
        <w:gridCol w:w="1655"/>
        <w:gridCol w:w="1603"/>
      </w:tblGrid>
      <w:tr w:rsidR="002E53B1" w:rsidRPr="00B54E73" w14:paraId="2ED9B968" w14:textId="77777777" w:rsidTr="00820AA3">
        <w:trPr>
          <w:trHeight w:val="170"/>
        </w:trPr>
        <w:tc>
          <w:tcPr>
            <w:tcW w:w="1571" w:type="pct"/>
            <w:vAlign w:val="bottom"/>
          </w:tcPr>
          <w:p w14:paraId="02CF7702" w14:textId="77777777" w:rsidR="002E53B1" w:rsidRPr="00B54E73" w:rsidRDefault="002E53B1" w:rsidP="00820AA3">
            <w:pPr>
              <w:pStyle w:val="NormalWeb"/>
              <w:spacing w:before="0" w:beforeAutospacing="0" w:after="0" w:afterAutospacing="0" w:line="360" w:lineRule="atLeast"/>
              <w:rPr>
                <w:rFonts w:ascii="Verdana" w:hAnsi="Verdana" w:cs="Helvetica"/>
                <w:i/>
                <w:sz w:val="18"/>
                <w:szCs w:val="18"/>
              </w:rPr>
            </w:pPr>
            <w:r w:rsidRPr="00B54E73">
              <w:rPr>
                <w:rFonts w:ascii="Verdana" w:hAnsi="Verdana" w:cs="Helvetica"/>
                <w:i/>
                <w:sz w:val="18"/>
                <w:szCs w:val="18"/>
              </w:rPr>
              <w:t>$, except where noted</w:t>
            </w:r>
          </w:p>
        </w:tc>
        <w:tc>
          <w:tcPr>
            <w:tcW w:w="1687" w:type="pct"/>
            <w:gridSpan w:val="2"/>
            <w:vAlign w:val="bottom"/>
          </w:tcPr>
          <w:p w14:paraId="6C1538F4" w14:textId="77777777" w:rsidR="002E53B1" w:rsidRPr="00050F1D" w:rsidRDefault="002E53B1" w:rsidP="00050F1D">
            <w:pPr>
              <w:pStyle w:val="NormalWeb"/>
              <w:spacing w:before="0" w:beforeAutospacing="0" w:after="0" w:afterAutospacing="0"/>
              <w:jc w:val="right"/>
              <w:rPr>
                <w:rFonts w:ascii="Verdana" w:hAnsi="Verdana" w:cs="Helvetica"/>
                <w:bCs/>
                <w:sz w:val="18"/>
                <w:szCs w:val="18"/>
              </w:rPr>
            </w:pPr>
            <w:r w:rsidRPr="00050F1D">
              <w:rPr>
                <w:rFonts w:ascii="Verdana" w:hAnsi="Verdana" w:cs="Helvetica"/>
                <w:bCs/>
                <w:sz w:val="18"/>
                <w:szCs w:val="18"/>
              </w:rPr>
              <w:t>Three months ended</w:t>
            </w:r>
          </w:p>
          <w:p w14:paraId="0536CF73" w14:textId="4A809A08" w:rsidR="002E53B1" w:rsidRPr="00050F1D" w:rsidRDefault="00CF0FD2" w:rsidP="00050F1D">
            <w:pPr>
              <w:pStyle w:val="NormalWeb"/>
              <w:spacing w:before="0" w:beforeAutospacing="0" w:after="0" w:afterAutospacing="0"/>
              <w:jc w:val="right"/>
              <w:rPr>
                <w:rFonts w:ascii="Verdana" w:hAnsi="Verdana" w:cs="Helvetica"/>
                <w:bCs/>
                <w:sz w:val="18"/>
                <w:szCs w:val="18"/>
              </w:rPr>
            </w:pPr>
            <w:r>
              <w:rPr>
                <w:rFonts w:ascii="Verdana" w:hAnsi="Verdana" w:cs="Helvetica"/>
                <w:bCs/>
                <w:sz w:val="18"/>
                <w:szCs w:val="18"/>
              </w:rPr>
              <w:t>December 31</w:t>
            </w:r>
            <w:r w:rsidR="002E53B1" w:rsidRPr="00050F1D">
              <w:rPr>
                <w:rFonts w:ascii="Verdana" w:hAnsi="Verdana" w:cs="Helvetica"/>
                <w:bCs/>
                <w:sz w:val="18"/>
                <w:szCs w:val="18"/>
              </w:rPr>
              <w:t>,</w:t>
            </w:r>
          </w:p>
        </w:tc>
        <w:tc>
          <w:tcPr>
            <w:tcW w:w="1742" w:type="pct"/>
            <w:gridSpan w:val="2"/>
            <w:vAlign w:val="bottom"/>
          </w:tcPr>
          <w:p w14:paraId="22C11B10" w14:textId="4AAB494C" w:rsidR="002E53B1" w:rsidRPr="00050F1D" w:rsidRDefault="00CF0FD2" w:rsidP="00050F1D">
            <w:pPr>
              <w:pStyle w:val="NormalWeb"/>
              <w:spacing w:before="0" w:beforeAutospacing="0" w:after="0" w:afterAutospacing="0"/>
              <w:jc w:val="right"/>
              <w:rPr>
                <w:rFonts w:ascii="Verdana" w:hAnsi="Verdana" w:cs="Helvetica"/>
                <w:bCs/>
                <w:sz w:val="18"/>
                <w:szCs w:val="18"/>
              </w:rPr>
            </w:pPr>
            <w:r>
              <w:rPr>
                <w:rFonts w:ascii="Verdana" w:hAnsi="Verdana" w:cs="Helvetica"/>
                <w:bCs/>
                <w:sz w:val="18"/>
                <w:szCs w:val="18"/>
              </w:rPr>
              <w:t>Twelve</w:t>
            </w:r>
            <w:r w:rsidR="002E53B1" w:rsidRPr="00050F1D">
              <w:rPr>
                <w:rFonts w:ascii="Verdana" w:hAnsi="Verdana" w:cs="Helvetica"/>
                <w:bCs/>
                <w:sz w:val="18"/>
                <w:szCs w:val="18"/>
              </w:rPr>
              <w:t xml:space="preserve"> months ended </w:t>
            </w:r>
          </w:p>
          <w:p w14:paraId="6537F5B3" w14:textId="624425B1" w:rsidR="002E53B1" w:rsidRPr="00050F1D" w:rsidRDefault="00CF0FD2" w:rsidP="00050F1D">
            <w:pPr>
              <w:pStyle w:val="NormalWeb"/>
              <w:spacing w:before="0" w:beforeAutospacing="0" w:after="0" w:afterAutospacing="0"/>
              <w:jc w:val="right"/>
              <w:rPr>
                <w:rFonts w:ascii="Verdana" w:hAnsi="Verdana" w:cs="Helvetica"/>
                <w:bCs/>
                <w:sz w:val="18"/>
                <w:szCs w:val="18"/>
              </w:rPr>
            </w:pPr>
            <w:r>
              <w:rPr>
                <w:rFonts w:ascii="Verdana" w:hAnsi="Verdana" w:cs="Helvetica"/>
                <w:bCs/>
                <w:sz w:val="18"/>
                <w:szCs w:val="18"/>
              </w:rPr>
              <w:t>December</w:t>
            </w:r>
            <w:r w:rsidR="00034328" w:rsidRPr="00050F1D">
              <w:rPr>
                <w:rFonts w:ascii="Verdana" w:hAnsi="Verdana" w:cs="Helvetica"/>
                <w:bCs/>
                <w:sz w:val="18"/>
                <w:szCs w:val="18"/>
              </w:rPr>
              <w:t xml:space="preserve"> </w:t>
            </w:r>
            <w:r w:rsidR="002E53B1" w:rsidRPr="00050F1D">
              <w:rPr>
                <w:rFonts w:ascii="Verdana" w:hAnsi="Verdana" w:cs="Helvetica"/>
                <w:bCs/>
                <w:sz w:val="18"/>
                <w:szCs w:val="18"/>
              </w:rPr>
              <w:t>3</w:t>
            </w:r>
            <w:r>
              <w:rPr>
                <w:rFonts w:ascii="Verdana" w:hAnsi="Verdana" w:cs="Helvetica"/>
                <w:bCs/>
                <w:sz w:val="18"/>
                <w:szCs w:val="18"/>
              </w:rPr>
              <w:t>1</w:t>
            </w:r>
            <w:r w:rsidR="002E53B1" w:rsidRPr="00050F1D">
              <w:rPr>
                <w:rFonts w:ascii="Verdana" w:hAnsi="Verdana" w:cs="Helvetica"/>
                <w:bCs/>
                <w:sz w:val="18"/>
                <w:szCs w:val="18"/>
              </w:rPr>
              <w:t>,</w:t>
            </w:r>
          </w:p>
        </w:tc>
      </w:tr>
      <w:tr w:rsidR="002E53B1" w:rsidRPr="00B54E73" w14:paraId="667761EA" w14:textId="77777777" w:rsidTr="00B974D4">
        <w:trPr>
          <w:trHeight w:val="170"/>
        </w:trPr>
        <w:tc>
          <w:tcPr>
            <w:tcW w:w="1571" w:type="pct"/>
          </w:tcPr>
          <w:p w14:paraId="71AA9B67" w14:textId="77777777" w:rsidR="002E53B1" w:rsidRPr="00B54E73" w:rsidRDefault="002E53B1" w:rsidP="00820AA3">
            <w:pPr>
              <w:pStyle w:val="NormalWeb"/>
              <w:spacing w:before="0" w:beforeAutospacing="0" w:after="0" w:afterAutospacing="0"/>
              <w:jc w:val="both"/>
              <w:rPr>
                <w:rFonts w:ascii="Verdana" w:hAnsi="Verdana" w:cs="Helvetica"/>
                <w:sz w:val="18"/>
                <w:szCs w:val="18"/>
              </w:rPr>
            </w:pPr>
          </w:p>
        </w:tc>
        <w:tc>
          <w:tcPr>
            <w:tcW w:w="857" w:type="pct"/>
            <w:vAlign w:val="bottom"/>
          </w:tcPr>
          <w:p w14:paraId="3918A957" w14:textId="75AFFD37" w:rsidR="002E53B1" w:rsidRPr="00B974D4" w:rsidRDefault="002E53B1" w:rsidP="00B974D4">
            <w:pPr>
              <w:pStyle w:val="NormalWeb"/>
              <w:spacing w:before="0" w:beforeAutospacing="0" w:after="0" w:afterAutospacing="0"/>
              <w:jc w:val="right"/>
              <w:rPr>
                <w:rFonts w:ascii="Verdana" w:hAnsi="Verdana" w:cs="Helvetica"/>
                <w:b/>
                <w:sz w:val="18"/>
                <w:szCs w:val="18"/>
              </w:rPr>
            </w:pPr>
            <w:r w:rsidRPr="00B974D4">
              <w:rPr>
                <w:rFonts w:ascii="Verdana" w:hAnsi="Verdana" w:cs="Helvetica"/>
                <w:b/>
                <w:sz w:val="18"/>
                <w:szCs w:val="18"/>
              </w:rPr>
              <w:t>2022</w:t>
            </w:r>
          </w:p>
        </w:tc>
        <w:tc>
          <w:tcPr>
            <w:tcW w:w="830" w:type="pct"/>
            <w:vAlign w:val="bottom"/>
          </w:tcPr>
          <w:p w14:paraId="0225503E" w14:textId="30498F95" w:rsidR="002E53B1" w:rsidRPr="00B974D4" w:rsidRDefault="002E53B1" w:rsidP="00B974D4">
            <w:pPr>
              <w:pStyle w:val="NormalWeb"/>
              <w:spacing w:before="0" w:beforeAutospacing="0" w:after="0" w:afterAutospacing="0"/>
              <w:jc w:val="right"/>
              <w:rPr>
                <w:rFonts w:ascii="Verdana" w:hAnsi="Verdana" w:cs="Helvetica"/>
                <w:bCs/>
                <w:sz w:val="18"/>
                <w:szCs w:val="18"/>
              </w:rPr>
            </w:pPr>
            <w:r w:rsidRPr="00B974D4">
              <w:rPr>
                <w:rFonts w:ascii="Verdana" w:hAnsi="Verdana" w:cs="Helvetica"/>
                <w:bCs/>
                <w:sz w:val="18"/>
                <w:szCs w:val="18"/>
              </w:rPr>
              <w:t>2021</w:t>
            </w:r>
          </w:p>
        </w:tc>
        <w:tc>
          <w:tcPr>
            <w:tcW w:w="885" w:type="pct"/>
            <w:vAlign w:val="bottom"/>
          </w:tcPr>
          <w:p w14:paraId="6C8401A2" w14:textId="16C8351E" w:rsidR="002E53B1" w:rsidRPr="00B974D4" w:rsidRDefault="002E53B1" w:rsidP="00B974D4">
            <w:pPr>
              <w:pStyle w:val="NormalWeb"/>
              <w:spacing w:before="0" w:beforeAutospacing="0" w:after="0" w:afterAutospacing="0"/>
              <w:jc w:val="right"/>
              <w:rPr>
                <w:rFonts w:ascii="Verdana" w:hAnsi="Verdana" w:cs="Helvetica"/>
                <w:b/>
                <w:sz w:val="18"/>
                <w:szCs w:val="18"/>
              </w:rPr>
            </w:pPr>
            <w:r w:rsidRPr="00B974D4">
              <w:rPr>
                <w:rFonts w:ascii="Verdana" w:hAnsi="Verdana" w:cs="Helvetica"/>
                <w:b/>
                <w:sz w:val="18"/>
                <w:szCs w:val="18"/>
              </w:rPr>
              <w:t>2022</w:t>
            </w:r>
          </w:p>
        </w:tc>
        <w:tc>
          <w:tcPr>
            <w:tcW w:w="857" w:type="pct"/>
            <w:vAlign w:val="bottom"/>
          </w:tcPr>
          <w:p w14:paraId="1F3F9D04" w14:textId="3B5838B4" w:rsidR="002E53B1" w:rsidRPr="00B974D4" w:rsidRDefault="002E53B1" w:rsidP="00B974D4">
            <w:pPr>
              <w:pStyle w:val="NormalWeb"/>
              <w:spacing w:before="0" w:beforeAutospacing="0" w:after="0" w:afterAutospacing="0"/>
              <w:jc w:val="right"/>
              <w:rPr>
                <w:rFonts w:ascii="Verdana" w:hAnsi="Verdana" w:cs="Helvetica"/>
                <w:bCs/>
                <w:sz w:val="18"/>
                <w:szCs w:val="18"/>
              </w:rPr>
            </w:pPr>
            <w:r w:rsidRPr="00B974D4">
              <w:rPr>
                <w:rFonts w:ascii="Verdana" w:hAnsi="Verdana" w:cs="Helvetica"/>
                <w:bCs/>
                <w:sz w:val="18"/>
                <w:szCs w:val="18"/>
              </w:rPr>
              <w:t>2021</w:t>
            </w:r>
          </w:p>
        </w:tc>
      </w:tr>
      <w:tr w:rsidR="00B974D4" w:rsidRPr="00B54E73" w14:paraId="5CE9E559" w14:textId="77777777" w:rsidTr="00B974D4">
        <w:trPr>
          <w:trHeight w:val="170"/>
        </w:trPr>
        <w:tc>
          <w:tcPr>
            <w:tcW w:w="1571" w:type="pct"/>
          </w:tcPr>
          <w:p w14:paraId="0CF44872" w14:textId="77777777" w:rsidR="00B974D4" w:rsidRPr="00B54E73" w:rsidRDefault="00B974D4" w:rsidP="00B974D4">
            <w:pPr>
              <w:pStyle w:val="NormalWeb"/>
              <w:spacing w:before="0" w:beforeAutospacing="0" w:after="0" w:afterAutospacing="0"/>
              <w:rPr>
                <w:rFonts w:ascii="Verdana" w:hAnsi="Verdana" w:cs="Helvetica"/>
                <w:sz w:val="18"/>
                <w:szCs w:val="18"/>
              </w:rPr>
            </w:pPr>
            <w:r w:rsidRPr="00B54E73">
              <w:rPr>
                <w:rFonts w:ascii="Verdana" w:hAnsi="Verdana" w:cs="Helvetica"/>
                <w:sz w:val="18"/>
                <w:szCs w:val="18"/>
              </w:rPr>
              <w:t>Total revenues</w:t>
            </w:r>
          </w:p>
        </w:tc>
        <w:tc>
          <w:tcPr>
            <w:tcW w:w="857" w:type="pct"/>
            <w:vAlign w:val="bottom"/>
          </w:tcPr>
          <w:p w14:paraId="128BE940" w14:textId="316F6B32" w:rsidR="00B974D4" w:rsidRPr="00B974D4" w:rsidRDefault="00B974D4" w:rsidP="00B974D4">
            <w:pPr>
              <w:pStyle w:val="NormalWeb"/>
              <w:spacing w:before="0" w:beforeAutospacing="0" w:after="0" w:afterAutospacing="0"/>
              <w:jc w:val="right"/>
              <w:rPr>
                <w:rFonts w:ascii="Verdana" w:hAnsi="Verdana" w:cs="Helvetica"/>
                <w:b/>
                <w:bCs/>
                <w:sz w:val="18"/>
                <w:szCs w:val="18"/>
                <w:highlight w:val="yellow"/>
              </w:rPr>
            </w:pPr>
            <w:r w:rsidRPr="00B974D4">
              <w:rPr>
                <w:rFonts w:ascii="Verdana" w:hAnsi="Verdana" w:cs="Calibri"/>
                <w:b/>
                <w:bCs/>
                <w:color w:val="000000"/>
                <w:sz w:val="18"/>
                <w:szCs w:val="18"/>
              </w:rPr>
              <w:t xml:space="preserve"> 426,786 </w:t>
            </w:r>
          </w:p>
        </w:tc>
        <w:tc>
          <w:tcPr>
            <w:tcW w:w="830" w:type="pct"/>
            <w:vAlign w:val="bottom"/>
          </w:tcPr>
          <w:p w14:paraId="1C7FF9B2" w14:textId="50109DBC" w:rsidR="00B974D4" w:rsidRPr="00B974D4" w:rsidRDefault="00B974D4" w:rsidP="00B974D4">
            <w:pPr>
              <w:pStyle w:val="NormalWeb"/>
              <w:spacing w:before="0" w:beforeAutospacing="0" w:after="0" w:afterAutospacing="0"/>
              <w:jc w:val="right"/>
              <w:rPr>
                <w:rFonts w:ascii="Verdana" w:hAnsi="Verdana" w:cs="Helvetica"/>
                <w:bCs/>
                <w:sz w:val="18"/>
                <w:szCs w:val="18"/>
              </w:rPr>
            </w:pPr>
            <w:r w:rsidRPr="00B974D4">
              <w:rPr>
                <w:rFonts w:ascii="Verdana" w:hAnsi="Verdana" w:cs="Calibri"/>
                <w:color w:val="202020"/>
                <w:sz w:val="18"/>
                <w:szCs w:val="18"/>
              </w:rPr>
              <w:t xml:space="preserve"> 1,142,581 </w:t>
            </w:r>
          </w:p>
        </w:tc>
        <w:tc>
          <w:tcPr>
            <w:tcW w:w="885" w:type="pct"/>
            <w:vAlign w:val="bottom"/>
          </w:tcPr>
          <w:p w14:paraId="749AD30A" w14:textId="03BAA5B6" w:rsidR="00B974D4" w:rsidRPr="00B974D4" w:rsidRDefault="00B974D4" w:rsidP="00B974D4">
            <w:pPr>
              <w:pStyle w:val="NormalWeb"/>
              <w:spacing w:before="0" w:beforeAutospacing="0" w:after="0" w:afterAutospacing="0"/>
              <w:jc w:val="right"/>
              <w:rPr>
                <w:rFonts w:ascii="Verdana" w:hAnsi="Verdana" w:cs="Helvetica"/>
                <w:b/>
                <w:bCs/>
                <w:sz w:val="18"/>
                <w:szCs w:val="18"/>
                <w:highlight w:val="yellow"/>
              </w:rPr>
            </w:pPr>
            <w:r w:rsidRPr="00B974D4">
              <w:rPr>
                <w:rFonts w:ascii="Verdana" w:hAnsi="Verdana" w:cs="Calibri"/>
                <w:b/>
                <w:bCs/>
                <w:color w:val="000000"/>
                <w:sz w:val="18"/>
                <w:szCs w:val="18"/>
              </w:rPr>
              <w:t xml:space="preserve">4,661,525 </w:t>
            </w:r>
          </w:p>
        </w:tc>
        <w:tc>
          <w:tcPr>
            <w:tcW w:w="857" w:type="pct"/>
            <w:vAlign w:val="bottom"/>
          </w:tcPr>
          <w:p w14:paraId="729F1B5E" w14:textId="2C7A25E5" w:rsidR="00B974D4" w:rsidRPr="00B974D4" w:rsidRDefault="00B974D4" w:rsidP="00B974D4">
            <w:pPr>
              <w:pStyle w:val="NormalWeb"/>
              <w:spacing w:before="0" w:beforeAutospacing="0" w:after="0" w:afterAutospacing="0"/>
              <w:jc w:val="right"/>
              <w:rPr>
                <w:rFonts w:ascii="Verdana" w:hAnsi="Verdana" w:cs="Helvetica"/>
                <w:bCs/>
                <w:sz w:val="18"/>
                <w:szCs w:val="18"/>
              </w:rPr>
            </w:pPr>
            <w:r w:rsidRPr="00B974D4">
              <w:rPr>
                <w:rFonts w:ascii="Verdana" w:hAnsi="Verdana" w:cs="Calibri"/>
                <w:color w:val="000000"/>
                <w:sz w:val="18"/>
                <w:szCs w:val="18"/>
              </w:rPr>
              <w:t xml:space="preserve"> 4,368,916 </w:t>
            </w:r>
          </w:p>
        </w:tc>
      </w:tr>
      <w:tr w:rsidR="00B974D4" w:rsidRPr="00B54E73" w14:paraId="712BD0F0" w14:textId="77777777" w:rsidTr="00B974D4">
        <w:trPr>
          <w:trHeight w:val="170"/>
        </w:trPr>
        <w:tc>
          <w:tcPr>
            <w:tcW w:w="1571" w:type="pct"/>
          </w:tcPr>
          <w:p w14:paraId="14107F72" w14:textId="77777777" w:rsidR="00B974D4" w:rsidRPr="00B54E73" w:rsidRDefault="00B974D4" w:rsidP="00B974D4">
            <w:pPr>
              <w:pStyle w:val="NormalWeb"/>
              <w:spacing w:before="0" w:beforeAutospacing="0" w:after="0" w:afterAutospacing="0"/>
              <w:rPr>
                <w:rFonts w:ascii="Verdana" w:hAnsi="Verdana" w:cs="Helvetica"/>
                <w:sz w:val="18"/>
                <w:szCs w:val="18"/>
              </w:rPr>
            </w:pPr>
            <w:r w:rsidRPr="00B54E73">
              <w:rPr>
                <w:rFonts w:ascii="Verdana" w:hAnsi="Verdana" w:cs="Helvetica"/>
                <w:sz w:val="18"/>
                <w:szCs w:val="18"/>
              </w:rPr>
              <w:t>Direct clinic expenses</w:t>
            </w:r>
          </w:p>
        </w:tc>
        <w:tc>
          <w:tcPr>
            <w:tcW w:w="857" w:type="pct"/>
            <w:vAlign w:val="bottom"/>
          </w:tcPr>
          <w:p w14:paraId="57F5F268" w14:textId="62980077" w:rsidR="00B974D4" w:rsidRPr="00B974D4" w:rsidRDefault="00B974D4" w:rsidP="00B974D4">
            <w:pPr>
              <w:pStyle w:val="NormalWeb"/>
              <w:spacing w:before="0" w:beforeAutospacing="0" w:after="0" w:afterAutospacing="0"/>
              <w:jc w:val="right"/>
              <w:rPr>
                <w:rFonts w:ascii="Verdana" w:hAnsi="Verdana" w:cs="Helvetica"/>
                <w:b/>
                <w:bCs/>
                <w:sz w:val="18"/>
                <w:szCs w:val="18"/>
              </w:rPr>
            </w:pPr>
            <w:r w:rsidRPr="00B974D4">
              <w:rPr>
                <w:rFonts w:ascii="Verdana" w:hAnsi="Verdana" w:cs="Calibri"/>
                <w:b/>
                <w:bCs/>
                <w:color w:val="202020"/>
                <w:sz w:val="18"/>
                <w:szCs w:val="18"/>
              </w:rPr>
              <w:t xml:space="preserve"> (359,668)</w:t>
            </w:r>
          </w:p>
        </w:tc>
        <w:tc>
          <w:tcPr>
            <w:tcW w:w="830" w:type="pct"/>
            <w:vAlign w:val="bottom"/>
          </w:tcPr>
          <w:p w14:paraId="11617040" w14:textId="27DCD0CE" w:rsidR="00B974D4" w:rsidRPr="00B974D4" w:rsidRDefault="00B974D4" w:rsidP="00B974D4">
            <w:pPr>
              <w:pStyle w:val="NormalWeb"/>
              <w:spacing w:before="0" w:beforeAutospacing="0" w:after="0" w:afterAutospacing="0"/>
              <w:jc w:val="right"/>
              <w:rPr>
                <w:rFonts w:ascii="Verdana" w:hAnsi="Verdana" w:cs="Helvetica"/>
                <w:sz w:val="18"/>
                <w:szCs w:val="18"/>
              </w:rPr>
            </w:pPr>
            <w:r w:rsidRPr="00B974D4">
              <w:rPr>
                <w:rFonts w:ascii="Verdana" w:hAnsi="Verdana" w:cs="Calibri"/>
                <w:color w:val="202020"/>
                <w:sz w:val="18"/>
                <w:szCs w:val="18"/>
              </w:rPr>
              <w:t xml:space="preserve"> (1,428,074)</w:t>
            </w:r>
          </w:p>
        </w:tc>
        <w:tc>
          <w:tcPr>
            <w:tcW w:w="885" w:type="pct"/>
            <w:vAlign w:val="bottom"/>
          </w:tcPr>
          <w:p w14:paraId="621C1360" w14:textId="7406A30B" w:rsidR="00B974D4" w:rsidRPr="00B974D4" w:rsidRDefault="00B974D4" w:rsidP="00B974D4">
            <w:pPr>
              <w:pStyle w:val="NormalWeb"/>
              <w:spacing w:before="0" w:beforeAutospacing="0" w:after="0" w:afterAutospacing="0"/>
              <w:jc w:val="right"/>
              <w:rPr>
                <w:rFonts w:ascii="Verdana" w:hAnsi="Verdana" w:cs="Helvetica"/>
                <w:b/>
                <w:bCs/>
                <w:sz w:val="18"/>
                <w:szCs w:val="18"/>
              </w:rPr>
            </w:pPr>
            <w:r w:rsidRPr="00B974D4">
              <w:rPr>
                <w:rFonts w:ascii="Verdana" w:hAnsi="Verdana" w:cs="Calibri"/>
                <w:b/>
                <w:bCs/>
                <w:color w:val="202020"/>
                <w:sz w:val="18"/>
                <w:szCs w:val="18"/>
              </w:rPr>
              <w:t>(2,693,502)</w:t>
            </w:r>
          </w:p>
        </w:tc>
        <w:tc>
          <w:tcPr>
            <w:tcW w:w="857" w:type="pct"/>
            <w:vAlign w:val="bottom"/>
          </w:tcPr>
          <w:p w14:paraId="6A2038B1" w14:textId="34593029" w:rsidR="00B974D4" w:rsidRPr="00B974D4" w:rsidRDefault="00B974D4" w:rsidP="00B974D4">
            <w:pPr>
              <w:pStyle w:val="NormalWeb"/>
              <w:spacing w:before="0" w:beforeAutospacing="0" w:after="0" w:afterAutospacing="0"/>
              <w:jc w:val="right"/>
              <w:rPr>
                <w:rFonts w:ascii="Verdana" w:hAnsi="Verdana" w:cs="Helvetica"/>
                <w:sz w:val="18"/>
                <w:szCs w:val="18"/>
              </w:rPr>
            </w:pPr>
            <w:r w:rsidRPr="00B974D4">
              <w:rPr>
                <w:rFonts w:ascii="Verdana" w:hAnsi="Verdana" w:cs="Calibri"/>
                <w:color w:val="202020"/>
                <w:sz w:val="18"/>
                <w:szCs w:val="18"/>
              </w:rPr>
              <w:t xml:space="preserve"> (3,020,412)</w:t>
            </w:r>
          </w:p>
        </w:tc>
      </w:tr>
      <w:tr w:rsidR="00B974D4" w:rsidRPr="00B54E73" w14:paraId="43E16E20" w14:textId="77777777" w:rsidTr="00B974D4">
        <w:trPr>
          <w:trHeight w:val="170"/>
        </w:trPr>
        <w:tc>
          <w:tcPr>
            <w:tcW w:w="1571" w:type="pct"/>
          </w:tcPr>
          <w:p w14:paraId="38FB83F2" w14:textId="77777777" w:rsidR="00B974D4" w:rsidRPr="00B54E73" w:rsidRDefault="00B974D4" w:rsidP="00B974D4">
            <w:pPr>
              <w:pStyle w:val="NormalWeb"/>
              <w:spacing w:before="0" w:beforeAutospacing="0" w:after="0" w:afterAutospacing="0"/>
              <w:rPr>
                <w:rFonts w:ascii="Verdana" w:hAnsi="Verdana" w:cs="Helvetica"/>
                <w:sz w:val="18"/>
                <w:szCs w:val="18"/>
              </w:rPr>
            </w:pPr>
            <w:r w:rsidRPr="00B54E73">
              <w:rPr>
                <w:rFonts w:ascii="Verdana" w:hAnsi="Verdana" w:cs="Helvetica"/>
                <w:sz w:val="18"/>
                <w:szCs w:val="18"/>
              </w:rPr>
              <w:t>Loss from operations</w:t>
            </w:r>
          </w:p>
        </w:tc>
        <w:tc>
          <w:tcPr>
            <w:tcW w:w="857" w:type="pct"/>
            <w:vAlign w:val="bottom"/>
          </w:tcPr>
          <w:p w14:paraId="24019F07" w14:textId="03EF62D8" w:rsidR="00B974D4" w:rsidRPr="00B974D4" w:rsidRDefault="00B974D4" w:rsidP="00B974D4">
            <w:pPr>
              <w:pStyle w:val="NormalWeb"/>
              <w:spacing w:before="0" w:beforeAutospacing="0" w:after="0" w:afterAutospacing="0"/>
              <w:jc w:val="right"/>
              <w:rPr>
                <w:rFonts w:ascii="Verdana" w:hAnsi="Verdana" w:cs="Helvetica"/>
                <w:b/>
                <w:bCs/>
                <w:sz w:val="18"/>
                <w:szCs w:val="18"/>
              </w:rPr>
            </w:pPr>
            <w:r w:rsidRPr="00B974D4">
              <w:rPr>
                <w:rFonts w:ascii="Verdana" w:hAnsi="Verdana" w:cs="Calibri"/>
                <w:b/>
                <w:bCs/>
                <w:color w:val="000000"/>
                <w:sz w:val="18"/>
                <w:szCs w:val="18"/>
              </w:rPr>
              <w:t>(1,194,869)</w:t>
            </w:r>
          </w:p>
        </w:tc>
        <w:tc>
          <w:tcPr>
            <w:tcW w:w="830" w:type="pct"/>
            <w:vAlign w:val="bottom"/>
          </w:tcPr>
          <w:p w14:paraId="6D3E874A" w14:textId="1D5B3DF5" w:rsidR="00B974D4" w:rsidRPr="00B974D4" w:rsidRDefault="00B974D4" w:rsidP="00B974D4">
            <w:pPr>
              <w:pStyle w:val="NormalWeb"/>
              <w:spacing w:before="0" w:beforeAutospacing="0" w:after="0" w:afterAutospacing="0"/>
              <w:jc w:val="right"/>
              <w:rPr>
                <w:rFonts w:ascii="Verdana" w:hAnsi="Verdana" w:cs="Helvetica"/>
                <w:sz w:val="18"/>
                <w:szCs w:val="18"/>
              </w:rPr>
            </w:pPr>
            <w:r w:rsidRPr="00B974D4">
              <w:rPr>
                <w:rFonts w:ascii="Verdana" w:hAnsi="Verdana" w:cs="Calibri"/>
                <w:color w:val="000000"/>
                <w:sz w:val="18"/>
                <w:szCs w:val="18"/>
              </w:rPr>
              <w:t xml:space="preserve"> (2,361,586)</w:t>
            </w:r>
          </w:p>
        </w:tc>
        <w:tc>
          <w:tcPr>
            <w:tcW w:w="885" w:type="pct"/>
            <w:vAlign w:val="bottom"/>
          </w:tcPr>
          <w:p w14:paraId="12D9011F" w14:textId="3E917AD0" w:rsidR="00B974D4" w:rsidRPr="00B974D4" w:rsidRDefault="00B974D4" w:rsidP="00B974D4">
            <w:pPr>
              <w:pStyle w:val="NormalWeb"/>
              <w:spacing w:before="0" w:beforeAutospacing="0" w:after="0" w:afterAutospacing="0"/>
              <w:jc w:val="right"/>
              <w:rPr>
                <w:rFonts w:ascii="Verdana" w:hAnsi="Verdana" w:cs="Helvetica"/>
                <w:b/>
                <w:bCs/>
                <w:sz w:val="18"/>
                <w:szCs w:val="18"/>
              </w:rPr>
            </w:pPr>
            <w:r w:rsidRPr="00B974D4">
              <w:rPr>
                <w:rFonts w:ascii="Verdana" w:hAnsi="Verdana" w:cs="Calibri"/>
                <w:b/>
                <w:bCs/>
                <w:color w:val="000000"/>
                <w:sz w:val="18"/>
                <w:szCs w:val="18"/>
              </w:rPr>
              <w:t>(4,954,313)</w:t>
            </w:r>
          </w:p>
        </w:tc>
        <w:tc>
          <w:tcPr>
            <w:tcW w:w="857" w:type="pct"/>
            <w:vAlign w:val="bottom"/>
          </w:tcPr>
          <w:p w14:paraId="2A0CB0A5" w14:textId="0DA798AD" w:rsidR="00B974D4" w:rsidRPr="00B974D4" w:rsidRDefault="00B974D4" w:rsidP="00B974D4">
            <w:pPr>
              <w:pStyle w:val="NormalWeb"/>
              <w:spacing w:before="0" w:beforeAutospacing="0" w:after="0" w:afterAutospacing="0"/>
              <w:jc w:val="right"/>
              <w:rPr>
                <w:rFonts w:ascii="Verdana" w:hAnsi="Verdana" w:cs="Helvetica"/>
                <w:sz w:val="18"/>
                <w:szCs w:val="18"/>
              </w:rPr>
            </w:pPr>
            <w:r w:rsidRPr="00B974D4">
              <w:rPr>
                <w:rFonts w:ascii="Verdana" w:hAnsi="Verdana" w:cs="Calibri"/>
                <w:color w:val="000000"/>
                <w:sz w:val="18"/>
                <w:szCs w:val="18"/>
              </w:rPr>
              <w:t xml:space="preserve"> (5,441,952)</w:t>
            </w:r>
          </w:p>
        </w:tc>
      </w:tr>
      <w:tr w:rsidR="00B974D4" w:rsidRPr="00B54E73" w14:paraId="6C667A23" w14:textId="77777777" w:rsidTr="00B974D4">
        <w:trPr>
          <w:trHeight w:val="170"/>
        </w:trPr>
        <w:tc>
          <w:tcPr>
            <w:tcW w:w="1571" w:type="pct"/>
          </w:tcPr>
          <w:p w14:paraId="3A4AA6B4" w14:textId="4356C809" w:rsidR="00B974D4" w:rsidRPr="00B54E73" w:rsidRDefault="00B974D4" w:rsidP="00B974D4">
            <w:pPr>
              <w:pStyle w:val="NormalWeb"/>
              <w:spacing w:before="0" w:beforeAutospacing="0" w:after="0" w:afterAutospacing="0"/>
              <w:ind w:left="172" w:hanging="172"/>
              <w:rPr>
                <w:rFonts w:ascii="Verdana" w:hAnsi="Verdana" w:cs="Helvetica"/>
                <w:sz w:val="18"/>
                <w:szCs w:val="18"/>
              </w:rPr>
            </w:pPr>
            <w:r w:rsidRPr="00B54E73">
              <w:rPr>
                <w:rFonts w:ascii="Verdana" w:hAnsi="Verdana" w:cs="Helvetica"/>
                <w:sz w:val="18"/>
                <w:szCs w:val="18"/>
              </w:rPr>
              <w:t>Net loss from continuing operations</w:t>
            </w:r>
          </w:p>
        </w:tc>
        <w:tc>
          <w:tcPr>
            <w:tcW w:w="857" w:type="pct"/>
            <w:vAlign w:val="bottom"/>
          </w:tcPr>
          <w:p w14:paraId="5CEA2281" w14:textId="0E230BAD" w:rsidR="00B974D4" w:rsidRPr="00B974D4" w:rsidRDefault="00B974D4" w:rsidP="00B974D4">
            <w:pPr>
              <w:pStyle w:val="NormalWeb"/>
              <w:spacing w:before="0" w:beforeAutospacing="0" w:after="0" w:afterAutospacing="0"/>
              <w:jc w:val="right"/>
              <w:rPr>
                <w:rFonts w:ascii="Verdana" w:hAnsi="Verdana" w:cs="Helvetica"/>
                <w:b/>
                <w:bCs/>
                <w:sz w:val="18"/>
                <w:szCs w:val="18"/>
              </w:rPr>
            </w:pPr>
            <w:r w:rsidRPr="00B974D4">
              <w:rPr>
                <w:rFonts w:ascii="Verdana" w:hAnsi="Verdana" w:cs="Calibri"/>
                <w:b/>
                <w:bCs/>
                <w:color w:val="000000"/>
                <w:sz w:val="18"/>
                <w:szCs w:val="18"/>
              </w:rPr>
              <w:t>(2,370,651)</w:t>
            </w:r>
          </w:p>
        </w:tc>
        <w:tc>
          <w:tcPr>
            <w:tcW w:w="830" w:type="pct"/>
            <w:vAlign w:val="bottom"/>
          </w:tcPr>
          <w:p w14:paraId="1D3A83E9" w14:textId="6070113D" w:rsidR="00B974D4" w:rsidRPr="00B974D4" w:rsidRDefault="00B974D4" w:rsidP="00B974D4">
            <w:pPr>
              <w:pStyle w:val="NormalWeb"/>
              <w:spacing w:before="0" w:beforeAutospacing="0" w:after="0" w:afterAutospacing="0"/>
              <w:jc w:val="right"/>
              <w:rPr>
                <w:rFonts w:ascii="Verdana" w:hAnsi="Verdana" w:cs="Helvetica"/>
                <w:sz w:val="18"/>
                <w:szCs w:val="18"/>
              </w:rPr>
            </w:pPr>
            <w:r w:rsidRPr="00B974D4">
              <w:rPr>
                <w:rFonts w:ascii="Verdana" w:hAnsi="Verdana" w:cs="Calibri"/>
                <w:color w:val="000000"/>
                <w:sz w:val="18"/>
                <w:szCs w:val="18"/>
              </w:rPr>
              <w:t xml:space="preserve"> (4,684,114)</w:t>
            </w:r>
          </w:p>
        </w:tc>
        <w:tc>
          <w:tcPr>
            <w:tcW w:w="885" w:type="pct"/>
            <w:vAlign w:val="bottom"/>
          </w:tcPr>
          <w:p w14:paraId="68E33B56" w14:textId="5B08DC7F" w:rsidR="00B974D4" w:rsidRPr="00B974D4" w:rsidRDefault="00B974D4" w:rsidP="00B974D4">
            <w:pPr>
              <w:pStyle w:val="NormalWeb"/>
              <w:spacing w:before="0" w:beforeAutospacing="0" w:after="0" w:afterAutospacing="0"/>
              <w:jc w:val="right"/>
              <w:rPr>
                <w:rFonts w:ascii="Verdana" w:hAnsi="Verdana" w:cs="Helvetica"/>
                <w:b/>
                <w:bCs/>
                <w:sz w:val="18"/>
                <w:szCs w:val="18"/>
              </w:rPr>
            </w:pPr>
            <w:r w:rsidRPr="00B974D4">
              <w:rPr>
                <w:rFonts w:ascii="Verdana" w:hAnsi="Verdana" w:cs="Calibri"/>
                <w:b/>
                <w:bCs/>
                <w:color w:val="000000"/>
                <w:sz w:val="18"/>
                <w:szCs w:val="18"/>
              </w:rPr>
              <w:t>(2,960,787)</w:t>
            </w:r>
          </w:p>
        </w:tc>
        <w:tc>
          <w:tcPr>
            <w:tcW w:w="857" w:type="pct"/>
            <w:vAlign w:val="bottom"/>
          </w:tcPr>
          <w:p w14:paraId="70684D32" w14:textId="7DFFD6D0" w:rsidR="00B974D4" w:rsidRPr="00B974D4" w:rsidRDefault="00B974D4" w:rsidP="00B974D4">
            <w:pPr>
              <w:pStyle w:val="NormalWeb"/>
              <w:spacing w:before="0" w:beforeAutospacing="0" w:after="0" w:afterAutospacing="0"/>
              <w:jc w:val="right"/>
              <w:rPr>
                <w:rFonts w:ascii="Verdana" w:hAnsi="Verdana" w:cs="Helvetica"/>
                <w:sz w:val="18"/>
                <w:szCs w:val="18"/>
              </w:rPr>
            </w:pPr>
            <w:r w:rsidRPr="00B974D4">
              <w:rPr>
                <w:rFonts w:ascii="Verdana" w:hAnsi="Verdana" w:cs="Calibri"/>
                <w:color w:val="000000"/>
                <w:sz w:val="18"/>
                <w:szCs w:val="18"/>
              </w:rPr>
              <w:t xml:space="preserve"> (31,736,245)</w:t>
            </w:r>
          </w:p>
        </w:tc>
      </w:tr>
      <w:tr w:rsidR="00B974D4" w:rsidRPr="00B54E73" w14:paraId="1BD4814B" w14:textId="77777777" w:rsidTr="00B974D4">
        <w:trPr>
          <w:trHeight w:val="170"/>
        </w:trPr>
        <w:tc>
          <w:tcPr>
            <w:tcW w:w="1571" w:type="pct"/>
          </w:tcPr>
          <w:p w14:paraId="32687E09" w14:textId="77777777" w:rsidR="00B974D4" w:rsidRPr="00B54E73" w:rsidRDefault="00B974D4" w:rsidP="00B974D4">
            <w:pPr>
              <w:pStyle w:val="NormalWeb"/>
              <w:spacing w:before="0" w:beforeAutospacing="0" w:after="0" w:afterAutospacing="0"/>
              <w:rPr>
                <w:rFonts w:ascii="Verdana" w:hAnsi="Verdana" w:cs="Helvetica"/>
                <w:sz w:val="18"/>
                <w:szCs w:val="18"/>
              </w:rPr>
            </w:pPr>
            <w:r w:rsidRPr="00B54E73">
              <w:rPr>
                <w:rFonts w:ascii="Verdana" w:hAnsi="Verdana" w:cs="Helvetica"/>
                <w:sz w:val="18"/>
                <w:szCs w:val="18"/>
              </w:rPr>
              <w:t>Adjusted EBITDA loss</w:t>
            </w:r>
          </w:p>
        </w:tc>
        <w:tc>
          <w:tcPr>
            <w:tcW w:w="857" w:type="pct"/>
            <w:vAlign w:val="bottom"/>
          </w:tcPr>
          <w:p w14:paraId="6DB7F9B5" w14:textId="02B9A744" w:rsidR="00B974D4" w:rsidRPr="00B974D4" w:rsidRDefault="00B974D4" w:rsidP="00B974D4">
            <w:pPr>
              <w:pStyle w:val="NormalWeb"/>
              <w:spacing w:before="0" w:beforeAutospacing="0" w:after="0" w:afterAutospacing="0"/>
              <w:jc w:val="right"/>
              <w:rPr>
                <w:rFonts w:ascii="Verdana" w:hAnsi="Verdana" w:cs="Helvetica"/>
                <w:b/>
                <w:bCs/>
                <w:sz w:val="18"/>
                <w:szCs w:val="18"/>
              </w:rPr>
            </w:pPr>
            <w:r w:rsidRPr="00B974D4">
              <w:rPr>
                <w:rFonts w:ascii="Verdana" w:hAnsi="Verdana" w:cs="Calibri"/>
                <w:b/>
                <w:bCs/>
                <w:color w:val="000000"/>
                <w:sz w:val="18"/>
                <w:szCs w:val="18"/>
              </w:rPr>
              <w:t>(2,737,185)</w:t>
            </w:r>
          </w:p>
        </w:tc>
        <w:tc>
          <w:tcPr>
            <w:tcW w:w="830" w:type="pct"/>
            <w:vAlign w:val="bottom"/>
          </w:tcPr>
          <w:p w14:paraId="45F377CF" w14:textId="246E5358" w:rsidR="00B974D4" w:rsidRPr="00B974D4" w:rsidRDefault="00B974D4" w:rsidP="00B974D4">
            <w:pPr>
              <w:pStyle w:val="NormalWeb"/>
              <w:spacing w:before="0" w:beforeAutospacing="0" w:after="0" w:afterAutospacing="0"/>
              <w:jc w:val="right"/>
              <w:rPr>
                <w:rFonts w:ascii="Verdana" w:hAnsi="Verdana" w:cs="Helvetica"/>
                <w:sz w:val="18"/>
                <w:szCs w:val="18"/>
              </w:rPr>
            </w:pPr>
            <w:r w:rsidRPr="00B974D4">
              <w:rPr>
                <w:rFonts w:ascii="Verdana" w:hAnsi="Verdana" w:cs="Calibri"/>
                <w:color w:val="000000"/>
                <w:sz w:val="18"/>
                <w:szCs w:val="18"/>
              </w:rPr>
              <w:t xml:space="preserve"> (2,250,620)</w:t>
            </w:r>
          </w:p>
        </w:tc>
        <w:tc>
          <w:tcPr>
            <w:tcW w:w="885" w:type="pct"/>
            <w:vAlign w:val="bottom"/>
          </w:tcPr>
          <w:p w14:paraId="28481F23" w14:textId="4B0E502F" w:rsidR="00B974D4" w:rsidRPr="00B974D4" w:rsidRDefault="00B974D4" w:rsidP="00B974D4">
            <w:pPr>
              <w:pStyle w:val="NormalWeb"/>
              <w:spacing w:before="0" w:beforeAutospacing="0" w:after="0" w:afterAutospacing="0"/>
              <w:jc w:val="right"/>
              <w:rPr>
                <w:rFonts w:ascii="Verdana" w:hAnsi="Verdana" w:cs="Helvetica"/>
                <w:b/>
                <w:bCs/>
                <w:sz w:val="18"/>
                <w:szCs w:val="18"/>
              </w:rPr>
            </w:pPr>
            <w:r w:rsidRPr="00B974D4">
              <w:rPr>
                <w:rFonts w:ascii="Verdana" w:hAnsi="Verdana" w:cs="Calibri"/>
                <w:b/>
                <w:bCs/>
                <w:color w:val="000000"/>
                <w:sz w:val="18"/>
                <w:szCs w:val="18"/>
              </w:rPr>
              <w:t>(5,761,969)</w:t>
            </w:r>
          </w:p>
        </w:tc>
        <w:tc>
          <w:tcPr>
            <w:tcW w:w="857" w:type="pct"/>
            <w:vAlign w:val="bottom"/>
          </w:tcPr>
          <w:p w14:paraId="71DF3A82" w14:textId="12F6590C" w:rsidR="00B974D4" w:rsidRPr="00B974D4" w:rsidRDefault="00B974D4" w:rsidP="00B974D4">
            <w:pPr>
              <w:pStyle w:val="NormalWeb"/>
              <w:spacing w:before="0" w:beforeAutospacing="0" w:after="0" w:afterAutospacing="0"/>
              <w:jc w:val="right"/>
              <w:rPr>
                <w:rFonts w:ascii="Verdana" w:hAnsi="Verdana" w:cs="Helvetica"/>
                <w:sz w:val="18"/>
                <w:szCs w:val="18"/>
              </w:rPr>
            </w:pPr>
            <w:r w:rsidRPr="00B974D4">
              <w:rPr>
                <w:rFonts w:ascii="Verdana" w:hAnsi="Verdana" w:cs="Calibri"/>
                <w:color w:val="000000"/>
                <w:sz w:val="18"/>
                <w:szCs w:val="18"/>
              </w:rPr>
              <w:t xml:space="preserve"> (3,848,456)</w:t>
            </w:r>
          </w:p>
        </w:tc>
      </w:tr>
      <w:tr w:rsidR="00B974D4" w:rsidRPr="00B54E73" w14:paraId="0C2F573B" w14:textId="77777777" w:rsidTr="00B974D4">
        <w:trPr>
          <w:trHeight w:val="170"/>
        </w:trPr>
        <w:tc>
          <w:tcPr>
            <w:tcW w:w="1571" w:type="pct"/>
          </w:tcPr>
          <w:p w14:paraId="4270DBA9" w14:textId="5DC76960" w:rsidR="00B974D4" w:rsidRPr="00B54E73" w:rsidRDefault="00B974D4" w:rsidP="00B974D4">
            <w:pPr>
              <w:pStyle w:val="NormalWeb"/>
              <w:spacing w:before="0" w:beforeAutospacing="0" w:after="0" w:afterAutospacing="0"/>
              <w:ind w:left="172" w:hanging="172"/>
              <w:rPr>
                <w:rFonts w:ascii="Verdana" w:hAnsi="Verdana" w:cs="Helvetica"/>
                <w:sz w:val="18"/>
                <w:szCs w:val="18"/>
              </w:rPr>
            </w:pPr>
            <w:r w:rsidRPr="00B54E73">
              <w:rPr>
                <w:rFonts w:ascii="Verdana" w:hAnsi="Verdana" w:cs="Helvetica"/>
                <w:sz w:val="18"/>
                <w:szCs w:val="18"/>
              </w:rPr>
              <w:t>Net</w:t>
            </w:r>
            <w:r>
              <w:rPr>
                <w:rFonts w:ascii="Verdana" w:hAnsi="Verdana" w:cs="Helvetica"/>
                <w:sz w:val="18"/>
                <w:szCs w:val="18"/>
              </w:rPr>
              <w:t xml:space="preserve"> </w:t>
            </w:r>
            <w:r w:rsidRPr="00B54E73">
              <w:rPr>
                <w:rFonts w:ascii="Verdana" w:hAnsi="Verdana" w:cs="Helvetica"/>
                <w:sz w:val="18"/>
                <w:szCs w:val="18"/>
              </w:rPr>
              <w:t>loss per share, continuing operations, basic and diluted</w:t>
            </w:r>
          </w:p>
        </w:tc>
        <w:tc>
          <w:tcPr>
            <w:tcW w:w="857" w:type="pct"/>
            <w:vAlign w:val="bottom"/>
          </w:tcPr>
          <w:p w14:paraId="7EA7ABD2" w14:textId="1A048F86" w:rsidR="00B974D4" w:rsidRPr="00B974D4" w:rsidRDefault="00B974D4" w:rsidP="00B974D4">
            <w:pPr>
              <w:pStyle w:val="NormalWeb"/>
              <w:spacing w:before="0" w:beforeAutospacing="0" w:after="0" w:afterAutospacing="0"/>
              <w:jc w:val="right"/>
              <w:rPr>
                <w:rFonts w:ascii="Verdana" w:hAnsi="Verdana" w:cs="Helvetica"/>
                <w:b/>
                <w:bCs/>
                <w:sz w:val="18"/>
                <w:szCs w:val="18"/>
              </w:rPr>
            </w:pPr>
            <w:r w:rsidRPr="00B974D4">
              <w:rPr>
                <w:rFonts w:ascii="Verdana" w:hAnsi="Verdana" w:cs="Calibri"/>
                <w:b/>
                <w:bCs/>
                <w:color w:val="202020"/>
                <w:sz w:val="18"/>
                <w:szCs w:val="18"/>
              </w:rPr>
              <w:t xml:space="preserve"> (0.01)</w:t>
            </w:r>
          </w:p>
        </w:tc>
        <w:tc>
          <w:tcPr>
            <w:tcW w:w="830" w:type="pct"/>
            <w:vAlign w:val="bottom"/>
          </w:tcPr>
          <w:p w14:paraId="017797CC" w14:textId="4B463B5D" w:rsidR="00B974D4" w:rsidRPr="00B974D4" w:rsidRDefault="00B974D4" w:rsidP="00B974D4">
            <w:pPr>
              <w:pStyle w:val="NormalWeb"/>
              <w:spacing w:before="0" w:beforeAutospacing="0" w:after="0" w:afterAutospacing="0"/>
              <w:jc w:val="right"/>
              <w:rPr>
                <w:rFonts w:ascii="Verdana" w:hAnsi="Verdana" w:cs="Helvetica"/>
                <w:sz w:val="18"/>
                <w:szCs w:val="18"/>
              </w:rPr>
            </w:pPr>
            <w:r w:rsidRPr="00B974D4">
              <w:rPr>
                <w:rFonts w:ascii="Verdana" w:hAnsi="Verdana" w:cs="Calibri"/>
                <w:color w:val="202020"/>
                <w:sz w:val="18"/>
                <w:szCs w:val="18"/>
              </w:rPr>
              <w:t xml:space="preserve"> (0.01)</w:t>
            </w:r>
          </w:p>
        </w:tc>
        <w:tc>
          <w:tcPr>
            <w:tcW w:w="885" w:type="pct"/>
            <w:vAlign w:val="bottom"/>
          </w:tcPr>
          <w:p w14:paraId="64070E00" w14:textId="1D97F2B0" w:rsidR="00B974D4" w:rsidRPr="00B974D4" w:rsidRDefault="00B974D4" w:rsidP="00B974D4">
            <w:pPr>
              <w:pStyle w:val="NormalWeb"/>
              <w:spacing w:before="0" w:beforeAutospacing="0" w:after="0" w:afterAutospacing="0"/>
              <w:jc w:val="right"/>
              <w:rPr>
                <w:rFonts w:ascii="Verdana" w:hAnsi="Verdana" w:cs="Helvetica"/>
                <w:b/>
                <w:bCs/>
                <w:sz w:val="18"/>
                <w:szCs w:val="18"/>
              </w:rPr>
            </w:pPr>
            <w:r w:rsidRPr="00B974D4">
              <w:rPr>
                <w:rFonts w:ascii="Verdana" w:hAnsi="Verdana" w:cs="Calibri"/>
                <w:b/>
                <w:bCs/>
                <w:color w:val="202020"/>
                <w:sz w:val="18"/>
                <w:szCs w:val="18"/>
              </w:rPr>
              <w:t xml:space="preserve"> (0.01)</w:t>
            </w:r>
          </w:p>
        </w:tc>
        <w:tc>
          <w:tcPr>
            <w:tcW w:w="857" w:type="pct"/>
            <w:vAlign w:val="bottom"/>
          </w:tcPr>
          <w:p w14:paraId="7DB10C3C" w14:textId="6469506B" w:rsidR="00B974D4" w:rsidRPr="00B974D4" w:rsidRDefault="00B974D4" w:rsidP="00B974D4">
            <w:pPr>
              <w:pStyle w:val="NormalWeb"/>
              <w:spacing w:before="0" w:beforeAutospacing="0" w:after="0" w:afterAutospacing="0"/>
              <w:jc w:val="right"/>
              <w:rPr>
                <w:rFonts w:ascii="Verdana" w:hAnsi="Verdana" w:cs="Helvetica"/>
                <w:sz w:val="18"/>
                <w:szCs w:val="18"/>
              </w:rPr>
            </w:pPr>
            <w:r w:rsidRPr="00B974D4">
              <w:rPr>
                <w:rFonts w:ascii="Verdana" w:hAnsi="Verdana" w:cs="Calibri"/>
                <w:color w:val="202020"/>
                <w:sz w:val="18"/>
                <w:szCs w:val="18"/>
              </w:rPr>
              <w:t xml:space="preserve"> (0.10)</w:t>
            </w:r>
          </w:p>
        </w:tc>
      </w:tr>
    </w:tbl>
    <w:p w14:paraId="563954B2" w14:textId="274F3780" w:rsidR="00FC6E94" w:rsidRPr="008E4DD2" w:rsidRDefault="00FC6E94" w:rsidP="00FC6E94">
      <w:pPr>
        <w:pStyle w:val="NormalWeb"/>
        <w:spacing w:before="150" w:beforeAutospacing="0" w:after="150" w:afterAutospacing="0" w:line="360" w:lineRule="atLeast"/>
        <w:jc w:val="both"/>
        <w:rPr>
          <w:rFonts w:ascii="Verdana" w:hAnsi="Verdana" w:cs="Helvetica"/>
          <w:b/>
          <w:sz w:val="20"/>
          <w:szCs w:val="20"/>
        </w:rPr>
      </w:pPr>
      <w:r w:rsidRPr="008E4DD2">
        <w:rPr>
          <w:rFonts w:ascii="Verdana" w:hAnsi="Verdana" w:cs="Helvetica"/>
          <w:b/>
          <w:sz w:val="20"/>
          <w:szCs w:val="20"/>
        </w:rPr>
        <w:t>Financial Performance</w:t>
      </w:r>
      <w:r w:rsidR="00953FEA" w:rsidRPr="008E4DD2">
        <w:rPr>
          <w:rFonts w:ascii="Verdana" w:hAnsi="Verdana" w:cs="Helvetica"/>
          <w:b/>
          <w:sz w:val="20"/>
          <w:szCs w:val="20"/>
        </w:rPr>
        <w:t xml:space="preserve"> </w:t>
      </w:r>
    </w:p>
    <w:p w14:paraId="3B0047D2" w14:textId="0E6CE1CA" w:rsidR="008E4DD2" w:rsidRDefault="0077599B" w:rsidP="000C5BC8">
      <w:pPr>
        <w:jc w:val="both"/>
        <w:rPr>
          <w:rFonts w:ascii="Verdana" w:hAnsi="Verdana" w:cs="Helvetica"/>
          <w:sz w:val="20"/>
          <w:szCs w:val="20"/>
        </w:rPr>
      </w:pPr>
      <w:r w:rsidRPr="008E4DD2">
        <w:rPr>
          <w:rFonts w:ascii="Verdana" w:hAnsi="Verdana" w:cs="Helvetica"/>
          <w:sz w:val="20"/>
          <w:szCs w:val="20"/>
        </w:rPr>
        <w:t xml:space="preserve">As part of total revenues, </w:t>
      </w:r>
      <w:r w:rsidR="00B54E73">
        <w:rPr>
          <w:rFonts w:ascii="Verdana" w:hAnsi="Verdana" w:cs="Helvetica"/>
          <w:sz w:val="20"/>
          <w:szCs w:val="20"/>
        </w:rPr>
        <w:t>revenues from the Health &amp; Wellness segment</w:t>
      </w:r>
      <w:r w:rsidR="00FC6E94" w:rsidRPr="008E4DD2">
        <w:rPr>
          <w:rFonts w:ascii="Verdana" w:hAnsi="Verdana" w:cs="Helvetica"/>
          <w:sz w:val="20"/>
          <w:szCs w:val="20"/>
        </w:rPr>
        <w:t xml:space="preserve"> for </w:t>
      </w:r>
      <w:r w:rsidR="002E53B1">
        <w:rPr>
          <w:rFonts w:ascii="Verdana" w:hAnsi="Verdana" w:cs="Helvetica"/>
          <w:sz w:val="20"/>
          <w:szCs w:val="20"/>
        </w:rPr>
        <w:t>Q</w:t>
      </w:r>
      <w:r w:rsidR="00B1390D">
        <w:rPr>
          <w:rFonts w:ascii="Verdana" w:hAnsi="Verdana" w:cs="Helvetica"/>
          <w:sz w:val="20"/>
          <w:szCs w:val="20"/>
        </w:rPr>
        <w:t>4</w:t>
      </w:r>
      <w:r w:rsidR="002E53B1">
        <w:rPr>
          <w:rFonts w:ascii="Verdana" w:hAnsi="Verdana" w:cs="Helvetica"/>
          <w:sz w:val="20"/>
          <w:szCs w:val="20"/>
        </w:rPr>
        <w:t xml:space="preserve"> 2022</w:t>
      </w:r>
      <w:r w:rsidR="00FC6E94" w:rsidRPr="008E4DD2">
        <w:rPr>
          <w:rFonts w:ascii="Verdana" w:hAnsi="Verdana" w:cs="Helvetica"/>
          <w:sz w:val="20"/>
          <w:szCs w:val="20"/>
        </w:rPr>
        <w:t xml:space="preserve"> were $</w:t>
      </w:r>
      <w:r w:rsidR="008A4048" w:rsidRPr="008A4048">
        <w:rPr>
          <w:rFonts w:ascii="Verdana" w:eastAsia="Times New Roman" w:hAnsi="Verdana" w:cs="Helvetica"/>
          <w:bCs/>
          <w:sz w:val="20"/>
          <w:szCs w:val="20"/>
          <w:bdr w:val="none" w:sz="0" w:space="0" w:color="auto" w:frame="1"/>
          <w:lang w:val="en-CA" w:eastAsia="en-CA"/>
        </w:rPr>
        <w:t>151,659</w:t>
      </w:r>
      <w:r w:rsidR="00D62042">
        <w:rPr>
          <w:rFonts w:ascii="Verdana" w:hAnsi="Verdana" w:cs="Helvetica"/>
          <w:sz w:val="20"/>
          <w:szCs w:val="20"/>
        </w:rPr>
        <w:t xml:space="preserve"> </w:t>
      </w:r>
      <w:r w:rsidR="00170334" w:rsidRPr="008E4DD2">
        <w:rPr>
          <w:rFonts w:ascii="Verdana" w:hAnsi="Verdana" w:cs="Helvetica"/>
          <w:sz w:val="20"/>
          <w:szCs w:val="20"/>
        </w:rPr>
        <w:t>compared to</w:t>
      </w:r>
      <w:r w:rsidR="00FC6E94" w:rsidRPr="008E4DD2">
        <w:rPr>
          <w:rFonts w:ascii="Verdana" w:hAnsi="Verdana" w:cs="Helvetica"/>
          <w:sz w:val="20"/>
          <w:szCs w:val="20"/>
        </w:rPr>
        <w:t xml:space="preserve"> </w:t>
      </w:r>
      <w:r w:rsidR="00D21177">
        <w:rPr>
          <w:rFonts w:ascii="Verdana" w:hAnsi="Verdana" w:cs="Helvetica"/>
          <w:sz w:val="20"/>
          <w:szCs w:val="20"/>
        </w:rPr>
        <w:t>Q</w:t>
      </w:r>
      <w:r w:rsidR="008A4048">
        <w:rPr>
          <w:rFonts w:ascii="Verdana" w:hAnsi="Verdana" w:cs="Helvetica"/>
          <w:sz w:val="20"/>
          <w:szCs w:val="20"/>
        </w:rPr>
        <w:t>4</w:t>
      </w:r>
      <w:r w:rsidR="002E53B1">
        <w:rPr>
          <w:rFonts w:ascii="Verdana" w:hAnsi="Verdana" w:cs="Helvetica"/>
          <w:sz w:val="20"/>
          <w:szCs w:val="20"/>
        </w:rPr>
        <w:t xml:space="preserve"> 2021</w:t>
      </w:r>
      <w:r w:rsidR="00FC6E94" w:rsidRPr="008E4DD2">
        <w:rPr>
          <w:rFonts w:ascii="Verdana" w:hAnsi="Verdana" w:cs="Helvetica"/>
          <w:sz w:val="20"/>
          <w:szCs w:val="20"/>
        </w:rPr>
        <w:t xml:space="preserve"> revenues </w:t>
      </w:r>
      <w:r w:rsidR="00DB683D" w:rsidRPr="008E4DD2">
        <w:rPr>
          <w:rFonts w:ascii="Verdana" w:hAnsi="Verdana" w:cs="Helvetica"/>
          <w:sz w:val="20"/>
          <w:szCs w:val="20"/>
        </w:rPr>
        <w:t>of $</w:t>
      </w:r>
      <w:r w:rsidR="008A4048" w:rsidRPr="008A4048">
        <w:rPr>
          <w:rFonts w:ascii="Verdana" w:hAnsi="Verdana" w:cs="Helvetica"/>
          <w:sz w:val="20"/>
          <w:szCs w:val="20"/>
        </w:rPr>
        <w:t>256,254</w:t>
      </w:r>
      <w:r w:rsidR="00FC6E94" w:rsidRPr="008E4DD2">
        <w:rPr>
          <w:rFonts w:ascii="Verdana" w:hAnsi="Verdana" w:cs="Helvetica"/>
          <w:sz w:val="20"/>
          <w:szCs w:val="20"/>
        </w:rPr>
        <w:t>.</w:t>
      </w:r>
      <w:r w:rsidR="001E2192">
        <w:rPr>
          <w:rFonts w:ascii="Verdana" w:hAnsi="Verdana" w:cs="Helvetica"/>
          <w:sz w:val="20"/>
          <w:szCs w:val="20"/>
        </w:rPr>
        <w:t xml:space="preserve"> </w:t>
      </w:r>
      <w:r w:rsidR="00170334" w:rsidRPr="008E4DD2">
        <w:rPr>
          <w:rFonts w:ascii="Verdana" w:hAnsi="Verdana" w:cs="Helvetica"/>
          <w:sz w:val="20"/>
          <w:szCs w:val="20"/>
        </w:rPr>
        <w:t xml:space="preserve">This </w:t>
      </w:r>
      <w:r w:rsidR="008A4048">
        <w:rPr>
          <w:rFonts w:ascii="Verdana" w:hAnsi="Verdana" w:cs="Helvetica"/>
          <w:sz w:val="20"/>
          <w:szCs w:val="20"/>
        </w:rPr>
        <w:t>de</w:t>
      </w:r>
      <w:r w:rsidR="00FE7C82">
        <w:rPr>
          <w:rFonts w:ascii="Verdana" w:hAnsi="Verdana" w:cs="Helvetica"/>
          <w:sz w:val="20"/>
          <w:szCs w:val="20"/>
        </w:rPr>
        <w:t>crease</w:t>
      </w:r>
      <w:r w:rsidR="00170334" w:rsidRPr="008E4DD2">
        <w:rPr>
          <w:rFonts w:ascii="Verdana" w:hAnsi="Verdana" w:cs="Helvetica"/>
          <w:sz w:val="20"/>
          <w:szCs w:val="20"/>
        </w:rPr>
        <w:t xml:space="preserve"> </w:t>
      </w:r>
      <w:r w:rsidR="0071134F" w:rsidRPr="008E4DD2">
        <w:rPr>
          <w:rFonts w:ascii="Verdana" w:hAnsi="Verdana" w:cs="Helvetica"/>
          <w:sz w:val="20"/>
          <w:szCs w:val="20"/>
        </w:rPr>
        <w:t>over</w:t>
      </w:r>
      <w:r w:rsidR="00281FDC">
        <w:rPr>
          <w:rFonts w:ascii="Verdana" w:hAnsi="Verdana" w:cs="Helvetica"/>
          <w:sz w:val="20"/>
          <w:szCs w:val="20"/>
        </w:rPr>
        <w:t xml:space="preserve"> the</w:t>
      </w:r>
      <w:r w:rsidR="00170334" w:rsidRPr="008E4DD2">
        <w:rPr>
          <w:rFonts w:ascii="Verdana" w:hAnsi="Verdana" w:cs="Helvetica"/>
          <w:sz w:val="20"/>
          <w:szCs w:val="20"/>
        </w:rPr>
        <w:t xml:space="preserve"> prior year</w:t>
      </w:r>
      <w:r w:rsidR="00D04860">
        <w:rPr>
          <w:rFonts w:ascii="Verdana" w:hAnsi="Verdana" w:cs="Helvetica"/>
          <w:sz w:val="20"/>
          <w:szCs w:val="20"/>
        </w:rPr>
        <w:t xml:space="preserve"> period</w:t>
      </w:r>
      <w:r w:rsidR="00170334" w:rsidRPr="008E4DD2">
        <w:rPr>
          <w:rFonts w:ascii="Verdana" w:hAnsi="Verdana" w:cs="Helvetica"/>
          <w:sz w:val="20"/>
          <w:szCs w:val="20"/>
        </w:rPr>
        <w:t xml:space="preserve"> is attributable t</w:t>
      </w:r>
      <w:r w:rsidR="00670C44" w:rsidRPr="008E4DD2">
        <w:rPr>
          <w:rFonts w:ascii="Verdana" w:hAnsi="Verdana" w:cs="Helvetica"/>
          <w:sz w:val="20"/>
          <w:szCs w:val="20"/>
        </w:rPr>
        <w:t>o</w:t>
      </w:r>
      <w:r w:rsidR="009944A8">
        <w:rPr>
          <w:rFonts w:ascii="Verdana" w:hAnsi="Verdana" w:cs="Helvetica"/>
          <w:sz w:val="20"/>
          <w:szCs w:val="20"/>
        </w:rPr>
        <w:t xml:space="preserve"> </w:t>
      </w:r>
      <w:r w:rsidR="00303FC1">
        <w:rPr>
          <w:rFonts w:ascii="Verdana" w:hAnsi="Verdana" w:cs="Helvetica"/>
          <w:sz w:val="20"/>
          <w:szCs w:val="20"/>
        </w:rPr>
        <w:t>lower</w:t>
      </w:r>
      <w:r w:rsidR="009944A8">
        <w:rPr>
          <w:rFonts w:ascii="Verdana" w:hAnsi="Verdana" w:cs="Helvetica"/>
          <w:sz w:val="20"/>
          <w:szCs w:val="20"/>
        </w:rPr>
        <w:t xml:space="preserve"> </w:t>
      </w:r>
      <w:r w:rsidR="001E2192">
        <w:rPr>
          <w:rFonts w:ascii="Verdana" w:hAnsi="Verdana" w:cs="Helvetica"/>
          <w:sz w:val="20"/>
          <w:szCs w:val="20"/>
        </w:rPr>
        <w:t xml:space="preserve">revenues from </w:t>
      </w:r>
      <w:r w:rsidR="009944A8">
        <w:rPr>
          <w:rFonts w:ascii="Verdana" w:hAnsi="Verdana" w:cs="Helvetica"/>
          <w:sz w:val="20"/>
          <w:szCs w:val="20"/>
        </w:rPr>
        <w:t xml:space="preserve">Medi-Collective’s </w:t>
      </w:r>
      <w:r w:rsidR="001E2192">
        <w:rPr>
          <w:rFonts w:ascii="Verdana" w:hAnsi="Verdana" w:cs="Helvetica"/>
          <w:sz w:val="20"/>
          <w:szCs w:val="20"/>
        </w:rPr>
        <w:t>clinics.</w:t>
      </w:r>
    </w:p>
    <w:p w14:paraId="5493BD96" w14:textId="77777777" w:rsidR="00B54E73" w:rsidRDefault="00B54E73" w:rsidP="000C5BC8">
      <w:pPr>
        <w:jc w:val="both"/>
        <w:rPr>
          <w:rFonts w:ascii="Verdana" w:hAnsi="Verdana" w:cs="Helvetica"/>
          <w:sz w:val="20"/>
          <w:szCs w:val="20"/>
        </w:rPr>
      </w:pPr>
    </w:p>
    <w:p w14:paraId="12A4D4A4" w14:textId="4BF27A89" w:rsidR="000C5BC8" w:rsidRPr="009944A8" w:rsidRDefault="008E4DD2" w:rsidP="000C5BC8">
      <w:pPr>
        <w:jc w:val="both"/>
        <w:rPr>
          <w:rFonts w:ascii="Verdana" w:hAnsi="Verdana" w:cs="Arial"/>
          <w:sz w:val="20"/>
          <w:szCs w:val="20"/>
        </w:rPr>
      </w:pPr>
      <w:r w:rsidRPr="009944A8">
        <w:rPr>
          <w:rFonts w:ascii="Verdana" w:hAnsi="Verdana" w:cs="Helvetica"/>
          <w:sz w:val="20"/>
          <w:szCs w:val="20"/>
        </w:rPr>
        <w:t xml:space="preserve">Diagnostics &amp; Technology revenue includes the sale of MediSure products and </w:t>
      </w:r>
      <w:r w:rsidR="00722BA9">
        <w:rPr>
          <w:rFonts w:ascii="Verdana" w:hAnsi="Verdana" w:cs="Helvetica"/>
          <w:sz w:val="20"/>
          <w:szCs w:val="20"/>
        </w:rPr>
        <w:t>laboratory testing</w:t>
      </w:r>
      <w:r w:rsidR="00A7387A">
        <w:rPr>
          <w:rFonts w:ascii="Verdana" w:hAnsi="Verdana" w:cs="Helvetica"/>
          <w:sz w:val="20"/>
          <w:szCs w:val="20"/>
        </w:rPr>
        <w:t xml:space="preserve"> services</w:t>
      </w:r>
      <w:r w:rsidRPr="009944A8">
        <w:rPr>
          <w:rFonts w:ascii="Verdana" w:hAnsi="Verdana" w:cs="Helvetica"/>
          <w:sz w:val="20"/>
          <w:szCs w:val="20"/>
        </w:rPr>
        <w:t xml:space="preserve"> conducted by </w:t>
      </w:r>
      <w:r w:rsidR="00145520">
        <w:rPr>
          <w:rFonts w:ascii="Verdana" w:hAnsi="Verdana" w:cs="Helvetica"/>
          <w:sz w:val="20"/>
          <w:szCs w:val="20"/>
        </w:rPr>
        <w:t>MediSure</w:t>
      </w:r>
      <w:r w:rsidRPr="009944A8">
        <w:rPr>
          <w:rFonts w:ascii="Verdana" w:hAnsi="Verdana" w:cs="Helvetica"/>
          <w:sz w:val="20"/>
          <w:szCs w:val="20"/>
        </w:rPr>
        <w:t xml:space="preserve"> Laboratory</w:t>
      </w:r>
      <w:r w:rsidR="00F34311" w:rsidRPr="009944A8">
        <w:rPr>
          <w:rFonts w:ascii="Verdana" w:hAnsi="Verdana" w:cs="Helvetica"/>
          <w:sz w:val="20"/>
          <w:szCs w:val="20"/>
        </w:rPr>
        <w:t xml:space="preserve"> and Empower Clinics</w:t>
      </w:r>
      <w:r w:rsidRPr="009944A8">
        <w:rPr>
          <w:rFonts w:ascii="Verdana" w:hAnsi="Verdana" w:cs="Helvetica"/>
          <w:sz w:val="20"/>
          <w:szCs w:val="20"/>
        </w:rPr>
        <w:t xml:space="preserve">. Diagnostics &amp; Technology revenue for </w:t>
      </w:r>
      <w:r w:rsidR="00D21177">
        <w:rPr>
          <w:rFonts w:ascii="Verdana" w:hAnsi="Verdana" w:cs="Helvetica"/>
          <w:sz w:val="20"/>
          <w:szCs w:val="20"/>
        </w:rPr>
        <w:t>Q</w:t>
      </w:r>
      <w:r w:rsidR="007C3225">
        <w:rPr>
          <w:rFonts w:ascii="Verdana" w:hAnsi="Verdana" w:cs="Helvetica"/>
          <w:sz w:val="20"/>
          <w:szCs w:val="20"/>
        </w:rPr>
        <w:t>4</w:t>
      </w:r>
      <w:r w:rsidR="002E53B1" w:rsidRPr="009944A8">
        <w:rPr>
          <w:rFonts w:ascii="Verdana" w:hAnsi="Verdana" w:cs="Helvetica"/>
          <w:sz w:val="20"/>
          <w:szCs w:val="20"/>
        </w:rPr>
        <w:t xml:space="preserve"> 2022</w:t>
      </w:r>
      <w:r w:rsidRPr="009944A8">
        <w:rPr>
          <w:rFonts w:ascii="Verdana" w:hAnsi="Verdana" w:cs="Helvetica"/>
          <w:sz w:val="20"/>
          <w:szCs w:val="20"/>
        </w:rPr>
        <w:t xml:space="preserve"> </w:t>
      </w:r>
      <w:r w:rsidR="00D62042" w:rsidRPr="009944A8">
        <w:rPr>
          <w:rFonts w:ascii="Verdana" w:hAnsi="Verdana" w:cs="Helvetica"/>
          <w:sz w:val="20"/>
          <w:szCs w:val="20"/>
        </w:rPr>
        <w:t>were</w:t>
      </w:r>
      <w:r w:rsidR="007356E0" w:rsidRPr="009944A8">
        <w:rPr>
          <w:rFonts w:ascii="Verdana" w:hAnsi="Verdana" w:cs="Helvetica"/>
          <w:sz w:val="20"/>
          <w:szCs w:val="20"/>
        </w:rPr>
        <w:t xml:space="preserve"> $</w:t>
      </w:r>
      <w:r w:rsidR="007C3225" w:rsidRPr="007C3225">
        <w:rPr>
          <w:rFonts w:ascii="Verdana" w:eastAsia="Times New Roman" w:hAnsi="Verdana" w:cs="Helvetica"/>
          <w:bCs/>
          <w:sz w:val="20"/>
          <w:szCs w:val="20"/>
          <w:bdr w:val="none" w:sz="0" w:space="0" w:color="auto" w:frame="1"/>
          <w:lang w:val="en-CA" w:eastAsia="en-CA"/>
        </w:rPr>
        <w:t>275,127</w:t>
      </w:r>
      <w:r w:rsidR="0001126B">
        <w:rPr>
          <w:rFonts w:ascii="Verdana" w:eastAsia="Times New Roman" w:hAnsi="Verdana" w:cs="Helvetica"/>
          <w:bCs/>
          <w:sz w:val="20"/>
          <w:szCs w:val="20"/>
          <w:bdr w:val="none" w:sz="0" w:space="0" w:color="auto" w:frame="1"/>
          <w:lang w:val="en-CA" w:eastAsia="en-CA"/>
        </w:rPr>
        <w:t xml:space="preserve"> compared to $</w:t>
      </w:r>
      <w:r w:rsidR="0001126B" w:rsidRPr="0001126B">
        <w:rPr>
          <w:rFonts w:ascii="Verdana" w:eastAsia="Times New Roman" w:hAnsi="Verdana" w:cs="Helvetica"/>
          <w:bCs/>
          <w:sz w:val="20"/>
          <w:szCs w:val="20"/>
          <w:bdr w:val="none" w:sz="0" w:space="0" w:color="auto" w:frame="1"/>
          <w:lang w:val="en-CA" w:eastAsia="en-CA"/>
        </w:rPr>
        <w:t>886,327</w:t>
      </w:r>
      <w:r w:rsidR="0001126B">
        <w:rPr>
          <w:rFonts w:ascii="Verdana" w:eastAsia="Times New Roman" w:hAnsi="Verdana" w:cs="Helvetica"/>
          <w:bCs/>
          <w:sz w:val="20"/>
          <w:szCs w:val="20"/>
          <w:bdr w:val="none" w:sz="0" w:space="0" w:color="auto" w:frame="1"/>
          <w:lang w:val="en-CA" w:eastAsia="en-CA"/>
        </w:rPr>
        <w:t xml:space="preserve"> in Q4 2021.</w:t>
      </w:r>
      <w:r w:rsidR="00340F4B">
        <w:rPr>
          <w:rFonts w:ascii="Verdana" w:eastAsia="Times New Roman" w:hAnsi="Verdana" w:cs="Helvetica"/>
          <w:bCs/>
          <w:sz w:val="20"/>
          <w:szCs w:val="20"/>
          <w:bdr w:val="none" w:sz="0" w:space="0" w:color="auto" w:frame="1"/>
          <w:lang w:val="en-CA" w:eastAsia="en-CA"/>
        </w:rPr>
        <w:t xml:space="preserve"> </w:t>
      </w:r>
      <w:r w:rsidR="00EC4C13">
        <w:rPr>
          <w:rFonts w:ascii="Verdana" w:eastAsia="Times New Roman" w:hAnsi="Verdana" w:cs="Helvetica"/>
          <w:bCs/>
          <w:sz w:val="20"/>
          <w:szCs w:val="20"/>
          <w:bdr w:val="none" w:sz="0" w:space="0" w:color="auto" w:frame="1"/>
          <w:lang w:val="en-CA" w:eastAsia="en-CA"/>
        </w:rPr>
        <w:t xml:space="preserve">The decrease in revenue was </w:t>
      </w:r>
      <w:r w:rsidR="00B569D4">
        <w:rPr>
          <w:rFonts w:ascii="Verdana" w:eastAsia="Times New Roman" w:hAnsi="Verdana" w:cs="Helvetica"/>
          <w:bCs/>
          <w:sz w:val="20"/>
          <w:szCs w:val="20"/>
          <w:bdr w:val="none" w:sz="0" w:space="0" w:color="auto" w:frame="1"/>
          <w:lang w:val="en-CA" w:eastAsia="en-CA"/>
        </w:rPr>
        <w:t>due</w:t>
      </w:r>
      <w:r w:rsidR="00340F4B">
        <w:rPr>
          <w:rFonts w:ascii="Verdana" w:eastAsia="Times New Roman" w:hAnsi="Verdana" w:cs="Helvetica"/>
          <w:bCs/>
          <w:sz w:val="20"/>
          <w:szCs w:val="20"/>
          <w:bdr w:val="none" w:sz="0" w:space="0" w:color="auto" w:frame="1"/>
          <w:lang w:val="en-CA" w:eastAsia="en-CA"/>
        </w:rPr>
        <w:t xml:space="preserve"> to </w:t>
      </w:r>
      <w:r w:rsidR="00EC4C13">
        <w:rPr>
          <w:rFonts w:ascii="Verdana" w:eastAsia="Times New Roman" w:hAnsi="Verdana" w:cs="Helvetica"/>
          <w:bCs/>
          <w:sz w:val="20"/>
          <w:szCs w:val="20"/>
          <w:bdr w:val="none" w:sz="0" w:space="0" w:color="auto" w:frame="1"/>
          <w:lang w:val="en-CA" w:eastAsia="en-CA"/>
        </w:rPr>
        <w:t xml:space="preserve">reduced Covid-19 </w:t>
      </w:r>
      <w:r w:rsidR="00347640">
        <w:rPr>
          <w:rFonts w:ascii="Verdana" w:eastAsia="Times New Roman" w:hAnsi="Verdana" w:cs="Helvetica"/>
          <w:bCs/>
          <w:sz w:val="20"/>
          <w:szCs w:val="20"/>
          <w:bdr w:val="none" w:sz="0" w:space="0" w:color="auto" w:frame="1"/>
          <w:lang w:val="en-CA" w:eastAsia="en-CA"/>
        </w:rPr>
        <w:t>testing</w:t>
      </w:r>
      <w:r w:rsidR="00E724AC">
        <w:rPr>
          <w:rFonts w:ascii="Verdana" w:eastAsia="Times New Roman" w:hAnsi="Verdana" w:cs="Helvetica"/>
          <w:bCs/>
          <w:sz w:val="20"/>
          <w:szCs w:val="20"/>
          <w:bdr w:val="none" w:sz="0" w:space="0" w:color="auto" w:frame="1"/>
          <w:lang w:val="en-CA" w:eastAsia="en-CA"/>
        </w:rPr>
        <w:t xml:space="preserve"> in the United States</w:t>
      </w:r>
      <w:r w:rsidR="00347640">
        <w:rPr>
          <w:rFonts w:ascii="Verdana" w:eastAsia="Times New Roman" w:hAnsi="Verdana" w:cs="Helvetica"/>
          <w:bCs/>
          <w:sz w:val="20"/>
          <w:szCs w:val="20"/>
          <w:bdr w:val="none" w:sz="0" w:space="0" w:color="auto" w:frame="1"/>
          <w:lang w:val="en-CA" w:eastAsia="en-CA"/>
        </w:rPr>
        <w:t xml:space="preserve"> </w:t>
      </w:r>
      <w:r w:rsidR="00B569D4">
        <w:rPr>
          <w:rFonts w:ascii="Verdana" w:eastAsia="Times New Roman" w:hAnsi="Verdana" w:cs="Helvetica"/>
          <w:bCs/>
          <w:sz w:val="20"/>
          <w:szCs w:val="20"/>
          <w:bdr w:val="none" w:sz="0" w:space="0" w:color="auto" w:frame="1"/>
          <w:lang w:val="en-CA" w:eastAsia="en-CA"/>
        </w:rPr>
        <w:t xml:space="preserve">as well as other laboratory </w:t>
      </w:r>
      <w:r w:rsidR="00347640">
        <w:rPr>
          <w:rFonts w:ascii="Verdana" w:eastAsia="Times New Roman" w:hAnsi="Verdana" w:cs="Helvetica"/>
          <w:bCs/>
          <w:sz w:val="20"/>
          <w:szCs w:val="20"/>
          <w:bdr w:val="none" w:sz="0" w:space="0" w:color="auto" w:frame="1"/>
          <w:lang w:val="en-CA" w:eastAsia="en-CA"/>
        </w:rPr>
        <w:t>services in</w:t>
      </w:r>
      <w:r w:rsidR="00E724AC">
        <w:rPr>
          <w:rFonts w:ascii="Verdana" w:eastAsia="Times New Roman" w:hAnsi="Verdana" w:cs="Helvetica"/>
          <w:bCs/>
          <w:sz w:val="20"/>
          <w:szCs w:val="20"/>
          <w:bdr w:val="none" w:sz="0" w:space="0" w:color="auto" w:frame="1"/>
          <w:lang w:val="en-CA" w:eastAsia="en-CA"/>
        </w:rPr>
        <w:t xml:space="preserve"> the</w:t>
      </w:r>
      <w:r w:rsidR="00347640">
        <w:rPr>
          <w:rFonts w:ascii="Verdana" w:eastAsia="Times New Roman" w:hAnsi="Verdana" w:cs="Helvetica"/>
          <w:bCs/>
          <w:sz w:val="20"/>
          <w:szCs w:val="20"/>
          <w:bdr w:val="none" w:sz="0" w:space="0" w:color="auto" w:frame="1"/>
          <w:lang w:val="en-CA" w:eastAsia="en-CA"/>
        </w:rPr>
        <w:t xml:space="preserve"> </w:t>
      </w:r>
      <w:r w:rsidR="001222A7">
        <w:rPr>
          <w:rFonts w:ascii="Verdana" w:eastAsia="Times New Roman" w:hAnsi="Verdana" w:cs="Helvetica"/>
          <w:bCs/>
          <w:sz w:val="20"/>
          <w:szCs w:val="20"/>
          <w:bdr w:val="none" w:sz="0" w:space="0" w:color="auto" w:frame="1"/>
          <w:lang w:val="en-CA" w:eastAsia="en-CA"/>
        </w:rPr>
        <w:t xml:space="preserve">current year period. </w:t>
      </w:r>
      <w:r w:rsidR="00B569D4">
        <w:rPr>
          <w:rFonts w:ascii="Verdana" w:eastAsia="Times New Roman" w:hAnsi="Verdana" w:cs="Helvetica"/>
          <w:bCs/>
          <w:sz w:val="20"/>
          <w:szCs w:val="20"/>
          <w:bdr w:val="none" w:sz="0" w:space="0" w:color="auto" w:frame="1"/>
          <w:lang w:val="en-CA" w:eastAsia="en-CA"/>
        </w:rPr>
        <w:t>Of the total revenue in Q4 2022, 98% was attributable to the sale of medical equipment in MediSure.</w:t>
      </w:r>
    </w:p>
    <w:p w14:paraId="59E03D0B" w14:textId="3F846725" w:rsidR="000C5BC8" w:rsidRPr="009944A8" w:rsidRDefault="000C5BC8" w:rsidP="000C5BC8">
      <w:pPr>
        <w:jc w:val="both"/>
        <w:rPr>
          <w:rFonts w:ascii="Verdana" w:hAnsi="Verdana" w:cs="Arial"/>
          <w:sz w:val="20"/>
          <w:szCs w:val="20"/>
        </w:rPr>
      </w:pPr>
    </w:p>
    <w:p w14:paraId="1B4F2AE3" w14:textId="1A65CA4B" w:rsidR="00170334" w:rsidRPr="009944A8" w:rsidRDefault="00170334" w:rsidP="000C5BC8">
      <w:pPr>
        <w:pStyle w:val="NormalWeb"/>
        <w:spacing w:before="0" w:beforeAutospacing="0"/>
        <w:jc w:val="both"/>
        <w:rPr>
          <w:rFonts w:ascii="Verdana" w:hAnsi="Verdana" w:cs="Helvetica"/>
          <w:sz w:val="20"/>
          <w:szCs w:val="20"/>
        </w:rPr>
      </w:pPr>
      <w:r w:rsidRPr="009944A8">
        <w:rPr>
          <w:rFonts w:ascii="Verdana" w:hAnsi="Verdana" w:cs="Helvetica"/>
          <w:sz w:val="20"/>
          <w:szCs w:val="20"/>
        </w:rPr>
        <w:t>Direct expenses</w:t>
      </w:r>
      <w:r w:rsidR="007356E0" w:rsidRPr="009944A8">
        <w:rPr>
          <w:rFonts w:ascii="Verdana" w:hAnsi="Verdana" w:cs="Helvetica"/>
          <w:sz w:val="20"/>
          <w:szCs w:val="20"/>
        </w:rPr>
        <w:t xml:space="preserve"> excluding depreciation and amortization</w:t>
      </w:r>
      <w:r w:rsidRPr="009944A8">
        <w:rPr>
          <w:rFonts w:ascii="Verdana" w:hAnsi="Verdana" w:cs="Helvetica"/>
          <w:sz w:val="20"/>
          <w:szCs w:val="20"/>
        </w:rPr>
        <w:t xml:space="preserve"> for </w:t>
      </w:r>
      <w:r w:rsidR="00D21177">
        <w:rPr>
          <w:rFonts w:ascii="Verdana" w:hAnsi="Verdana" w:cs="Helvetica"/>
          <w:sz w:val="20"/>
          <w:szCs w:val="20"/>
        </w:rPr>
        <w:t>Q</w:t>
      </w:r>
      <w:r w:rsidR="006E2964">
        <w:rPr>
          <w:rFonts w:ascii="Verdana" w:hAnsi="Verdana" w:cs="Helvetica"/>
          <w:sz w:val="20"/>
          <w:szCs w:val="20"/>
        </w:rPr>
        <w:t>4</w:t>
      </w:r>
      <w:r w:rsidR="002E53B1" w:rsidRPr="009944A8">
        <w:rPr>
          <w:rFonts w:ascii="Verdana" w:hAnsi="Verdana" w:cs="Helvetica"/>
          <w:sz w:val="20"/>
          <w:szCs w:val="20"/>
        </w:rPr>
        <w:t xml:space="preserve"> 2022</w:t>
      </w:r>
      <w:r w:rsidRPr="009944A8">
        <w:rPr>
          <w:rFonts w:ascii="Verdana" w:hAnsi="Verdana" w:cs="Helvetica"/>
          <w:sz w:val="20"/>
          <w:szCs w:val="20"/>
        </w:rPr>
        <w:t xml:space="preserve"> </w:t>
      </w:r>
      <w:r w:rsidR="00CB1FA3" w:rsidRPr="009944A8">
        <w:rPr>
          <w:rFonts w:ascii="Verdana" w:hAnsi="Verdana" w:cs="Helvetica"/>
          <w:sz w:val="20"/>
          <w:szCs w:val="20"/>
        </w:rPr>
        <w:t>were</w:t>
      </w:r>
      <w:r w:rsidRPr="009944A8">
        <w:rPr>
          <w:rFonts w:ascii="Verdana" w:hAnsi="Verdana" w:cs="Helvetica"/>
          <w:sz w:val="20"/>
          <w:szCs w:val="20"/>
        </w:rPr>
        <w:t xml:space="preserve"> $</w:t>
      </w:r>
      <w:r w:rsidR="006E2964" w:rsidRPr="006E2964">
        <w:rPr>
          <w:rFonts w:ascii="Verdana" w:hAnsi="Verdana" w:cs="Helvetica"/>
          <w:bCs/>
          <w:sz w:val="20"/>
          <w:szCs w:val="20"/>
          <w:bdr w:val="none" w:sz="0" w:space="0" w:color="auto" w:frame="1"/>
          <w:lang w:eastAsia="en-CA"/>
        </w:rPr>
        <w:t>359,668</w:t>
      </w:r>
      <w:r w:rsidR="00D21177">
        <w:rPr>
          <w:rFonts w:ascii="Verdana" w:hAnsi="Verdana" w:cs="Helvetica"/>
          <w:bCs/>
          <w:sz w:val="20"/>
          <w:szCs w:val="20"/>
          <w:bdr w:val="none" w:sz="0" w:space="0" w:color="auto" w:frame="1"/>
          <w:lang w:eastAsia="en-CA"/>
        </w:rPr>
        <w:t xml:space="preserve"> </w:t>
      </w:r>
      <w:r w:rsidRPr="009944A8">
        <w:rPr>
          <w:rFonts w:ascii="Verdana" w:hAnsi="Verdana" w:cs="Helvetica"/>
          <w:sz w:val="20"/>
          <w:szCs w:val="20"/>
        </w:rPr>
        <w:t xml:space="preserve">compared to </w:t>
      </w:r>
      <w:r w:rsidR="00D21177">
        <w:rPr>
          <w:rFonts w:ascii="Verdana" w:hAnsi="Verdana" w:cs="Helvetica"/>
          <w:sz w:val="20"/>
          <w:szCs w:val="20"/>
        </w:rPr>
        <w:t>Q</w:t>
      </w:r>
      <w:r w:rsidR="00D11331">
        <w:rPr>
          <w:rFonts w:ascii="Verdana" w:hAnsi="Verdana" w:cs="Helvetica"/>
          <w:sz w:val="20"/>
          <w:szCs w:val="20"/>
        </w:rPr>
        <w:t>4</w:t>
      </w:r>
      <w:r w:rsidR="002E53B1" w:rsidRPr="009944A8">
        <w:rPr>
          <w:rFonts w:ascii="Verdana" w:hAnsi="Verdana" w:cs="Helvetica"/>
          <w:sz w:val="20"/>
          <w:szCs w:val="20"/>
        </w:rPr>
        <w:t xml:space="preserve"> 2021</w:t>
      </w:r>
      <w:r w:rsidRPr="009944A8">
        <w:rPr>
          <w:rFonts w:ascii="Verdana" w:hAnsi="Verdana" w:cs="Helvetica"/>
          <w:sz w:val="20"/>
          <w:szCs w:val="20"/>
        </w:rPr>
        <w:t xml:space="preserve"> direct clinic expenses of</w:t>
      </w:r>
      <w:r w:rsidRPr="00AB40B8">
        <w:rPr>
          <w:rFonts w:ascii="Verdana" w:hAnsi="Verdana" w:cs="Helvetica"/>
          <w:sz w:val="20"/>
          <w:szCs w:val="20"/>
        </w:rPr>
        <w:t xml:space="preserve"> $</w:t>
      </w:r>
      <w:r w:rsidR="00D11331" w:rsidRPr="00D11331">
        <w:rPr>
          <w:rFonts w:ascii="Verdana" w:hAnsi="Verdana" w:cs="Calibri"/>
          <w:color w:val="202020"/>
          <w:sz w:val="20"/>
          <w:szCs w:val="20"/>
        </w:rPr>
        <w:t>1,428,074</w:t>
      </w:r>
      <w:r w:rsidR="00E41FD8">
        <w:rPr>
          <w:rFonts w:ascii="Verdana" w:hAnsi="Verdana" w:cs="Helvetica"/>
          <w:sz w:val="20"/>
          <w:szCs w:val="20"/>
        </w:rPr>
        <w:t xml:space="preserve">. The </w:t>
      </w:r>
      <w:r w:rsidR="007317A5">
        <w:rPr>
          <w:rFonts w:ascii="Verdana" w:hAnsi="Verdana" w:cs="Helvetica"/>
          <w:sz w:val="20"/>
          <w:szCs w:val="20"/>
        </w:rPr>
        <w:t>de</w:t>
      </w:r>
      <w:r w:rsidR="00E41FD8">
        <w:rPr>
          <w:rFonts w:ascii="Verdana" w:hAnsi="Verdana" w:cs="Helvetica"/>
          <w:sz w:val="20"/>
          <w:szCs w:val="20"/>
        </w:rPr>
        <w:t>crease in direct expense</w:t>
      </w:r>
      <w:r w:rsidR="00E724AC">
        <w:rPr>
          <w:rFonts w:ascii="Verdana" w:hAnsi="Verdana" w:cs="Helvetica"/>
          <w:sz w:val="20"/>
          <w:szCs w:val="20"/>
        </w:rPr>
        <w:t xml:space="preserve">s </w:t>
      </w:r>
      <w:r w:rsidR="00E41FD8">
        <w:rPr>
          <w:rFonts w:ascii="Verdana" w:hAnsi="Verdana" w:cs="Helvetica"/>
          <w:sz w:val="20"/>
          <w:szCs w:val="20"/>
        </w:rPr>
        <w:t xml:space="preserve">was due to the </w:t>
      </w:r>
      <w:r w:rsidR="007317A5">
        <w:rPr>
          <w:rFonts w:ascii="Verdana" w:hAnsi="Verdana" w:cs="Helvetica"/>
          <w:sz w:val="20"/>
          <w:szCs w:val="20"/>
        </w:rPr>
        <w:t xml:space="preserve">decrease in </w:t>
      </w:r>
      <w:r w:rsidR="00D310CB">
        <w:rPr>
          <w:rFonts w:ascii="Verdana" w:hAnsi="Verdana" w:cs="Helvetica"/>
          <w:sz w:val="20"/>
          <w:szCs w:val="20"/>
        </w:rPr>
        <w:t>operating activities</w:t>
      </w:r>
      <w:r w:rsidR="001F64B1">
        <w:rPr>
          <w:rFonts w:ascii="Verdana" w:hAnsi="Verdana" w:cs="Helvetica"/>
          <w:sz w:val="20"/>
          <w:szCs w:val="20"/>
        </w:rPr>
        <w:t xml:space="preserve">, primarily personnel costs, associated with providing </w:t>
      </w:r>
      <w:r w:rsidR="00D310CB">
        <w:rPr>
          <w:rFonts w:ascii="Verdana" w:hAnsi="Verdana" w:cs="Helvetica"/>
          <w:sz w:val="20"/>
          <w:szCs w:val="20"/>
        </w:rPr>
        <w:t>Covid-19 testing service</w:t>
      </w:r>
      <w:r w:rsidR="001F64B1">
        <w:rPr>
          <w:rFonts w:ascii="Verdana" w:hAnsi="Verdana" w:cs="Helvetica"/>
          <w:sz w:val="20"/>
          <w:szCs w:val="20"/>
        </w:rPr>
        <w:t>s</w:t>
      </w:r>
      <w:r w:rsidR="003B1160">
        <w:rPr>
          <w:rFonts w:ascii="Verdana" w:hAnsi="Verdana" w:cs="Helvetica"/>
          <w:sz w:val="20"/>
          <w:szCs w:val="20"/>
        </w:rPr>
        <w:t>.</w:t>
      </w:r>
      <w:r w:rsidR="00D310CB">
        <w:rPr>
          <w:rFonts w:ascii="Verdana" w:hAnsi="Verdana" w:cs="Helvetica"/>
          <w:sz w:val="20"/>
          <w:szCs w:val="20"/>
        </w:rPr>
        <w:t xml:space="preserve"> </w:t>
      </w:r>
    </w:p>
    <w:p w14:paraId="21FF2E26" w14:textId="0CFDDD08" w:rsidR="008C0C51" w:rsidRDefault="0071134F" w:rsidP="000C5BC8">
      <w:pPr>
        <w:jc w:val="both"/>
        <w:rPr>
          <w:rFonts w:ascii="Verdana" w:hAnsi="Verdana" w:cs="Helvetica"/>
          <w:sz w:val="20"/>
          <w:szCs w:val="20"/>
        </w:rPr>
      </w:pPr>
      <w:r w:rsidRPr="009944A8">
        <w:rPr>
          <w:rFonts w:ascii="Verdana" w:hAnsi="Verdana" w:cs="Helvetica"/>
          <w:sz w:val="20"/>
          <w:szCs w:val="20"/>
        </w:rPr>
        <w:t>L</w:t>
      </w:r>
      <w:r w:rsidR="00670C44" w:rsidRPr="009944A8">
        <w:rPr>
          <w:rFonts w:ascii="Verdana" w:hAnsi="Verdana" w:cs="Helvetica"/>
          <w:sz w:val="20"/>
          <w:szCs w:val="20"/>
        </w:rPr>
        <w:t xml:space="preserve">oss from </w:t>
      </w:r>
      <w:r w:rsidR="00670C44" w:rsidRPr="006D26FA">
        <w:rPr>
          <w:rFonts w:ascii="Verdana" w:hAnsi="Verdana" w:cs="Helvetica"/>
          <w:sz w:val="20"/>
          <w:szCs w:val="20"/>
        </w:rPr>
        <w:t>operations for</w:t>
      </w:r>
      <w:r w:rsidR="000C2A77" w:rsidRPr="006D26FA">
        <w:rPr>
          <w:rFonts w:ascii="Verdana" w:hAnsi="Verdana" w:cs="Helvetica"/>
          <w:sz w:val="20"/>
          <w:szCs w:val="20"/>
        </w:rPr>
        <w:t xml:space="preserve"> </w:t>
      </w:r>
      <w:r w:rsidR="00D21177" w:rsidRPr="006D26FA">
        <w:rPr>
          <w:rFonts w:ascii="Verdana" w:hAnsi="Verdana" w:cs="Helvetica"/>
          <w:sz w:val="20"/>
          <w:szCs w:val="20"/>
        </w:rPr>
        <w:t>Q</w:t>
      </w:r>
      <w:r w:rsidR="003B1160">
        <w:rPr>
          <w:rFonts w:ascii="Verdana" w:hAnsi="Verdana" w:cs="Helvetica"/>
          <w:sz w:val="20"/>
          <w:szCs w:val="20"/>
        </w:rPr>
        <w:t>4</w:t>
      </w:r>
      <w:r w:rsidR="002E53B1" w:rsidRPr="006D26FA">
        <w:rPr>
          <w:rFonts w:ascii="Verdana" w:hAnsi="Verdana" w:cs="Helvetica"/>
          <w:sz w:val="20"/>
          <w:szCs w:val="20"/>
        </w:rPr>
        <w:t xml:space="preserve"> 2022</w:t>
      </w:r>
      <w:r w:rsidR="000C2A77" w:rsidRPr="006D26FA">
        <w:rPr>
          <w:rFonts w:ascii="Verdana" w:hAnsi="Verdana" w:cs="Helvetica"/>
          <w:sz w:val="20"/>
          <w:szCs w:val="20"/>
        </w:rPr>
        <w:t xml:space="preserve"> </w:t>
      </w:r>
      <w:r w:rsidR="00281FDC">
        <w:rPr>
          <w:rFonts w:ascii="Verdana" w:hAnsi="Verdana" w:cs="Helvetica"/>
          <w:sz w:val="20"/>
          <w:szCs w:val="20"/>
        </w:rPr>
        <w:t xml:space="preserve">was </w:t>
      </w:r>
      <w:r w:rsidR="000C2A77" w:rsidRPr="006D26FA">
        <w:rPr>
          <w:rFonts w:ascii="Verdana" w:hAnsi="Verdana" w:cs="Helvetica"/>
          <w:sz w:val="20"/>
          <w:szCs w:val="20"/>
        </w:rPr>
        <w:t>$</w:t>
      </w:r>
      <w:r w:rsidR="005E3E1C" w:rsidRPr="005E3E1C">
        <w:rPr>
          <w:rFonts w:ascii="Verdana" w:eastAsia="Times New Roman" w:hAnsi="Verdana" w:cs="Helvetica"/>
          <w:bCs/>
          <w:sz w:val="20"/>
          <w:szCs w:val="20"/>
          <w:bdr w:val="none" w:sz="0" w:space="0" w:color="auto" w:frame="1"/>
          <w:lang w:val="en-CA" w:eastAsia="en-CA"/>
        </w:rPr>
        <w:t>1,194,869</w:t>
      </w:r>
      <w:r w:rsidR="000C2A77" w:rsidRPr="006D26FA">
        <w:rPr>
          <w:rFonts w:ascii="Verdana" w:hAnsi="Verdana" w:cs="Helvetica"/>
          <w:sz w:val="20"/>
          <w:szCs w:val="20"/>
        </w:rPr>
        <w:t xml:space="preserve"> </w:t>
      </w:r>
      <w:r w:rsidR="00670C44" w:rsidRPr="006D26FA">
        <w:rPr>
          <w:rFonts w:ascii="Verdana" w:hAnsi="Verdana" w:cs="Helvetica"/>
          <w:sz w:val="20"/>
          <w:szCs w:val="20"/>
        </w:rPr>
        <w:t xml:space="preserve">compared to </w:t>
      </w:r>
      <w:r w:rsidR="00D21177" w:rsidRPr="006D26FA">
        <w:rPr>
          <w:rFonts w:ascii="Verdana" w:hAnsi="Verdana" w:cs="Helvetica"/>
          <w:sz w:val="20"/>
          <w:szCs w:val="20"/>
        </w:rPr>
        <w:t>Q</w:t>
      </w:r>
      <w:r w:rsidR="005E3E1C">
        <w:rPr>
          <w:rFonts w:ascii="Verdana" w:hAnsi="Verdana" w:cs="Helvetica"/>
          <w:sz w:val="20"/>
          <w:szCs w:val="20"/>
        </w:rPr>
        <w:t>4</w:t>
      </w:r>
      <w:r w:rsidR="002E53B1" w:rsidRPr="006D26FA">
        <w:rPr>
          <w:rFonts w:ascii="Verdana" w:hAnsi="Verdana" w:cs="Helvetica"/>
          <w:sz w:val="20"/>
          <w:szCs w:val="20"/>
        </w:rPr>
        <w:t xml:space="preserve"> 2021</w:t>
      </w:r>
      <w:r w:rsidR="00670C44" w:rsidRPr="006D26FA">
        <w:rPr>
          <w:rFonts w:ascii="Verdana" w:hAnsi="Verdana" w:cs="Helvetica"/>
          <w:sz w:val="20"/>
          <w:szCs w:val="20"/>
        </w:rPr>
        <w:t xml:space="preserve"> of $</w:t>
      </w:r>
      <w:r w:rsidR="005E3E1C" w:rsidRPr="005E3E1C">
        <w:rPr>
          <w:rFonts w:ascii="Verdana" w:hAnsi="Verdana" w:cs="Calibri"/>
          <w:color w:val="000000"/>
          <w:sz w:val="20"/>
          <w:szCs w:val="20"/>
        </w:rPr>
        <w:t>2,361,586</w:t>
      </w:r>
      <w:r w:rsidR="00670C44" w:rsidRPr="006D26FA">
        <w:rPr>
          <w:rFonts w:ascii="Verdana" w:hAnsi="Verdana" w:cs="Helvetica"/>
          <w:sz w:val="20"/>
          <w:szCs w:val="20"/>
        </w:rPr>
        <w:t xml:space="preserve">. This </w:t>
      </w:r>
      <w:r w:rsidR="008C0C51">
        <w:rPr>
          <w:rFonts w:ascii="Verdana" w:hAnsi="Verdana" w:cs="Helvetica"/>
          <w:sz w:val="20"/>
          <w:szCs w:val="20"/>
        </w:rPr>
        <w:t>de</w:t>
      </w:r>
      <w:r w:rsidR="00F34311" w:rsidRPr="006D26FA">
        <w:rPr>
          <w:rFonts w:ascii="Verdana" w:hAnsi="Verdana" w:cs="Helvetica"/>
          <w:sz w:val="20"/>
          <w:szCs w:val="20"/>
        </w:rPr>
        <w:t>crease</w:t>
      </w:r>
      <w:r w:rsidR="00737093" w:rsidRPr="006D26FA">
        <w:rPr>
          <w:rFonts w:ascii="Verdana" w:hAnsi="Verdana" w:cs="Helvetica"/>
          <w:sz w:val="20"/>
          <w:szCs w:val="20"/>
        </w:rPr>
        <w:t xml:space="preserve"> in loss</w:t>
      </w:r>
      <w:r w:rsidR="00670C44" w:rsidRPr="006D26FA">
        <w:rPr>
          <w:rFonts w:ascii="Verdana" w:hAnsi="Verdana" w:cs="Helvetica"/>
          <w:sz w:val="20"/>
          <w:szCs w:val="20"/>
        </w:rPr>
        <w:t xml:space="preserve"> </w:t>
      </w:r>
      <w:r w:rsidR="001F64B1">
        <w:rPr>
          <w:rFonts w:ascii="Verdana" w:hAnsi="Verdana" w:cs="Helvetica"/>
          <w:sz w:val="20"/>
          <w:szCs w:val="20"/>
        </w:rPr>
        <w:t>over the</w:t>
      </w:r>
      <w:r w:rsidR="00670C44" w:rsidRPr="006D26FA">
        <w:rPr>
          <w:rFonts w:ascii="Verdana" w:hAnsi="Verdana" w:cs="Helvetica"/>
          <w:sz w:val="20"/>
          <w:szCs w:val="20"/>
        </w:rPr>
        <w:t xml:space="preserve"> prior year</w:t>
      </w:r>
      <w:r w:rsidR="00DF5198" w:rsidRPr="006D26FA">
        <w:rPr>
          <w:rFonts w:ascii="Verdana" w:hAnsi="Verdana" w:cs="Helvetica"/>
          <w:sz w:val="20"/>
          <w:szCs w:val="20"/>
        </w:rPr>
        <w:t xml:space="preserve"> </w:t>
      </w:r>
      <w:r w:rsidR="001F64B1">
        <w:rPr>
          <w:rFonts w:ascii="Verdana" w:hAnsi="Verdana" w:cs="Helvetica"/>
          <w:sz w:val="20"/>
          <w:szCs w:val="20"/>
        </w:rPr>
        <w:t>comparable quarter is primarily due to</w:t>
      </w:r>
      <w:r w:rsidR="00E020BB" w:rsidRPr="006D26FA">
        <w:rPr>
          <w:rFonts w:ascii="Verdana" w:hAnsi="Verdana" w:cs="Helvetica"/>
          <w:sz w:val="20"/>
          <w:szCs w:val="20"/>
        </w:rPr>
        <w:t xml:space="preserve"> </w:t>
      </w:r>
      <w:r w:rsidR="008C0C51">
        <w:rPr>
          <w:rFonts w:ascii="Verdana" w:hAnsi="Verdana" w:cs="Helvetica"/>
          <w:sz w:val="20"/>
          <w:szCs w:val="20"/>
        </w:rPr>
        <w:t xml:space="preserve">reduced advertising and promotion activities </w:t>
      </w:r>
      <w:r w:rsidR="001F64B1">
        <w:rPr>
          <w:rFonts w:ascii="Verdana" w:hAnsi="Verdana" w:cs="Helvetica"/>
          <w:sz w:val="20"/>
          <w:szCs w:val="20"/>
        </w:rPr>
        <w:t>and</w:t>
      </w:r>
      <w:r w:rsidR="008C0C51">
        <w:rPr>
          <w:rFonts w:ascii="Verdana" w:hAnsi="Verdana" w:cs="Helvetica"/>
          <w:sz w:val="20"/>
          <w:szCs w:val="20"/>
        </w:rPr>
        <w:t xml:space="preserve"> legal and professional fees. </w:t>
      </w:r>
    </w:p>
    <w:p w14:paraId="618B2D34" w14:textId="77777777" w:rsidR="00143C54" w:rsidRDefault="00143C54" w:rsidP="00143C54">
      <w:pPr>
        <w:jc w:val="both"/>
        <w:rPr>
          <w:rFonts w:ascii="Verdana" w:eastAsia="Times New Roman" w:hAnsi="Verdana" w:cs="Helvetica"/>
          <w:bCs/>
          <w:sz w:val="20"/>
          <w:szCs w:val="20"/>
          <w:bdr w:val="none" w:sz="0" w:space="0" w:color="auto" w:frame="1"/>
          <w:lang w:val="en-CA" w:eastAsia="en-CA"/>
        </w:rPr>
      </w:pPr>
    </w:p>
    <w:p w14:paraId="1C637B16" w14:textId="47AB2DA7" w:rsidR="00143C54" w:rsidRPr="00143C54" w:rsidRDefault="00143C54" w:rsidP="00143C54">
      <w:pPr>
        <w:jc w:val="both"/>
        <w:rPr>
          <w:rFonts w:ascii="Verdana" w:eastAsia="Times New Roman" w:hAnsi="Verdana" w:cs="Helvetica"/>
          <w:bCs/>
          <w:sz w:val="20"/>
          <w:szCs w:val="20"/>
          <w:bdr w:val="none" w:sz="0" w:space="0" w:color="auto" w:frame="1"/>
          <w:lang w:val="en-CA" w:eastAsia="en-CA"/>
        </w:rPr>
      </w:pPr>
      <w:r w:rsidRPr="00143C54">
        <w:rPr>
          <w:rFonts w:ascii="Verdana" w:eastAsia="Times New Roman" w:hAnsi="Verdana" w:cs="Helvetica"/>
          <w:bCs/>
          <w:sz w:val="20"/>
          <w:szCs w:val="20"/>
          <w:bdr w:val="none" w:sz="0" w:space="0" w:color="auto" w:frame="1"/>
          <w:lang w:val="en-CA" w:eastAsia="en-CA"/>
        </w:rPr>
        <w:t xml:space="preserve">Net loss from continuing operations </w:t>
      </w:r>
      <w:r w:rsidR="00515302">
        <w:rPr>
          <w:rFonts w:ascii="Verdana" w:eastAsia="Times New Roman" w:hAnsi="Verdana" w:cs="Helvetica"/>
          <w:bCs/>
          <w:sz w:val="20"/>
          <w:szCs w:val="20"/>
          <w:bdr w:val="none" w:sz="0" w:space="0" w:color="auto" w:frame="1"/>
          <w:lang w:val="en-CA" w:eastAsia="en-CA"/>
        </w:rPr>
        <w:t xml:space="preserve">for Q4 2022 </w:t>
      </w:r>
      <w:r w:rsidRPr="00143C54">
        <w:rPr>
          <w:rFonts w:ascii="Verdana" w:eastAsia="Times New Roman" w:hAnsi="Verdana" w:cs="Helvetica"/>
          <w:bCs/>
          <w:sz w:val="20"/>
          <w:szCs w:val="20"/>
          <w:bdr w:val="none" w:sz="0" w:space="0" w:color="auto" w:frame="1"/>
          <w:lang w:val="en-CA" w:eastAsia="en-CA"/>
        </w:rPr>
        <w:t xml:space="preserve">was $2,370,651 compared to </w:t>
      </w:r>
      <w:r w:rsidR="001B30A4">
        <w:rPr>
          <w:rFonts w:ascii="Verdana" w:eastAsia="Times New Roman" w:hAnsi="Verdana" w:cs="Helvetica"/>
          <w:bCs/>
          <w:sz w:val="20"/>
          <w:szCs w:val="20"/>
          <w:bdr w:val="none" w:sz="0" w:space="0" w:color="auto" w:frame="1"/>
          <w:lang w:val="en-CA" w:eastAsia="en-CA"/>
        </w:rPr>
        <w:t xml:space="preserve">Q4 2021 of </w:t>
      </w:r>
      <w:r w:rsidRPr="00143C54">
        <w:rPr>
          <w:rFonts w:ascii="Verdana" w:eastAsia="Times New Roman" w:hAnsi="Verdana" w:cs="Helvetica"/>
          <w:bCs/>
          <w:sz w:val="20"/>
          <w:szCs w:val="20"/>
          <w:bdr w:val="none" w:sz="0" w:space="0" w:color="auto" w:frame="1"/>
          <w:lang w:val="en-CA" w:eastAsia="en-CA"/>
        </w:rPr>
        <w:t xml:space="preserve">$4,684,114. In Q4 2021, </w:t>
      </w:r>
      <w:r w:rsidR="001F64B1">
        <w:rPr>
          <w:rFonts w:ascii="Verdana" w:eastAsia="Times New Roman" w:hAnsi="Verdana" w:cs="Helvetica"/>
          <w:bCs/>
          <w:sz w:val="20"/>
          <w:szCs w:val="20"/>
          <w:bdr w:val="none" w:sz="0" w:space="0" w:color="auto" w:frame="1"/>
          <w:lang w:val="en-CA" w:eastAsia="en-CA"/>
        </w:rPr>
        <w:t>the Company recognized aggregate impairment charges of</w:t>
      </w:r>
      <w:r w:rsidRPr="00143C54">
        <w:rPr>
          <w:rFonts w:ascii="Verdana" w:eastAsia="Times New Roman" w:hAnsi="Verdana" w:cs="Helvetica"/>
          <w:bCs/>
          <w:sz w:val="20"/>
          <w:szCs w:val="20"/>
          <w:bdr w:val="none" w:sz="0" w:space="0" w:color="auto" w:frame="1"/>
          <w:lang w:val="en-CA" w:eastAsia="en-CA"/>
        </w:rPr>
        <w:t xml:space="preserve"> $5,222,249, while no impairment was recorded in Q4 2022. This</w:t>
      </w:r>
      <w:r w:rsidR="001F64B1">
        <w:rPr>
          <w:rFonts w:ascii="Verdana" w:eastAsia="Times New Roman" w:hAnsi="Verdana" w:cs="Helvetica"/>
          <w:bCs/>
          <w:sz w:val="20"/>
          <w:szCs w:val="20"/>
          <w:bdr w:val="none" w:sz="0" w:space="0" w:color="auto" w:frame="1"/>
          <w:lang w:val="en-CA" w:eastAsia="en-CA"/>
        </w:rPr>
        <w:t xml:space="preserve"> difference</w:t>
      </w:r>
      <w:r w:rsidRPr="00143C54">
        <w:rPr>
          <w:rFonts w:ascii="Verdana" w:eastAsia="Times New Roman" w:hAnsi="Verdana" w:cs="Helvetica"/>
          <w:bCs/>
          <w:sz w:val="20"/>
          <w:szCs w:val="20"/>
          <w:bdr w:val="none" w:sz="0" w:space="0" w:color="auto" w:frame="1"/>
          <w:lang w:val="en-CA" w:eastAsia="en-CA"/>
        </w:rPr>
        <w:t xml:space="preserve"> was offset by </w:t>
      </w:r>
      <w:r w:rsidR="001F64B1">
        <w:rPr>
          <w:rFonts w:ascii="Verdana" w:eastAsia="Times New Roman" w:hAnsi="Verdana" w:cs="Helvetica"/>
          <w:bCs/>
          <w:sz w:val="20"/>
          <w:szCs w:val="20"/>
          <w:bdr w:val="none" w:sz="0" w:space="0" w:color="auto" w:frame="1"/>
          <w:lang w:val="en-CA" w:eastAsia="en-CA"/>
        </w:rPr>
        <w:t>a</w:t>
      </w:r>
      <w:r w:rsidRPr="00143C54">
        <w:rPr>
          <w:rFonts w:ascii="Verdana" w:eastAsia="Times New Roman" w:hAnsi="Verdana" w:cs="Helvetica"/>
          <w:bCs/>
          <w:sz w:val="20"/>
          <w:szCs w:val="20"/>
          <w:bdr w:val="none" w:sz="0" w:space="0" w:color="auto" w:frame="1"/>
          <w:lang w:val="en-CA" w:eastAsia="en-CA"/>
        </w:rPr>
        <w:t xml:space="preserve"> loss on debt settlement of $1,873,901 </w:t>
      </w:r>
      <w:r w:rsidR="001F64B1">
        <w:rPr>
          <w:rFonts w:ascii="Verdana" w:eastAsia="Times New Roman" w:hAnsi="Verdana" w:cs="Helvetica"/>
          <w:bCs/>
          <w:sz w:val="20"/>
          <w:szCs w:val="20"/>
          <w:bdr w:val="none" w:sz="0" w:space="0" w:color="auto" w:frame="1"/>
          <w:lang w:val="en-CA" w:eastAsia="en-CA"/>
        </w:rPr>
        <w:t>in the current year period and a</w:t>
      </w:r>
      <w:r w:rsidRPr="00143C54">
        <w:rPr>
          <w:rFonts w:ascii="Verdana" w:eastAsia="Times New Roman" w:hAnsi="Verdana" w:cs="Helvetica"/>
          <w:bCs/>
          <w:sz w:val="20"/>
          <w:szCs w:val="20"/>
          <w:bdr w:val="none" w:sz="0" w:space="0" w:color="auto" w:frame="1"/>
          <w:lang w:val="en-CA" w:eastAsia="en-CA"/>
        </w:rPr>
        <w:t xml:space="preserve"> lower gain </w:t>
      </w:r>
      <w:r w:rsidR="001F64B1">
        <w:rPr>
          <w:rFonts w:ascii="Verdana" w:eastAsia="Times New Roman" w:hAnsi="Verdana" w:cs="Helvetica"/>
          <w:bCs/>
          <w:sz w:val="20"/>
          <w:szCs w:val="20"/>
          <w:bdr w:val="none" w:sz="0" w:space="0" w:color="auto" w:frame="1"/>
          <w:lang w:val="en-CA" w:eastAsia="en-CA"/>
        </w:rPr>
        <w:t xml:space="preserve">on change </w:t>
      </w:r>
      <w:r w:rsidRPr="00143C54">
        <w:rPr>
          <w:rFonts w:ascii="Verdana" w:eastAsia="Times New Roman" w:hAnsi="Verdana" w:cs="Helvetica"/>
          <w:bCs/>
          <w:sz w:val="20"/>
          <w:szCs w:val="20"/>
          <w:bdr w:val="none" w:sz="0" w:space="0" w:color="auto" w:frame="1"/>
          <w:lang w:val="en-CA" w:eastAsia="en-CA"/>
        </w:rPr>
        <w:t>in fair value of warrant liability and conversion feature</w:t>
      </w:r>
      <w:r w:rsidR="001F64B1">
        <w:rPr>
          <w:rFonts w:ascii="Verdana" w:eastAsia="Times New Roman" w:hAnsi="Verdana" w:cs="Helvetica"/>
          <w:bCs/>
          <w:sz w:val="20"/>
          <w:szCs w:val="20"/>
          <w:bdr w:val="none" w:sz="0" w:space="0" w:color="auto" w:frame="1"/>
          <w:lang w:val="en-CA" w:eastAsia="en-CA"/>
        </w:rPr>
        <w:t>s</w:t>
      </w:r>
      <w:r w:rsidRPr="00143C54">
        <w:rPr>
          <w:rFonts w:ascii="Verdana" w:eastAsia="Times New Roman" w:hAnsi="Verdana" w:cs="Helvetica"/>
          <w:bCs/>
          <w:sz w:val="20"/>
          <w:szCs w:val="20"/>
          <w:bdr w:val="none" w:sz="0" w:space="0" w:color="auto" w:frame="1"/>
          <w:lang w:val="en-CA" w:eastAsia="en-CA"/>
        </w:rPr>
        <w:t xml:space="preserve"> associated with convertible debentures in Q4 2022.</w:t>
      </w:r>
    </w:p>
    <w:p w14:paraId="706AC7F5" w14:textId="77777777" w:rsidR="00143C54" w:rsidRPr="001F64B1" w:rsidRDefault="00143C54" w:rsidP="00F61F9A">
      <w:pPr>
        <w:jc w:val="both"/>
        <w:rPr>
          <w:rFonts w:ascii="Verdana" w:eastAsia="Verdana" w:hAnsi="Verdana" w:cs="Verdana"/>
          <w:bCs/>
          <w:sz w:val="20"/>
          <w:szCs w:val="20"/>
          <w:lang w:val="en-CA"/>
        </w:rPr>
      </w:pPr>
    </w:p>
    <w:p w14:paraId="0C1CE7C9" w14:textId="49D26425" w:rsidR="00F61F9A" w:rsidRDefault="00F61F9A" w:rsidP="00F61F9A">
      <w:pPr>
        <w:jc w:val="both"/>
        <w:rPr>
          <w:rFonts w:ascii="Verdana" w:eastAsia="Verdana" w:hAnsi="Verdana" w:cs="Verdana"/>
          <w:bCs/>
          <w:sz w:val="20"/>
          <w:szCs w:val="20"/>
        </w:rPr>
      </w:pPr>
      <w:r w:rsidRPr="00FD407D">
        <w:rPr>
          <w:rFonts w:ascii="Verdana" w:eastAsia="Verdana" w:hAnsi="Verdana" w:cs="Verdana"/>
          <w:bCs/>
          <w:sz w:val="20"/>
          <w:szCs w:val="20"/>
        </w:rPr>
        <w:t xml:space="preserve">Adjusted EBITDA is a non-GAAP financial measure that is calculated as </w:t>
      </w:r>
      <w:r w:rsidR="00451159">
        <w:rPr>
          <w:rFonts w:ascii="Verdana" w:eastAsia="Verdana" w:hAnsi="Verdana" w:cs="Verdana"/>
          <w:bCs/>
          <w:sz w:val="20"/>
          <w:szCs w:val="20"/>
        </w:rPr>
        <w:t>net loss</w:t>
      </w:r>
      <w:r w:rsidRPr="00FD407D">
        <w:rPr>
          <w:rFonts w:ascii="Verdana" w:eastAsia="Verdana" w:hAnsi="Verdana" w:cs="Verdana"/>
          <w:bCs/>
          <w:sz w:val="20"/>
          <w:szCs w:val="20"/>
        </w:rPr>
        <w:t xml:space="preserve"> from continuing operations before depreciation and amortization, interest, accretion, share-based compensation,</w:t>
      </w:r>
      <w:r w:rsidR="001F6FAB">
        <w:rPr>
          <w:rFonts w:ascii="Verdana" w:eastAsia="Verdana" w:hAnsi="Verdana" w:cs="Verdana"/>
          <w:bCs/>
          <w:sz w:val="20"/>
          <w:szCs w:val="20"/>
        </w:rPr>
        <w:t xml:space="preserve"> </w:t>
      </w:r>
      <w:r w:rsidRPr="00FD407D">
        <w:rPr>
          <w:rFonts w:ascii="Verdana" w:eastAsia="Verdana" w:hAnsi="Verdana" w:cs="Verdana"/>
          <w:bCs/>
          <w:sz w:val="20"/>
          <w:szCs w:val="20"/>
        </w:rPr>
        <w:t xml:space="preserve">changes in </w:t>
      </w:r>
      <w:r w:rsidR="001F6FAB">
        <w:rPr>
          <w:rFonts w:ascii="Verdana" w:eastAsia="Verdana" w:hAnsi="Verdana" w:cs="Verdana"/>
          <w:bCs/>
          <w:sz w:val="20"/>
          <w:szCs w:val="20"/>
        </w:rPr>
        <w:t xml:space="preserve">the </w:t>
      </w:r>
      <w:r w:rsidRPr="00FD407D">
        <w:rPr>
          <w:rFonts w:ascii="Verdana" w:eastAsia="Verdana" w:hAnsi="Verdana" w:cs="Verdana"/>
          <w:bCs/>
          <w:sz w:val="20"/>
          <w:szCs w:val="20"/>
        </w:rPr>
        <w:t xml:space="preserve">fair value of </w:t>
      </w:r>
      <w:r w:rsidR="00451159">
        <w:rPr>
          <w:rFonts w:ascii="Verdana" w:eastAsia="Verdana" w:hAnsi="Verdana" w:cs="Verdana"/>
          <w:bCs/>
          <w:sz w:val="20"/>
          <w:szCs w:val="20"/>
        </w:rPr>
        <w:t>derivative liabilities</w:t>
      </w:r>
      <w:r w:rsidR="001F64B1">
        <w:rPr>
          <w:rFonts w:ascii="Verdana" w:eastAsia="Verdana" w:hAnsi="Verdana" w:cs="Verdana"/>
          <w:bCs/>
          <w:sz w:val="20"/>
          <w:szCs w:val="20"/>
        </w:rPr>
        <w:t xml:space="preserve"> and </w:t>
      </w:r>
      <w:r w:rsidR="00915B29">
        <w:rPr>
          <w:rFonts w:ascii="Verdana" w:eastAsia="Verdana" w:hAnsi="Verdana" w:cs="Verdana"/>
          <w:bCs/>
          <w:sz w:val="20"/>
          <w:szCs w:val="20"/>
        </w:rPr>
        <w:t>extraordinary items such as impairment</w:t>
      </w:r>
      <w:r w:rsidRPr="00FD407D">
        <w:rPr>
          <w:rFonts w:ascii="Verdana" w:eastAsia="Verdana" w:hAnsi="Verdana" w:cs="Verdana"/>
          <w:bCs/>
          <w:sz w:val="20"/>
          <w:szCs w:val="20"/>
        </w:rPr>
        <w:t xml:space="preserve">. Adjusted EBITDA </w:t>
      </w:r>
      <w:r w:rsidR="004C15B1" w:rsidRPr="00FD407D">
        <w:rPr>
          <w:rFonts w:ascii="Verdana" w:eastAsia="Verdana" w:hAnsi="Verdana" w:cs="Verdana"/>
          <w:bCs/>
          <w:sz w:val="20"/>
          <w:szCs w:val="20"/>
        </w:rPr>
        <w:t xml:space="preserve">loss </w:t>
      </w:r>
      <w:r w:rsidRPr="00FD407D">
        <w:rPr>
          <w:rFonts w:ascii="Verdana" w:eastAsia="Verdana" w:hAnsi="Verdana" w:cs="Verdana"/>
          <w:bCs/>
          <w:sz w:val="20"/>
          <w:szCs w:val="20"/>
        </w:rPr>
        <w:t xml:space="preserve">in </w:t>
      </w:r>
      <w:r w:rsidR="00D21177">
        <w:rPr>
          <w:rFonts w:ascii="Verdana" w:eastAsia="Verdana" w:hAnsi="Verdana" w:cs="Verdana"/>
          <w:bCs/>
          <w:sz w:val="20"/>
          <w:szCs w:val="20"/>
        </w:rPr>
        <w:t>Q</w:t>
      </w:r>
      <w:r w:rsidR="00F34410">
        <w:rPr>
          <w:rFonts w:ascii="Verdana" w:eastAsia="Verdana" w:hAnsi="Verdana" w:cs="Verdana"/>
          <w:bCs/>
          <w:sz w:val="20"/>
          <w:szCs w:val="20"/>
        </w:rPr>
        <w:t>4</w:t>
      </w:r>
      <w:r w:rsidR="002E53B1" w:rsidRPr="00FD407D">
        <w:rPr>
          <w:rFonts w:ascii="Verdana" w:eastAsia="Verdana" w:hAnsi="Verdana" w:cs="Verdana"/>
          <w:bCs/>
          <w:sz w:val="20"/>
          <w:szCs w:val="20"/>
        </w:rPr>
        <w:t xml:space="preserve"> 2022</w:t>
      </w:r>
      <w:r w:rsidRPr="00FD407D">
        <w:rPr>
          <w:rFonts w:ascii="Verdana" w:eastAsia="Verdana" w:hAnsi="Verdana" w:cs="Verdana"/>
          <w:bCs/>
          <w:sz w:val="20"/>
          <w:szCs w:val="20"/>
        </w:rPr>
        <w:t xml:space="preserve"> was $</w:t>
      </w:r>
      <w:r w:rsidR="009D3FD0" w:rsidRPr="009D3FD0">
        <w:rPr>
          <w:rFonts w:ascii="Verdana" w:eastAsia="Times New Roman" w:hAnsi="Verdana" w:cs="Helvetica"/>
          <w:bCs/>
          <w:sz w:val="20"/>
          <w:szCs w:val="20"/>
          <w:bdr w:val="none" w:sz="0" w:space="0" w:color="auto" w:frame="1"/>
          <w:lang w:val="en-CA" w:eastAsia="en-CA"/>
        </w:rPr>
        <w:t>863,284</w:t>
      </w:r>
      <w:r w:rsidR="004C15B1" w:rsidRPr="00FD407D">
        <w:rPr>
          <w:rFonts w:ascii="Verdana" w:hAnsi="Verdana" w:cs="Calibri"/>
          <w:bCs/>
          <w:color w:val="000000"/>
          <w:sz w:val="20"/>
          <w:szCs w:val="20"/>
        </w:rPr>
        <w:t xml:space="preserve"> </w:t>
      </w:r>
      <w:r w:rsidRPr="00FD407D">
        <w:rPr>
          <w:rFonts w:ascii="Verdana" w:eastAsia="Verdana" w:hAnsi="Verdana" w:cs="Verdana"/>
          <w:bCs/>
          <w:sz w:val="20"/>
          <w:szCs w:val="20"/>
        </w:rPr>
        <w:t>compared to $</w:t>
      </w:r>
      <w:r w:rsidR="00F34410" w:rsidRPr="00F34410">
        <w:rPr>
          <w:rFonts w:ascii="Verdana" w:eastAsia="Times New Roman" w:hAnsi="Verdana" w:cs="Helvetica"/>
          <w:bCs/>
          <w:sz w:val="20"/>
          <w:szCs w:val="20"/>
          <w:bdr w:val="none" w:sz="0" w:space="0" w:color="auto" w:frame="1"/>
          <w:lang w:val="en-CA" w:eastAsia="en-CA"/>
        </w:rPr>
        <w:t>2,250,620</w:t>
      </w:r>
      <w:r w:rsidR="00D21177">
        <w:rPr>
          <w:rFonts w:ascii="Verdana" w:eastAsia="Times New Roman" w:hAnsi="Verdana" w:cs="Helvetica"/>
          <w:bCs/>
          <w:sz w:val="20"/>
          <w:szCs w:val="20"/>
          <w:bdr w:val="none" w:sz="0" w:space="0" w:color="auto" w:frame="1"/>
          <w:lang w:val="en-CA" w:eastAsia="en-CA"/>
        </w:rPr>
        <w:t xml:space="preserve"> </w:t>
      </w:r>
      <w:r w:rsidR="000C2A77" w:rsidRPr="00FD407D">
        <w:rPr>
          <w:rFonts w:ascii="Verdana" w:hAnsi="Verdana" w:cs="Calibri"/>
          <w:color w:val="000000"/>
          <w:sz w:val="20"/>
          <w:szCs w:val="20"/>
        </w:rPr>
        <w:t xml:space="preserve">in </w:t>
      </w:r>
      <w:r w:rsidR="00D21177">
        <w:rPr>
          <w:rFonts w:ascii="Verdana" w:hAnsi="Verdana" w:cs="Calibri"/>
          <w:color w:val="000000"/>
          <w:sz w:val="20"/>
          <w:szCs w:val="20"/>
        </w:rPr>
        <w:t>Q</w:t>
      </w:r>
      <w:r w:rsidR="00697E78">
        <w:rPr>
          <w:rFonts w:ascii="Verdana" w:hAnsi="Verdana" w:cs="Calibri"/>
          <w:color w:val="000000"/>
          <w:sz w:val="20"/>
          <w:szCs w:val="20"/>
        </w:rPr>
        <w:t>4</w:t>
      </w:r>
      <w:r w:rsidR="002E53B1" w:rsidRPr="00FD407D">
        <w:rPr>
          <w:rFonts w:ascii="Verdana" w:hAnsi="Verdana" w:cs="Calibri"/>
          <w:color w:val="000000"/>
          <w:sz w:val="20"/>
          <w:szCs w:val="20"/>
        </w:rPr>
        <w:t xml:space="preserve"> 2021</w:t>
      </w:r>
      <w:r>
        <w:rPr>
          <w:rFonts w:ascii="Verdana" w:eastAsia="Verdana" w:hAnsi="Verdana" w:cs="Verdana"/>
          <w:bCs/>
          <w:sz w:val="20"/>
          <w:szCs w:val="20"/>
        </w:rPr>
        <w:t xml:space="preserve">. Adjusted EBITDA is a metric used by management to monitor the Company’s revenues compared to its cash operating costs in an effort to trend toward improved profitability.  </w:t>
      </w:r>
    </w:p>
    <w:p w14:paraId="6C5B039F" w14:textId="77777777" w:rsidR="00CE09F3" w:rsidRDefault="00CE09F3" w:rsidP="00CF3A4A">
      <w:pPr>
        <w:pStyle w:val="NormalWeb"/>
        <w:jc w:val="both"/>
        <w:rPr>
          <w:rFonts w:ascii="Verdana" w:hAnsi="Verdana" w:cs="Helvetica"/>
          <w:sz w:val="20"/>
          <w:szCs w:val="20"/>
        </w:rPr>
      </w:pPr>
    </w:p>
    <w:p w14:paraId="783EA159" w14:textId="3ECA6623" w:rsidR="00FC6E94" w:rsidRPr="008E4DD2" w:rsidRDefault="00FC6E94" w:rsidP="00CF3A4A">
      <w:pPr>
        <w:pStyle w:val="NormalWeb"/>
        <w:jc w:val="both"/>
        <w:rPr>
          <w:rFonts w:ascii="Verdana" w:hAnsi="Verdana" w:cs="Helvetica"/>
          <w:sz w:val="20"/>
          <w:szCs w:val="20"/>
        </w:rPr>
      </w:pPr>
      <w:r w:rsidRPr="008E4DD2">
        <w:rPr>
          <w:rFonts w:ascii="Verdana" w:hAnsi="Verdana" w:cs="Helvetica"/>
          <w:sz w:val="20"/>
          <w:szCs w:val="20"/>
        </w:rPr>
        <w:lastRenderedPageBreak/>
        <w:t xml:space="preserve">During </w:t>
      </w:r>
      <w:r w:rsidR="00D21177">
        <w:rPr>
          <w:rFonts w:ascii="Verdana" w:hAnsi="Verdana" w:cs="Helvetica"/>
          <w:sz w:val="20"/>
          <w:szCs w:val="20"/>
        </w:rPr>
        <w:t>Q</w:t>
      </w:r>
      <w:r w:rsidR="00697E78">
        <w:rPr>
          <w:rFonts w:ascii="Verdana" w:hAnsi="Verdana" w:cs="Helvetica"/>
          <w:sz w:val="20"/>
          <w:szCs w:val="20"/>
        </w:rPr>
        <w:t>4</w:t>
      </w:r>
      <w:r w:rsidR="002E53B1">
        <w:rPr>
          <w:rFonts w:ascii="Verdana" w:hAnsi="Verdana" w:cs="Helvetica"/>
          <w:sz w:val="20"/>
          <w:szCs w:val="20"/>
        </w:rPr>
        <w:t xml:space="preserve"> 2022</w:t>
      </w:r>
      <w:r w:rsidR="00AA6211" w:rsidRPr="008E4DD2">
        <w:rPr>
          <w:rFonts w:ascii="Verdana" w:hAnsi="Verdana" w:cs="Helvetica"/>
          <w:sz w:val="20"/>
          <w:szCs w:val="20"/>
        </w:rPr>
        <w:t>,</w:t>
      </w:r>
      <w:r w:rsidRPr="008E4DD2">
        <w:rPr>
          <w:rFonts w:ascii="Verdana" w:hAnsi="Verdana" w:cs="Helvetica"/>
          <w:sz w:val="20"/>
          <w:szCs w:val="20"/>
        </w:rPr>
        <w:t xml:space="preserve"> the Company used $</w:t>
      </w:r>
      <w:r w:rsidR="00697E78" w:rsidRPr="00697E78">
        <w:rPr>
          <w:rFonts w:ascii="Verdana" w:hAnsi="Verdana" w:cs="Helvetica"/>
          <w:bCs/>
          <w:sz w:val="20"/>
          <w:szCs w:val="20"/>
          <w:bdr w:val="none" w:sz="0" w:space="0" w:color="auto" w:frame="1"/>
          <w:lang w:eastAsia="en-CA"/>
        </w:rPr>
        <w:t>447,013</w:t>
      </w:r>
      <w:r w:rsidR="0042525A">
        <w:rPr>
          <w:rFonts w:ascii="Verdana" w:hAnsi="Verdana" w:cs="Helvetica"/>
          <w:sz w:val="20"/>
          <w:szCs w:val="20"/>
        </w:rPr>
        <w:t xml:space="preserve"> </w:t>
      </w:r>
      <w:r w:rsidR="00C42B93">
        <w:rPr>
          <w:rFonts w:ascii="Verdana" w:hAnsi="Verdana" w:cs="Helvetica"/>
          <w:sz w:val="20"/>
          <w:szCs w:val="20"/>
        </w:rPr>
        <w:t>of</w:t>
      </w:r>
      <w:r w:rsidRPr="008E4DD2">
        <w:rPr>
          <w:rFonts w:ascii="Verdana" w:hAnsi="Verdana" w:cs="Helvetica"/>
          <w:sz w:val="20"/>
          <w:szCs w:val="20"/>
        </w:rPr>
        <w:t xml:space="preserve"> cash</w:t>
      </w:r>
      <w:r w:rsidR="00C42B93">
        <w:rPr>
          <w:rFonts w:ascii="Verdana" w:hAnsi="Verdana" w:cs="Helvetica"/>
          <w:sz w:val="20"/>
          <w:szCs w:val="20"/>
        </w:rPr>
        <w:t xml:space="preserve"> in operating activities </w:t>
      </w:r>
      <w:r w:rsidR="00915B29">
        <w:rPr>
          <w:rFonts w:ascii="Verdana" w:hAnsi="Verdana" w:cs="Helvetica"/>
          <w:sz w:val="20"/>
          <w:szCs w:val="20"/>
        </w:rPr>
        <w:t>of</w:t>
      </w:r>
      <w:r w:rsidR="00C42B93">
        <w:rPr>
          <w:rFonts w:ascii="Verdana" w:hAnsi="Verdana" w:cs="Helvetica"/>
          <w:sz w:val="20"/>
          <w:szCs w:val="20"/>
        </w:rPr>
        <w:t xml:space="preserve"> continuing operations</w:t>
      </w:r>
      <w:r w:rsidRPr="008E4DD2">
        <w:rPr>
          <w:rFonts w:ascii="Verdana" w:hAnsi="Verdana" w:cs="Helvetica"/>
          <w:sz w:val="20"/>
          <w:szCs w:val="20"/>
        </w:rPr>
        <w:t xml:space="preserve">. </w:t>
      </w:r>
      <w:r w:rsidR="00CF3A4A" w:rsidRPr="008E4DD2">
        <w:rPr>
          <w:rFonts w:ascii="Verdana" w:hAnsi="Verdana" w:cs="Helvetica"/>
          <w:sz w:val="20"/>
          <w:szCs w:val="20"/>
        </w:rPr>
        <w:t xml:space="preserve">The Company </w:t>
      </w:r>
      <w:r w:rsidR="00235B21">
        <w:rPr>
          <w:rFonts w:ascii="Verdana" w:hAnsi="Verdana" w:cs="Helvetica"/>
          <w:sz w:val="20"/>
          <w:szCs w:val="20"/>
        </w:rPr>
        <w:t xml:space="preserve">invested cash </w:t>
      </w:r>
      <w:r w:rsidR="000C2A77">
        <w:rPr>
          <w:rFonts w:ascii="Verdana" w:hAnsi="Verdana" w:cs="Helvetica"/>
          <w:sz w:val="20"/>
          <w:szCs w:val="20"/>
        </w:rPr>
        <w:t xml:space="preserve">of </w:t>
      </w:r>
      <w:r w:rsidR="00CF3A4A" w:rsidRPr="008E4DD2">
        <w:rPr>
          <w:rFonts w:ascii="Verdana" w:hAnsi="Verdana" w:cs="Helvetica"/>
          <w:sz w:val="20"/>
          <w:szCs w:val="20"/>
        </w:rPr>
        <w:t>$</w:t>
      </w:r>
      <w:r w:rsidR="00697E78">
        <w:rPr>
          <w:rFonts w:ascii="Verdana" w:hAnsi="Verdana" w:cs="Helvetica"/>
          <w:bCs/>
          <w:sz w:val="20"/>
          <w:szCs w:val="20"/>
          <w:bdr w:val="none" w:sz="0" w:space="0" w:color="auto" w:frame="1"/>
          <w:lang w:eastAsia="en-CA"/>
        </w:rPr>
        <w:t>754</w:t>
      </w:r>
      <w:r w:rsidR="000C2A77">
        <w:rPr>
          <w:rFonts w:ascii="Verdana" w:hAnsi="Verdana" w:cs="Helvetica"/>
          <w:sz w:val="20"/>
          <w:szCs w:val="20"/>
        </w:rPr>
        <w:t xml:space="preserve"> f</w:t>
      </w:r>
      <w:r w:rsidR="00235B21">
        <w:rPr>
          <w:rFonts w:ascii="Verdana" w:hAnsi="Verdana" w:cs="Helvetica"/>
          <w:sz w:val="20"/>
          <w:szCs w:val="20"/>
        </w:rPr>
        <w:t>or</w:t>
      </w:r>
      <w:r w:rsidR="000C2A77">
        <w:rPr>
          <w:rFonts w:ascii="Verdana" w:hAnsi="Verdana" w:cs="Helvetica"/>
          <w:sz w:val="20"/>
          <w:szCs w:val="20"/>
        </w:rPr>
        <w:t xml:space="preserve"> the </w:t>
      </w:r>
      <w:r w:rsidR="00235B21">
        <w:rPr>
          <w:rFonts w:ascii="Verdana" w:hAnsi="Verdana" w:cs="Helvetica"/>
          <w:sz w:val="20"/>
          <w:szCs w:val="20"/>
        </w:rPr>
        <w:t xml:space="preserve">purchase of furniture and </w:t>
      </w:r>
      <w:r w:rsidR="005B2026">
        <w:rPr>
          <w:rFonts w:ascii="Verdana" w:hAnsi="Verdana" w:cs="Helvetica"/>
          <w:sz w:val="20"/>
          <w:szCs w:val="20"/>
        </w:rPr>
        <w:t>equipment and</w:t>
      </w:r>
      <w:r w:rsidR="00CF3A4A" w:rsidRPr="008E4DD2">
        <w:rPr>
          <w:rFonts w:ascii="Verdana" w:hAnsi="Verdana" w:cs="Helvetica"/>
          <w:sz w:val="20"/>
          <w:szCs w:val="20"/>
        </w:rPr>
        <w:t xml:space="preserve"> </w:t>
      </w:r>
      <w:r w:rsidR="00667F3B">
        <w:rPr>
          <w:rFonts w:ascii="Verdana" w:hAnsi="Verdana" w:cs="Helvetica"/>
          <w:sz w:val="20"/>
          <w:szCs w:val="20"/>
        </w:rPr>
        <w:t>had</w:t>
      </w:r>
      <w:r w:rsidR="00CF3A4A" w:rsidRPr="008E4DD2">
        <w:rPr>
          <w:rFonts w:ascii="Verdana" w:hAnsi="Verdana" w:cs="Helvetica"/>
          <w:sz w:val="20"/>
          <w:szCs w:val="20"/>
        </w:rPr>
        <w:t xml:space="preserve"> </w:t>
      </w:r>
      <w:r w:rsidR="00235B21">
        <w:rPr>
          <w:rFonts w:ascii="Verdana" w:hAnsi="Verdana" w:cs="Helvetica"/>
          <w:sz w:val="20"/>
          <w:szCs w:val="20"/>
        </w:rPr>
        <w:t>$</w:t>
      </w:r>
      <w:r w:rsidR="00667F3B" w:rsidRPr="00667F3B">
        <w:rPr>
          <w:rFonts w:ascii="Verdana" w:hAnsi="Verdana" w:cs="Helvetica"/>
          <w:sz w:val="20"/>
          <w:szCs w:val="20"/>
        </w:rPr>
        <w:t>186,396</w:t>
      </w:r>
      <w:r w:rsidR="00667F3B">
        <w:rPr>
          <w:rFonts w:ascii="Verdana" w:hAnsi="Verdana" w:cs="Helvetica"/>
          <w:sz w:val="20"/>
          <w:szCs w:val="20"/>
        </w:rPr>
        <w:t xml:space="preserve"> </w:t>
      </w:r>
      <w:r w:rsidR="00235B21">
        <w:rPr>
          <w:rFonts w:ascii="Verdana" w:hAnsi="Verdana" w:cs="Helvetica"/>
          <w:sz w:val="20"/>
          <w:szCs w:val="20"/>
        </w:rPr>
        <w:t xml:space="preserve">of cash </w:t>
      </w:r>
      <w:r w:rsidR="00667F3B">
        <w:rPr>
          <w:rFonts w:ascii="Verdana" w:hAnsi="Verdana" w:cs="Helvetica"/>
          <w:sz w:val="20"/>
          <w:szCs w:val="20"/>
        </w:rPr>
        <w:t xml:space="preserve">provided </w:t>
      </w:r>
      <w:r w:rsidR="003D0346">
        <w:rPr>
          <w:rFonts w:ascii="Verdana" w:hAnsi="Verdana" w:cs="Helvetica"/>
          <w:sz w:val="20"/>
          <w:szCs w:val="20"/>
        </w:rPr>
        <w:t>by</w:t>
      </w:r>
      <w:r w:rsidR="00667F3B">
        <w:rPr>
          <w:rFonts w:ascii="Verdana" w:hAnsi="Verdana" w:cs="Helvetica"/>
          <w:sz w:val="20"/>
          <w:szCs w:val="20"/>
        </w:rPr>
        <w:t xml:space="preserve"> </w:t>
      </w:r>
      <w:r w:rsidR="00235B21">
        <w:rPr>
          <w:rFonts w:ascii="Verdana" w:hAnsi="Verdana" w:cs="Helvetica"/>
          <w:sz w:val="20"/>
          <w:szCs w:val="20"/>
        </w:rPr>
        <w:t xml:space="preserve">financing activities </w:t>
      </w:r>
      <w:r w:rsidR="003D0346">
        <w:rPr>
          <w:rFonts w:ascii="Verdana" w:hAnsi="Verdana" w:cs="Helvetica"/>
          <w:sz w:val="20"/>
          <w:szCs w:val="20"/>
        </w:rPr>
        <w:t xml:space="preserve">from the issuance of </w:t>
      </w:r>
      <w:r w:rsidR="003678A7">
        <w:rPr>
          <w:rFonts w:ascii="Verdana" w:hAnsi="Verdana" w:cs="Helvetica"/>
          <w:sz w:val="20"/>
          <w:szCs w:val="20"/>
        </w:rPr>
        <w:t xml:space="preserve">units and </w:t>
      </w:r>
      <w:r w:rsidR="003D0346">
        <w:rPr>
          <w:rFonts w:ascii="Verdana" w:hAnsi="Verdana" w:cs="Helvetica"/>
          <w:sz w:val="20"/>
          <w:szCs w:val="20"/>
        </w:rPr>
        <w:t>convertible debentures</w:t>
      </w:r>
      <w:r w:rsidR="00380D4C">
        <w:rPr>
          <w:rFonts w:ascii="Verdana" w:hAnsi="Verdana" w:cs="Helvetica"/>
          <w:sz w:val="20"/>
          <w:szCs w:val="20"/>
        </w:rPr>
        <w:t xml:space="preserve"> offset by</w:t>
      </w:r>
      <w:r w:rsidR="0095402C" w:rsidRPr="008E4DD2">
        <w:rPr>
          <w:rFonts w:ascii="Verdana" w:hAnsi="Verdana" w:cs="Helvetica"/>
          <w:sz w:val="20"/>
          <w:szCs w:val="20"/>
        </w:rPr>
        <w:t xml:space="preserve"> lease payment</w:t>
      </w:r>
      <w:r w:rsidR="00F74FE1">
        <w:rPr>
          <w:rFonts w:ascii="Verdana" w:hAnsi="Verdana" w:cs="Helvetica"/>
          <w:sz w:val="20"/>
          <w:szCs w:val="20"/>
        </w:rPr>
        <w:t>s</w:t>
      </w:r>
      <w:r w:rsidR="0095402C" w:rsidRPr="008E4DD2">
        <w:rPr>
          <w:rFonts w:ascii="Verdana" w:hAnsi="Verdana" w:cs="Helvetica"/>
          <w:sz w:val="20"/>
          <w:szCs w:val="20"/>
        </w:rPr>
        <w:t xml:space="preserve"> </w:t>
      </w:r>
      <w:r w:rsidR="00380D4C">
        <w:rPr>
          <w:rFonts w:ascii="Verdana" w:hAnsi="Verdana" w:cs="Helvetica"/>
          <w:sz w:val="20"/>
          <w:szCs w:val="20"/>
        </w:rPr>
        <w:t>and consideration payable.</w:t>
      </w:r>
    </w:p>
    <w:p w14:paraId="15C0D4F6" w14:textId="35F97013" w:rsidR="00FC6E94" w:rsidRPr="008E4DD2" w:rsidRDefault="00FC6E94" w:rsidP="00670C44">
      <w:pPr>
        <w:pStyle w:val="NormalWeb"/>
        <w:jc w:val="both"/>
        <w:rPr>
          <w:rFonts w:ascii="Verdana" w:hAnsi="Verdana" w:cs="Helvetica"/>
          <w:sz w:val="20"/>
          <w:szCs w:val="20"/>
        </w:rPr>
      </w:pPr>
      <w:r w:rsidRPr="008E4DD2">
        <w:rPr>
          <w:rFonts w:ascii="Verdana" w:hAnsi="Verdana" w:cs="Helvetica"/>
          <w:sz w:val="20"/>
          <w:szCs w:val="20"/>
        </w:rPr>
        <w:t xml:space="preserve">Please refer to </w:t>
      </w:r>
      <w:r w:rsidR="00915B29">
        <w:rPr>
          <w:rFonts w:ascii="Verdana" w:hAnsi="Verdana" w:cs="Helvetica"/>
          <w:sz w:val="20"/>
          <w:szCs w:val="20"/>
        </w:rPr>
        <w:t>Empower’s</w:t>
      </w:r>
      <w:r w:rsidR="00235B21">
        <w:rPr>
          <w:rFonts w:ascii="Verdana" w:hAnsi="Verdana" w:cs="Helvetica"/>
          <w:sz w:val="20"/>
          <w:szCs w:val="20"/>
        </w:rPr>
        <w:t xml:space="preserve"> condensed interim</w:t>
      </w:r>
      <w:r w:rsidRPr="008E4DD2">
        <w:rPr>
          <w:rFonts w:ascii="Verdana" w:hAnsi="Verdana" w:cs="Helvetica"/>
          <w:sz w:val="20"/>
          <w:szCs w:val="20"/>
        </w:rPr>
        <w:t xml:space="preserve"> </w:t>
      </w:r>
      <w:r w:rsidR="000C2A77">
        <w:rPr>
          <w:rFonts w:ascii="Verdana" w:hAnsi="Verdana" w:cs="Helvetica"/>
          <w:sz w:val="20"/>
          <w:szCs w:val="20"/>
        </w:rPr>
        <w:t>consolidated financial statements</w:t>
      </w:r>
      <w:r w:rsidRPr="008E4DD2">
        <w:rPr>
          <w:rFonts w:ascii="Verdana" w:hAnsi="Verdana" w:cs="Helvetica"/>
          <w:sz w:val="20"/>
          <w:szCs w:val="20"/>
        </w:rPr>
        <w:t xml:space="preserve">, related notes and accompanying </w:t>
      </w:r>
      <w:r w:rsidR="00915B29">
        <w:rPr>
          <w:rFonts w:ascii="Verdana" w:hAnsi="Verdana" w:cs="Helvetica"/>
          <w:sz w:val="20"/>
          <w:szCs w:val="20"/>
        </w:rPr>
        <w:t>m</w:t>
      </w:r>
      <w:r w:rsidRPr="008E4DD2">
        <w:rPr>
          <w:rFonts w:ascii="Verdana" w:hAnsi="Verdana" w:cs="Helvetica"/>
          <w:sz w:val="20"/>
          <w:szCs w:val="20"/>
        </w:rPr>
        <w:t>anagement</w:t>
      </w:r>
      <w:r w:rsidR="00915B29">
        <w:rPr>
          <w:rFonts w:ascii="Verdana" w:hAnsi="Verdana" w:cs="Helvetica"/>
          <w:sz w:val="20"/>
          <w:szCs w:val="20"/>
        </w:rPr>
        <w:t>’s</w:t>
      </w:r>
      <w:r w:rsidRPr="008E4DD2">
        <w:rPr>
          <w:rFonts w:ascii="Verdana" w:hAnsi="Verdana" w:cs="Helvetica"/>
          <w:sz w:val="20"/>
          <w:szCs w:val="20"/>
        </w:rPr>
        <w:t xml:space="preserve"> </w:t>
      </w:r>
      <w:r w:rsidR="00915B29">
        <w:rPr>
          <w:rFonts w:ascii="Verdana" w:hAnsi="Verdana" w:cs="Helvetica"/>
          <w:sz w:val="20"/>
          <w:szCs w:val="20"/>
        </w:rPr>
        <w:t>di</w:t>
      </w:r>
      <w:r w:rsidRPr="008E4DD2">
        <w:rPr>
          <w:rFonts w:ascii="Verdana" w:hAnsi="Verdana" w:cs="Helvetica"/>
          <w:sz w:val="20"/>
          <w:szCs w:val="20"/>
        </w:rPr>
        <w:t xml:space="preserve">scussion </w:t>
      </w:r>
      <w:r w:rsidR="00915B29">
        <w:rPr>
          <w:rFonts w:ascii="Verdana" w:hAnsi="Verdana" w:cs="Helvetica"/>
          <w:sz w:val="20"/>
          <w:szCs w:val="20"/>
        </w:rPr>
        <w:t>&amp;</w:t>
      </w:r>
      <w:r w:rsidRPr="008E4DD2">
        <w:rPr>
          <w:rFonts w:ascii="Verdana" w:hAnsi="Verdana" w:cs="Helvetica"/>
          <w:sz w:val="20"/>
          <w:szCs w:val="20"/>
        </w:rPr>
        <w:t xml:space="preserve"> </w:t>
      </w:r>
      <w:r w:rsidR="00915B29">
        <w:rPr>
          <w:rFonts w:ascii="Verdana" w:hAnsi="Verdana" w:cs="Helvetica"/>
          <w:sz w:val="20"/>
          <w:szCs w:val="20"/>
        </w:rPr>
        <w:t>a</w:t>
      </w:r>
      <w:r w:rsidRPr="008E4DD2">
        <w:rPr>
          <w:rFonts w:ascii="Verdana" w:hAnsi="Verdana" w:cs="Helvetica"/>
          <w:sz w:val="20"/>
          <w:szCs w:val="20"/>
        </w:rPr>
        <w:t xml:space="preserve">nalysis for a full review of the </w:t>
      </w:r>
      <w:r w:rsidR="00915B29">
        <w:rPr>
          <w:rFonts w:ascii="Verdana" w:hAnsi="Verdana" w:cs="Helvetica"/>
          <w:sz w:val="20"/>
          <w:szCs w:val="20"/>
        </w:rPr>
        <w:t>C</w:t>
      </w:r>
      <w:r w:rsidRPr="008E4DD2">
        <w:rPr>
          <w:rFonts w:ascii="Verdana" w:hAnsi="Verdana" w:cs="Helvetica"/>
          <w:sz w:val="20"/>
          <w:szCs w:val="20"/>
        </w:rPr>
        <w:t>o</w:t>
      </w:r>
      <w:r w:rsidR="00915B29">
        <w:rPr>
          <w:rFonts w:ascii="Verdana" w:hAnsi="Verdana" w:cs="Helvetica"/>
          <w:sz w:val="20"/>
          <w:szCs w:val="20"/>
        </w:rPr>
        <w:t>mpany’s o</w:t>
      </w:r>
      <w:r w:rsidRPr="008E4DD2">
        <w:rPr>
          <w:rFonts w:ascii="Verdana" w:hAnsi="Verdana" w:cs="Helvetica"/>
          <w:sz w:val="20"/>
          <w:szCs w:val="20"/>
        </w:rPr>
        <w:t>perations.</w:t>
      </w:r>
    </w:p>
    <w:p w14:paraId="75DD641A" w14:textId="77777777" w:rsidR="00FC6E94" w:rsidRPr="008E4DD2" w:rsidRDefault="00FC6E94" w:rsidP="00CF3A4A">
      <w:pPr>
        <w:pStyle w:val="NormalWeb"/>
        <w:spacing w:before="150" w:beforeAutospacing="0" w:after="150" w:afterAutospacing="0" w:line="360" w:lineRule="atLeast"/>
        <w:jc w:val="both"/>
        <w:rPr>
          <w:rFonts w:ascii="Verdana" w:hAnsi="Verdana" w:cs="Helvetica"/>
          <w:b/>
          <w:sz w:val="20"/>
          <w:szCs w:val="20"/>
        </w:rPr>
      </w:pPr>
      <w:r w:rsidRPr="008E4DD2">
        <w:rPr>
          <w:rFonts w:ascii="Verdana" w:hAnsi="Verdana" w:cs="Helvetica"/>
          <w:b/>
          <w:sz w:val="20"/>
          <w:szCs w:val="20"/>
        </w:rPr>
        <w:t>About Empower</w:t>
      </w:r>
    </w:p>
    <w:p w14:paraId="448E99E0" w14:textId="77777777" w:rsidR="000C5BC8" w:rsidRPr="008E4DD2" w:rsidRDefault="000C5BC8" w:rsidP="000C5BC8">
      <w:pPr>
        <w:pStyle w:val="NormalWeb"/>
        <w:spacing w:before="0" w:beforeAutospacing="0" w:after="0" w:afterAutospacing="0"/>
        <w:jc w:val="both"/>
        <w:rPr>
          <w:rFonts w:ascii="Verdana" w:hAnsi="Verdana" w:cs="Helvetica"/>
          <w:sz w:val="20"/>
          <w:szCs w:val="20"/>
        </w:rPr>
      </w:pPr>
      <w:r w:rsidRPr="008E4DD2">
        <w:rPr>
          <w:rFonts w:ascii="Verdana" w:hAnsi="Verdana" w:cs="Helvetica"/>
          <w:sz w:val="20"/>
          <w:szCs w:val="20"/>
        </w:rPr>
        <w:t>Empower is an integrated healthcare company that provides body and mind wellness for patients through its clinics, with digital and telemedicine care, and world-class medical diagnostics laboratories. Supported by an experienced leadership team, Empower is aggressively growing its clinical and digital presence across North America. Our Health &amp; Wellness and Diagnostics &amp; Technology business units are positioned to positively impact the integrated health of our patients, while simultaneously providing long term value for our shareholders.</w:t>
      </w:r>
    </w:p>
    <w:p w14:paraId="42560C99" w14:textId="77777777" w:rsidR="000C5BC8" w:rsidRPr="008E4DD2" w:rsidRDefault="000C5BC8" w:rsidP="00B809D5">
      <w:pPr>
        <w:pStyle w:val="NormalWeb"/>
        <w:spacing w:before="0" w:beforeAutospacing="0" w:after="0" w:afterAutospacing="0" w:line="360" w:lineRule="atLeast"/>
        <w:rPr>
          <w:rStyle w:val="Strong"/>
          <w:rFonts w:ascii="Verdana" w:hAnsi="Verdana" w:cs="Helvetica"/>
          <w:sz w:val="20"/>
          <w:szCs w:val="20"/>
        </w:rPr>
      </w:pPr>
    </w:p>
    <w:p w14:paraId="0B3205EC" w14:textId="43B2EDB5" w:rsidR="00CF3A4A" w:rsidRPr="008E4DD2" w:rsidRDefault="00FC6E94" w:rsidP="00B809D5">
      <w:pPr>
        <w:pStyle w:val="NormalWeb"/>
        <w:spacing w:before="0" w:beforeAutospacing="0" w:after="0" w:afterAutospacing="0" w:line="360" w:lineRule="atLeast"/>
        <w:rPr>
          <w:rFonts w:ascii="Verdana" w:hAnsi="Verdana" w:cs="Helvetica"/>
          <w:sz w:val="20"/>
          <w:szCs w:val="20"/>
        </w:rPr>
      </w:pPr>
      <w:r w:rsidRPr="008E4DD2">
        <w:rPr>
          <w:rStyle w:val="Strong"/>
          <w:rFonts w:ascii="Verdana" w:hAnsi="Verdana" w:cs="Helvetica"/>
          <w:sz w:val="20"/>
          <w:szCs w:val="20"/>
        </w:rPr>
        <w:t>ON BEHALF OF THE BOARD OF DIRECTORS:</w:t>
      </w:r>
      <w:r w:rsidRPr="008E4DD2">
        <w:rPr>
          <w:rFonts w:ascii="Verdana" w:hAnsi="Verdana" w:cs="Helvetica"/>
          <w:sz w:val="20"/>
          <w:szCs w:val="20"/>
        </w:rPr>
        <w:br/>
        <w:t>Steven McAuley</w:t>
      </w:r>
      <w:r w:rsidRPr="008E4DD2">
        <w:rPr>
          <w:rFonts w:ascii="Verdana" w:hAnsi="Verdana" w:cs="Helvetica"/>
          <w:sz w:val="20"/>
          <w:szCs w:val="20"/>
        </w:rPr>
        <w:br/>
        <w:t>Chief Executive Officer</w:t>
      </w:r>
      <w:r w:rsidRPr="008E4DD2">
        <w:rPr>
          <w:rFonts w:ascii="Verdana" w:hAnsi="Verdana" w:cs="Helvetica"/>
          <w:sz w:val="20"/>
          <w:szCs w:val="20"/>
        </w:rPr>
        <w:br/>
        <w:t> </w:t>
      </w:r>
      <w:r w:rsidRPr="008E4DD2">
        <w:rPr>
          <w:rFonts w:ascii="Verdana" w:hAnsi="Verdana" w:cs="Helvetica"/>
          <w:sz w:val="20"/>
          <w:szCs w:val="20"/>
        </w:rPr>
        <w:br/>
        <w:t>CONTACTS: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409"/>
        <w:gridCol w:w="235"/>
        <w:gridCol w:w="3456"/>
      </w:tblGrid>
      <w:tr w:rsidR="008E4DD2" w:rsidRPr="008E4DD2" w14:paraId="7D8BB194" w14:textId="77777777" w:rsidTr="003A43A0">
        <w:tc>
          <w:tcPr>
            <w:tcW w:w="1260" w:type="dxa"/>
          </w:tcPr>
          <w:p w14:paraId="4D2DB4C8" w14:textId="4BC03582" w:rsidR="00CF3A4A" w:rsidRPr="008E4DD2" w:rsidRDefault="00CF3A4A" w:rsidP="00B809D5">
            <w:pPr>
              <w:pStyle w:val="NormalWeb"/>
              <w:spacing w:before="0" w:beforeAutospacing="0" w:after="0" w:afterAutospacing="0" w:line="360" w:lineRule="atLeast"/>
              <w:rPr>
                <w:rFonts w:ascii="Verdana" w:hAnsi="Verdana" w:cs="Helvetica"/>
                <w:sz w:val="20"/>
                <w:szCs w:val="20"/>
              </w:rPr>
            </w:pPr>
            <w:r w:rsidRPr="008E4DD2">
              <w:rPr>
                <w:rFonts w:ascii="Verdana" w:hAnsi="Verdana" w:cs="Helvetica"/>
                <w:sz w:val="20"/>
                <w:szCs w:val="20"/>
              </w:rPr>
              <w:t>Investors</w:t>
            </w:r>
          </w:p>
        </w:tc>
        <w:tc>
          <w:tcPr>
            <w:tcW w:w="4409" w:type="dxa"/>
          </w:tcPr>
          <w:p w14:paraId="6D7D3CDD" w14:textId="36E6481C" w:rsidR="00CF3A4A" w:rsidRPr="008E4DD2" w:rsidRDefault="000C5BC8" w:rsidP="00B809D5">
            <w:pPr>
              <w:pStyle w:val="NormalWeb"/>
              <w:spacing w:before="0" w:beforeAutospacing="0" w:after="0" w:afterAutospacing="0" w:line="360" w:lineRule="atLeast"/>
              <w:rPr>
                <w:rFonts w:ascii="Verdana" w:hAnsi="Verdana" w:cs="Helvetica"/>
                <w:sz w:val="20"/>
                <w:szCs w:val="20"/>
              </w:rPr>
            </w:pPr>
            <w:r w:rsidRPr="008E4DD2">
              <w:rPr>
                <w:rFonts w:ascii="Verdana" w:hAnsi="Verdana" w:cs="Helvetica"/>
                <w:sz w:val="20"/>
                <w:szCs w:val="20"/>
              </w:rPr>
              <w:t>Tamara Mason</w:t>
            </w:r>
          </w:p>
        </w:tc>
        <w:tc>
          <w:tcPr>
            <w:tcW w:w="235" w:type="dxa"/>
          </w:tcPr>
          <w:p w14:paraId="7894CCD0" w14:textId="77777777" w:rsidR="00CF3A4A" w:rsidRPr="008E4DD2" w:rsidRDefault="00CF3A4A" w:rsidP="00B809D5">
            <w:pPr>
              <w:pStyle w:val="NormalWeb"/>
              <w:spacing w:before="0" w:beforeAutospacing="0" w:after="0" w:afterAutospacing="0" w:line="360" w:lineRule="atLeast"/>
              <w:rPr>
                <w:rFonts w:ascii="Verdana" w:hAnsi="Verdana" w:cs="Helvetica"/>
                <w:sz w:val="20"/>
                <w:szCs w:val="20"/>
              </w:rPr>
            </w:pPr>
          </w:p>
        </w:tc>
        <w:tc>
          <w:tcPr>
            <w:tcW w:w="3456" w:type="dxa"/>
          </w:tcPr>
          <w:p w14:paraId="7F82425E" w14:textId="70C24A81" w:rsidR="00CF3A4A" w:rsidRPr="008E4DD2" w:rsidRDefault="00CF3A4A" w:rsidP="00B809D5">
            <w:pPr>
              <w:pStyle w:val="NormalWeb"/>
              <w:spacing w:before="0" w:beforeAutospacing="0" w:after="0" w:afterAutospacing="0" w:line="360" w:lineRule="atLeast"/>
              <w:rPr>
                <w:rFonts w:ascii="Verdana" w:hAnsi="Verdana" w:cs="Helvetica"/>
                <w:sz w:val="20"/>
                <w:szCs w:val="20"/>
              </w:rPr>
            </w:pPr>
            <w:r w:rsidRPr="008E4DD2">
              <w:rPr>
                <w:rFonts w:ascii="Verdana" w:hAnsi="Verdana" w:cs="Helvetica"/>
                <w:sz w:val="20"/>
                <w:szCs w:val="20"/>
              </w:rPr>
              <w:t>Steven McAuley</w:t>
            </w:r>
          </w:p>
        </w:tc>
      </w:tr>
      <w:tr w:rsidR="008E4DD2" w:rsidRPr="008E4DD2" w14:paraId="25837B29" w14:textId="77777777" w:rsidTr="003A43A0">
        <w:tc>
          <w:tcPr>
            <w:tcW w:w="1260" w:type="dxa"/>
          </w:tcPr>
          <w:p w14:paraId="73287D96" w14:textId="77777777" w:rsidR="00CF3A4A" w:rsidRPr="008E4DD2" w:rsidRDefault="00CF3A4A" w:rsidP="00B809D5">
            <w:pPr>
              <w:pStyle w:val="NormalWeb"/>
              <w:spacing w:before="0" w:beforeAutospacing="0" w:after="0" w:afterAutospacing="0" w:line="360" w:lineRule="atLeast"/>
              <w:rPr>
                <w:rFonts w:ascii="Verdana" w:hAnsi="Verdana" w:cs="Helvetica"/>
                <w:sz w:val="20"/>
                <w:szCs w:val="20"/>
              </w:rPr>
            </w:pPr>
          </w:p>
        </w:tc>
        <w:tc>
          <w:tcPr>
            <w:tcW w:w="4409" w:type="dxa"/>
          </w:tcPr>
          <w:p w14:paraId="7366E963" w14:textId="38AC2391" w:rsidR="00CF3A4A" w:rsidRPr="008E4DD2" w:rsidRDefault="000C5BC8" w:rsidP="00B809D5">
            <w:pPr>
              <w:pStyle w:val="NormalWeb"/>
              <w:spacing w:before="0" w:beforeAutospacing="0" w:after="0" w:afterAutospacing="0" w:line="360" w:lineRule="atLeast"/>
              <w:rPr>
                <w:rFonts w:ascii="Verdana" w:hAnsi="Verdana" w:cs="Helvetica"/>
                <w:sz w:val="20"/>
                <w:szCs w:val="20"/>
              </w:rPr>
            </w:pPr>
            <w:r w:rsidRPr="008E4DD2">
              <w:rPr>
                <w:rFonts w:ascii="Verdana" w:hAnsi="Verdana" w:cs="Helvetica"/>
                <w:sz w:val="20"/>
                <w:szCs w:val="20"/>
              </w:rPr>
              <w:t>Business Development &amp; Communications</w:t>
            </w:r>
          </w:p>
        </w:tc>
        <w:tc>
          <w:tcPr>
            <w:tcW w:w="235" w:type="dxa"/>
          </w:tcPr>
          <w:p w14:paraId="4E146B95" w14:textId="77777777" w:rsidR="00CF3A4A" w:rsidRPr="008E4DD2" w:rsidRDefault="00CF3A4A" w:rsidP="00B809D5">
            <w:pPr>
              <w:pStyle w:val="NormalWeb"/>
              <w:spacing w:before="0" w:beforeAutospacing="0" w:after="0" w:afterAutospacing="0" w:line="360" w:lineRule="atLeast"/>
              <w:rPr>
                <w:rFonts w:ascii="Verdana" w:hAnsi="Verdana" w:cs="Helvetica"/>
                <w:sz w:val="20"/>
                <w:szCs w:val="20"/>
              </w:rPr>
            </w:pPr>
          </w:p>
        </w:tc>
        <w:tc>
          <w:tcPr>
            <w:tcW w:w="3456" w:type="dxa"/>
          </w:tcPr>
          <w:p w14:paraId="00700D46" w14:textId="24749A3D" w:rsidR="00CF3A4A" w:rsidRPr="008E4DD2" w:rsidRDefault="00CF3A4A" w:rsidP="00B809D5">
            <w:pPr>
              <w:pStyle w:val="NormalWeb"/>
              <w:spacing w:before="0" w:beforeAutospacing="0" w:after="0" w:afterAutospacing="0" w:line="360" w:lineRule="atLeast"/>
              <w:rPr>
                <w:rFonts w:ascii="Verdana" w:hAnsi="Verdana" w:cs="Helvetica"/>
                <w:sz w:val="20"/>
                <w:szCs w:val="20"/>
              </w:rPr>
            </w:pPr>
            <w:r w:rsidRPr="008E4DD2">
              <w:rPr>
                <w:rFonts w:ascii="Verdana" w:hAnsi="Verdana" w:cs="Helvetica"/>
                <w:sz w:val="20"/>
                <w:szCs w:val="20"/>
              </w:rPr>
              <w:t>CEO</w:t>
            </w:r>
          </w:p>
        </w:tc>
      </w:tr>
      <w:tr w:rsidR="008E4DD2" w:rsidRPr="008E4DD2" w14:paraId="703DC045" w14:textId="77777777" w:rsidTr="003A43A0">
        <w:tc>
          <w:tcPr>
            <w:tcW w:w="1260" w:type="dxa"/>
          </w:tcPr>
          <w:p w14:paraId="401888B8" w14:textId="77777777" w:rsidR="00CF3A4A" w:rsidRPr="008E4DD2" w:rsidRDefault="00CF3A4A" w:rsidP="00B809D5">
            <w:pPr>
              <w:pStyle w:val="NormalWeb"/>
              <w:spacing w:before="0" w:beforeAutospacing="0" w:after="0" w:afterAutospacing="0" w:line="360" w:lineRule="atLeast"/>
              <w:rPr>
                <w:rFonts w:ascii="Verdana" w:hAnsi="Verdana" w:cs="Helvetica"/>
                <w:sz w:val="20"/>
                <w:szCs w:val="20"/>
              </w:rPr>
            </w:pPr>
          </w:p>
        </w:tc>
        <w:tc>
          <w:tcPr>
            <w:tcW w:w="4409" w:type="dxa"/>
          </w:tcPr>
          <w:p w14:paraId="0841D6DC" w14:textId="3E470852" w:rsidR="00CF3A4A" w:rsidRPr="008E4DD2" w:rsidRDefault="003A43A0" w:rsidP="00B809D5">
            <w:pPr>
              <w:pStyle w:val="NormalWeb"/>
              <w:spacing w:before="0" w:beforeAutospacing="0" w:after="0" w:afterAutospacing="0" w:line="360" w:lineRule="atLeast"/>
              <w:rPr>
                <w:rFonts w:ascii="Verdana" w:hAnsi="Verdana" w:cs="Helvetica"/>
                <w:sz w:val="20"/>
                <w:szCs w:val="20"/>
              </w:rPr>
            </w:pPr>
            <w:r>
              <w:rPr>
                <w:rFonts w:ascii="Verdana" w:hAnsi="Verdana" w:cs="Helvetica"/>
                <w:sz w:val="20"/>
                <w:szCs w:val="20"/>
              </w:rPr>
              <w:t>1-855-855-9058</w:t>
            </w:r>
          </w:p>
        </w:tc>
        <w:tc>
          <w:tcPr>
            <w:tcW w:w="235" w:type="dxa"/>
          </w:tcPr>
          <w:p w14:paraId="60DC6B7E" w14:textId="77777777" w:rsidR="00CF3A4A" w:rsidRPr="008E4DD2" w:rsidRDefault="00CF3A4A" w:rsidP="00B809D5">
            <w:pPr>
              <w:pStyle w:val="NormalWeb"/>
              <w:spacing w:before="0" w:beforeAutospacing="0" w:after="0" w:afterAutospacing="0" w:line="360" w:lineRule="atLeast"/>
              <w:rPr>
                <w:rFonts w:ascii="Verdana" w:hAnsi="Verdana" w:cs="Helvetica"/>
                <w:sz w:val="20"/>
                <w:szCs w:val="20"/>
              </w:rPr>
            </w:pPr>
          </w:p>
        </w:tc>
        <w:tc>
          <w:tcPr>
            <w:tcW w:w="3456" w:type="dxa"/>
          </w:tcPr>
          <w:p w14:paraId="0314BC1C" w14:textId="0714FA7D" w:rsidR="00CF3A4A" w:rsidRPr="008E4DD2" w:rsidRDefault="003A43A0" w:rsidP="00B809D5">
            <w:pPr>
              <w:pStyle w:val="NormalWeb"/>
              <w:spacing w:before="0" w:beforeAutospacing="0" w:after="0" w:afterAutospacing="0" w:line="360" w:lineRule="atLeast"/>
              <w:rPr>
                <w:rFonts w:ascii="Verdana" w:hAnsi="Verdana" w:cs="Helvetica"/>
                <w:sz w:val="20"/>
                <w:szCs w:val="20"/>
              </w:rPr>
            </w:pPr>
            <w:r>
              <w:rPr>
                <w:rFonts w:ascii="Verdana" w:hAnsi="Verdana" w:cs="Helvetica"/>
                <w:sz w:val="20"/>
                <w:szCs w:val="20"/>
              </w:rPr>
              <w:t>1-855-855-9058</w:t>
            </w:r>
          </w:p>
        </w:tc>
      </w:tr>
      <w:tr w:rsidR="008E4DD2" w:rsidRPr="008E4DD2" w14:paraId="6E2583AD" w14:textId="77777777" w:rsidTr="003A43A0">
        <w:tc>
          <w:tcPr>
            <w:tcW w:w="1260" w:type="dxa"/>
          </w:tcPr>
          <w:p w14:paraId="0C060A4F" w14:textId="77777777" w:rsidR="00CF3A4A" w:rsidRPr="008E4DD2" w:rsidRDefault="00CF3A4A" w:rsidP="00CF3A4A">
            <w:pPr>
              <w:pStyle w:val="NormalWeb"/>
              <w:spacing w:before="0" w:beforeAutospacing="0" w:after="0" w:afterAutospacing="0" w:line="360" w:lineRule="atLeast"/>
              <w:rPr>
                <w:rFonts w:ascii="Verdana" w:hAnsi="Verdana" w:cs="Helvetica"/>
                <w:sz w:val="20"/>
                <w:szCs w:val="20"/>
              </w:rPr>
            </w:pPr>
          </w:p>
        </w:tc>
        <w:tc>
          <w:tcPr>
            <w:tcW w:w="4409" w:type="dxa"/>
          </w:tcPr>
          <w:p w14:paraId="5EC63A43" w14:textId="102625E1" w:rsidR="00CF3A4A" w:rsidRPr="008E4DD2" w:rsidRDefault="0094153F" w:rsidP="00CF3A4A">
            <w:pPr>
              <w:pStyle w:val="NormalWeb"/>
              <w:spacing w:before="0" w:beforeAutospacing="0" w:after="0" w:afterAutospacing="0" w:line="360" w:lineRule="atLeast"/>
              <w:rPr>
                <w:rFonts w:ascii="Verdana" w:hAnsi="Verdana" w:cs="Helvetica"/>
                <w:sz w:val="20"/>
                <w:szCs w:val="20"/>
              </w:rPr>
            </w:pPr>
            <w:r w:rsidRPr="008E4DD2">
              <w:rPr>
                <w:rFonts w:ascii="Verdana" w:hAnsi="Verdana" w:cs="Helvetica"/>
                <w:sz w:val="20"/>
                <w:szCs w:val="20"/>
              </w:rPr>
              <w:t>t.mason</w:t>
            </w:r>
            <w:r w:rsidR="000D6779" w:rsidRPr="008E4DD2">
              <w:rPr>
                <w:rFonts w:ascii="Verdana" w:hAnsi="Verdana" w:cs="Helvetica"/>
                <w:sz w:val="20"/>
                <w:szCs w:val="20"/>
              </w:rPr>
              <w:t>@</w:t>
            </w:r>
            <w:r w:rsidRPr="008E4DD2">
              <w:rPr>
                <w:rFonts w:ascii="Verdana" w:hAnsi="Verdana" w:cs="Helvetica"/>
                <w:sz w:val="20"/>
                <w:szCs w:val="20"/>
              </w:rPr>
              <w:t>empowerclinics</w:t>
            </w:r>
            <w:r w:rsidR="000D6779" w:rsidRPr="008E4DD2">
              <w:rPr>
                <w:rFonts w:ascii="Verdana" w:hAnsi="Verdana" w:cs="Helvetica"/>
                <w:sz w:val="20"/>
                <w:szCs w:val="20"/>
              </w:rPr>
              <w:t>.com</w:t>
            </w:r>
          </w:p>
        </w:tc>
        <w:tc>
          <w:tcPr>
            <w:tcW w:w="235" w:type="dxa"/>
          </w:tcPr>
          <w:p w14:paraId="75B5F3B4" w14:textId="47C1F113" w:rsidR="00CF3A4A" w:rsidRPr="008E4DD2" w:rsidRDefault="00CF3A4A" w:rsidP="00CF3A4A">
            <w:pPr>
              <w:pStyle w:val="NormalWeb"/>
              <w:spacing w:before="0" w:beforeAutospacing="0" w:after="0" w:afterAutospacing="0" w:line="360" w:lineRule="atLeast"/>
              <w:rPr>
                <w:rFonts w:ascii="Verdana" w:hAnsi="Verdana" w:cs="Helvetica"/>
                <w:sz w:val="20"/>
                <w:szCs w:val="20"/>
              </w:rPr>
            </w:pPr>
          </w:p>
        </w:tc>
        <w:tc>
          <w:tcPr>
            <w:tcW w:w="3456" w:type="dxa"/>
          </w:tcPr>
          <w:p w14:paraId="605338A6" w14:textId="60D3D433" w:rsidR="00CF3A4A" w:rsidRPr="008E4DD2" w:rsidRDefault="00CF3A4A" w:rsidP="00CF3A4A">
            <w:pPr>
              <w:pStyle w:val="NormalWeb"/>
              <w:spacing w:before="0" w:beforeAutospacing="0" w:after="0" w:afterAutospacing="0" w:line="360" w:lineRule="atLeast"/>
              <w:rPr>
                <w:rFonts w:ascii="Verdana" w:hAnsi="Verdana" w:cs="Helvetica"/>
                <w:sz w:val="20"/>
                <w:szCs w:val="20"/>
              </w:rPr>
            </w:pPr>
            <w:r w:rsidRPr="008E4DD2">
              <w:rPr>
                <w:rFonts w:ascii="Verdana" w:hAnsi="Verdana" w:cs="Helvetica"/>
                <w:sz w:val="20"/>
                <w:szCs w:val="20"/>
              </w:rPr>
              <w:t>s.mcauley@empowerclinics.com</w:t>
            </w:r>
          </w:p>
        </w:tc>
      </w:tr>
    </w:tbl>
    <w:p w14:paraId="448FD7C2" w14:textId="77777777" w:rsidR="003A43A0" w:rsidRPr="008E4DD2" w:rsidRDefault="003A43A0" w:rsidP="003A43A0">
      <w:pPr>
        <w:pStyle w:val="NormalWeb"/>
        <w:spacing w:before="150" w:beforeAutospacing="0" w:after="150" w:afterAutospacing="0" w:line="360" w:lineRule="atLeast"/>
        <w:jc w:val="both"/>
        <w:rPr>
          <w:rStyle w:val="Emphasis"/>
          <w:rFonts w:ascii="Verdana" w:hAnsi="Verdana" w:cs="Helvetica"/>
          <w:sz w:val="18"/>
          <w:szCs w:val="20"/>
        </w:rPr>
      </w:pPr>
      <w:r w:rsidRPr="008E4DD2">
        <w:rPr>
          <w:rStyle w:val="Emphasis"/>
          <w:rFonts w:ascii="Verdana" w:hAnsi="Verdana" w:cs="Helvetica"/>
          <w:sz w:val="18"/>
          <w:szCs w:val="20"/>
        </w:rPr>
        <w:t>DISCLAIMER FOR FORWARD-LOOKING STATEMENTS</w:t>
      </w:r>
    </w:p>
    <w:p w14:paraId="08879163" w14:textId="77777777" w:rsidR="008A0986" w:rsidRPr="002719C6" w:rsidRDefault="008A0986" w:rsidP="008A0986">
      <w:pPr>
        <w:pStyle w:val="NormalWeb"/>
        <w:rPr>
          <w:rFonts w:ascii="Verdana" w:hAnsi="Verdana" w:cs="Helvetica"/>
          <w:i/>
          <w:iCs/>
          <w:sz w:val="18"/>
          <w:szCs w:val="20"/>
        </w:rPr>
      </w:pPr>
      <w:r w:rsidRPr="002719C6">
        <w:rPr>
          <w:rFonts w:ascii="Verdana" w:hAnsi="Verdana" w:cs="Helvetica"/>
          <w:i/>
          <w:iCs/>
          <w:sz w:val="18"/>
          <w:szCs w:val="20"/>
        </w:rPr>
        <w:t>DISCLAIMER FOR FORWARD-LOOKING STATEMENTS</w:t>
      </w:r>
    </w:p>
    <w:p w14:paraId="53E12D13" w14:textId="2926F4A6" w:rsidR="008A0986" w:rsidRPr="002719C6" w:rsidRDefault="008A0986" w:rsidP="008A0986">
      <w:pPr>
        <w:pStyle w:val="NormalWeb"/>
        <w:spacing w:before="150" w:after="150" w:line="360" w:lineRule="atLeast"/>
        <w:rPr>
          <w:rFonts w:ascii="Verdana" w:hAnsi="Verdana" w:cs="Helvetica"/>
          <w:i/>
          <w:iCs/>
          <w:sz w:val="18"/>
          <w:szCs w:val="20"/>
        </w:rPr>
      </w:pPr>
      <w:r w:rsidRPr="002719C6">
        <w:rPr>
          <w:rFonts w:ascii="Verdana" w:hAnsi="Verdana" w:cs="Helvetica"/>
          <w:i/>
          <w:iCs/>
          <w:sz w:val="18"/>
          <w:szCs w:val="20"/>
        </w:rPr>
        <w:t xml:space="preserve">This news release contains certain "forward-looking statements" or "forward-looking information" (collectively "forward looking statements") within the meaning of applicable Canadian securities laws. Statements other than statements of historical fact are forward-looking statements and are based on expectations, estimates and projections as at the date of this news release, and include statements regarding the Company's ability to positively impact the integrated health of its patients while simultaneously providing long term value for shareholders. Forward-looking statements can frequently be identified by words such as "plans", "continues", "expects", "projects", "intends", "believes", "anticipates", "estimates", "may", "will", "potential", "proposed" and other similar words, or </w:t>
      </w:r>
      <w:r w:rsidRPr="002719C6">
        <w:rPr>
          <w:rFonts w:ascii="Verdana" w:hAnsi="Verdana" w:cs="Helvetica"/>
          <w:i/>
          <w:iCs/>
          <w:sz w:val="18"/>
          <w:szCs w:val="20"/>
        </w:rPr>
        <w:lastRenderedPageBreak/>
        <w:t xml:space="preserve">information that certain events or conditions "may" or "will" occur. Such statements are only projections, are based on assumptions known to management at this time, and are subject to risks and uncertainties that may cause actual results, performance or developments to differ materially from those contained in the forward-looking statements, including: </w:t>
      </w:r>
      <w:r>
        <w:rPr>
          <w:rFonts w:ascii="Verdana" w:hAnsi="Verdana" w:cs="Helvetica"/>
          <w:i/>
          <w:iCs/>
          <w:sz w:val="18"/>
          <w:szCs w:val="20"/>
        </w:rPr>
        <w:t xml:space="preserve">that the Company will be able to successfully operate numerous SMO’s starting in Dallas, TX or operate any at all; </w:t>
      </w:r>
      <w:r w:rsidRPr="002719C6">
        <w:rPr>
          <w:rFonts w:ascii="Verdana" w:hAnsi="Verdana" w:cs="Helvetica"/>
          <w:i/>
          <w:iCs/>
          <w:sz w:val="18"/>
          <w:szCs w:val="20"/>
        </w:rPr>
        <w:t>that the Company's products may not work as expected; that the Company may not be able to maintain or expand its current COVID-19 testing; that legislative changes may have an adverse effect on the Company's business and product development; that the Company may not be able to obtain adequate financing to pursue its business plan; that general business, economic, competitive, political and social uncertainties; failure to obtain any necessary approvals in connection with any proposed transactions; and other factors beyond the Company's control. No assurance can be given that any of the events anticipated by the forward-looking statements will occur or, if they do occur, what benefits the Company will obtain from them. Readers are cautioned not to place undue reliance on the forward-looking statements in this release, which are qualified in their entirety by these cautionary statements. The Company is under no obligation, and expressly disclaims any intention or obligation, to update or revise any forward-looking statements in this release, whether as a result of new information, future events or otherwise, except as expressly required by applicable laws.</w:t>
      </w:r>
    </w:p>
    <w:p w14:paraId="4D474CA8" w14:textId="66709817" w:rsidR="0094153F" w:rsidRPr="008E4DD2" w:rsidRDefault="0094153F" w:rsidP="008A0986">
      <w:pPr>
        <w:pStyle w:val="NormalWeb"/>
        <w:spacing w:before="150" w:beforeAutospacing="0" w:after="150" w:afterAutospacing="0" w:line="360" w:lineRule="atLeast"/>
        <w:jc w:val="both"/>
        <w:rPr>
          <w:rStyle w:val="Emphasis"/>
          <w:rFonts w:ascii="Verdana" w:hAnsi="Verdana"/>
          <w:sz w:val="18"/>
          <w:szCs w:val="20"/>
        </w:rPr>
      </w:pPr>
    </w:p>
    <w:sectPr w:rsidR="0094153F" w:rsidRPr="008E4DD2" w:rsidSect="002349C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79B3B" w14:textId="77777777" w:rsidR="00697128" w:rsidRDefault="00697128" w:rsidP="00432736">
      <w:r>
        <w:separator/>
      </w:r>
    </w:p>
  </w:endnote>
  <w:endnote w:type="continuationSeparator" w:id="0">
    <w:p w14:paraId="7C9DDF53" w14:textId="77777777" w:rsidR="00697128" w:rsidRDefault="00697128" w:rsidP="0043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557B" w14:textId="77777777" w:rsidR="00432736" w:rsidRDefault="00432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EF73" w14:textId="77777777" w:rsidR="00432736" w:rsidRDefault="004327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94EC" w14:textId="77777777" w:rsidR="00432736" w:rsidRDefault="00432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9C68A" w14:textId="77777777" w:rsidR="00697128" w:rsidRDefault="00697128" w:rsidP="00432736">
      <w:r>
        <w:separator/>
      </w:r>
    </w:p>
  </w:footnote>
  <w:footnote w:type="continuationSeparator" w:id="0">
    <w:p w14:paraId="2694C87D" w14:textId="77777777" w:rsidR="00697128" w:rsidRDefault="00697128" w:rsidP="00432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4361" w14:textId="3DE086BD" w:rsidR="00432736" w:rsidRDefault="00432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A85F" w14:textId="699DD028" w:rsidR="00432736" w:rsidRDefault="004327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5AB5" w14:textId="7A12CA1C" w:rsidR="00432736" w:rsidRDefault="00432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F57"/>
    <w:multiLevelType w:val="hybridMultilevel"/>
    <w:tmpl w:val="08B0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B36B4"/>
    <w:multiLevelType w:val="hybridMultilevel"/>
    <w:tmpl w:val="AEE40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CF431E"/>
    <w:multiLevelType w:val="hybridMultilevel"/>
    <w:tmpl w:val="2B5C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A579C"/>
    <w:multiLevelType w:val="multilevel"/>
    <w:tmpl w:val="160E8D5E"/>
    <w:lvl w:ilvl="0">
      <w:start w:val="1"/>
      <w:numFmt w:val="decimal"/>
      <w:pStyle w:val="CP1"/>
      <w:lvlText w:val="%1."/>
      <w:lvlJc w:val="left"/>
      <w:pPr>
        <w:tabs>
          <w:tab w:val="num" w:pos="810"/>
        </w:tabs>
        <w:ind w:left="810" w:hanging="720"/>
      </w:pPr>
      <w:rPr>
        <w:rFonts w:ascii="Arial" w:hAnsi="Arial" w:cs="Arial" w:hint="default"/>
        <w:b/>
        <w:sz w:val="18"/>
        <w:szCs w:val="18"/>
      </w:rPr>
    </w:lvl>
    <w:lvl w:ilvl="1">
      <w:start w:val="1"/>
      <w:numFmt w:val="lowerLetter"/>
      <w:pStyle w:val="CP2"/>
      <w:lvlText w:val="(%2)"/>
      <w:lvlJc w:val="left"/>
      <w:pPr>
        <w:tabs>
          <w:tab w:val="num" w:pos="1440"/>
        </w:tabs>
        <w:ind w:left="1440" w:hanging="720"/>
      </w:pPr>
      <w:rPr>
        <w:rFonts w:hint="default"/>
      </w:rPr>
    </w:lvl>
    <w:lvl w:ilvl="2">
      <w:start w:val="5"/>
      <w:numFmt w:val="lowerLetter"/>
      <w:pStyle w:val="CP3"/>
      <w:lvlText w:val="%3)"/>
      <w:lvlJc w:val="left"/>
      <w:pPr>
        <w:tabs>
          <w:tab w:val="num" w:pos="900"/>
        </w:tabs>
        <w:ind w:left="900" w:hanging="720"/>
      </w:pPr>
      <w:rPr>
        <w:rFonts w:ascii="Arial" w:hAnsi="Arial" w:cs="Arial" w:hint="default"/>
        <w:sz w:val="18"/>
        <w:szCs w:val="18"/>
      </w:rPr>
    </w:lvl>
    <w:lvl w:ilvl="3">
      <w:start w:val="1"/>
      <w:numFmt w:val="upperLetter"/>
      <w:pStyle w:val="CP4"/>
      <w:lvlText w:val="%4."/>
      <w:lvlJc w:val="left"/>
      <w:pPr>
        <w:tabs>
          <w:tab w:val="num" w:pos="2880"/>
        </w:tabs>
        <w:ind w:left="2880" w:hanging="720"/>
      </w:pPr>
      <w:rPr>
        <w:rFonts w:hint="default"/>
      </w:rPr>
    </w:lvl>
    <w:lvl w:ilvl="4">
      <w:start w:val="3"/>
      <w:numFmt w:val="lowerLetter"/>
      <w:pStyle w:val="CP5"/>
      <w:lvlText w:val="%5)"/>
      <w:lvlJc w:val="left"/>
      <w:pPr>
        <w:tabs>
          <w:tab w:val="num" w:pos="3600"/>
        </w:tabs>
        <w:ind w:left="3600" w:hanging="720"/>
      </w:pPr>
      <w:rPr>
        <w:rFonts w:hint="default"/>
      </w:rPr>
    </w:lvl>
    <w:lvl w:ilvl="5">
      <w:start w:val="1"/>
      <w:numFmt w:val="lowerRoman"/>
      <w:pStyle w:val="CP6"/>
      <w:lvlText w:val="%6)"/>
      <w:lvlJc w:val="left"/>
      <w:pPr>
        <w:tabs>
          <w:tab w:val="num" w:pos="4320"/>
        </w:tabs>
        <w:ind w:left="4320" w:hanging="720"/>
      </w:pPr>
      <w:rPr>
        <w:rFonts w:hint="default"/>
      </w:rPr>
    </w:lvl>
    <w:lvl w:ilvl="6">
      <w:start w:val="1"/>
      <w:numFmt w:val="upperLetter"/>
      <w:pStyle w:val="CP7"/>
      <w:lvlText w:val="%7)"/>
      <w:lvlJc w:val="left"/>
      <w:pPr>
        <w:tabs>
          <w:tab w:val="num" w:pos="4320"/>
        </w:tabs>
        <w:ind w:left="4320" w:hanging="720"/>
      </w:pPr>
      <w:rPr>
        <w:rFonts w:hint="default"/>
      </w:rPr>
    </w:lvl>
    <w:lvl w:ilvl="7">
      <w:start w:val="1"/>
      <w:numFmt w:val="lowerLetter"/>
      <w:pStyle w:val="CP8"/>
      <w:lvlText w:val="%8."/>
      <w:lvlJc w:val="left"/>
      <w:pPr>
        <w:tabs>
          <w:tab w:val="num" w:pos="4320"/>
        </w:tabs>
        <w:ind w:left="4320" w:hanging="720"/>
      </w:pPr>
      <w:rPr>
        <w:rFonts w:hint="default"/>
      </w:rPr>
    </w:lvl>
    <w:lvl w:ilvl="8">
      <w:start w:val="1"/>
      <w:numFmt w:val="lowerRoman"/>
      <w:pStyle w:val="CP9"/>
      <w:lvlText w:val="%9."/>
      <w:lvlJc w:val="left"/>
      <w:pPr>
        <w:tabs>
          <w:tab w:val="num" w:pos="4320"/>
        </w:tabs>
        <w:ind w:left="4320" w:hanging="720"/>
      </w:pPr>
      <w:rPr>
        <w:rFonts w:hint="default"/>
      </w:rPr>
    </w:lvl>
  </w:abstractNum>
  <w:abstractNum w:abstractNumId="4" w15:restartNumberingAfterBreak="0">
    <w:nsid w:val="60C77D67"/>
    <w:multiLevelType w:val="hybridMultilevel"/>
    <w:tmpl w:val="5EA8C308"/>
    <w:lvl w:ilvl="0" w:tplc="0A8E61B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31428380">
    <w:abstractNumId w:val="0"/>
  </w:num>
  <w:num w:numId="2" w16cid:durableId="1250195738">
    <w:abstractNumId w:val="2"/>
  </w:num>
  <w:num w:numId="3" w16cid:durableId="1507089053">
    <w:abstractNumId w:val="4"/>
  </w:num>
  <w:num w:numId="4" w16cid:durableId="474638260">
    <w:abstractNumId w:val="3"/>
  </w:num>
  <w:num w:numId="5" w16cid:durableId="1205943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NzMwMDEyszQwMjFX0lEKTi0uzszPAymwrAUAoKGOWSwAAAA="/>
  </w:docVars>
  <w:rsids>
    <w:rsidRoot w:val="00693370"/>
    <w:rsid w:val="00002E3B"/>
    <w:rsid w:val="0001126B"/>
    <w:rsid w:val="00011E63"/>
    <w:rsid w:val="000139AE"/>
    <w:rsid w:val="000218EB"/>
    <w:rsid w:val="00034328"/>
    <w:rsid w:val="00034FCD"/>
    <w:rsid w:val="00040FBB"/>
    <w:rsid w:val="000430B2"/>
    <w:rsid w:val="00050F1D"/>
    <w:rsid w:val="0005139E"/>
    <w:rsid w:val="00052693"/>
    <w:rsid w:val="0005392F"/>
    <w:rsid w:val="0005426A"/>
    <w:rsid w:val="00096B42"/>
    <w:rsid w:val="000A3AEB"/>
    <w:rsid w:val="000C1591"/>
    <w:rsid w:val="000C1D13"/>
    <w:rsid w:val="000C2A77"/>
    <w:rsid w:val="000C5BC8"/>
    <w:rsid w:val="000C7E29"/>
    <w:rsid w:val="000D6779"/>
    <w:rsid w:val="000E049D"/>
    <w:rsid w:val="000E5540"/>
    <w:rsid w:val="000E5FE7"/>
    <w:rsid w:val="00106E66"/>
    <w:rsid w:val="00116B2B"/>
    <w:rsid w:val="001222A7"/>
    <w:rsid w:val="001249CD"/>
    <w:rsid w:val="00143C54"/>
    <w:rsid w:val="00145520"/>
    <w:rsid w:val="00167969"/>
    <w:rsid w:val="00170334"/>
    <w:rsid w:val="001828FE"/>
    <w:rsid w:val="001954DF"/>
    <w:rsid w:val="00195893"/>
    <w:rsid w:val="001B30A4"/>
    <w:rsid w:val="001D2191"/>
    <w:rsid w:val="001D5893"/>
    <w:rsid w:val="001E2192"/>
    <w:rsid w:val="001E4606"/>
    <w:rsid w:val="001F1990"/>
    <w:rsid w:val="001F1DC7"/>
    <w:rsid w:val="001F64B1"/>
    <w:rsid w:val="001F6FAB"/>
    <w:rsid w:val="001F730F"/>
    <w:rsid w:val="00204858"/>
    <w:rsid w:val="00212A4C"/>
    <w:rsid w:val="002349C0"/>
    <w:rsid w:val="00235B21"/>
    <w:rsid w:val="002562FA"/>
    <w:rsid w:val="00257CD9"/>
    <w:rsid w:val="00267E58"/>
    <w:rsid w:val="002700EF"/>
    <w:rsid w:val="00281FDC"/>
    <w:rsid w:val="002C4924"/>
    <w:rsid w:val="002D6CD5"/>
    <w:rsid w:val="002E46E5"/>
    <w:rsid w:val="002E53B1"/>
    <w:rsid w:val="002E5ACA"/>
    <w:rsid w:val="002E71C3"/>
    <w:rsid w:val="002F1CF3"/>
    <w:rsid w:val="002F6694"/>
    <w:rsid w:val="00303FC1"/>
    <w:rsid w:val="00312C1E"/>
    <w:rsid w:val="0032509C"/>
    <w:rsid w:val="00334649"/>
    <w:rsid w:val="00336F84"/>
    <w:rsid w:val="00340F4B"/>
    <w:rsid w:val="00343C7E"/>
    <w:rsid w:val="00347640"/>
    <w:rsid w:val="003562B0"/>
    <w:rsid w:val="003678A7"/>
    <w:rsid w:val="00380D4C"/>
    <w:rsid w:val="00381F1F"/>
    <w:rsid w:val="00382083"/>
    <w:rsid w:val="003838E4"/>
    <w:rsid w:val="00385F7F"/>
    <w:rsid w:val="003A31AB"/>
    <w:rsid w:val="003A43A0"/>
    <w:rsid w:val="003B1160"/>
    <w:rsid w:val="003B7954"/>
    <w:rsid w:val="003B7FE5"/>
    <w:rsid w:val="003D0346"/>
    <w:rsid w:val="003E48E1"/>
    <w:rsid w:val="003E5BAE"/>
    <w:rsid w:val="003F7FBD"/>
    <w:rsid w:val="00403FE4"/>
    <w:rsid w:val="00404D51"/>
    <w:rsid w:val="0042525A"/>
    <w:rsid w:val="00426ADB"/>
    <w:rsid w:val="00432736"/>
    <w:rsid w:val="00432E4A"/>
    <w:rsid w:val="00436179"/>
    <w:rsid w:val="00437AE6"/>
    <w:rsid w:val="00442AA5"/>
    <w:rsid w:val="00451159"/>
    <w:rsid w:val="004516B8"/>
    <w:rsid w:val="00453291"/>
    <w:rsid w:val="00455B97"/>
    <w:rsid w:val="00461C2F"/>
    <w:rsid w:val="00494735"/>
    <w:rsid w:val="004A5534"/>
    <w:rsid w:val="004B63E7"/>
    <w:rsid w:val="004C15B1"/>
    <w:rsid w:val="004F7835"/>
    <w:rsid w:val="00505106"/>
    <w:rsid w:val="00515302"/>
    <w:rsid w:val="0054037D"/>
    <w:rsid w:val="00553925"/>
    <w:rsid w:val="00555E37"/>
    <w:rsid w:val="00570330"/>
    <w:rsid w:val="00587FA6"/>
    <w:rsid w:val="00592FC6"/>
    <w:rsid w:val="005A5B31"/>
    <w:rsid w:val="005B2026"/>
    <w:rsid w:val="005C223C"/>
    <w:rsid w:val="005C3B6D"/>
    <w:rsid w:val="005C675A"/>
    <w:rsid w:val="005C6AD0"/>
    <w:rsid w:val="005D0CA6"/>
    <w:rsid w:val="005D61B8"/>
    <w:rsid w:val="005D7D4D"/>
    <w:rsid w:val="005E3E1C"/>
    <w:rsid w:val="005F70A7"/>
    <w:rsid w:val="00603A75"/>
    <w:rsid w:val="00610D68"/>
    <w:rsid w:val="00655551"/>
    <w:rsid w:val="0066297E"/>
    <w:rsid w:val="00667F3B"/>
    <w:rsid w:val="00670C44"/>
    <w:rsid w:val="00673D96"/>
    <w:rsid w:val="00681712"/>
    <w:rsid w:val="00682267"/>
    <w:rsid w:val="00693370"/>
    <w:rsid w:val="00697128"/>
    <w:rsid w:val="00697E78"/>
    <w:rsid w:val="006A60E3"/>
    <w:rsid w:val="006B33E3"/>
    <w:rsid w:val="006C195E"/>
    <w:rsid w:val="006D26FA"/>
    <w:rsid w:val="006D4F37"/>
    <w:rsid w:val="006D53EF"/>
    <w:rsid w:val="006E2964"/>
    <w:rsid w:val="006E71E0"/>
    <w:rsid w:val="006F23AE"/>
    <w:rsid w:val="006F2E8C"/>
    <w:rsid w:val="0071134F"/>
    <w:rsid w:val="00711DF3"/>
    <w:rsid w:val="00712078"/>
    <w:rsid w:val="0071224E"/>
    <w:rsid w:val="00715889"/>
    <w:rsid w:val="00722BA9"/>
    <w:rsid w:val="00725BD0"/>
    <w:rsid w:val="007317A5"/>
    <w:rsid w:val="007356E0"/>
    <w:rsid w:val="00737093"/>
    <w:rsid w:val="007700BA"/>
    <w:rsid w:val="007755F8"/>
    <w:rsid w:val="0077599B"/>
    <w:rsid w:val="00781602"/>
    <w:rsid w:val="00781913"/>
    <w:rsid w:val="00786C90"/>
    <w:rsid w:val="00787496"/>
    <w:rsid w:val="007876EB"/>
    <w:rsid w:val="007A452F"/>
    <w:rsid w:val="007A5D0D"/>
    <w:rsid w:val="007B2E92"/>
    <w:rsid w:val="007B36CA"/>
    <w:rsid w:val="007C3225"/>
    <w:rsid w:val="007D1F29"/>
    <w:rsid w:val="007E461B"/>
    <w:rsid w:val="007F4A15"/>
    <w:rsid w:val="00802A7C"/>
    <w:rsid w:val="00803A70"/>
    <w:rsid w:val="0080719D"/>
    <w:rsid w:val="008258B3"/>
    <w:rsid w:val="008321CE"/>
    <w:rsid w:val="00840DDA"/>
    <w:rsid w:val="00845736"/>
    <w:rsid w:val="00864EA7"/>
    <w:rsid w:val="00872BB3"/>
    <w:rsid w:val="00875A57"/>
    <w:rsid w:val="008A0986"/>
    <w:rsid w:val="008A4048"/>
    <w:rsid w:val="008B1167"/>
    <w:rsid w:val="008B3401"/>
    <w:rsid w:val="008B6603"/>
    <w:rsid w:val="008C0C51"/>
    <w:rsid w:val="008E36B5"/>
    <w:rsid w:val="008E4DD2"/>
    <w:rsid w:val="008F0D19"/>
    <w:rsid w:val="00915B29"/>
    <w:rsid w:val="009229DC"/>
    <w:rsid w:val="009338B7"/>
    <w:rsid w:val="0094153F"/>
    <w:rsid w:val="00953FEA"/>
    <w:rsid w:val="0095402C"/>
    <w:rsid w:val="009565A8"/>
    <w:rsid w:val="00956EE4"/>
    <w:rsid w:val="00966E16"/>
    <w:rsid w:val="0097136E"/>
    <w:rsid w:val="00974CB8"/>
    <w:rsid w:val="009944A8"/>
    <w:rsid w:val="0099670E"/>
    <w:rsid w:val="00997063"/>
    <w:rsid w:val="009D3FD0"/>
    <w:rsid w:val="009D4BC0"/>
    <w:rsid w:val="009D6E0C"/>
    <w:rsid w:val="009F2E73"/>
    <w:rsid w:val="00A025F2"/>
    <w:rsid w:val="00A042A2"/>
    <w:rsid w:val="00A131B9"/>
    <w:rsid w:val="00A233E9"/>
    <w:rsid w:val="00A26FD3"/>
    <w:rsid w:val="00A32638"/>
    <w:rsid w:val="00A40DA4"/>
    <w:rsid w:val="00A434DE"/>
    <w:rsid w:val="00A46CC1"/>
    <w:rsid w:val="00A52826"/>
    <w:rsid w:val="00A7387A"/>
    <w:rsid w:val="00A806E1"/>
    <w:rsid w:val="00A86B71"/>
    <w:rsid w:val="00AA3245"/>
    <w:rsid w:val="00AA6211"/>
    <w:rsid w:val="00AB40B8"/>
    <w:rsid w:val="00AB6792"/>
    <w:rsid w:val="00AB6FE1"/>
    <w:rsid w:val="00AE5174"/>
    <w:rsid w:val="00AE66EC"/>
    <w:rsid w:val="00AF6B0C"/>
    <w:rsid w:val="00B03ECD"/>
    <w:rsid w:val="00B135FF"/>
    <w:rsid w:val="00B1390D"/>
    <w:rsid w:val="00B161C9"/>
    <w:rsid w:val="00B22A19"/>
    <w:rsid w:val="00B25460"/>
    <w:rsid w:val="00B26BEC"/>
    <w:rsid w:val="00B40E24"/>
    <w:rsid w:val="00B536A2"/>
    <w:rsid w:val="00B54E73"/>
    <w:rsid w:val="00B569D4"/>
    <w:rsid w:val="00B65D9B"/>
    <w:rsid w:val="00B77593"/>
    <w:rsid w:val="00B809D5"/>
    <w:rsid w:val="00B974D4"/>
    <w:rsid w:val="00BB2BEC"/>
    <w:rsid w:val="00BC7DAB"/>
    <w:rsid w:val="00BD7147"/>
    <w:rsid w:val="00C10598"/>
    <w:rsid w:val="00C11476"/>
    <w:rsid w:val="00C17902"/>
    <w:rsid w:val="00C249C7"/>
    <w:rsid w:val="00C26DD0"/>
    <w:rsid w:val="00C32F6B"/>
    <w:rsid w:val="00C339E5"/>
    <w:rsid w:val="00C40C8A"/>
    <w:rsid w:val="00C42B93"/>
    <w:rsid w:val="00C505E4"/>
    <w:rsid w:val="00C50DFF"/>
    <w:rsid w:val="00C56F01"/>
    <w:rsid w:val="00C61785"/>
    <w:rsid w:val="00C73EB5"/>
    <w:rsid w:val="00CB1FA3"/>
    <w:rsid w:val="00CC0A84"/>
    <w:rsid w:val="00CD0C36"/>
    <w:rsid w:val="00CD77F9"/>
    <w:rsid w:val="00CE09F3"/>
    <w:rsid w:val="00CE1A22"/>
    <w:rsid w:val="00CE3456"/>
    <w:rsid w:val="00CF0FD2"/>
    <w:rsid w:val="00CF3A4A"/>
    <w:rsid w:val="00D02D10"/>
    <w:rsid w:val="00D04860"/>
    <w:rsid w:val="00D11331"/>
    <w:rsid w:val="00D21177"/>
    <w:rsid w:val="00D24F49"/>
    <w:rsid w:val="00D26BA4"/>
    <w:rsid w:val="00D310CB"/>
    <w:rsid w:val="00D41BCC"/>
    <w:rsid w:val="00D420DD"/>
    <w:rsid w:val="00D434F9"/>
    <w:rsid w:val="00D53489"/>
    <w:rsid w:val="00D5393D"/>
    <w:rsid w:val="00D53A08"/>
    <w:rsid w:val="00D62042"/>
    <w:rsid w:val="00D645C1"/>
    <w:rsid w:val="00D701D4"/>
    <w:rsid w:val="00D7727B"/>
    <w:rsid w:val="00D81975"/>
    <w:rsid w:val="00D837BA"/>
    <w:rsid w:val="00D9288C"/>
    <w:rsid w:val="00D97CBA"/>
    <w:rsid w:val="00DA7C16"/>
    <w:rsid w:val="00DB683D"/>
    <w:rsid w:val="00DC3756"/>
    <w:rsid w:val="00DC3A04"/>
    <w:rsid w:val="00DC4055"/>
    <w:rsid w:val="00DD0BA5"/>
    <w:rsid w:val="00DD542F"/>
    <w:rsid w:val="00DD5F18"/>
    <w:rsid w:val="00DF5198"/>
    <w:rsid w:val="00E020BB"/>
    <w:rsid w:val="00E023A4"/>
    <w:rsid w:val="00E03C69"/>
    <w:rsid w:val="00E14002"/>
    <w:rsid w:val="00E41FD8"/>
    <w:rsid w:val="00E724AC"/>
    <w:rsid w:val="00E73708"/>
    <w:rsid w:val="00E937A4"/>
    <w:rsid w:val="00E96305"/>
    <w:rsid w:val="00EB2C22"/>
    <w:rsid w:val="00EC1823"/>
    <w:rsid w:val="00EC4A3A"/>
    <w:rsid w:val="00EC4C13"/>
    <w:rsid w:val="00ED1DA3"/>
    <w:rsid w:val="00EF5DC4"/>
    <w:rsid w:val="00EF60E2"/>
    <w:rsid w:val="00F00121"/>
    <w:rsid w:val="00F00B3A"/>
    <w:rsid w:val="00F0697B"/>
    <w:rsid w:val="00F34311"/>
    <w:rsid w:val="00F34410"/>
    <w:rsid w:val="00F60674"/>
    <w:rsid w:val="00F61F9A"/>
    <w:rsid w:val="00F74FE1"/>
    <w:rsid w:val="00F90C88"/>
    <w:rsid w:val="00FA6BC0"/>
    <w:rsid w:val="00FB61C5"/>
    <w:rsid w:val="00FC0244"/>
    <w:rsid w:val="00FC0AA6"/>
    <w:rsid w:val="00FC0C01"/>
    <w:rsid w:val="00FC46AA"/>
    <w:rsid w:val="00FC6E94"/>
    <w:rsid w:val="00FD407D"/>
    <w:rsid w:val="00FE7C82"/>
    <w:rsid w:val="00FF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335A"/>
  <w15:chartTrackingRefBased/>
  <w15:docId w15:val="{E3E87A16-5E74-8C4D-83A8-5734B628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3370"/>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370"/>
    <w:rPr>
      <w:color w:val="0563C1" w:themeColor="hyperlink"/>
      <w:u w:val="single"/>
    </w:rPr>
  </w:style>
  <w:style w:type="character" w:styleId="UnresolvedMention">
    <w:name w:val="Unresolved Mention"/>
    <w:basedOn w:val="DefaultParagraphFont"/>
    <w:uiPriority w:val="99"/>
    <w:rsid w:val="00693370"/>
    <w:rPr>
      <w:color w:val="605E5C"/>
      <w:shd w:val="clear" w:color="auto" w:fill="E1DFDD"/>
    </w:rPr>
  </w:style>
  <w:style w:type="character" w:customStyle="1" w:styleId="Heading1Char">
    <w:name w:val="Heading 1 Char"/>
    <w:basedOn w:val="DefaultParagraphFont"/>
    <w:link w:val="Heading1"/>
    <w:uiPriority w:val="9"/>
    <w:rsid w:val="00693370"/>
    <w:rPr>
      <w:rFonts w:ascii="Times New Roman" w:eastAsia="Times New Roman" w:hAnsi="Times New Roman" w:cs="Times New Roman"/>
      <w:b/>
      <w:bCs/>
      <w:kern w:val="36"/>
      <w:sz w:val="48"/>
      <w:szCs w:val="48"/>
      <w:lang w:val="en-CA"/>
    </w:rPr>
  </w:style>
  <w:style w:type="character" w:styleId="Strong">
    <w:name w:val="Strong"/>
    <w:basedOn w:val="DefaultParagraphFont"/>
    <w:uiPriority w:val="22"/>
    <w:qFormat/>
    <w:rsid w:val="00693370"/>
    <w:rPr>
      <w:b/>
      <w:bCs/>
    </w:rPr>
  </w:style>
  <w:style w:type="character" w:customStyle="1" w:styleId="apple-converted-space">
    <w:name w:val="apple-converted-space"/>
    <w:basedOn w:val="DefaultParagraphFont"/>
    <w:rsid w:val="00693370"/>
  </w:style>
  <w:style w:type="paragraph" w:styleId="NormalWeb">
    <w:name w:val="Normal (Web)"/>
    <w:basedOn w:val="Normal"/>
    <w:uiPriority w:val="99"/>
    <w:unhideWhenUsed/>
    <w:rsid w:val="00693370"/>
    <w:pPr>
      <w:spacing w:before="100" w:beforeAutospacing="1" w:after="100" w:afterAutospacing="1"/>
    </w:pPr>
    <w:rPr>
      <w:rFonts w:ascii="Times New Roman" w:eastAsia="Times New Roman" w:hAnsi="Times New Roman" w:cs="Times New Roman"/>
      <w:lang w:val="en-CA"/>
    </w:rPr>
  </w:style>
  <w:style w:type="character" w:styleId="Emphasis">
    <w:name w:val="Emphasis"/>
    <w:basedOn w:val="DefaultParagraphFont"/>
    <w:uiPriority w:val="20"/>
    <w:qFormat/>
    <w:rsid w:val="00FC6E94"/>
    <w:rPr>
      <w:i/>
      <w:iCs/>
    </w:rPr>
  </w:style>
  <w:style w:type="character" w:styleId="FollowedHyperlink">
    <w:name w:val="FollowedHyperlink"/>
    <w:basedOn w:val="DefaultParagraphFont"/>
    <w:uiPriority w:val="99"/>
    <w:semiHidden/>
    <w:unhideWhenUsed/>
    <w:rsid w:val="00B809D5"/>
    <w:rPr>
      <w:color w:val="954F72" w:themeColor="followedHyperlink"/>
      <w:u w:val="single"/>
    </w:rPr>
  </w:style>
  <w:style w:type="paragraph" w:styleId="ListParagraph">
    <w:name w:val="List Paragraph"/>
    <w:basedOn w:val="Normal"/>
    <w:uiPriority w:val="34"/>
    <w:qFormat/>
    <w:rsid w:val="004516B8"/>
    <w:pPr>
      <w:ind w:left="720"/>
      <w:contextualSpacing/>
    </w:pPr>
  </w:style>
  <w:style w:type="character" w:customStyle="1" w:styleId="xn-location">
    <w:name w:val="xn-location"/>
    <w:basedOn w:val="DefaultParagraphFont"/>
    <w:rsid w:val="00B26BEC"/>
  </w:style>
  <w:style w:type="character" w:customStyle="1" w:styleId="xn-person">
    <w:name w:val="xn-person"/>
    <w:basedOn w:val="DefaultParagraphFont"/>
    <w:rsid w:val="00B26BEC"/>
  </w:style>
  <w:style w:type="character" w:customStyle="1" w:styleId="xn-money">
    <w:name w:val="xn-money"/>
    <w:basedOn w:val="DefaultParagraphFont"/>
    <w:rsid w:val="00B26BEC"/>
  </w:style>
  <w:style w:type="table" w:styleId="TableGrid">
    <w:name w:val="Table Grid"/>
    <w:basedOn w:val="TableNormal"/>
    <w:uiPriority w:val="39"/>
    <w:rsid w:val="007E4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1">
    <w:name w:val="CP1"/>
    <w:basedOn w:val="Normal"/>
    <w:rsid w:val="00C339E5"/>
    <w:pPr>
      <w:numPr>
        <w:numId w:val="4"/>
      </w:numPr>
      <w:spacing w:after="240"/>
      <w:outlineLvl w:val="0"/>
    </w:pPr>
    <w:rPr>
      <w:rFonts w:ascii="Times New Roman" w:eastAsia="Times New Roman" w:hAnsi="Times New Roman" w:cs="Times New Roman"/>
      <w:lang w:val="en-CA"/>
    </w:rPr>
  </w:style>
  <w:style w:type="paragraph" w:customStyle="1" w:styleId="CP2">
    <w:name w:val="CP2"/>
    <w:basedOn w:val="Normal"/>
    <w:rsid w:val="00C339E5"/>
    <w:pPr>
      <w:numPr>
        <w:ilvl w:val="1"/>
        <w:numId w:val="4"/>
      </w:numPr>
      <w:spacing w:after="240"/>
      <w:jc w:val="both"/>
      <w:outlineLvl w:val="1"/>
    </w:pPr>
    <w:rPr>
      <w:rFonts w:ascii="Times New Roman" w:eastAsia="Times New Roman" w:hAnsi="Times New Roman" w:cs="Times New Roman"/>
      <w:lang w:val="en-CA"/>
    </w:rPr>
  </w:style>
  <w:style w:type="paragraph" w:customStyle="1" w:styleId="CP3">
    <w:name w:val="CP3"/>
    <w:basedOn w:val="Normal"/>
    <w:rsid w:val="00C339E5"/>
    <w:pPr>
      <w:numPr>
        <w:ilvl w:val="2"/>
        <w:numId w:val="4"/>
      </w:numPr>
      <w:spacing w:after="240"/>
      <w:jc w:val="both"/>
    </w:pPr>
    <w:rPr>
      <w:rFonts w:ascii="Times New Roman" w:eastAsia="Times New Roman" w:hAnsi="Times New Roman" w:cs="Times New Roman"/>
      <w:lang w:val="en-CA"/>
    </w:rPr>
  </w:style>
  <w:style w:type="paragraph" w:customStyle="1" w:styleId="CP4">
    <w:name w:val="CP4"/>
    <w:basedOn w:val="Normal"/>
    <w:rsid w:val="00C339E5"/>
    <w:pPr>
      <w:numPr>
        <w:ilvl w:val="3"/>
        <w:numId w:val="4"/>
      </w:numPr>
      <w:spacing w:after="240"/>
    </w:pPr>
    <w:rPr>
      <w:rFonts w:ascii="Times New Roman" w:eastAsia="Times New Roman" w:hAnsi="Times New Roman" w:cs="Times New Roman"/>
      <w:lang w:val="en-CA"/>
    </w:rPr>
  </w:style>
  <w:style w:type="paragraph" w:customStyle="1" w:styleId="CP5">
    <w:name w:val="CP5"/>
    <w:basedOn w:val="Normal"/>
    <w:rsid w:val="00C339E5"/>
    <w:pPr>
      <w:numPr>
        <w:ilvl w:val="4"/>
        <w:numId w:val="4"/>
      </w:numPr>
      <w:spacing w:after="240"/>
    </w:pPr>
    <w:rPr>
      <w:rFonts w:ascii="Times New Roman" w:eastAsia="Times New Roman" w:hAnsi="Times New Roman" w:cs="Times New Roman"/>
      <w:lang w:val="en-CA"/>
    </w:rPr>
  </w:style>
  <w:style w:type="paragraph" w:customStyle="1" w:styleId="CP6">
    <w:name w:val="CP6"/>
    <w:basedOn w:val="Normal"/>
    <w:rsid w:val="00C339E5"/>
    <w:pPr>
      <w:numPr>
        <w:ilvl w:val="5"/>
        <w:numId w:val="4"/>
      </w:numPr>
      <w:spacing w:after="240"/>
    </w:pPr>
    <w:rPr>
      <w:rFonts w:ascii="Times New Roman" w:eastAsia="Times New Roman" w:hAnsi="Times New Roman" w:cs="Times New Roman"/>
      <w:lang w:val="en-CA"/>
    </w:rPr>
  </w:style>
  <w:style w:type="paragraph" w:customStyle="1" w:styleId="CP7">
    <w:name w:val="CP7"/>
    <w:basedOn w:val="Normal"/>
    <w:rsid w:val="00C339E5"/>
    <w:pPr>
      <w:numPr>
        <w:ilvl w:val="6"/>
        <w:numId w:val="4"/>
      </w:numPr>
      <w:spacing w:after="240"/>
    </w:pPr>
    <w:rPr>
      <w:rFonts w:ascii="Times New Roman" w:eastAsia="Times New Roman" w:hAnsi="Times New Roman" w:cs="Times New Roman"/>
      <w:lang w:val="en-CA"/>
    </w:rPr>
  </w:style>
  <w:style w:type="paragraph" w:customStyle="1" w:styleId="CP8">
    <w:name w:val="CP8"/>
    <w:basedOn w:val="Normal"/>
    <w:rsid w:val="00C339E5"/>
    <w:pPr>
      <w:numPr>
        <w:ilvl w:val="7"/>
        <w:numId w:val="4"/>
      </w:numPr>
      <w:spacing w:after="240"/>
    </w:pPr>
    <w:rPr>
      <w:rFonts w:ascii="Times New Roman" w:eastAsia="Times New Roman" w:hAnsi="Times New Roman" w:cs="Times New Roman"/>
      <w:lang w:val="en-CA"/>
    </w:rPr>
  </w:style>
  <w:style w:type="paragraph" w:customStyle="1" w:styleId="CP9">
    <w:name w:val="CP9"/>
    <w:basedOn w:val="Normal"/>
    <w:rsid w:val="00C339E5"/>
    <w:pPr>
      <w:numPr>
        <w:ilvl w:val="8"/>
        <w:numId w:val="4"/>
      </w:numPr>
      <w:spacing w:after="240"/>
    </w:pPr>
    <w:rPr>
      <w:rFonts w:ascii="Times New Roman" w:eastAsia="Times New Roman" w:hAnsi="Times New Roman" w:cs="Times New Roman"/>
      <w:lang w:val="en-CA"/>
    </w:rPr>
  </w:style>
  <w:style w:type="paragraph" w:styleId="Header">
    <w:name w:val="header"/>
    <w:basedOn w:val="Normal"/>
    <w:link w:val="HeaderChar"/>
    <w:uiPriority w:val="99"/>
    <w:unhideWhenUsed/>
    <w:rsid w:val="00432736"/>
    <w:pPr>
      <w:tabs>
        <w:tab w:val="center" w:pos="4680"/>
        <w:tab w:val="right" w:pos="9360"/>
      </w:tabs>
    </w:pPr>
  </w:style>
  <w:style w:type="character" w:customStyle="1" w:styleId="HeaderChar">
    <w:name w:val="Header Char"/>
    <w:basedOn w:val="DefaultParagraphFont"/>
    <w:link w:val="Header"/>
    <w:uiPriority w:val="99"/>
    <w:rsid w:val="00432736"/>
  </w:style>
  <w:style w:type="paragraph" w:styleId="Footer">
    <w:name w:val="footer"/>
    <w:basedOn w:val="Normal"/>
    <w:link w:val="FooterChar"/>
    <w:uiPriority w:val="99"/>
    <w:unhideWhenUsed/>
    <w:rsid w:val="00432736"/>
    <w:pPr>
      <w:tabs>
        <w:tab w:val="center" w:pos="4680"/>
        <w:tab w:val="right" w:pos="9360"/>
      </w:tabs>
    </w:pPr>
  </w:style>
  <w:style w:type="character" w:customStyle="1" w:styleId="FooterChar">
    <w:name w:val="Footer Char"/>
    <w:basedOn w:val="DefaultParagraphFont"/>
    <w:link w:val="Footer"/>
    <w:uiPriority w:val="99"/>
    <w:rsid w:val="00432736"/>
  </w:style>
  <w:style w:type="paragraph" w:styleId="BalloonText">
    <w:name w:val="Balloon Text"/>
    <w:basedOn w:val="Normal"/>
    <w:link w:val="BalloonTextChar"/>
    <w:uiPriority w:val="99"/>
    <w:semiHidden/>
    <w:unhideWhenUsed/>
    <w:rsid w:val="000218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18E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D0C36"/>
    <w:rPr>
      <w:sz w:val="16"/>
      <w:szCs w:val="16"/>
    </w:rPr>
  </w:style>
  <w:style w:type="paragraph" w:styleId="CommentText">
    <w:name w:val="annotation text"/>
    <w:basedOn w:val="Normal"/>
    <w:link w:val="CommentTextChar"/>
    <w:uiPriority w:val="99"/>
    <w:unhideWhenUsed/>
    <w:rsid w:val="00CD0C36"/>
    <w:rPr>
      <w:sz w:val="20"/>
      <w:szCs w:val="20"/>
    </w:rPr>
  </w:style>
  <w:style w:type="character" w:customStyle="1" w:styleId="CommentTextChar">
    <w:name w:val="Comment Text Char"/>
    <w:basedOn w:val="DefaultParagraphFont"/>
    <w:link w:val="CommentText"/>
    <w:uiPriority w:val="99"/>
    <w:rsid w:val="00CD0C36"/>
    <w:rPr>
      <w:sz w:val="20"/>
      <w:szCs w:val="20"/>
    </w:rPr>
  </w:style>
  <w:style w:type="paragraph" w:styleId="CommentSubject">
    <w:name w:val="annotation subject"/>
    <w:basedOn w:val="CommentText"/>
    <w:next w:val="CommentText"/>
    <w:link w:val="CommentSubjectChar"/>
    <w:uiPriority w:val="99"/>
    <w:semiHidden/>
    <w:unhideWhenUsed/>
    <w:rsid w:val="00CD0C36"/>
    <w:rPr>
      <w:b/>
      <w:bCs/>
    </w:rPr>
  </w:style>
  <w:style w:type="character" w:customStyle="1" w:styleId="CommentSubjectChar">
    <w:name w:val="Comment Subject Char"/>
    <w:basedOn w:val="CommentTextChar"/>
    <w:link w:val="CommentSubject"/>
    <w:uiPriority w:val="99"/>
    <w:semiHidden/>
    <w:rsid w:val="00CD0C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1974">
      <w:bodyDiv w:val="1"/>
      <w:marLeft w:val="0"/>
      <w:marRight w:val="0"/>
      <w:marTop w:val="0"/>
      <w:marBottom w:val="0"/>
      <w:divBdr>
        <w:top w:val="none" w:sz="0" w:space="0" w:color="auto"/>
        <w:left w:val="none" w:sz="0" w:space="0" w:color="auto"/>
        <w:bottom w:val="none" w:sz="0" w:space="0" w:color="auto"/>
        <w:right w:val="none" w:sz="0" w:space="0" w:color="auto"/>
      </w:divBdr>
    </w:div>
    <w:div w:id="116729782">
      <w:bodyDiv w:val="1"/>
      <w:marLeft w:val="0"/>
      <w:marRight w:val="0"/>
      <w:marTop w:val="0"/>
      <w:marBottom w:val="0"/>
      <w:divBdr>
        <w:top w:val="none" w:sz="0" w:space="0" w:color="auto"/>
        <w:left w:val="none" w:sz="0" w:space="0" w:color="auto"/>
        <w:bottom w:val="none" w:sz="0" w:space="0" w:color="auto"/>
        <w:right w:val="none" w:sz="0" w:space="0" w:color="auto"/>
      </w:divBdr>
    </w:div>
    <w:div w:id="121580159">
      <w:bodyDiv w:val="1"/>
      <w:marLeft w:val="0"/>
      <w:marRight w:val="0"/>
      <w:marTop w:val="0"/>
      <w:marBottom w:val="0"/>
      <w:divBdr>
        <w:top w:val="none" w:sz="0" w:space="0" w:color="auto"/>
        <w:left w:val="none" w:sz="0" w:space="0" w:color="auto"/>
        <w:bottom w:val="none" w:sz="0" w:space="0" w:color="auto"/>
        <w:right w:val="none" w:sz="0" w:space="0" w:color="auto"/>
      </w:divBdr>
    </w:div>
    <w:div w:id="241989671">
      <w:bodyDiv w:val="1"/>
      <w:marLeft w:val="0"/>
      <w:marRight w:val="0"/>
      <w:marTop w:val="0"/>
      <w:marBottom w:val="0"/>
      <w:divBdr>
        <w:top w:val="none" w:sz="0" w:space="0" w:color="auto"/>
        <w:left w:val="none" w:sz="0" w:space="0" w:color="auto"/>
        <w:bottom w:val="none" w:sz="0" w:space="0" w:color="auto"/>
        <w:right w:val="none" w:sz="0" w:space="0" w:color="auto"/>
      </w:divBdr>
    </w:div>
    <w:div w:id="592519751">
      <w:bodyDiv w:val="1"/>
      <w:marLeft w:val="0"/>
      <w:marRight w:val="0"/>
      <w:marTop w:val="0"/>
      <w:marBottom w:val="0"/>
      <w:divBdr>
        <w:top w:val="none" w:sz="0" w:space="0" w:color="auto"/>
        <w:left w:val="none" w:sz="0" w:space="0" w:color="auto"/>
        <w:bottom w:val="none" w:sz="0" w:space="0" w:color="auto"/>
        <w:right w:val="none" w:sz="0" w:space="0" w:color="auto"/>
      </w:divBdr>
    </w:div>
    <w:div w:id="1099520668">
      <w:bodyDiv w:val="1"/>
      <w:marLeft w:val="0"/>
      <w:marRight w:val="0"/>
      <w:marTop w:val="0"/>
      <w:marBottom w:val="0"/>
      <w:divBdr>
        <w:top w:val="none" w:sz="0" w:space="0" w:color="auto"/>
        <w:left w:val="none" w:sz="0" w:space="0" w:color="auto"/>
        <w:bottom w:val="none" w:sz="0" w:space="0" w:color="auto"/>
        <w:right w:val="none" w:sz="0" w:space="0" w:color="auto"/>
      </w:divBdr>
    </w:div>
    <w:div w:id="1258322684">
      <w:bodyDiv w:val="1"/>
      <w:marLeft w:val="0"/>
      <w:marRight w:val="0"/>
      <w:marTop w:val="0"/>
      <w:marBottom w:val="0"/>
      <w:divBdr>
        <w:top w:val="none" w:sz="0" w:space="0" w:color="auto"/>
        <w:left w:val="none" w:sz="0" w:space="0" w:color="auto"/>
        <w:bottom w:val="none" w:sz="0" w:space="0" w:color="auto"/>
        <w:right w:val="none" w:sz="0" w:space="0" w:color="auto"/>
      </w:divBdr>
    </w:div>
    <w:div w:id="1371607766">
      <w:bodyDiv w:val="1"/>
      <w:marLeft w:val="0"/>
      <w:marRight w:val="0"/>
      <w:marTop w:val="0"/>
      <w:marBottom w:val="0"/>
      <w:divBdr>
        <w:top w:val="none" w:sz="0" w:space="0" w:color="auto"/>
        <w:left w:val="none" w:sz="0" w:space="0" w:color="auto"/>
        <w:bottom w:val="none" w:sz="0" w:space="0" w:color="auto"/>
        <w:right w:val="none" w:sz="0" w:space="0" w:color="auto"/>
      </w:divBdr>
    </w:div>
    <w:div w:id="1632590635">
      <w:bodyDiv w:val="1"/>
      <w:marLeft w:val="0"/>
      <w:marRight w:val="0"/>
      <w:marTop w:val="0"/>
      <w:marBottom w:val="0"/>
      <w:divBdr>
        <w:top w:val="none" w:sz="0" w:space="0" w:color="auto"/>
        <w:left w:val="none" w:sz="0" w:space="0" w:color="auto"/>
        <w:bottom w:val="none" w:sz="0" w:space="0" w:color="auto"/>
        <w:right w:val="none" w:sz="0" w:space="0" w:color="auto"/>
      </w:divBdr>
    </w:div>
    <w:div w:id="1660888295">
      <w:bodyDiv w:val="1"/>
      <w:marLeft w:val="0"/>
      <w:marRight w:val="0"/>
      <w:marTop w:val="0"/>
      <w:marBottom w:val="0"/>
      <w:divBdr>
        <w:top w:val="none" w:sz="0" w:space="0" w:color="auto"/>
        <w:left w:val="none" w:sz="0" w:space="0" w:color="auto"/>
        <w:bottom w:val="none" w:sz="0" w:space="0" w:color="auto"/>
        <w:right w:val="none" w:sz="0" w:space="0" w:color="auto"/>
      </w:divBdr>
    </w:div>
    <w:div w:id="1888563189">
      <w:bodyDiv w:val="1"/>
      <w:marLeft w:val="0"/>
      <w:marRight w:val="0"/>
      <w:marTop w:val="0"/>
      <w:marBottom w:val="0"/>
      <w:divBdr>
        <w:top w:val="none" w:sz="0" w:space="0" w:color="auto"/>
        <w:left w:val="none" w:sz="0" w:space="0" w:color="auto"/>
        <w:bottom w:val="none" w:sz="0" w:space="0" w:color="auto"/>
        <w:right w:val="none" w:sz="0" w:space="0" w:color="auto"/>
      </w:divBdr>
    </w:div>
    <w:div w:id="196426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SEDA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AC8652B316C45B16AC02736527A1E" ma:contentTypeVersion="0" ma:contentTypeDescription="Create a new document." ma:contentTypeScope="" ma:versionID="fa99777bc930b3accff4ea8e187aaa1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EF62157-8F08-4691-965D-865B8BEDD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5952F7B-D061-482B-A975-4EF156946DCF}">
  <ds:schemaRefs>
    <ds:schemaRef ds:uri="http://schemas.microsoft.com/sharepoint/v3/contenttype/forms"/>
  </ds:schemaRefs>
</ds:datastoreItem>
</file>

<file path=customXml/itemProps3.xml><?xml version="1.0" encoding="utf-8"?>
<ds:datastoreItem xmlns:ds="http://schemas.openxmlformats.org/officeDocument/2006/customXml" ds:itemID="{EC3AED2B-59CD-464E-9F03-C47620D08BA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Invictus Accounting Group LLP</dc:creator>
  <cp:keywords/>
  <dc:description/>
  <cp:lastModifiedBy>Steven McAuley</cp:lastModifiedBy>
  <cp:revision>4</cp:revision>
  <cp:lastPrinted>2023-02-28T19:02:00Z</cp:lastPrinted>
  <dcterms:created xsi:type="dcterms:W3CDTF">2023-03-01T00:03:00Z</dcterms:created>
  <dcterms:modified xsi:type="dcterms:W3CDTF">2023-03-01T00:19:00Z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0x0101008D4AC8652B316C45B16AC02736527A1E</vt:lpwstr>
  </property>
  <property fmtid="{D5CDD505-2E9C-101B-9397-08002B2CF9AE}" pid="3" name="GrammarlyDocumentId">
    <vt:lpwstr>a9e19d7e5fe5499a3688cfd0017b4f14e7dc5ef29cb87fb7f769c6f84f874ac6</vt:lpwstr>
  </property>
</Properties>
</file>