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9453" w14:textId="77777777" w:rsidR="006A2A5E" w:rsidRDefault="006A2A5E" w:rsidP="006A2A5E">
      <w:pPr>
        <w:pStyle w:val="Title"/>
        <w:tabs>
          <w:tab w:val="clear" w:pos="810"/>
          <w:tab w:val="clear" w:pos="1080"/>
        </w:tabs>
        <w:spacing w:after="240"/>
        <w:rPr>
          <w:sz w:val="20"/>
        </w:rPr>
      </w:pPr>
    </w:p>
    <w:p w14:paraId="4E38569B" w14:textId="77777777" w:rsidR="006A2A5E" w:rsidRDefault="006A2A5E" w:rsidP="006A2A5E">
      <w:pPr>
        <w:pStyle w:val="Title"/>
        <w:tabs>
          <w:tab w:val="clear" w:pos="810"/>
          <w:tab w:val="clear" w:pos="1080"/>
        </w:tabs>
        <w:spacing w:after="240"/>
        <w:rPr>
          <w:sz w:val="20"/>
        </w:rPr>
      </w:pPr>
    </w:p>
    <w:p w14:paraId="7CBCFA89" w14:textId="77777777" w:rsidR="006A2A5E" w:rsidRDefault="006A2A5E" w:rsidP="006A2A5E">
      <w:pPr>
        <w:pStyle w:val="Title"/>
        <w:tabs>
          <w:tab w:val="clear" w:pos="810"/>
          <w:tab w:val="clear" w:pos="1080"/>
        </w:tabs>
        <w:spacing w:after="240"/>
        <w:rPr>
          <w:sz w:val="20"/>
        </w:rPr>
      </w:pPr>
    </w:p>
    <w:p w14:paraId="6A6DE1DC" w14:textId="77777777" w:rsidR="006A2A5E" w:rsidRDefault="006A2A5E" w:rsidP="006A2A5E">
      <w:pPr>
        <w:pStyle w:val="Title"/>
        <w:tabs>
          <w:tab w:val="clear" w:pos="810"/>
          <w:tab w:val="clear" w:pos="1080"/>
        </w:tabs>
        <w:spacing w:after="240"/>
        <w:rPr>
          <w:sz w:val="20"/>
        </w:rPr>
      </w:pPr>
    </w:p>
    <w:p w14:paraId="5B6D6481" w14:textId="77777777" w:rsidR="006A2A5E" w:rsidRDefault="006A2A5E" w:rsidP="006A2A5E">
      <w:pPr>
        <w:pStyle w:val="Title"/>
        <w:tabs>
          <w:tab w:val="clear" w:pos="810"/>
          <w:tab w:val="clear" w:pos="1080"/>
        </w:tabs>
        <w:spacing w:after="240"/>
        <w:rPr>
          <w:sz w:val="20"/>
        </w:rPr>
      </w:pPr>
    </w:p>
    <w:p w14:paraId="7C5DC647" w14:textId="31433943" w:rsidR="00432BC1" w:rsidRPr="00796BB2" w:rsidRDefault="006A2A5E" w:rsidP="00432BC1">
      <w:pPr>
        <w:pStyle w:val="Title"/>
        <w:tabs>
          <w:tab w:val="clear" w:pos="810"/>
          <w:tab w:val="clear" w:pos="1080"/>
        </w:tabs>
        <w:spacing w:after="240"/>
        <w:rPr>
          <w:sz w:val="20"/>
        </w:rPr>
      </w:pPr>
      <w:r>
        <w:rPr>
          <w:sz w:val="20"/>
        </w:rPr>
        <w:t>Trillion Energy</w:t>
      </w:r>
      <w:r w:rsidR="00432BC1">
        <w:rPr>
          <w:sz w:val="20"/>
        </w:rPr>
        <w:t xml:space="preserve"> International</w:t>
      </w:r>
      <w:r>
        <w:rPr>
          <w:sz w:val="20"/>
        </w:rPr>
        <w:t xml:space="preserve"> Inc.</w:t>
      </w:r>
    </w:p>
    <w:p w14:paraId="39B5EA6C" w14:textId="7482457C" w:rsidR="00BE5436" w:rsidRPr="00BE5436" w:rsidRDefault="00BE5436" w:rsidP="00BE5436">
      <w:pPr>
        <w:pStyle w:val="Title"/>
        <w:spacing w:after="240"/>
        <w:rPr>
          <w:b w:val="0"/>
          <w:bCs/>
          <w:sz w:val="20"/>
        </w:rPr>
      </w:pPr>
      <w:r w:rsidRPr="00BE5436">
        <w:rPr>
          <w:b w:val="0"/>
          <w:bCs/>
          <w:sz w:val="20"/>
        </w:rPr>
        <w:t>CONSOLIDATED INTERIM FINANCIAL STATEMENTS</w:t>
      </w:r>
    </w:p>
    <w:p w14:paraId="3ED642C1" w14:textId="6181C8E6" w:rsidR="00BE5436" w:rsidRPr="00796BB2" w:rsidRDefault="00BE5436" w:rsidP="00BE5436">
      <w:pPr>
        <w:pStyle w:val="Title"/>
        <w:tabs>
          <w:tab w:val="clear" w:pos="810"/>
          <w:tab w:val="clear" w:pos="1080"/>
        </w:tabs>
        <w:spacing w:after="240"/>
        <w:rPr>
          <w:b w:val="0"/>
          <w:bCs/>
          <w:sz w:val="20"/>
        </w:rPr>
      </w:pPr>
      <w:r w:rsidRPr="00BE5436">
        <w:rPr>
          <w:b w:val="0"/>
          <w:bCs/>
          <w:sz w:val="20"/>
        </w:rPr>
        <w:t xml:space="preserve">FOR THE </w:t>
      </w:r>
      <w:r w:rsidR="007361CC">
        <w:rPr>
          <w:b w:val="0"/>
          <w:bCs/>
          <w:sz w:val="20"/>
        </w:rPr>
        <w:t>SIX</w:t>
      </w:r>
      <w:r>
        <w:rPr>
          <w:b w:val="0"/>
          <w:bCs/>
          <w:sz w:val="20"/>
        </w:rPr>
        <w:t xml:space="preserve"> MONTHS ENDED </w:t>
      </w:r>
      <w:r w:rsidR="007361CC">
        <w:rPr>
          <w:b w:val="0"/>
          <w:bCs/>
          <w:sz w:val="20"/>
        </w:rPr>
        <w:t>JUNE 30</w:t>
      </w:r>
      <w:r>
        <w:rPr>
          <w:b w:val="0"/>
          <w:bCs/>
          <w:sz w:val="20"/>
        </w:rPr>
        <w:t xml:space="preserve">, </w:t>
      </w:r>
      <w:proofErr w:type="gramStart"/>
      <w:r>
        <w:rPr>
          <w:b w:val="0"/>
          <w:bCs/>
          <w:sz w:val="20"/>
        </w:rPr>
        <w:t>202</w:t>
      </w:r>
      <w:r w:rsidR="001F1CA0">
        <w:rPr>
          <w:b w:val="0"/>
          <w:bCs/>
          <w:sz w:val="20"/>
        </w:rPr>
        <w:t>2</w:t>
      </w:r>
      <w:proofErr w:type="gramEnd"/>
      <w:r>
        <w:rPr>
          <w:b w:val="0"/>
          <w:bCs/>
          <w:sz w:val="20"/>
        </w:rPr>
        <w:t xml:space="preserve"> AND 202</w:t>
      </w:r>
      <w:r w:rsidR="001F1CA0">
        <w:rPr>
          <w:b w:val="0"/>
          <w:bCs/>
          <w:sz w:val="20"/>
        </w:rPr>
        <w:t>1</w:t>
      </w:r>
    </w:p>
    <w:p w14:paraId="2AD46494" w14:textId="5177F9A9" w:rsidR="006A2A5E" w:rsidRPr="00796BB2" w:rsidRDefault="006A2A5E" w:rsidP="006A2A5E">
      <w:pPr>
        <w:pStyle w:val="Title"/>
        <w:tabs>
          <w:tab w:val="clear" w:pos="810"/>
          <w:tab w:val="clear" w:pos="1080"/>
        </w:tabs>
        <w:spacing w:after="240"/>
        <w:rPr>
          <w:b w:val="0"/>
          <w:bCs/>
          <w:i/>
          <w:iCs/>
          <w:sz w:val="20"/>
        </w:rPr>
      </w:pPr>
      <w:r w:rsidRPr="005328E1">
        <w:rPr>
          <w:b w:val="0"/>
          <w:bCs/>
          <w:i/>
          <w:iCs/>
          <w:sz w:val="20"/>
        </w:rPr>
        <w:t>(</w:t>
      </w:r>
      <w:r w:rsidR="00D4407B">
        <w:rPr>
          <w:b w:val="0"/>
          <w:bCs/>
          <w:i/>
          <w:iCs/>
          <w:sz w:val="20"/>
        </w:rPr>
        <w:t xml:space="preserve">Unaudited - </w:t>
      </w:r>
      <w:r w:rsidRPr="005328E1">
        <w:rPr>
          <w:b w:val="0"/>
          <w:bCs/>
          <w:i/>
          <w:iCs/>
          <w:sz w:val="20"/>
        </w:rPr>
        <w:t>Stated in United States dollars)</w:t>
      </w:r>
    </w:p>
    <w:p w14:paraId="31233EC2" w14:textId="46B9CDE7" w:rsidR="00E12A8F" w:rsidRDefault="00E12A8F">
      <w:pPr>
        <w:rPr>
          <w:lang w:val="en-US"/>
        </w:rPr>
      </w:pPr>
    </w:p>
    <w:p w14:paraId="611D0091" w14:textId="30AB98DD" w:rsidR="006A2A5E" w:rsidRDefault="006A2A5E">
      <w:pPr>
        <w:rPr>
          <w:lang w:val="en-US"/>
        </w:rPr>
      </w:pPr>
    </w:p>
    <w:p w14:paraId="42141620" w14:textId="17A19A2D" w:rsidR="006A2A5E" w:rsidRDefault="006A2A5E">
      <w:pPr>
        <w:rPr>
          <w:lang w:val="en-US"/>
        </w:rPr>
      </w:pPr>
    </w:p>
    <w:p w14:paraId="2DA46DF1" w14:textId="181A75DE" w:rsidR="006A2A5E" w:rsidRDefault="006A2A5E">
      <w:pPr>
        <w:rPr>
          <w:lang w:val="en-US"/>
        </w:rPr>
      </w:pPr>
    </w:p>
    <w:p w14:paraId="4A288BC8" w14:textId="10875219" w:rsidR="006A2A5E" w:rsidRDefault="006A2A5E">
      <w:pPr>
        <w:rPr>
          <w:lang w:val="en-US"/>
        </w:rPr>
      </w:pPr>
    </w:p>
    <w:p w14:paraId="326545C6" w14:textId="72329BB6" w:rsidR="006A2A5E" w:rsidRDefault="006A2A5E">
      <w:pPr>
        <w:rPr>
          <w:lang w:val="en-US"/>
        </w:rPr>
      </w:pPr>
    </w:p>
    <w:p w14:paraId="1A8C8CB5" w14:textId="1CFEAB56" w:rsidR="006A2A5E" w:rsidRDefault="006A2A5E">
      <w:pPr>
        <w:rPr>
          <w:lang w:val="en-US"/>
        </w:rPr>
      </w:pPr>
    </w:p>
    <w:p w14:paraId="70FFC2D4" w14:textId="1EE22EE3" w:rsidR="006A2A5E" w:rsidRDefault="006A2A5E">
      <w:pPr>
        <w:rPr>
          <w:lang w:val="en-US"/>
        </w:rPr>
      </w:pPr>
    </w:p>
    <w:p w14:paraId="662D7548" w14:textId="78F93B8C" w:rsidR="006A2A5E" w:rsidRDefault="006A2A5E">
      <w:pPr>
        <w:rPr>
          <w:lang w:val="en-US"/>
        </w:rPr>
      </w:pPr>
    </w:p>
    <w:p w14:paraId="0C6E5563" w14:textId="7FCE5D40" w:rsidR="006A2A5E" w:rsidRDefault="006A2A5E">
      <w:pPr>
        <w:rPr>
          <w:lang w:val="en-US"/>
        </w:rPr>
      </w:pPr>
    </w:p>
    <w:p w14:paraId="2ADC597C" w14:textId="6261BFFD" w:rsidR="006A2A5E" w:rsidRDefault="006A2A5E">
      <w:pPr>
        <w:rPr>
          <w:lang w:val="en-US"/>
        </w:rPr>
      </w:pPr>
    </w:p>
    <w:p w14:paraId="5B0F33DC" w14:textId="71456ECA" w:rsidR="006A2A5E" w:rsidRDefault="006A2A5E">
      <w:pPr>
        <w:rPr>
          <w:lang w:val="en-US"/>
        </w:rPr>
      </w:pPr>
    </w:p>
    <w:p w14:paraId="0FB81C7E" w14:textId="2529D0D6" w:rsidR="006A2A5E" w:rsidRDefault="006A2A5E">
      <w:pPr>
        <w:rPr>
          <w:lang w:val="en-US"/>
        </w:rPr>
      </w:pPr>
    </w:p>
    <w:p w14:paraId="503D6B05" w14:textId="5F3F9161" w:rsidR="006A2A5E" w:rsidRDefault="006A2A5E">
      <w:pPr>
        <w:rPr>
          <w:lang w:val="en-US"/>
        </w:rPr>
      </w:pPr>
    </w:p>
    <w:p w14:paraId="24B92C07" w14:textId="6EDAD0B2" w:rsidR="006A2A5E" w:rsidRDefault="006A2A5E">
      <w:pPr>
        <w:rPr>
          <w:lang w:val="en-US"/>
        </w:rPr>
      </w:pPr>
    </w:p>
    <w:p w14:paraId="5B8539CB" w14:textId="210707C6" w:rsidR="006A2A5E" w:rsidRDefault="006A2A5E">
      <w:pPr>
        <w:rPr>
          <w:lang w:val="en-US"/>
        </w:rPr>
      </w:pPr>
    </w:p>
    <w:p w14:paraId="25C20768" w14:textId="1FA2D768" w:rsidR="006A2A5E" w:rsidRDefault="006A2A5E">
      <w:pPr>
        <w:rPr>
          <w:lang w:val="en-US"/>
        </w:rPr>
      </w:pPr>
    </w:p>
    <w:p w14:paraId="452E7437" w14:textId="222D4E1B" w:rsidR="006A2A5E" w:rsidRDefault="006A2A5E">
      <w:pPr>
        <w:rPr>
          <w:lang w:val="en-US"/>
        </w:rPr>
      </w:pPr>
    </w:p>
    <w:p w14:paraId="72A72408" w14:textId="77777777" w:rsidR="00C41705" w:rsidRPr="00C41705" w:rsidRDefault="00C41705">
      <w:pPr>
        <w:rPr>
          <w:sz w:val="20"/>
          <w:szCs w:val="20"/>
          <w:lang w:val="en-US"/>
        </w:rPr>
      </w:pPr>
    </w:p>
    <w:p w14:paraId="7BED1346" w14:textId="77777777" w:rsidR="00C41705" w:rsidRPr="00C41705" w:rsidRDefault="00C41705" w:rsidP="00C41705">
      <w:pPr>
        <w:spacing w:after="200" w:line="276" w:lineRule="auto"/>
        <w:jc w:val="center"/>
        <w:rPr>
          <w:rFonts w:ascii="Times New Roman" w:hAnsi="Times New Roman"/>
          <w:b/>
          <w:bCs/>
          <w:sz w:val="20"/>
          <w:szCs w:val="20"/>
        </w:rPr>
      </w:pPr>
      <w:r w:rsidRPr="00C41705">
        <w:rPr>
          <w:rFonts w:ascii="Times New Roman" w:hAnsi="Times New Roman"/>
          <w:b/>
          <w:bCs/>
          <w:sz w:val="20"/>
          <w:szCs w:val="20"/>
        </w:rPr>
        <w:lastRenderedPageBreak/>
        <w:t>NOTICE OF NO AUDITOR REVIEW OF CONDENSED CONSOLIDATED INTERIM FINANCIAL STATEMENTS</w:t>
      </w:r>
    </w:p>
    <w:p w14:paraId="51094F0D" w14:textId="77777777" w:rsidR="00C41705" w:rsidRPr="00C41705" w:rsidRDefault="00C41705" w:rsidP="00C41705">
      <w:pPr>
        <w:spacing w:after="200" w:line="276" w:lineRule="auto"/>
        <w:rPr>
          <w:rFonts w:ascii="Times New Roman" w:hAnsi="Times New Roman"/>
          <w:sz w:val="20"/>
          <w:szCs w:val="20"/>
        </w:rPr>
      </w:pPr>
      <w:r w:rsidRPr="00C41705">
        <w:rPr>
          <w:rFonts w:ascii="Times New Roman" w:hAnsi="Times New Roman"/>
          <w:sz w:val="20"/>
          <w:szCs w:val="20"/>
        </w:rPr>
        <w:t xml:space="preserve"> </w:t>
      </w:r>
    </w:p>
    <w:p w14:paraId="6D2A91D7" w14:textId="77777777" w:rsidR="00C41705" w:rsidRPr="00C41705" w:rsidRDefault="00C41705" w:rsidP="00C41705">
      <w:pPr>
        <w:spacing w:after="200" w:line="276" w:lineRule="auto"/>
        <w:jc w:val="both"/>
        <w:rPr>
          <w:rFonts w:ascii="Times New Roman" w:hAnsi="Times New Roman"/>
          <w:sz w:val="20"/>
          <w:szCs w:val="20"/>
        </w:rPr>
      </w:pPr>
      <w:r w:rsidRPr="00C41705">
        <w:rPr>
          <w:rFonts w:ascii="Times New Roman" w:hAnsi="Times New Roman"/>
          <w:sz w:val="20"/>
          <w:szCs w:val="20"/>
        </w:rPr>
        <w:t>The accompanying unaudited condensed consolidated interim financial statements for Trillion Energy International Inc. (the “Company”) have been prepared by management in accordance with International Financing Reporting Standards (“IFRS”). These condensed consolidated interim financial statements, which are the responsibility of management, are unaudited and have not been reviewed by the Company’s auditors. The Company’s Audit Committee and Board of Directors have reviewed and approved these condensed consolidated interim financial statements. In accordance with the disclosure requirements of National Instrument 51-102 released by the Canadian Securities Administrators, the Company’s independent auditors have not performed a review of these condensed consolidated interim financial statements.</w:t>
      </w:r>
    </w:p>
    <w:p w14:paraId="4E19F745" w14:textId="77777777" w:rsidR="00C41705" w:rsidRPr="00C41705" w:rsidRDefault="00C41705">
      <w:pPr>
        <w:rPr>
          <w:sz w:val="20"/>
          <w:szCs w:val="20"/>
        </w:rPr>
      </w:pPr>
    </w:p>
    <w:p w14:paraId="28AB29C7" w14:textId="77777777" w:rsidR="00C41705" w:rsidRPr="00C41705" w:rsidRDefault="00C41705">
      <w:pPr>
        <w:rPr>
          <w:sz w:val="20"/>
          <w:szCs w:val="20"/>
          <w:lang w:val="en-US"/>
        </w:rPr>
      </w:pPr>
    </w:p>
    <w:p w14:paraId="2DA3A67D" w14:textId="77777777" w:rsidR="00C41705" w:rsidRDefault="00C41705">
      <w:pPr>
        <w:rPr>
          <w:lang w:val="en-US"/>
        </w:rPr>
      </w:pPr>
    </w:p>
    <w:p w14:paraId="2357A6DA" w14:textId="77777777" w:rsidR="00C41705" w:rsidRDefault="00C41705">
      <w:pPr>
        <w:rPr>
          <w:lang w:val="en-US"/>
        </w:rPr>
      </w:pPr>
    </w:p>
    <w:p w14:paraId="07D23EB1" w14:textId="77777777" w:rsidR="00C41705" w:rsidRDefault="00C41705">
      <w:pPr>
        <w:rPr>
          <w:lang w:val="en-US"/>
        </w:rPr>
      </w:pPr>
    </w:p>
    <w:p w14:paraId="699EFC9E" w14:textId="77777777" w:rsidR="00C41705" w:rsidRDefault="00C41705">
      <w:pPr>
        <w:rPr>
          <w:lang w:val="en-US"/>
        </w:rPr>
      </w:pPr>
    </w:p>
    <w:p w14:paraId="378982B6" w14:textId="77777777" w:rsidR="00C41705" w:rsidRDefault="00C41705">
      <w:pPr>
        <w:rPr>
          <w:lang w:val="en-US"/>
        </w:rPr>
      </w:pPr>
    </w:p>
    <w:p w14:paraId="07398CC1" w14:textId="77777777" w:rsidR="00C41705" w:rsidRDefault="00C41705">
      <w:pPr>
        <w:rPr>
          <w:lang w:val="en-US"/>
        </w:rPr>
      </w:pPr>
    </w:p>
    <w:p w14:paraId="43EB5B94" w14:textId="77777777" w:rsidR="00C41705" w:rsidRDefault="00C41705">
      <w:pPr>
        <w:rPr>
          <w:lang w:val="en-US"/>
        </w:rPr>
      </w:pPr>
    </w:p>
    <w:p w14:paraId="252606E1" w14:textId="77777777" w:rsidR="00C41705" w:rsidRDefault="00C41705">
      <w:pPr>
        <w:rPr>
          <w:lang w:val="en-US"/>
        </w:rPr>
      </w:pPr>
    </w:p>
    <w:p w14:paraId="1878497F" w14:textId="77777777" w:rsidR="00C41705" w:rsidRDefault="00C41705">
      <w:pPr>
        <w:rPr>
          <w:lang w:val="en-US"/>
        </w:rPr>
      </w:pPr>
    </w:p>
    <w:p w14:paraId="502762BB" w14:textId="3EE2A8F3" w:rsidR="00C41705" w:rsidRDefault="00C41705">
      <w:pPr>
        <w:rPr>
          <w:lang w:val="en-US"/>
        </w:rPr>
        <w:sectPr w:rsidR="00C41705" w:rsidSect="00722478">
          <w:footerReference w:type="default" r:id="rId8"/>
          <w:pgSz w:w="12240" w:h="15840"/>
          <w:pgMar w:top="1440" w:right="1440" w:bottom="1440" w:left="1440" w:header="708" w:footer="708" w:gutter="0"/>
          <w:pgNumType w:start="1"/>
          <w:cols w:space="708"/>
          <w:titlePg/>
          <w:docGrid w:linePitch="360"/>
        </w:sectPr>
      </w:pPr>
    </w:p>
    <w:p w14:paraId="479E4458" w14:textId="77777777" w:rsidR="00C43030" w:rsidRDefault="00C43030">
      <w:pPr>
        <w:rPr>
          <w:lang w:val="en-US"/>
        </w:rPr>
      </w:pPr>
    </w:p>
    <w:p w14:paraId="7A3EA9F0" w14:textId="0E8FF5BC" w:rsidR="006A2A5E" w:rsidRPr="005C7D2D" w:rsidRDefault="006A2A5E" w:rsidP="006A2A5E">
      <w:pPr>
        <w:pStyle w:val="NormalWeb"/>
        <w:spacing w:before="0" w:beforeAutospacing="0" w:after="0" w:afterAutospacing="0"/>
        <w:jc w:val="center"/>
        <w:rPr>
          <w:sz w:val="20"/>
          <w:szCs w:val="20"/>
          <w:highlight w:val="yellow"/>
        </w:rPr>
      </w:pPr>
    </w:p>
    <w:p w14:paraId="1DC48FF9" w14:textId="7AF894AE" w:rsidR="006A2A5E" w:rsidRPr="006A2A5E" w:rsidRDefault="006A2A5E" w:rsidP="006A2A5E">
      <w:pPr>
        <w:spacing w:after="0" w:line="240" w:lineRule="auto"/>
        <w:jc w:val="center"/>
        <w:rPr>
          <w:rFonts w:ascii="Times New Roman" w:eastAsia="Times New Roman" w:hAnsi="Times New Roman" w:cs="Times New Roman"/>
          <w:sz w:val="20"/>
          <w:szCs w:val="20"/>
          <w:lang w:val="en-US"/>
        </w:rPr>
      </w:pPr>
      <w:bookmarkStart w:id="0" w:name="_Hlk95304542"/>
      <w:r w:rsidRPr="006A2A5E">
        <w:rPr>
          <w:rFonts w:ascii="Times New Roman" w:eastAsia="Times New Roman" w:hAnsi="Times New Roman" w:cs="Times New Roman"/>
          <w:b/>
          <w:bCs/>
          <w:sz w:val="20"/>
          <w:szCs w:val="20"/>
          <w:lang w:val="en-US"/>
        </w:rPr>
        <w:t>TRILLION ENERGY</w:t>
      </w:r>
      <w:r w:rsidR="00432BC1">
        <w:rPr>
          <w:rFonts w:ascii="Times New Roman" w:eastAsia="Times New Roman" w:hAnsi="Times New Roman" w:cs="Times New Roman"/>
          <w:b/>
          <w:bCs/>
          <w:sz w:val="20"/>
          <w:szCs w:val="20"/>
          <w:lang w:val="en-US"/>
        </w:rPr>
        <w:t xml:space="preserve"> INTERNATIONAL</w:t>
      </w:r>
      <w:r w:rsidRPr="006A2A5E">
        <w:rPr>
          <w:rFonts w:ascii="Times New Roman" w:eastAsia="Times New Roman" w:hAnsi="Times New Roman" w:cs="Times New Roman"/>
          <w:b/>
          <w:bCs/>
          <w:sz w:val="20"/>
          <w:szCs w:val="20"/>
          <w:lang w:val="en-US"/>
        </w:rPr>
        <w:t xml:space="preserve"> INC.</w:t>
      </w:r>
      <w:r w:rsidR="00290D25">
        <w:rPr>
          <w:rFonts w:ascii="Times New Roman" w:eastAsia="Times New Roman" w:hAnsi="Times New Roman" w:cs="Times New Roman"/>
          <w:b/>
          <w:bCs/>
          <w:sz w:val="20"/>
          <w:szCs w:val="20"/>
          <w:lang w:val="en-US"/>
        </w:rPr>
        <w:t xml:space="preserve"> </w:t>
      </w:r>
    </w:p>
    <w:p w14:paraId="18D3F6DC" w14:textId="77777777" w:rsidR="006A2A5E" w:rsidRPr="006A2A5E" w:rsidRDefault="006A2A5E" w:rsidP="006A2A5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p w14:paraId="16B220A1" w14:textId="4FA329DC" w:rsidR="006A2A5E" w:rsidRPr="006A2A5E" w:rsidRDefault="006A2A5E" w:rsidP="006A2A5E">
      <w:pPr>
        <w:spacing w:after="0" w:line="240" w:lineRule="auto"/>
        <w:jc w:val="center"/>
        <w:rPr>
          <w:rFonts w:ascii="Times New Roman" w:eastAsia="Times New Roman" w:hAnsi="Times New Roman" w:cs="Times New Roman"/>
          <w:sz w:val="20"/>
          <w:szCs w:val="20"/>
          <w:lang w:val="en-US"/>
        </w:rPr>
      </w:pPr>
      <w:r w:rsidRPr="006A2A5E">
        <w:rPr>
          <w:rFonts w:ascii="Times New Roman" w:eastAsia="Times New Roman" w:hAnsi="Times New Roman" w:cs="Times New Roman"/>
          <w:b/>
          <w:bCs/>
          <w:sz w:val="20"/>
          <w:szCs w:val="20"/>
          <w:lang w:val="en-US"/>
        </w:rPr>
        <w:t xml:space="preserve">Index to Consolidated </w:t>
      </w:r>
      <w:r w:rsidR="001E2D3D">
        <w:rPr>
          <w:rFonts w:ascii="Times New Roman" w:eastAsia="Times New Roman" w:hAnsi="Times New Roman" w:cs="Times New Roman"/>
          <w:b/>
          <w:bCs/>
          <w:sz w:val="20"/>
          <w:szCs w:val="20"/>
          <w:lang w:val="en-US"/>
        </w:rPr>
        <w:t xml:space="preserve">Interim </w:t>
      </w:r>
      <w:r w:rsidRPr="006A2A5E">
        <w:rPr>
          <w:rFonts w:ascii="Times New Roman" w:eastAsia="Times New Roman" w:hAnsi="Times New Roman" w:cs="Times New Roman"/>
          <w:b/>
          <w:bCs/>
          <w:sz w:val="20"/>
          <w:szCs w:val="20"/>
          <w:lang w:val="en-US"/>
        </w:rPr>
        <w:t>Financial Statements</w:t>
      </w:r>
    </w:p>
    <w:p w14:paraId="4A9A77A3" w14:textId="77777777" w:rsidR="006A2A5E" w:rsidRPr="006A2A5E" w:rsidRDefault="006A2A5E" w:rsidP="006A2A5E">
      <w:pPr>
        <w:spacing w:after="0" w:line="240" w:lineRule="auto"/>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8640"/>
        <w:gridCol w:w="720"/>
      </w:tblGrid>
      <w:tr w:rsidR="006A2A5E" w:rsidRPr="006A2A5E" w14:paraId="3FFAD15C" w14:textId="77777777" w:rsidTr="00D33273">
        <w:tc>
          <w:tcPr>
            <w:tcW w:w="0" w:type="auto"/>
            <w:shd w:val="clear" w:color="auto" w:fill="auto"/>
            <w:hideMark/>
          </w:tcPr>
          <w:p w14:paraId="22EC7611" w14:textId="77777777" w:rsidR="006A2A5E" w:rsidRPr="006A2A5E" w:rsidRDefault="006A2A5E" w:rsidP="006A2A5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720" w:type="dxa"/>
            <w:tcBorders>
              <w:bottom w:val="single" w:sz="12" w:space="0" w:color="000000"/>
            </w:tcBorders>
            <w:shd w:val="clear" w:color="auto" w:fill="auto"/>
            <w:hideMark/>
          </w:tcPr>
          <w:p w14:paraId="647A3973" w14:textId="77777777" w:rsidR="006A2A5E" w:rsidRPr="006A2A5E" w:rsidRDefault="006A2A5E" w:rsidP="006A2A5E">
            <w:pPr>
              <w:spacing w:after="0" w:line="240" w:lineRule="auto"/>
              <w:jc w:val="center"/>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Page</w:t>
            </w:r>
          </w:p>
        </w:tc>
      </w:tr>
      <w:tr w:rsidR="006A2A5E" w:rsidRPr="006A2A5E" w14:paraId="4870F6B0" w14:textId="77777777" w:rsidTr="00D33273">
        <w:tc>
          <w:tcPr>
            <w:tcW w:w="0" w:type="auto"/>
            <w:shd w:val="clear" w:color="auto" w:fill="auto"/>
            <w:hideMark/>
          </w:tcPr>
          <w:p w14:paraId="7E8C5971" w14:textId="2EEE79A4" w:rsidR="006A2A5E" w:rsidRPr="006A2A5E" w:rsidRDefault="00000000" w:rsidP="006A2A5E">
            <w:pPr>
              <w:spacing w:after="0" w:line="240" w:lineRule="auto"/>
              <w:jc w:val="both"/>
              <w:rPr>
                <w:rFonts w:ascii="Times New Roman" w:eastAsia="Times New Roman" w:hAnsi="Times New Roman" w:cs="Times New Roman"/>
                <w:sz w:val="20"/>
                <w:szCs w:val="20"/>
                <w:lang w:val="en-US"/>
              </w:rPr>
            </w:pPr>
            <w:hyperlink w:anchor="f_003" w:history="1">
              <w:r w:rsidR="002C16BF">
                <w:rPr>
                  <w:rFonts w:ascii="Times New Roman" w:eastAsia="Times New Roman" w:hAnsi="Times New Roman" w:cs="Times New Roman"/>
                  <w:color w:val="0000FF"/>
                  <w:sz w:val="20"/>
                  <w:szCs w:val="20"/>
                  <w:u w:val="single"/>
                  <w:lang w:val="en-US"/>
                </w:rPr>
                <w:t>C</w:t>
              </w:r>
              <w:r w:rsidR="006A2A5E" w:rsidRPr="006A2A5E">
                <w:rPr>
                  <w:rFonts w:ascii="Times New Roman" w:eastAsia="Times New Roman" w:hAnsi="Times New Roman" w:cs="Times New Roman"/>
                  <w:color w:val="0000FF"/>
                  <w:sz w:val="20"/>
                  <w:szCs w:val="20"/>
                  <w:u w:val="single"/>
                  <w:lang w:val="en-US"/>
                </w:rPr>
                <w:t xml:space="preserve">onsolidated </w:t>
              </w:r>
              <w:r w:rsidR="004E2D3F">
                <w:rPr>
                  <w:rFonts w:ascii="Times New Roman" w:eastAsia="Times New Roman" w:hAnsi="Times New Roman" w:cs="Times New Roman"/>
                  <w:color w:val="0000FF"/>
                  <w:sz w:val="20"/>
                  <w:szCs w:val="20"/>
                  <w:u w:val="single"/>
                  <w:lang w:val="en-US"/>
                </w:rPr>
                <w:t>interim statements</w:t>
              </w:r>
            </w:hyperlink>
            <w:r w:rsidR="004E2D3F">
              <w:rPr>
                <w:rFonts w:ascii="Times New Roman" w:eastAsia="Times New Roman" w:hAnsi="Times New Roman" w:cs="Times New Roman"/>
                <w:color w:val="0000FF"/>
                <w:sz w:val="20"/>
                <w:szCs w:val="20"/>
                <w:u w:val="single"/>
                <w:lang w:val="en-US"/>
              </w:rPr>
              <w:t xml:space="preserve"> of financial position (unaudited)</w:t>
            </w:r>
          </w:p>
        </w:tc>
        <w:tc>
          <w:tcPr>
            <w:tcW w:w="0" w:type="auto"/>
            <w:shd w:val="clear" w:color="auto" w:fill="auto"/>
            <w:hideMark/>
          </w:tcPr>
          <w:p w14:paraId="69504B98" w14:textId="01C4E823" w:rsidR="006A2A5E" w:rsidRPr="006A2A5E" w:rsidRDefault="002A5155" w:rsidP="006A2A5E">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6A2A5E" w:rsidRPr="006A2A5E" w14:paraId="33D0F121" w14:textId="77777777" w:rsidTr="00D33273">
        <w:tc>
          <w:tcPr>
            <w:tcW w:w="0" w:type="auto"/>
            <w:shd w:val="clear" w:color="auto" w:fill="auto"/>
            <w:hideMark/>
          </w:tcPr>
          <w:p w14:paraId="30B48A11" w14:textId="77777777" w:rsidR="006A2A5E" w:rsidRPr="006A2A5E" w:rsidRDefault="006A2A5E" w:rsidP="006A2A5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0" w:type="auto"/>
            <w:shd w:val="clear" w:color="auto" w:fill="auto"/>
            <w:hideMark/>
          </w:tcPr>
          <w:p w14:paraId="192176A2" w14:textId="77777777" w:rsidR="006A2A5E" w:rsidRPr="006A2A5E" w:rsidRDefault="006A2A5E" w:rsidP="006A2A5E">
            <w:pPr>
              <w:spacing w:after="0" w:line="240" w:lineRule="auto"/>
              <w:jc w:val="center"/>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r>
      <w:tr w:rsidR="006A2A5E" w:rsidRPr="006A2A5E" w14:paraId="032AC85C" w14:textId="77777777" w:rsidTr="00D33273">
        <w:tc>
          <w:tcPr>
            <w:tcW w:w="0" w:type="auto"/>
            <w:shd w:val="clear" w:color="auto" w:fill="auto"/>
            <w:hideMark/>
          </w:tcPr>
          <w:p w14:paraId="71BF5561" w14:textId="34D19BEA" w:rsidR="006A2A5E" w:rsidRPr="006A2A5E" w:rsidRDefault="00000000" w:rsidP="006A2A5E">
            <w:pPr>
              <w:spacing w:after="0" w:line="240" w:lineRule="auto"/>
              <w:jc w:val="both"/>
              <w:rPr>
                <w:rFonts w:ascii="Times New Roman" w:eastAsia="Times New Roman" w:hAnsi="Times New Roman" w:cs="Times New Roman"/>
                <w:sz w:val="20"/>
                <w:szCs w:val="20"/>
                <w:lang w:val="en-US"/>
              </w:rPr>
            </w:pPr>
            <w:hyperlink w:anchor="f_004" w:history="1">
              <w:r w:rsidR="002C16BF">
                <w:rPr>
                  <w:rFonts w:ascii="Times New Roman" w:eastAsia="Times New Roman" w:hAnsi="Times New Roman" w:cs="Times New Roman"/>
                  <w:color w:val="0000FF"/>
                  <w:sz w:val="20"/>
                  <w:szCs w:val="20"/>
                  <w:u w:val="single"/>
                  <w:lang w:val="en-US"/>
                </w:rPr>
                <w:t>C</w:t>
              </w:r>
              <w:r w:rsidR="006A2A5E" w:rsidRPr="006A2A5E">
                <w:rPr>
                  <w:rFonts w:ascii="Times New Roman" w:eastAsia="Times New Roman" w:hAnsi="Times New Roman" w:cs="Times New Roman"/>
                  <w:color w:val="0000FF"/>
                  <w:sz w:val="20"/>
                  <w:szCs w:val="20"/>
                  <w:u w:val="single"/>
                  <w:lang w:val="en-US"/>
                </w:rPr>
                <w:t xml:space="preserve">onsolidated </w:t>
              </w:r>
              <w:r w:rsidR="007747E8">
                <w:rPr>
                  <w:rFonts w:ascii="Times New Roman" w:eastAsia="Times New Roman" w:hAnsi="Times New Roman" w:cs="Times New Roman"/>
                  <w:color w:val="0000FF"/>
                  <w:sz w:val="20"/>
                  <w:szCs w:val="20"/>
                  <w:u w:val="single"/>
                  <w:lang w:val="en-US"/>
                </w:rPr>
                <w:t xml:space="preserve">interim </w:t>
              </w:r>
              <w:r w:rsidR="006A2A5E" w:rsidRPr="006A2A5E">
                <w:rPr>
                  <w:rFonts w:ascii="Times New Roman" w:eastAsia="Times New Roman" w:hAnsi="Times New Roman" w:cs="Times New Roman"/>
                  <w:color w:val="0000FF"/>
                  <w:sz w:val="20"/>
                  <w:szCs w:val="20"/>
                  <w:u w:val="single"/>
                  <w:lang w:val="en-US"/>
                </w:rPr>
                <w:t>statements of operations and comprehensive loss</w:t>
              </w:r>
            </w:hyperlink>
            <w:r w:rsidR="00C353EA">
              <w:rPr>
                <w:rFonts w:ascii="Times New Roman" w:eastAsia="Times New Roman" w:hAnsi="Times New Roman" w:cs="Times New Roman"/>
                <w:color w:val="0000FF"/>
                <w:sz w:val="20"/>
                <w:szCs w:val="20"/>
                <w:u w:val="single"/>
                <w:lang w:val="en-US"/>
              </w:rPr>
              <w:t xml:space="preserve"> (unaudited)</w:t>
            </w:r>
          </w:p>
        </w:tc>
        <w:tc>
          <w:tcPr>
            <w:tcW w:w="0" w:type="auto"/>
            <w:shd w:val="clear" w:color="auto" w:fill="auto"/>
            <w:hideMark/>
          </w:tcPr>
          <w:p w14:paraId="543B54A3" w14:textId="7A0A44C1" w:rsidR="006A2A5E" w:rsidRPr="006A2A5E" w:rsidRDefault="002A5155" w:rsidP="006A2A5E">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6A2A5E" w:rsidRPr="006A2A5E" w14:paraId="6274F293" w14:textId="77777777" w:rsidTr="00D33273">
        <w:tc>
          <w:tcPr>
            <w:tcW w:w="0" w:type="auto"/>
            <w:shd w:val="clear" w:color="auto" w:fill="auto"/>
            <w:hideMark/>
          </w:tcPr>
          <w:p w14:paraId="1B552E6B" w14:textId="77777777" w:rsidR="006A2A5E" w:rsidRPr="006A2A5E" w:rsidRDefault="006A2A5E" w:rsidP="006A2A5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0" w:type="auto"/>
            <w:shd w:val="clear" w:color="auto" w:fill="auto"/>
            <w:hideMark/>
          </w:tcPr>
          <w:p w14:paraId="2DE26CCE" w14:textId="77777777" w:rsidR="006A2A5E" w:rsidRPr="006A2A5E" w:rsidRDefault="006A2A5E" w:rsidP="006A2A5E">
            <w:pPr>
              <w:spacing w:after="0" w:line="240" w:lineRule="auto"/>
              <w:jc w:val="center"/>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r>
      <w:tr w:rsidR="006A2A5E" w:rsidRPr="006A2A5E" w14:paraId="0BDB654E" w14:textId="77777777" w:rsidTr="00D33273">
        <w:tc>
          <w:tcPr>
            <w:tcW w:w="0" w:type="auto"/>
            <w:shd w:val="clear" w:color="auto" w:fill="auto"/>
            <w:hideMark/>
          </w:tcPr>
          <w:p w14:paraId="3B8AE624" w14:textId="68573E1E" w:rsidR="006A2A5E" w:rsidRPr="006A2A5E" w:rsidRDefault="00000000" w:rsidP="006A2A5E">
            <w:pPr>
              <w:spacing w:after="0" w:line="240" w:lineRule="auto"/>
              <w:jc w:val="both"/>
              <w:rPr>
                <w:rFonts w:ascii="Times New Roman" w:eastAsia="Times New Roman" w:hAnsi="Times New Roman" w:cs="Times New Roman"/>
                <w:sz w:val="20"/>
                <w:szCs w:val="20"/>
                <w:lang w:val="en-US"/>
              </w:rPr>
            </w:pPr>
            <w:hyperlink w:anchor="f_005" w:history="1">
              <w:r w:rsidR="006A2A5E" w:rsidRPr="006A2A5E">
                <w:rPr>
                  <w:rFonts w:ascii="Times New Roman" w:eastAsia="Times New Roman" w:hAnsi="Times New Roman" w:cs="Times New Roman"/>
                  <w:color w:val="0000FF"/>
                  <w:sz w:val="20"/>
                  <w:szCs w:val="20"/>
                  <w:u w:val="single"/>
                  <w:lang w:val="en-US"/>
                </w:rPr>
                <w:t>Consolidated</w:t>
              </w:r>
              <w:r w:rsidR="00272C6D">
                <w:rPr>
                  <w:rFonts w:ascii="Times New Roman" w:eastAsia="Times New Roman" w:hAnsi="Times New Roman" w:cs="Times New Roman"/>
                  <w:color w:val="0000FF"/>
                  <w:sz w:val="20"/>
                  <w:szCs w:val="20"/>
                  <w:u w:val="single"/>
                  <w:lang w:val="en-US"/>
                </w:rPr>
                <w:t xml:space="preserve"> interim</w:t>
              </w:r>
              <w:r w:rsidR="006A2A5E" w:rsidRPr="006A2A5E">
                <w:rPr>
                  <w:rFonts w:ascii="Times New Roman" w:eastAsia="Times New Roman" w:hAnsi="Times New Roman" w:cs="Times New Roman"/>
                  <w:color w:val="0000FF"/>
                  <w:sz w:val="20"/>
                  <w:szCs w:val="20"/>
                  <w:u w:val="single"/>
                  <w:lang w:val="en-US"/>
                </w:rPr>
                <w:t xml:space="preserve"> statements of stockholders’ </w:t>
              </w:r>
              <w:r w:rsidR="00272C6D">
                <w:rPr>
                  <w:rFonts w:ascii="Times New Roman" w:eastAsia="Times New Roman" w:hAnsi="Times New Roman" w:cs="Times New Roman"/>
                  <w:color w:val="0000FF"/>
                  <w:sz w:val="20"/>
                  <w:szCs w:val="20"/>
                  <w:u w:val="single"/>
                  <w:lang w:val="en-US"/>
                </w:rPr>
                <w:t>deficiency</w:t>
              </w:r>
            </w:hyperlink>
            <w:r w:rsidR="00EF39DF">
              <w:rPr>
                <w:rFonts w:ascii="Times New Roman" w:eastAsia="Times New Roman" w:hAnsi="Times New Roman" w:cs="Times New Roman"/>
                <w:color w:val="0000FF"/>
                <w:sz w:val="20"/>
                <w:szCs w:val="20"/>
                <w:u w:val="single"/>
                <w:lang w:val="en-US"/>
              </w:rPr>
              <w:t xml:space="preserve"> (unaudited)</w:t>
            </w:r>
          </w:p>
        </w:tc>
        <w:tc>
          <w:tcPr>
            <w:tcW w:w="0" w:type="auto"/>
            <w:shd w:val="clear" w:color="auto" w:fill="auto"/>
            <w:hideMark/>
          </w:tcPr>
          <w:p w14:paraId="5AABCCC4" w14:textId="76FC893D" w:rsidR="006A2A5E" w:rsidRPr="006A2A5E" w:rsidRDefault="002A5155" w:rsidP="006A2A5E">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6A2A5E" w:rsidRPr="006A2A5E" w14:paraId="53A778F7" w14:textId="77777777" w:rsidTr="00D33273">
        <w:tc>
          <w:tcPr>
            <w:tcW w:w="0" w:type="auto"/>
            <w:shd w:val="clear" w:color="auto" w:fill="auto"/>
            <w:hideMark/>
          </w:tcPr>
          <w:p w14:paraId="7ACA1C9A" w14:textId="77777777" w:rsidR="006A2A5E" w:rsidRPr="006A2A5E" w:rsidRDefault="006A2A5E" w:rsidP="006A2A5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0" w:type="auto"/>
            <w:shd w:val="clear" w:color="auto" w:fill="auto"/>
            <w:hideMark/>
          </w:tcPr>
          <w:p w14:paraId="36B833C9" w14:textId="77777777" w:rsidR="006A2A5E" w:rsidRPr="006A2A5E" w:rsidRDefault="006A2A5E" w:rsidP="006A2A5E">
            <w:pPr>
              <w:spacing w:after="0" w:line="240" w:lineRule="auto"/>
              <w:jc w:val="center"/>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r>
      <w:tr w:rsidR="006A2A5E" w:rsidRPr="006A2A5E" w14:paraId="573DC83E" w14:textId="77777777" w:rsidTr="00D33273">
        <w:tc>
          <w:tcPr>
            <w:tcW w:w="0" w:type="auto"/>
            <w:shd w:val="clear" w:color="auto" w:fill="auto"/>
            <w:hideMark/>
          </w:tcPr>
          <w:p w14:paraId="5AD8787E" w14:textId="75F6E421" w:rsidR="006A2A5E" w:rsidRPr="006A2A5E" w:rsidRDefault="00000000" w:rsidP="006A2A5E">
            <w:pPr>
              <w:spacing w:after="0" w:line="240" w:lineRule="auto"/>
              <w:jc w:val="both"/>
              <w:rPr>
                <w:rFonts w:ascii="Times New Roman" w:eastAsia="Times New Roman" w:hAnsi="Times New Roman" w:cs="Times New Roman"/>
                <w:sz w:val="20"/>
                <w:szCs w:val="20"/>
                <w:lang w:val="en-US"/>
              </w:rPr>
            </w:pPr>
            <w:hyperlink w:anchor="f_006" w:history="1">
              <w:r w:rsidR="006A2A5E" w:rsidRPr="006A2A5E">
                <w:rPr>
                  <w:rFonts w:ascii="Times New Roman" w:eastAsia="Times New Roman" w:hAnsi="Times New Roman" w:cs="Times New Roman"/>
                  <w:color w:val="0000FF"/>
                  <w:sz w:val="20"/>
                  <w:szCs w:val="20"/>
                  <w:u w:val="single"/>
                  <w:lang w:val="en-US"/>
                </w:rPr>
                <w:t xml:space="preserve">Consolidated </w:t>
              </w:r>
              <w:r w:rsidR="00CB2015">
                <w:rPr>
                  <w:rFonts w:ascii="Times New Roman" w:eastAsia="Times New Roman" w:hAnsi="Times New Roman" w:cs="Times New Roman"/>
                  <w:color w:val="0000FF"/>
                  <w:sz w:val="20"/>
                  <w:szCs w:val="20"/>
                  <w:u w:val="single"/>
                  <w:lang w:val="en-US"/>
                </w:rPr>
                <w:t xml:space="preserve">interim </w:t>
              </w:r>
              <w:r w:rsidR="006A2A5E" w:rsidRPr="006A2A5E">
                <w:rPr>
                  <w:rFonts w:ascii="Times New Roman" w:eastAsia="Times New Roman" w:hAnsi="Times New Roman" w:cs="Times New Roman"/>
                  <w:color w:val="0000FF"/>
                  <w:sz w:val="20"/>
                  <w:szCs w:val="20"/>
                  <w:u w:val="single"/>
                  <w:lang w:val="en-US"/>
                </w:rPr>
                <w:t>statements of cash flows</w:t>
              </w:r>
            </w:hyperlink>
            <w:r w:rsidR="00EF39DF">
              <w:rPr>
                <w:rFonts w:ascii="Times New Roman" w:eastAsia="Times New Roman" w:hAnsi="Times New Roman" w:cs="Times New Roman"/>
                <w:color w:val="0000FF"/>
                <w:sz w:val="20"/>
                <w:szCs w:val="20"/>
                <w:u w:val="single"/>
                <w:lang w:val="en-US"/>
              </w:rPr>
              <w:t xml:space="preserve"> (unaudited)</w:t>
            </w:r>
          </w:p>
        </w:tc>
        <w:tc>
          <w:tcPr>
            <w:tcW w:w="0" w:type="auto"/>
            <w:shd w:val="clear" w:color="auto" w:fill="auto"/>
            <w:hideMark/>
          </w:tcPr>
          <w:p w14:paraId="3D934EAB" w14:textId="4CB44B85" w:rsidR="006A2A5E" w:rsidRPr="006A2A5E" w:rsidRDefault="002A5155" w:rsidP="006A2A5E">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2D5644">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6</w:t>
            </w:r>
          </w:p>
        </w:tc>
      </w:tr>
      <w:tr w:rsidR="006A2A5E" w:rsidRPr="006A2A5E" w14:paraId="70E836AB" w14:textId="77777777" w:rsidTr="00D33273">
        <w:tc>
          <w:tcPr>
            <w:tcW w:w="0" w:type="auto"/>
            <w:shd w:val="clear" w:color="auto" w:fill="auto"/>
            <w:hideMark/>
          </w:tcPr>
          <w:p w14:paraId="7837CF5B" w14:textId="77777777" w:rsidR="006A2A5E" w:rsidRPr="006A2A5E" w:rsidRDefault="006A2A5E" w:rsidP="006A2A5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0" w:type="auto"/>
            <w:shd w:val="clear" w:color="auto" w:fill="auto"/>
            <w:hideMark/>
          </w:tcPr>
          <w:p w14:paraId="101AD84A" w14:textId="77777777" w:rsidR="006A2A5E" w:rsidRPr="006A2A5E" w:rsidRDefault="006A2A5E" w:rsidP="006A2A5E">
            <w:pPr>
              <w:spacing w:after="0" w:line="240" w:lineRule="auto"/>
              <w:jc w:val="center"/>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r>
      <w:tr w:rsidR="006A2A5E" w:rsidRPr="006A2A5E" w14:paraId="7DE74781" w14:textId="77777777" w:rsidTr="00D33273">
        <w:tc>
          <w:tcPr>
            <w:tcW w:w="0" w:type="auto"/>
            <w:shd w:val="clear" w:color="auto" w:fill="auto"/>
            <w:hideMark/>
          </w:tcPr>
          <w:p w14:paraId="17862945" w14:textId="1B9AC106" w:rsidR="006A2A5E" w:rsidRPr="006A2A5E" w:rsidRDefault="00000000" w:rsidP="006A2A5E">
            <w:pPr>
              <w:spacing w:after="0" w:line="240" w:lineRule="auto"/>
              <w:jc w:val="both"/>
              <w:rPr>
                <w:rFonts w:ascii="Times New Roman" w:eastAsia="Times New Roman" w:hAnsi="Times New Roman" w:cs="Times New Roman"/>
                <w:sz w:val="20"/>
                <w:szCs w:val="20"/>
                <w:lang w:val="en-US"/>
              </w:rPr>
            </w:pPr>
            <w:hyperlink w:anchor="f_007" w:history="1">
              <w:r w:rsidR="006A2A5E" w:rsidRPr="006A2A5E">
                <w:rPr>
                  <w:rFonts w:ascii="Times New Roman" w:eastAsia="Times New Roman" w:hAnsi="Times New Roman" w:cs="Times New Roman"/>
                  <w:color w:val="0000FF"/>
                  <w:sz w:val="20"/>
                  <w:szCs w:val="20"/>
                  <w:u w:val="single"/>
                  <w:lang w:val="en-US"/>
                </w:rPr>
                <w:t xml:space="preserve">Notes to the consolidated </w:t>
              </w:r>
              <w:r w:rsidR="00EF39DF">
                <w:rPr>
                  <w:rFonts w:ascii="Times New Roman" w:eastAsia="Times New Roman" w:hAnsi="Times New Roman" w:cs="Times New Roman"/>
                  <w:color w:val="0000FF"/>
                  <w:sz w:val="20"/>
                  <w:szCs w:val="20"/>
                  <w:u w:val="single"/>
                  <w:lang w:val="en-US"/>
                </w:rPr>
                <w:t xml:space="preserve">interim </w:t>
              </w:r>
              <w:r w:rsidR="006A2A5E" w:rsidRPr="006A2A5E">
                <w:rPr>
                  <w:rFonts w:ascii="Times New Roman" w:eastAsia="Times New Roman" w:hAnsi="Times New Roman" w:cs="Times New Roman"/>
                  <w:color w:val="0000FF"/>
                  <w:sz w:val="20"/>
                  <w:szCs w:val="20"/>
                  <w:u w:val="single"/>
                  <w:lang w:val="en-US"/>
                </w:rPr>
                <w:t>financial statements</w:t>
              </w:r>
            </w:hyperlink>
            <w:r w:rsidR="00EF39DF">
              <w:rPr>
                <w:rFonts w:ascii="Times New Roman" w:eastAsia="Times New Roman" w:hAnsi="Times New Roman" w:cs="Times New Roman"/>
                <w:color w:val="0000FF"/>
                <w:sz w:val="20"/>
                <w:szCs w:val="20"/>
                <w:u w:val="single"/>
                <w:lang w:val="en-US"/>
              </w:rPr>
              <w:t xml:space="preserve"> (unaudited)</w:t>
            </w:r>
          </w:p>
        </w:tc>
        <w:tc>
          <w:tcPr>
            <w:tcW w:w="0" w:type="auto"/>
            <w:shd w:val="clear" w:color="auto" w:fill="auto"/>
            <w:hideMark/>
          </w:tcPr>
          <w:p w14:paraId="10EA0C51" w14:textId="2B023D46" w:rsidR="006A2A5E" w:rsidRPr="006A2A5E" w:rsidRDefault="002A5155" w:rsidP="006A2A5E">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00E408CE">
              <w:rPr>
                <w:rFonts w:ascii="Times New Roman" w:eastAsia="Times New Roman" w:hAnsi="Times New Roman" w:cs="Times New Roman"/>
                <w:sz w:val="20"/>
                <w:szCs w:val="20"/>
                <w:lang w:val="en-US"/>
              </w:rPr>
              <w:t xml:space="preserve"> </w:t>
            </w:r>
            <w:r w:rsidR="00CC7A75">
              <w:rPr>
                <w:rFonts w:ascii="Times New Roman" w:eastAsia="Times New Roman" w:hAnsi="Times New Roman" w:cs="Times New Roman"/>
                <w:sz w:val="20"/>
                <w:szCs w:val="20"/>
                <w:lang w:val="en-US"/>
              </w:rPr>
              <w:t xml:space="preserve">- </w:t>
            </w:r>
            <w:r w:rsidR="00E408CE">
              <w:rPr>
                <w:rFonts w:ascii="Times New Roman" w:eastAsia="Times New Roman" w:hAnsi="Times New Roman" w:cs="Times New Roman"/>
                <w:sz w:val="20"/>
                <w:szCs w:val="20"/>
                <w:lang w:val="en-US"/>
              </w:rPr>
              <w:t>4</w:t>
            </w:r>
            <w:r w:rsidR="0019238F">
              <w:rPr>
                <w:rFonts w:ascii="Times New Roman" w:eastAsia="Times New Roman" w:hAnsi="Times New Roman" w:cs="Times New Roman"/>
                <w:sz w:val="20"/>
                <w:szCs w:val="20"/>
                <w:lang w:val="en-US"/>
              </w:rPr>
              <w:t>3</w:t>
            </w:r>
          </w:p>
        </w:tc>
      </w:tr>
    </w:tbl>
    <w:p w14:paraId="2CAF1607" w14:textId="77777777" w:rsidR="006A2A5E" w:rsidRPr="006A2A5E" w:rsidRDefault="006A2A5E" w:rsidP="006A2A5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bookmarkEnd w:id="0"/>
    <w:p w14:paraId="4185BF54" w14:textId="3EEFE856" w:rsidR="006A2A5E" w:rsidRDefault="006A2A5E">
      <w:pPr>
        <w:rPr>
          <w:lang w:val="en-US"/>
        </w:rPr>
      </w:pPr>
    </w:p>
    <w:p w14:paraId="14B0F2CD" w14:textId="112D4B8A" w:rsidR="006A2A5E" w:rsidRDefault="006A2A5E">
      <w:pPr>
        <w:rPr>
          <w:lang w:val="en-US"/>
        </w:rPr>
      </w:pPr>
    </w:p>
    <w:p w14:paraId="11B7A1D0" w14:textId="4CC75046" w:rsidR="006A2A5E" w:rsidRDefault="006A2A5E">
      <w:pPr>
        <w:rPr>
          <w:lang w:val="en-US"/>
        </w:rPr>
      </w:pPr>
    </w:p>
    <w:p w14:paraId="155F719D" w14:textId="099641E5" w:rsidR="006A2A5E" w:rsidRDefault="006A2A5E">
      <w:pPr>
        <w:rPr>
          <w:lang w:val="en-US"/>
        </w:rPr>
      </w:pPr>
    </w:p>
    <w:p w14:paraId="646AA7F6" w14:textId="6ABA63ED" w:rsidR="006A2A5E" w:rsidRDefault="006A2A5E">
      <w:pPr>
        <w:rPr>
          <w:lang w:val="en-US"/>
        </w:rPr>
      </w:pPr>
    </w:p>
    <w:p w14:paraId="0B9879F4" w14:textId="738B4CF8" w:rsidR="006A2A5E" w:rsidRDefault="006A2A5E">
      <w:pPr>
        <w:rPr>
          <w:lang w:val="en-US"/>
        </w:rPr>
      </w:pPr>
    </w:p>
    <w:p w14:paraId="4214C34D" w14:textId="31952888" w:rsidR="006A2A5E" w:rsidRDefault="006A2A5E">
      <w:pPr>
        <w:rPr>
          <w:lang w:val="en-US"/>
        </w:rPr>
      </w:pPr>
    </w:p>
    <w:p w14:paraId="4240AECA" w14:textId="467E5CDD" w:rsidR="006A2A5E" w:rsidRDefault="006A2A5E">
      <w:pPr>
        <w:rPr>
          <w:lang w:val="en-US"/>
        </w:rPr>
      </w:pPr>
    </w:p>
    <w:p w14:paraId="78BD702F" w14:textId="1685BC7A" w:rsidR="006A2A5E" w:rsidRDefault="006A2A5E">
      <w:pPr>
        <w:rPr>
          <w:lang w:val="en-US"/>
        </w:rPr>
      </w:pPr>
    </w:p>
    <w:p w14:paraId="239C6279" w14:textId="417A80BE" w:rsidR="006A2A5E" w:rsidRDefault="006A2A5E">
      <w:pPr>
        <w:rPr>
          <w:lang w:val="en-US"/>
        </w:rPr>
      </w:pPr>
    </w:p>
    <w:p w14:paraId="13A9C920" w14:textId="73958AC4" w:rsidR="006A2A5E" w:rsidRDefault="006A2A5E">
      <w:pPr>
        <w:rPr>
          <w:lang w:val="en-US"/>
        </w:rPr>
      </w:pPr>
    </w:p>
    <w:p w14:paraId="4AF97F9B" w14:textId="60A147A1" w:rsidR="006A2A5E" w:rsidRDefault="006A2A5E">
      <w:pPr>
        <w:rPr>
          <w:lang w:val="en-US"/>
        </w:rPr>
      </w:pPr>
    </w:p>
    <w:p w14:paraId="2645E207" w14:textId="61FCE7A7" w:rsidR="006A2A5E" w:rsidRDefault="006A2A5E">
      <w:pPr>
        <w:rPr>
          <w:lang w:val="en-US"/>
        </w:rPr>
      </w:pPr>
    </w:p>
    <w:p w14:paraId="3E4FEBF4" w14:textId="1B1BB3E7" w:rsidR="006A2A5E" w:rsidRDefault="006A2A5E">
      <w:pPr>
        <w:rPr>
          <w:lang w:val="en-US"/>
        </w:rPr>
      </w:pPr>
    </w:p>
    <w:p w14:paraId="10D16A9B" w14:textId="4CF36CF0" w:rsidR="006A2A5E" w:rsidRDefault="006A2A5E">
      <w:pPr>
        <w:rPr>
          <w:lang w:val="en-US"/>
        </w:rPr>
      </w:pPr>
    </w:p>
    <w:p w14:paraId="31A7089B" w14:textId="7001FED8" w:rsidR="006A2A5E" w:rsidRDefault="006A2A5E">
      <w:pPr>
        <w:rPr>
          <w:lang w:val="en-US"/>
        </w:rPr>
      </w:pPr>
    </w:p>
    <w:p w14:paraId="179A8AD3" w14:textId="1ECC78ED" w:rsidR="006A2A5E" w:rsidRDefault="006A2A5E">
      <w:pPr>
        <w:rPr>
          <w:lang w:val="en-US"/>
        </w:rPr>
      </w:pPr>
    </w:p>
    <w:p w14:paraId="1EB38A4A" w14:textId="77777777" w:rsidR="006A2A5E" w:rsidRDefault="006A2A5E">
      <w:pPr>
        <w:rPr>
          <w:lang w:val="en-US"/>
        </w:rPr>
      </w:pPr>
    </w:p>
    <w:p w14:paraId="127A009D" w14:textId="77777777" w:rsidR="0074447E" w:rsidRDefault="0074447E">
      <w:pPr>
        <w:rPr>
          <w:lang w:val="en-US"/>
        </w:rPr>
      </w:pPr>
    </w:p>
    <w:p w14:paraId="6B74CFF7" w14:textId="7DAB1EC6" w:rsidR="0074447E" w:rsidRDefault="0074447E">
      <w:pPr>
        <w:rPr>
          <w:lang w:val="en-US"/>
        </w:rPr>
        <w:sectPr w:rsidR="0074447E" w:rsidSect="00722478">
          <w:headerReference w:type="default" r:id="rId9"/>
          <w:footerReference w:type="default" r:id="rId10"/>
          <w:pgSz w:w="12240" w:h="15840"/>
          <w:pgMar w:top="1440" w:right="1440" w:bottom="1440" w:left="1440" w:header="708" w:footer="708" w:gutter="0"/>
          <w:pgNumType w:start="1"/>
          <w:cols w:space="708"/>
          <w:titlePg/>
          <w:docGrid w:linePitch="360"/>
        </w:sectPr>
      </w:pPr>
    </w:p>
    <w:tbl>
      <w:tblPr>
        <w:tblW w:w="5531" w:type="pct"/>
        <w:tblLayout w:type="fixed"/>
        <w:tblCellMar>
          <w:left w:w="0" w:type="dxa"/>
          <w:right w:w="0" w:type="dxa"/>
        </w:tblCellMar>
        <w:tblLook w:val="04A0" w:firstRow="1" w:lastRow="0" w:firstColumn="1" w:lastColumn="0" w:noHBand="0" w:noVBand="1"/>
        <w:tblDescription w:val="xdx: Statement - Interim Condensed Consolidated Balance Sheets (Unaudited)"/>
      </w:tblPr>
      <w:tblGrid>
        <w:gridCol w:w="4900"/>
        <w:gridCol w:w="913"/>
        <w:gridCol w:w="425"/>
        <w:gridCol w:w="994"/>
        <w:gridCol w:w="284"/>
        <w:gridCol w:w="141"/>
        <w:gridCol w:w="1137"/>
        <w:gridCol w:w="141"/>
        <w:gridCol w:w="141"/>
        <w:gridCol w:w="1137"/>
        <w:gridCol w:w="141"/>
      </w:tblGrid>
      <w:tr w:rsidR="00B5192E" w:rsidRPr="006A2A5E" w14:paraId="6F7AE608" w14:textId="121DE589" w:rsidTr="008C01B7">
        <w:tc>
          <w:tcPr>
            <w:tcW w:w="2366" w:type="pct"/>
            <w:tcBorders>
              <w:top w:val="single" w:sz="12" w:space="0" w:color="auto"/>
              <w:bottom w:val="single" w:sz="12" w:space="0" w:color="auto"/>
            </w:tcBorders>
            <w:shd w:val="clear" w:color="auto" w:fill="auto"/>
            <w:vAlign w:val="bottom"/>
            <w:hideMark/>
          </w:tcPr>
          <w:p w14:paraId="70379640" w14:textId="77777777" w:rsidR="00C84692" w:rsidRPr="006A2A5E" w:rsidRDefault="00C84692" w:rsidP="007F0E8A">
            <w:pPr>
              <w:spacing w:after="0" w:line="240" w:lineRule="auto"/>
              <w:jc w:val="center"/>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lastRenderedPageBreak/>
              <w:t> </w:t>
            </w:r>
          </w:p>
        </w:tc>
        <w:tc>
          <w:tcPr>
            <w:tcW w:w="441"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1F8BF90F" w14:textId="4F5A77D2" w:rsidR="00C84692" w:rsidRPr="006A2A5E" w:rsidRDefault="00B5192E" w:rsidP="00CA4239">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Notes</w:t>
            </w:r>
          </w:p>
        </w:tc>
        <w:tc>
          <w:tcPr>
            <w:tcW w:w="685" w:type="pct"/>
            <w:gridSpan w:val="2"/>
            <w:tcBorders>
              <w:top w:val="single" w:sz="12" w:space="0" w:color="auto"/>
              <w:bottom w:val="single" w:sz="12" w:space="0" w:color="auto"/>
            </w:tcBorders>
            <w:shd w:val="clear" w:color="auto" w:fill="auto"/>
            <w:vAlign w:val="bottom"/>
            <w:hideMark/>
          </w:tcPr>
          <w:p w14:paraId="57DE65D3" w14:textId="1CD15BF9" w:rsidR="00C84692" w:rsidRPr="00E10346" w:rsidRDefault="007361CC" w:rsidP="007F0E8A">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June 30</w:t>
            </w:r>
            <w:r w:rsidR="00C84692" w:rsidRPr="00E10346">
              <w:rPr>
                <w:rFonts w:ascii="Times New Roman" w:eastAsia="Times New Roman" w:hAnsi="Times New Roman" w:cs="Times New Roman"/>
                <w:b/>
                <w:bCs/>
                <w:sz w:val="20"/>
                <w:szCs w:val="20"/>
                <w:lang w:val="en-US"/>
              </w:rPr>
              <w:t>, 2022 (Unaudited)</w:t>
            </w:r>
          </w:p>
        </w:tc>
        <w:tc>
          <w:tcPr>
            <w:tcW w:w="137"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9F54465" w14:textId="77777777"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r w:rsidRPr="006A2A5E">
              <w:rPr>
                <w:rFonts w:ascii="Times New Roman" w:eastAsia="Times New Roman" w:hAnsi="Times New Roman" w:cs="Times New Roman"/>
                <w:b/>
                <w:bCs/>
                <w:sz w:val="20"/>
                <w:szCs w:val="20"/>
                <w:lang w:val="en-US"/>
              </w:rPr>
              <w:t> </w:t>
            </w:r>
          </w:p>
        </w:tc>
        <w:tc>
          <w:tcPr>
            <w:tcW w:w="617" w:type="pct"/>
            <w:gridSpan w:val="2"/>
            <w:tcBorders>
              <w:top w:val="single" w:sz="12" w:space="0" w:color="auto"/>
              <w:bottom w:val="single" w:sz="12" w:space="0" w:color="auto"/>
            </w:tcBorders>
            <w:shd w:val="clear" w:color="auto" w:fill="auto"/>
            <w:vAlign w:val="bottom"/>
            <w:hideMark/>
          </w:tcPr>
          <w:p w14:paraId="36B4A58D" w14:textId="7886A4BD" w:rsidR="00C84692" w:rsidRPr="006A2A5E" w:rsidRDefault="00C84692" w:rsidP="007F0E8A">
            <w:pPr>
              <w:spacing w:after="0" w:line="240" w:lineRule="auto"/>
              <w:jc w:val="center"/>
              <w:rPr>
                <w:rFonts w:ascii="Times New Roman" w:eastAsia="Times New Roman" w:hAnsi="Times New Roman" w:cs="Times New Roman"/>
                <w:b/>
                <w:bCs/>
                <w:sz w:val="20"/>
                <w:szCs w:val="20"/>
                <w:lang w:val="en-US"/>
              </w:rPr>
            </w:pPr>
            <w:r w:rsidRPr="006A2A5E">
              <w:rPr>
                <w:rFonts w:ascii="Times New Roman" w:eastAsia="Times New Roman" w:hAnsi="Times New Roman" w:cs="Times New Roman"/>
                <w:b/>
                <w:bCs/>
                <w:sz w:val="20"/>
                <w:szCs w:val="20"/>
                <w:lang w:val="en-US"/>
              </w:rPr>
              <w:t>December 31, 202</w:t>
            </w:r>
            <w:r>
              <w:rPr>
                <w:rFonts w:ascii="Times New Roman" w:eastAsia="Times New Roman" w:hAnsi="Times New Roman" w:cs="Times New Roman"/>
                <w:b/>
                <w:bCs/>
                <w:sz w:val="20"/>
                <w:szCs w:val="20"/>
                <w:lang w:val="en-US"/>
              </w:rPr>
              <w:t>1</w:t>
            </w:r>
          </w:p>
        </w:tc>
        <w:tc>
          <w:tcPr>
            <w:tcW w:w="68"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4B3FF3DB" w14:textId="77777777"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r w:rsidRPr="006A2A5E">
              <w:rPr>
                <w:rFonts w:ascii="Times New Roman" w:eastAsia="Times New Roman" w:hAnsi="Times New Roman" w:cs="Times New Roman"/>
                <w:b/>
                <w:bCs/>
                <w:sz w:val="20"/>
                <w:szCs w:val="20"/>
                <w:lang w:val="en-US"/>
              </w:rPr>
              <w:t> </w:t>
            </w:r>
          </w:p>
        </w:tc>
        <w:tc>
          <w:tcPr>
            <w:tcW w:w="68" w:type="pct"/>
            <w:tcBorders>
              <w:top w:val="single" w:sz="12" w:space="0" w:color="auto"/>
              <w:bottom w:val="single" w:sz="12" w:space="0" w:color="auto"/>
            </w:tcBorders>
            <w:shd w:val="clear" w:color="auto" w:fill="auto"/>
          </w:tcPr>
          <w:p w14:paraId="035E325A" w14:textId="77777777" w:rsidR="00C84692" w:rsidRDefault="00C84692" w:rsidP="004654FF">
            <w:pPr>
              <w:spacing w:after="0" w:line="240" w:lineRule="auto"/>
              <w:jc w:val="center"/>
              <w:rPr>
                <w:rFonts w:ascii="Times New Roman" w:eastAsia="Times New Roman" w:hAnsi="Times New Roman" w:cs="Times New Roman"/>
                <w:b/>
                <w:bCs/>
                <w:sz w:val="20"/>
                <w:szCs w:val="20"/>
                <w:lang w:val="en-US"/>
              </w:rPr>
            </w:pPr>
          </w:p>
        </w:tc>
        <w:tc>
          <w:tcPr>
            <w:tcW w:w="549" w:type="pct"/>
            <w:tcBorders>
              <w:top w:val="single" w:sz="12" w:space="0" w:color="auto"/>
              <w:bottom w:val="single" w:sz="12" w:space="0" w:color="auto"/>
            </w:tcBorders>
            <w:shd w:val="clear" w:color="auto" w:fill="auto"/>
          </w:tcPr>
          <w:p w14:paraId="4BCFEF8C" w14:textId="77777777" w:rsidR="00C84692" w:rsidRDefault="00C84692">
            <w:pPr>
              <w:spacing w:after="0" w:line="240" w:lineRule="auto"/>
              <w:jc w:val="center"/>
              <w:rPr>
                <w:rFonts w:ascii="Times New Roman" w:eastAsia="Times New Roman" w:hAnsi="Times New Roman" w:cs="Times New Roman"/>
                <w:b/>
                <w:bCs/>
                <w:sz w:val="20"/>
                <w:szCs w:val="20"/>
                <w:lang w:val="en-US"/>
              </w:rPr>
            </w:pPr>
          </w:p>
          <w:p w14:paraId="0BD338A8" w14:textId="0D09CB7B" w:rsidR="00C84692" w:rsidRPr="006A2A5E" w:rsidRDefault="00C84692" w:rsidP="00CA4239">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December 31, 2020</w:t>
            </w:r>
          </w:p>
        </w:tc>
        <w:tc>
          <w:tcPr>
            <w:tcW w:w="68" w:type="pct"/>
            <w:shd w:val="clear" w:color="auto" w:fill="auto"/>
          </w:tcPr>
          <w:p w14:paraId="1FFB777D" w14:textId="7B01B6EA"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p>
        </w:tc>
      </w:tr>
      <w:tr w:rsidR="00B5192E" w:rsidRPr="006A2A5E" w14:paraId="6BFEE684" w14:textId="0D23AB2A" w:rsidTr="008C01B7">
        <w:tc>
          <w:tcPr>
            <w:tcW w:w="2366" w:type="pct"/>
            <w:tcBorders>
              <w:top w:val="single" w:sz="12" w:space="0" w:color="auto"/>
            </w:tcBorders>
            <w:shd w:val="clear" w:color="auto" w:fill="auto"/>
            <w:vAlign w:val="bottom"/>
            <w:hideMark/>
          </w:tcPr>
          <w:p w14:paraId="58D7BA10"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41" w:type="pct"/>
            <w:tcBorders>
              <w:top w:val="single" w:sz="12" w:space="0" w:color="auto"/>
            </w:tcBorders>
            <w:shd w:val="clear" w:color="auto" w:fill="auto"/>
            <w:vAlign w:val="bottom"/>
            <w:hideMark/>
          </w:tcPr>
          <w:p w14:paraId="6709ED13" w14:textId="45CEDA2B" w:rsidR="00C84692" w:rsidRPr="006A2A5E" w:rsidRDefault="00C84692" w:rsidP="00CA4239">
            <w:pPr>
              <w:spacing w:after="0" w:line="240" w:lineRule="auto"/>
              <w:jc w:val="center"/>
              <w:rPr>
                <w:rFonts w:ascii="Times New Roman" w:eastAsia="Times New Roman" w:hAnsi="Times New Roman" w:cs="Times New Roman"/>
                <w:sz w:val="20"/>
                <w:szCs w:val="20"/>
                <w:lang w:val="en-US"/>
              </w:rPr>
            </w:pPr>
          </w:p>
        </w:tc>
        <w:tc>
          <w:tcPr>
            <w:tcW w:w="685" w:type="pct"/>
            <w:gridSpan w:val="2"/>
            <w:tcBorders>
              <w:top w:val="single" w:sz="12" w:space="0" w:color="auto"/>
            </w:tcBorders>
            <w:shd w:val="clear" w:color="auto" w:fill="auto"/>
            <w:vAlign w:val="bottom"/>
            <w:hideMark/>
          </w:tcPr>
          <w:p w14:paraId="02D8D603" w14:textId="77777777" w:rsidR="00C84692" w:rsidRPr="00D33273" w:rsidRDefault="00C84692" w:rsidP="007F0E8A">
            <w:pPr>
              <w:spacing w:after="0" w:line="240" w:lineRule="auto"/>
              <w:jc w:val="center"/>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137" w:type="pct"/>
            <w:tcBorders>
              <w:top w:val="single" w:sz="12" w:space="0" w:color="auto"/>
            </w:tcBorders>
            <w:shd w:val="clear" w:color="auto" w:fill="auto"/>
            <w:vAlign w:val="bottom"/>
            <w:hideMark/>
          </w:tcPr>
          <w:p w14:paraId="5396D7FA"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17" w:type="pct"/>
            <w:gridSpan w:val="2"/>
            <w:tcBorders>
              <w:top w:val="single" w:sz="12" w:space="0" w:color="auto"/>
            </w:tcBorders>
            <w:shd w:val="clear" w:color="auto" w:fill="auto"/>
            <w:vAlign w:val="bottom"/>
            <w:hideMark/>
          </w:tcPr>
          <w:p w14:paraId="5D06A917" w14:textId="77777777" w:rsidR="00C84692" w:rsidRPr="006A2A5E" w:rsidRDefault="00C84692" w:rsidP="007F0E8A">
            <w:pPr>
              <w:spacing w:after="0" w:line="240" w:lineRule="auto"/>
              <w:jc w:val="center"/>
              <w:rPr>
                <w:rFonts w:ascii="Times New Roman" w:eastAsia="Times New Roman" w:hAnsi="Times New Roman" w:cs="Times New Roman"/>
                <w:b/>
                <w:bCs/>
                <w:sz w:val="20"/>
                <w:szCs w:val="20"/>
                <w:lang w:val="en-US"/>
              </w:rPr>
            </w:pPr>
            <w:r w:rsidRPr="006A2A5E">
              <w:rPr>
                <w:rFonts w:ascii="Times New Roman" w:eastAsia="Times New Roman" w:hAnsi="Times New Roman" w:cs="Times New Roman"/>
                <w:b/>
                <w:bCs/>
                <w:sz w:val="20"/>
                <w:szCs w:val="20"/>
                <w:lang w:val="en-US"/>
              </w:rPr>
              <w:t> </w:t>
            </w:r>
          </w:p>
        </w:tc>
        <w:tc>
          <w:tcPr>
            <w:tcW w:w="68" w:type="pct"/>
            <w:tcBorders>
              <w:top w:val="single" w:sz="12" w:space="0" w:color="auto"/>
            </w:tcBorders>
            <w:shd w:val="clear" w:color="auto" w:fill="auto"/>
            <w:vAlign w:val="bottom"/>
            <w:hideMark/>
          </w:tcPr>
          <w:p w14:paraId="6391D0AA" w14:textId="77777777"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r w:rsidRPr="006A2A5E">
              <w:rPr>
                <w:rFonts w:ascii="Times New Roman" w:eastAsia="Times New Roman" w:hAnsi="Times New Roman" w:cs="Times New Roman"/>
                <w:b/>
                <w:bCs/>
                <w:sz w:val="20"/>
                <w:szCs w:val="20"/>
                <w:lang w:val="en-US"/>
              </w:rPr>
              <w:t> </w:t>
            </w:r>
          </w:p>
        </w:tc>
        <w:tc>
          <w:tcPr>
            <w:tcW w:w="68" w:type="pct"/>
            <w:tcBorders>
              <w:top w:val="single" w:sz="12" w:space="0" w:color="auto"/>
            </w:tcBorders>
            <w:shd w:val="clear" w:color="auto" w:fill="auto"/>
          </w:tcPr>
          <w:p w14:paraId="5453FEA1" w14:textId="77777777"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p>
        </w:tc>
        <w:tc>
          <w:tcPr>
            <w:tcW w:w="549" w:type="pct"/>
            <w:tcBorders>
              <w:top w:val="single" w:sz="12" w:space="0" w:color="auto"/>
            </w:tcBorders>
            <w:shd w:val="clear" w:color="auto" w:fill="auto"/>
          </w:tcPr>
          <w:p w14:paraId="16747A5F" w14:textId="4FBE5872"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p>
        </w:tc>
        <w:tc>
          <w:tcPr>
            <w:tcW w:w="68" w:type="pct"/>
            <w:shd w:val="clear" w:color="auto" w:fill="auto"/>
          </w:tcPr>
          <w:p w14:paraId="2C6A18F1" w14:textId="41312C12"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p>
        </w:tc>
      </w:tr>
      <w:tr w:rsidR="00913A14" w:rsidRPr="006A2A5E" w14:paraId="2D4054A1" w14:textId="7D4B8F3E" w:rsidTr="00D33273">
        <w:tc>
          <w:tcPr>
            <w:tcW w:w="2366" w:type="pct"/>
            <w:shd w:val="clear" w:color="auto" w:fill="auto"/>
            <w:vAlign w:val="bottom"/>
            <w:hideMark/>
          </w:tcPr>
          <w:p w14:paraId="2CDE5136" w14:textId="77777777"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r w:rsidRPr="006A2A5E">
              <w:rPr>
                <w:rFonts w:ascii="Times New Roman" w:eastAsia="Times New Roman" w:hAnsi="Times New Roman" w:cs="Times New Roman"/>
                <w:b/>
                <w:bCs/>
                <w:sz w:val="20"/>
                <w:szCs w:val="20"/>
                <w:lang w:val="en-US"/>
              </w:rPr>
              <w:t>ASSETS</w:t>
            </w:r>
          </w:p>
        </w:tc>
        <w:tc>
          <w:tcPr>
            <w:tcW w:w="441" w:type="pct"/>
            <w:shd w:val="clear" w:color="auto" w:fill="auto"/>
            <w:vAlign w:val="bottom"/>
            <w:hideMark/>
          </w:tcPr>
          <w:p w14:paraId="67DE56D0" w14:textId="2B9472F9" w:rsidR="00C84692" w:rsidRPr="006A2A5E" w:rsidRDefault="00C84692" w:rsidP="00CA4239">
            <w:pPr>
              <w:spacing w:after="0" w:line="240" w:lineRule="auto"/>
              <w:jc w:val="center"/>
              <w:rPr>
                <w:rFonts w:ascii="Times New Roman" w:eastAsia="Times New Roman" w:hAnsi="Times New Roman" w:cs="Times New Roman"/>
                <w:sz w:val="20"/>
                <w:szCs w:val="20"/>
                <w:lang w:val="en-US"/>
              </w:rPr>
            </w:pPr>
          </w:p>
        </w:tc>
        <w:tc>
          <w:tcPr>
            <w:tcW w:w="205" w:type="pct"/>
            <w:shd w:val="clear" w:color="auto" w:fill="auto"/>
            <w:vAlign w:val="bottom"/>
            <w:hideMark/>
          </w:tcPr>
          <w:p w14:paraId="57B54D5E" w14:textId="77777777" w:rsidR="00C84692" w:rsidRPr="00D33273" w:rsidRDefault="00C84692" w:rsidP="007F0E8A">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hideMark/>
          </w:tcPr>
          <w:p w14:paraId="6165E6E3" w14:textId="77777777" w:rsidR="00C84692" w:rsidRPr="00D33273" w:rsidRDefault="00C84692" w:rsidP="007F0E8A">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137" w:type="pct"/>
            <w:shd w:val="clear" w:color="auto" w:fill="auto"/>
            <w:vAlign w:val="bottom"/>
            <w:hideMark/>
          </w:tcPr>
          <w:p w14:paraId="1D578735"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vAlign w:val="bottom"/>
            <w:hideMark/>
          </w:tcPr>
          <w:p w14:paraId="635EAADD"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41CDC1EB" w14:textId="77777777" w:rsidR="00C84692" w:rsidRPr="006A2A5E" w:rsidRDefault="00C84692" w:rsidP="007F0E8A">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vAlign w:val="bottom"/>
            <w:hideMark/>
          </w:tcPr>
          <w:p w14:paraId="0D9521DA"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31C029CC"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17F2E47C" w14:textId="355C51F0"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c>
          <w:tcPr>
            <w:tcW w:w="68" w:type="pct"/>
            <w:shd w:val="clear" w:color="auto" w:fill="auto"/>
          </w:tcPr>
          <w:p w14:paraId="56C3387B" w14:textId="0D873B19"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r>
      <w:tr w:rsidR="00913A14" w:rsidRPr="006A2A5E" w14:paraId="005279CF" w14:textId="1A5AA35F" w:rsidTr="00D33273">
        <w:tc>
          <w:tcPr>
            <w:tcW w:w="2366" w:type="pct"/>
            <w:shd w:val="clear" w:color="auto" w:fill="auto"/>
            <w:vAlign w:val="bottom"/>
            <w:hideMark/>
          </w:tcPr>
          <w:p w14:paraId="17FB7351"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Current assets:</w:t>
            </w:r>
          </w:p>
        </w:tc>
        <w:tc>
          <w:tcPr>
            <w:tcW w:w="441" w:type="pct"/>
            <w:shd w:val="clear" w:color="auto" w:fill="auto"/>
            <w:vAlign w:val="bottom"/>
            <w:hideMark/>
          </w:tcPr>
          <w:p w14:paraId="2483A133" w14:textId="790B7BA4" w:rsidR="00C84692" w:rsidRPr="006A2A5E" w:rsidRDefault="00C84692" w:rsidP="00CA4239">
            <w:pPr>
              <w:spacing w:after="0" w:line="240" w:lineRule="auto"/>
              <w:jc w:val="center"/>
              <w:rPr>
                <w:rFonts w:ascii="Times New Roman" w:eastAsia="Times New Roman" w:hAnsi="Times New Roman" w:cs="Times New Roman"/>
                <w:sz w:val="20"/>
                <w:szCs w:val="20"/>
                <w:lang w:val="en-US"/>
              </w:rPr>
            </w:pPr>
          </w:p>
        </w:tc>
        <w:tc>
          <w:tcPr>
            <w:tcW w:w="205" w:type="pct"/>
            <w:shd w:val="clear" w:color="auto" w:fill="auto"/>
            <w:vAlign w:val="bottom"/>
            <w:hideMark/>
          </w:tcPr>
          <w:p w14:paraId="68CBF2E6" w14:textId="77777777" w:rsidR="00C84692" w:rsidRPr="00D33273" w:rsidRDefault="00C84692" w:rsidP="007F0E8A">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hideMark/>
          </w:tcPr>
          <w:p w14:paraId="7332456E" w14:textId="77777777" w:rsidR="00C84692" w:rsidRPr="00D33273" w:rsidRDefault="00C84692" w:rsidP="007F0E8A">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137" w:type="pct"/>
            <w:shd w:val="clear" w:color="auto" w:fill="auto"/>
            <w:vAlign w:val="bottom"/>
            <w:hideMark/>
          </w:tcPr>
          <w:p w14:paraId="6A9E9208"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vAlign w:val="bottom"/>
            <w:hideMark/>
          </w:tcPr>
          <w:p w14:paraId="3EC047BE"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718D2A99" w14:textId="77777777" w:rsidR="00C84692" w:rsidRPr="006A2A5E" w:rsidRDefault="00C84692" w:rsidP="007F0E8A">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vAlign w:val="bottom"/>
            <w:hideMark/>
          </w:tcPr>
          <w:p w14:paraId="4FA822F9"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6F85BCE3"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55795AE3" w14:textId="34104722"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c>
          <w:tcPr>
            <w:tcW w:w="68" w:type="pct"/>
            <w:shd w:val="clear" w:color="auto" w:fill="auto"/>
          </w:tcPr>
          <w:p w14:paraId="223A4170" w14:textId="5C341793"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r>
      <w:tr w:rsidR="00913A14" w:rsidRPr="006A2A5E" w14:paraId="59EC634E" w14:textId="2FED3BEE" w:rsidTr="00D33273">
        <w:tc>
          <w:tcPr>
            <w:tcW w:w="2366" w:type="pct"/>
            <w:shd w:val="clear" w:color="auto" w:fill="auto"/>
            <w:tcMar>
              <w:top w:w="0" w:type="dxa"/>
              <w:left w:w="200" w:type="dxa"/>
              <w:bottom w:w="0" w:type="dxa"/>
              <w:right w:w="0" w:type="dxa"/>
            </w:tcMar>
            <w:vAlign w:val="bottom"/>
            <w:hideMark/>
          </w:tcPr>
          <w:p w14:paraId="7717BB62"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Cash and cash equivalents</w:t>
            </w:r>
          </w:p>
        </w:tc>
        <w:tc>
          <w:tcPr>
            <w:tcW w:w="441" w:type="pct"/>
            <w:shd w:val="clear" w:color="auto" w:fill="auto"/>
            <w:vAlign w:val="bottom"/>
            <w:hideMark/>
          </w:tcPr>
          <w:p w14:paraId="647C9FDA" w14:textId="489343D4" w:rsidR="00C84692" w:rsidRPr="006A2A5E" w:rsidRDefault="00C84692" w:rsidP="00CA4239">
            <w:pPr>
              <w:spacing w:after="0" w:line="240" w:lineRule="auto"/>
              <w:jc w:val="center"/>
              <w:rPr>
                <w:rFonts w:ascii="Times New Roman" w:eastAsia="Times New Roman" w:hAnsi="Times New Roman" w:cs="Times New Roman"/>
                <w:sz w:val="20"/>
                <w:szCs w:val="20"/>
                <w:lang w:val="en-US"/>
              </w:rPr>
            </w:pPr>
          </w:p>
        </w:tc>
        <w:tc>
          <w:tcPr>
            <w:tcW w:w="205" w:type="pct"/>
            <w:shd w:val="clear" w:color="auto" w:fill="auto"/>
            <w:vAlign w:val="bottom"/>
            <w:hideMark/>
          </w:tcPr>
          <w:p w14:paraId="1C0D6329"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480" w:type="pct"/>
            <w:shd w:val="clear" w:color="auto" w:fill="auto"/>
            <w:vAlign w:val="bottom"/>
          </w:tcPr>
          <w:p w14:paraId="48A1E420" w14:textId="7FFDF9BD"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23,</w:t>
            </w:r>
            <w:r w:rsidR="00D50494">
              <w:rPr>
                <w:rFonts w:ascii="Times New Roman" w:eastAsia="Times New Roman" w:hAnsi="Times New Roman" w:cs="Times New Roman"/>
                <w:b/>
                <w:bCs/>
                <w:sz w:val="20"/>
                <w:szCs w:val="20"/>
                <w:lang w:val="en-US"/>
              </w:rPr>
              <w:t>502</w:t>
            </w:r>
            <w:r w:rsidRPr="00064A08">
              <w:rPr>
                <w:rFonts w:ascii="Times New Roman" w:eastAsia="Times New Roman" w:hAnsi="Times New Roman" w:cs="Times New Roman"/>
                <w:b/>
                <w:bCs/>
                <w:sz w:val="20"/>
                <w:szCs w:val="20"/>
                <w:lang w:val="en-US"/>
              </w:rPr>
              <w:t>,</w:t>
            </w:r>
            <w:r w:rsidR="00D50494">
              <w:rPr>
                <w:rFonts w:ascii="Times New Roman" w:eastAsia="Times New Roman" w:hAnsi="Times New Roman" w:cs="Times New Roman"/>
                <w:b/>
                <w:bCs/>
                <w:sz w:val="20"/>
                <w:szCs w:val="20"/>
                <w:lang w:val="en-US"/>
              </w:rPr>
              <w:t>519</w:t>
            </w:r>
          </w:p>
        </w:tc>
        <w:tc>
          <w:tcPr>
            <w:tcW w:w="137" w:type="pct"/>
            <w:shd w:val="clear" w:color="auto" w:fill="auto"/>
            <w:vAlign w:val="bottom"/>
            <w:hideMark/>
          </w:tcPr>
          <w:p w14:paraId="05B97D5D"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1C3848A0"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549" w:type="pct"/>
            <w:shd w:val="clear" w:color="auto" w:fill="auto"/>
            <w:vAlign w:val="bottom"/>
            <w:hideMark/>
          </w:tcPr>
          <w:p w14:paraId="3646DD78" w14:textId="7968E954"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1,026,990</w:t>
            </w:r>
          </w:p>
        </w:tc>
        <w:tc>
          <w:tcPr>
            <w:tcW w:w="68" w:type="pct"/>
            <w:shd w:val="clear" w:color="auto" w:fill="auto"/>
            <w:vAlign w:val="bottom"/>
            <w:hideMark/>
          </w:tcPr>
          <w:p w14:paraId="57AB1909" w14:textId="15B79BDE"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05F89DF0" w14:textId="3FE35EE0"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549" w:type="pct"/>
            <w:shd w:val="clear" w:color="auto" w:fill="auto"/>
          </w:tcPr>
          <w:p w14:paraId="4A3FCCD6" w14:textId="025F4F17"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202,712</w:t>
            </w:r>
          </w:p>
        </w:tc>
        <w:tc>
          <w:tcPr>
            <w:tcW w:w="68" w:type="pct"/>
            <w:shd w:val="clear" w:color="auto" w:fill="auto"/>
          </w:tcPr>
          <w:p w14:paraId="3B20F5EC" w14:textId="2BA0934D"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p>
        </w:tc>
      </w:tr>
      <w:tr w:rsidR="00913A14" w:rsidRPr="006A2A5E" w14:paraId="716EA78C" w14:textId="7A873E1D" w:rsidTr="00D33273">
        <w:tc>
          <w:tcPr>
            <w:tcW w:w="2366" w:type="pct"/>
            <w:shd w:val="clear" w:color="auto" w:fill="auto"/>
            <w:tcMar>
              <w:top w:w="0" w:type="dxa"/>
              <w:left w:w="200" w:type="dxa"/>
              <w:bottom w:w="0" w:type="dxa"/>
              <w:right w:w="0" w:type="dxa"/>
            </w:tcMar>
            <w:vAlign w:val="bottom"/>
            <w:hideMark/>
          </w:tcPr>
          <w:p w14:paraId="5CAA9CE6" w14:textId="6B00E1FC"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w:t>
            </w:r>
            <w:r w:rsidR="00CA4239">
              <w:rPr>
                <w:rFonts w:ascii="Times New Roman" w:eastAsia="Times New Roman" w:hAnsi="Times New Roman" w:cs="Times New Roman"/>
                <w:sz w:val="20"/>
                <w:szCs w:val="20"/>
                <w:lang w:val="en-US"/>
              </w:rPr>
              <w:t>mounts</w:t>
            </w:r>
            <w:r>
              <w:rPr>
                <w:rFonts w:ascii="Times New Roman" w:eastAsia="Times New Roman" w:hAnsi="Times New Roman" w:cs="Times New Roman"/>
                <w:sz w:val="20"/>
                <w:szCs w:val="20"/>
                <w:lang w:val="en-US"/>
              </w:rPr>
              <w:t xml:space="preserve"> r</w:t>
            </w:r>
            <w:r w:rsidRPr="006A2A5E">
              <w:rPr>
                <w:rFonts w:ascii="Times New Roman" w:eastAsia="Times New Roman" w:hAnsi="Times New Roman" w:cs="Times New Roman"/>
                <w:sz w:val="20"/>
                <w:szCs w:val="20"/>
                <w:lang w:val="en-US"/>
              </w:rPr>
              <w:t>eceivable</w:t>
            </w:r>
          </w:p>
        </w:tc>
        <w:tc>
          <w:tcPr>
            <w:tcW w:w="441" w:type="pct"/>
            <w:shd w:val="clear" w:color="auto" w:fill="auto"/>
            <w:vAlign w:val="bottom"/>
            <w:hideMark/>
          </w:tcPr>
          <w:p w14:paraId="1851FD2C" w14:textId="47FDCEBB" w:rsidR="00C84692" w:rsidRPr="006A2A5E" w:rsidRDefault="00EC0D31"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205" w:type="pct"/>
            <w:shd w:val="clear" w:color="auto" w:fill="auto"/>
            <w:vAlign w:val="bottom"/>
            <w:hideMark/>
          </w:tcPr>
          <w:p w14:paraId="1C6A3DC1"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32CFD481" w14:textId="63F8BFD1"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1,48</w:t>
            </w:r>
            <w:r w:rsidR="00D50494">
              <w:rPr>
                <w:rFonts w:ascii="Times New Roman" w:eastAsia="Times New Roman" w:hAnsi="Times New Roman" w:cs="Times New Roman"/>
                <w:b/>
                <w:bCs/>
                <w:sz w:val="20"/>
                <w:szCs w:val="20"/>
                <w:lang w:val="en-US"/>
              </w:rPr>
              <w:t>2</w:t>
            </w:r>
            <w:r w:rsidRPr="00064A08">
              <w:rPr>
                <w:rFonts w:ascii="Times New Roman" w:eastAsia="Times New Roman" w:hAnsi="Times New Roman" w:cs="Times New Roman"/>
                <w:b/>
                <w:bCs/>
                <w:sz w:val="20"/>
                <w:szCs w:val="20"/>
                <w:lang w:val="en-US"/>
              </w:rPr>
              <w:t>,</w:t>
            </w:r>
            <w:r w:rsidR="00D50494">
              <w:rPr>
                <w:rFonts w:ascii="Times New Roman" w:eastAsia="Times New Roman" w:hAnsi="Times New Roman" w:cs="Times New Roman"/>
                <w:b/>
                <w:bCs/>
                <w:sz w:val="20"/>
                <w:szCs w:val="20"/>
                <w:lang w:val="en-US"/>
              </w:rPr>
              <w:t>71</w:t>
            </w:r>
            <w:r w:rsidRPr="00064A08">
              <w:rPr>
                <w:rFonts w:ascii="Times New Roman" w:eastAsia="Times New Roman" w:hAnsi="Times New Roman" w:cs="Times New Roman"/>
                <w:b/>
                <w:bCs/>
                <w:sz w:val="20"/>
                <w:szCs w:val="20"/>
                <w:lang w:val="en-US"/>
              </w:rPr>
              <w:t>8</w:t>
            </w:r>
          </w:p>
        </w:tc>
        <w:tc>
          <w:tcPr>
            <w:tcW w:w="137" w:type="pct"/>
            <w:shd w:val="clear" w:color="auto" w:fill="auto"/>
            <w:vAlign w:val="bottom"/>
            <w:hideMark/>
          </w:tcPr>
          <w:p w14:paraId="6A1825F6"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1DCCEECB"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59F196A5" w14:textId="6FC2A559"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7</w:t>
            </w:r>
            <w:r>
              <w:rPr>
                <w:rFonts w:ascii="Times New Roman" w:eastAsia="Times New Roman" w:hAnsi="Times New Roman" w:cs="Times New Roman"/>
                <w:sz w:val="20"/>
                <w:szCs w:val="20"/>
                <w:lang w:val="en-US"/>
              </w:rPr>
              <w:t>09</w:t>
            </w:r>
            <w:r w:rsidRPr="006A2A5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805</w:t>
            </w:r>
          </w:p>
        </w:tc>
        <w:tc>
          <w:tcPr>
            <w:tcW w:w="68" w:type="pct"/>
            <w:shd w:val="clear" w:color="auto" w:fill="auto"/>
            <w:vAlign w:val="bottom"/>
            <w:hideMark/>
          </w:tcPr>
          <w:p w14:paraId="242D1AE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144ED0E1"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3D43853C" w14:textId="328B79FC"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773,311</w:t>
            </w:r>
          </w:p>
        </w:tc>
        <w:tc>
          <w:tcPr>
            <w:tcW w:w="68" w:type="pct"/>
            <w:shd w:val="clear" w:color="auto" w:fill="auto"/>
          </w:tcPr>
          <w:p w14:paraId="3166E781" w14:textId="0CA1FBBF"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29EFC803" w14:textId="53CC1B33" w:rsidTr="00D33273">
        <w:tc>
          <w:tcPr>
            <w:tcW w:w="2366" w:type="pct"/>
            <w:shd w:val="clear" w:color="auto" w:fill="auto"/>
            <w:tcMar>
              <w:top w:w="0" w:type="dxa"/>
              <w:left w:w="200" w:type="dxa"/>
              <w:bottom w:w="30" w:type="dxa"/>
              <w:right w:w="0" w:type="dxa"/>
            </w:tcMar>
            <w:vAlign w:val="bottom"/>
            <w:hideMark/>
          </w:tcPr>
          <w:p w14:paraId="0B79F447" w14:textId="50312C2A"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Prepaid expenses and deposits</w:t>
            </w:r>
          </w:p>
        </w:tc>
        <w:tc>
          <w:tcPr>
            <w:tcW w:w="441" w:type="pct"/>
            <w:shd w:val="clear" w:color="auto" w:fill="auto"/>
            <w:tcMar>
              <w:top w:w="0" w:type="dxa"/>
              <w:left w:w="0" w:type="dxa"/>
              <w:bottom w:w="30" w:type="dxa"/>
              <w:right w:w="0" w:type="dxa"/>
            </w:tcMar>
            <w:vAlign w:val="bottom"/>
            <w:hideMark/>
          </w:tcPr>
          <w:p w14:paraId="609D0562" w14:textId="4CD64E3F"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tcBorders>
              <w:bottom w:val="single" w:sz="12" w:space="0" w:color="auto"/>
            </w:tcBorders>
            <w:shd w:val="clear" w:color="auto" w:fill="auto"/>
            <w:vAlign w:val="bottom"/>
            <w:hideMark/>
          </w:tcPr>
          <w:p w14:paraId="02E46649" w14:textId="55A88162"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bottom w:val="single" w:sz="12" w:space="0" w:color="auto"/>
            </w:tcBorders>
            <w:shd w:val="clear" w:color="auto" w:fill="auto"/>
            <w:vAlign w:val="bottom"/>
          </w:tcPr>
          <w:p w14:paraId="0F349E4B" w14:textId="58E3A910" w:rsidR="00C84692" w:rsidRPr="007B5FA3" w:rsidRDefault="00D50494" w:rsidP="00BE5436">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4,150,400</w:t>
            </w:r>
          </w:p>
        </w:tc>
        <w:tc>
          <w:tcPr>
            <w:tcW w:w="137" w:type="pct"/>
            <w:shd w:val="clear" w:color="auto" w:fill="auto"/>
            <w:tcMar>
              <w:top w:w="0" w:type="dxa"/>
              <w:left w:w="0" w:type="dxa"/>
              <w:bottom w:w="30" w:type="dxa"/>
              <w:right w:w="0" w:type="dxa"/>
            </w:tcMar>
            <w:vAlign w:val="bottom"/>
            <w:hideMark/>
          </w:tcPr>
          <w:p w14:paraId="70A95752" w14:textId="296E70B4"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bottom w:val="single" w:sz="12" w:space="0" w:color="auto"/>
            </w:tcBorders>
            <w:shd w:val="clear" w:color="auto" w:fill="auto"/>
            <w:vAlign w:val="bottom"/>
            <w:hideMark/>
          </w:tcPr>
          <w:p w14:paraId="167D00A1" w14:textId="076173F1"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bottom w:val="single" w:sz="12" w:space="0" w:color="auto"/>
            </w:tcBorders>
            <w:shd w:val="clear" w:color="auto" w:fill="auto"/>
            <w:vAlign w:val="bottom"/>
            <w:hideMark/>
          </w:tcPr>
          <w:p w14:paraId="548DD324" w14:textId="6E98FC02"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95,503</w:t>
            </w:r>
          </w:p>
        </w:tc>
        <w:tc>
          <w:tcPr>
            <w:tcW w:w="68" w:type="pct"/>
            <w:shd w:val="clear" w:color="auto" w:fill="auto"/>
            <w:tcMar>
              <w:top w:w="0" w:type="dxa"/>
              <w:left w:w="0" w:type="dxa"/>
              <w:bottom w:w="30" w:type="dxa"/>
              <w:right w:w="0" w:type="dxa"/>
            </w:tcMar>
            <w:vAlign w:val="bottom"/>
            <w:hideMark/>
          </w:tcPr>
          <w:p w14:paraId="5FE9DDD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bottom w:val="single" w:sz="12" w:space="0" w:color="auto"/>
            </w:tcBorders>
            <w:shd w:val="clear" w:color="auto" w:fill="auto"/>
          </w:tcPr>
          <w:p w14:paraId="344A505B"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bottom w:val="single" w:sz="12" w:space="0" w:color="auto"/>
            </w:tcBorders>
            <w:shd w:val="clear" w:color="auto" w:fill="auto"/>
          </w:tcPr>
          <w:p w14:paraId="5DF94979" w14:textId="41368CF6"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24,302</w:t>
            </w:r>
          </w:p>
        </w:tc>
        <w:tc>
          <w:tcPr>
            <w:tcW w:w="68" w:type="pct"/>
            <w:shd w:val="clear" w:color="auto" w:fill="auto"/>
          </w:tcPr>
          <w:p w14:paraId="583C5D7A" w14:textId="625B2723"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7CB406EF" w14:textId="1EDAE504" w:rsidTr="00D33273">
        <w:tc>
          <w:tcPr>
            <w:tcW w:w="2366" w:type="pct"/>
            <w:shd w:val="clear" w:color="auto" w:fill="auto"/>
            <w:tcMar>
              <w:top w:w="0" w:type="dxa"/>
              <w:left w:w="400" w:type="dxa"/>
              <w:bottom w:w="0" w:type="dxa"/>
              <w:right w:w="0" w:type="dxa"/>
            </w:tcMar>
            <w:vAlign w:val="bottom"/>
            <w:hideMark/>
          </w:tcPr>
          <w:p w14:paraId="6ED8E531"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Total current assets</w:t>
            </w:r>
          </w:p>
        </w:tc>
        <w:tc>
          <w:tcPr>
            <w:tcW w:w="441" w:type="pct"/>
            <w:shd w:val="clear" w:color="auto" w:fill="auto"/>
            <w:vAlign w:val="bottom"/>
            <w:hideMark/>
          </w:tcPr>
          <w:p w14:paraId="11DD7B4B" w14:textId="5484963C"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tcBorders>
              <w:top w:val="single" w:sz="12" w:space="0" w:color="auto"/>
            </w:tcBorders>
            <w:shd w:val="clear" w:color="auto" w:fill="auto"/>
            <w:vAlign w:val="bottom"/>
            <w:hideMark/>
          </w:tcPr>
          <w:p w14:paraId="78CFB4B3"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top w:val="single" w:sz="12" w:space="0" w:color="auto"/>
            </w:tcBorders>
            <w:shd w:val="clear" w:color="auto" w:fill="auto"/>
            <w:vAlign w:val="bottom"/>
          </w:tcPr>
          <w:p w14:paraId="535429AB" w14:textId="30D9B97C" w:rsidR="00C84692" w:rsidRPr="007B5FA3" w:rsidRDefault="00D50494" w:rsidP="00BE5436">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29,135,637</w:t>
            </w:r>
          </w:p>
        </w:tc>
        <w:tc>
          <w:tcPr>
            <w:tcW w:w="137" w:type="pct"/>
            <w:shd w:val="clear" w:color="auto" w:fill="auto"/>
            <w:vAlign w:val="bottom"/>
            <w:hideMark/>
          </w:tcPr>
          <w:p w14:paraId="5ECF5BA9"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top w:val="single" w:sz="12" w:space="0" w:color="auto"/>
            </w:tcBorders>
            <w:shd w:val="clear" w:color="auto" w:fill="auto"/>
            <w:vAlign w:val="bottom"/>
            <w:hideMark/>
          </w:tcPr>
          <w:p w14:paraId="133186D6"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top w:val="single" w:sz="12" w:space="0" w:color="auto"/>
            </w:tcBorders>
            <w:shd w:val="clear" w:color="auto" w:fill="auto"/>
            <w:vAlign w:val="bottom"/>
            <w:hideMark/>
          </w:tcPr>
          <w:p w14:paraId="6E0E7D7B" w14:textId="249DDD85"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Pr="006A2A5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832</w:t>
            </w:r>
            <w:r w:rsidRPr="006A2A5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298</w:t>
            </w:r>
          </w:p>
        </w:tc>
        <w:tc>
          <w:tcPr>
            <w:tcW w:w="68" w:type="pct"/>
            <w:shd w:val="clear" w:color="auto" w:fill="auto"/>
            <w:vAlign w:val="bottom"/>
            <w:hideMark/>
          </w:tcPr>
          <w:p w14:paraId="3CF0CB4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top w:val="single" w:sz="12" w:space="0" w:color="auto"/>
            </w:tcBorders>
            <w:shd w:val="clear" w:color="auto" w:fill="auto"/>
          </w:tcPr>
          <w:p w14:paraId="7AED444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top w:val="single" w:sz="12" w:space="0" w:color="auto"/>
            </w:tcBorders>
            <w:shd w:val="clear" w:color="auto" w:fill="auto"/>
          </w:tcPr>
          <w:p w14:paraId="5A171ABA" w14:textId="56639BD6"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1,000,325</w:t>
            </w:r>
          </w:p>
        </w:tc>
        <w:tc>
          <w:tcPr>
            <w:tcW w:w="68" w:type="pct"/>
            <w:shd w:val="clear" w:color="auto" w:fill="auto"/>
          </w:tcPr>
          <w:p w14:paraId="4E90A02C" w14:textId="3F84860B"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152D7777" w14:textId="1D5D8A09" w:rsidTr="00D33273">
        <w:tc>
          <w:tcPr>
            <w:tcW w:w="2366" w:type="pct"/>
            <w:shd w:val="clear" w:color="auto" w:fill="auto"/>
            <w:vAlign w:val="bottom"/>
            <w:hideMark/>
          </w:tcPr>
          <w:p w14:paraId="217B0759"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Oil and gas properties, net</w:t>
            </w:r>
          </w:p>
        </w:tc>
        <w:tc>
          <w:tcPr>
            <w:tcW w:w="441" w:type="pct"/>
            <w:shd w:val="clear" w:color="auto" w:fill="auto"/>
            <w:vAlign w:val="bottom"/>
            <w:hideMark/>
          </w:tcPr>
          <w:p w14:paraId="07D59303" w14:textId="1813D9D4" w:rsidR="00C84692" w:rsidRPr="006A2A5E" w:rsidRDefault="00EC0D31"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205" w:type="pct"/>
            <w:shd w:val="clear" w:color="auto" w:fill="auto"/>
            <w:vAlign w:val="bottom"/>
            <w:hideMark/>
          </w:tcPr>
          <w:p w14:paraId="27759DFA"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663A4906" w14:textId="0F7062C3" w:rsidR="00C84692" w:rsidRPr="007B5FA3" w:rsidRDefault="00D50494" w:rsidP="00BE5436">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627,36</w:t>
            </w:r>
            <w:r w:rsidR="000F4262">
              <w:rPr>
                <w:rFonts w:ascii="Times New Roman" w:eastAsia="Times New Roman" w:hAnsi="Times New Roman" w:cs="Times New Roman"/>
                <w:b/>
                <w:bCs/>
                <w:sz w:val="20"/>
                <w:szCs w:val="20"/>
                <w:lang w:val="en-US"/>
              </w:rPr>
              <w:t>0</w:t>
            </w:r>
          </w:p>
        </w:tc>
        <w:tc>
          <w:tcPr>
            <w:tcW w:w="137" w:type="pct"/>
            <w:shd w:val="clear" w:color="auto" w:fill="auto"/>
            <w:vAlign w:val="bottom"/>
            <w:hideMark/>
          </w:tcPr>
          <w:p w14:paraId="651056C6"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617A76E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322FBCC1" w14:textId="1BAC469A"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6D7E83">
              <w:rPr>
                <w:rFonts w:ascii="Times New Roman" w:eastAsia="Times New Roman" w:hAnsi="Times New Roman" w:cs="Times New Roman"/>
                <w:sz w:val="20"/>
                <w:szCs w:val="20"/>
                <w:lang w:val="en-US"/>
              </w:rPr>
              <w:t>420,613</w:t>
            </w:r>
          </w:p>
        </w:tc>
        <w:tc>
          <w:tcPr>
            <w:tcW w:w="68" w:type="pct"/>
            <w:shd w:val="clear" w:color="auto" w:fill="auto"/>
            <w:vAlign w:val="bottom"/>
            <w:hideMark/>
          </w:tcPr>
          <w:p w14:paraId="6C690D3B"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48277B81"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37650DC7" w14:textId="3B1D5185" w:rsidR="00C84692" w:rsidRPr="006A2A5E" w:rsidRDefault="00012BC7"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2,224,473</w:t>
            </w:r>
          </w:p>
        </w:tc>
        <w:tc>
          <w:tcPr>
            <w:tcW w:w="68" w:type="pct"/>
            <w:shd w:val="clear" w:color="auto" w:fill="auto"/>
          </w:tcPr>
          <w:p w14:paraId="28852AC7" w14:textId="43693D64"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189B53FA" w14:textId="77777777" w:rsidTr="00D33273">
        <w:tc>
          <w:tcPr>
            <w:tcW w:w="2366" w:type="pct"/>
            <w:shd w:val="clear" w:color="auto" w:fill="auto"/>
            <w:vAlign w:val="bottom"/>
          </w:tcPr>
          <w:p w14:paraId="42C67B03" w14:textId="757979ED"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Evaluation and exploration assets </w:t>
            </w:r>
          </w:p>
        </w:tc>
        <w:tc>
          <w:tcPr>
            <w:tcW w:w="441" w:type="pct"/>
            <w:shd w:val="clear" w:color="auto" w:fill="auto"/>
            <w:vAlign w:val="bottom"/>
          </w:tcPr>
          <w:p w14:paraId="5369EB4B" w14:textId="5CC6DB3E" w:rsidR="00C84692" w:rsidRPr="006A2A5E" w:rsidRDefault="00EC0D31"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205" w:type="pct"/>
            <w:shd w:val="clear" w:color="auto" w:fill="auto"/>
            <w:vAlign w:val="bottom"/>
          </w:tcPr>
          <w:p w14:paraId="217487D8"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p>
        </w:tc>
        <w:tc>
          <w:tcPr>
            <w:tcW w:w="480" w:type="pct"/>
            <w:shd w:val="clear" w:color="auto" w:fill="auto"/>
            <w:vAlign w:val="bottom"/>
          </w:tcPr>
          <w:p w14:paraId="0E8C3D04" w14:textId="69C44E25"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3,111,59</w:t>
            </w:r>
            <w:r w:rsidR="000F4262">
              <w:rPr>
                <w:rFonts w:ascii="Times New Roman" w:eastAsia="Times New Roman" w:hAnsi="Times New Roman" w:cs="Times New Roman"/>
                <w:b/>
                <w:bCs/>
                <w:sz w:val="20"/>
                <w:szCs w:val="20"/>
                <w:lang w:val="en-US"/>
              </w:rPr>
              <w:t>1</w:t>
            </w:r>
          </w:p>
        </w:tc>
        <w:tc>
          <w:tcPr>
            <w:tcW w:w="137" w:type="pct"/>
            <w:shd w:val="clear" w:color="auto" w:fill="auto"/>
            <w:vAlign w:val="bottom"/>
          </w:tcPr>
          <w:p w14:paraId="350D8A3C"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p>
        </w:tc>
        <w:tc>
          <w:tcPr>
            <w:tcW w:w="68" w:type="pct"/>
            <w:shd w:val="clear" w:color="auto" w:fill="auto"/>
            <w:vAlign w:val="bottom"/>
          </w:tcPr>
          <w:p w14:paraId="4C92F31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vAlign w:val="bottom"/>
          </w:tcPr>
          <w:p w14:paraId="3C856033" w14:textId="0F562DD3" w:rsidR="00C84692" w:rsidRPr="006A2A5E" w:rsidRDefault="006F7BBF"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C84692">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16</w:t>
            </w:r>
            <w:r w:rsidR="00C84692">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14</w:t>
            </w:r>
            <w:r w:rsidR="006D7E83">
              <w:rPr>
                <w:rFonts w:ascii="Times New Roman" w:eastAsia="Times New Roman" w:hAnsi="Times New Roman" w:cs="Times New Roman"/>
                <w:sz w:val="20"/>
                <w:szCs w:val="20"/>
                <w:lang w:val="en-US"/>
              </w:rPr>
              <w:t>6</w:t>
            </w:r>
          </w:p>
        </w:tc>
        <w:tc>
          <w:tcPr>
            <w:tcW w:w="68" w:type="pct"/>
            <w:shd w:val="clear" w:color="auto" w:fill="auto"/>
            <w:vAlign w:val="bottom"/>
          </w:tcPr>
          <w:p w14:paraId="63C85500" w14:textId="7F4BC999"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68" w:type="pct"/>
            <w:shd w:val="clear" w:color="auto" w:fill="auto"/>
          </w:tcPr>
          <w:p w14:paraId="1771BDF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0192565A" w14:textId="53D5BBE7" w:rsidR="00C84692" w:rsidRPr="006A2A5E" w:rsidRDefault="0057049B" w:rsidP="001D1F4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3,1</w:t>
            </w:r>
            <w:r w:rsidR="00012BC7">
              <w:rPr>
                <w:rFonts w:ascii="Times New Roman" w:eastAsia="Times New Roman" w:hAnsi="Times New Roman" w:cs="Times New Roman"/>
                <w:sz w:val="20"/>
                <w:szCs w:val="20"/>
                <w:lang w:val="en-US"/>
              </w:rPr>
              <w:t>22,443</w:t>
            </w:r>
          </w:p>
        </w:tc>
        <w:tc>
          <w:tcPr>
            <w:tcW w:w="68" w:type="pct"/>
            <w:shd w:val="clear" w:color="auto" w:fill="auto"/>
          </w:tcPr>
          <w:p w14:paraId="66075A1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3A7EE50A" w14:textId="17C6CDEA" w:rsidTr="00D33273">
        <w:tc>
          <w:tcPr>
            <w:tcW w:w="2366" w:type="pct"/>
            <w:shd w:val="clear" w:color="auto" w:fill="auto"/>
            <w:vAlign w:val="bottom"/>
            <w:hideMark/>
          </w:tcPr>
          <w:p w14:paraId="0C4CBA6B"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Property and equipment, net</w:t>
            </w:r>
          </w:p>
        </w:tc>
        <w:tc>
          <w:tcPr>
            <w:tcW w:w="441" w:type="pct"/>
            <w:shd w:val="clear" w:color="auto" w:fill="auto"/>
            <w:vAlign w:val="bottom"/>
            <w:hideMark/>
          </w:tcPr>
          <w:p w14:paraId="76985876" w14:textId="52B610B0" w:rsidR="00C84692" w:rsidRPr="006A2A5E" w:rsidRDefault="00EC0D31"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205" w:type="pct"/>
            <w:shd w:val="clear" w:color="auto" w:fill="auto"/>
            <w:vAlign w:val="bottom"/>
            <w:hideMark/>
          </w:tcPr>
          <w:p w14:paraId="4D868C8B"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3DCA9D11" w14:textId="7194033A" w:rsidR="00C84692" w:rsidRPr="007B5FA3" w:rsidRDefault="00D50494" w:rsidP="00BE5436">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249,971</w:t>
            </w:r>
          </w:p>
        </w:tc>
        <w:tc>
          <w:tcPr>
            <w:tcW w:w="137" w:type="pct"/>
            <w:shd w:val="clear" w:color="auto" w:fill="auto"/>
            <w:vAlign w:val="bottom"/>
            <w:hideMark/>
          </w:tcPr>
          <w:p w14:paraId="20F87696"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0C9D71FA"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0F2A2B50" w14:textId="2DAB1970"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147,</w:t>
            </w:r>
            <w:r w:rsidR="001854C5">
              <w:rPr>
                <w:rFonts w:ascii="Times New Roman" w:eastAsia="Times New Roman" w:hAnsi="Times New Roman" w:cs="Times New Roman"/>
                <w:sz w:val="20"/>
                <w:szCs w:val="20"/>
                <w:lang w:val="en-US"/>
              </w:rPr>
              <w:t>134</w:t>
            </w:r>
          </w:p>
        </w:tc>
        <w:tc>
          <w:tcPr>
            <w:tcW w:w="68" w:type="pct"/>
            <w:shd w:val="clear" w:color="auto" w:fill="auto"/>
            <w:vAlign w:val="bottom"/>
            <w:hideMark/>
          </w:tcPr>
          <w:p w14:paraId="5FCC44F9"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4D9ADE26"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1C3B4D51" w14:textId="6B1CF013"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128,257</w:t>
            </w:r>
          </w:p>
        </w:tc>
        <w:tc>
          <w:tcPr>
            <w:tcW w:w="68" w:type="pct"/>
            <w:shd w:val="clear" w:color="auto" w:fill="auto"/>
          </w:tcPr>
          <w:p w14:paraId="40D657A2" w14:textId="3ACE6D13"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352D7E45" w14:textId="79ECC295" w:rsidTr="00D33273">
        <w:tc>
          <w:tcPr>
            <w:tcW w:w="2366" w:type="pct"/>
            <w:shd w:val="clear" w:color="auto" w:fill="auto"/>
            <w:tcMar>
              <w:top w:w="0" w:type="dxa"/>
              <w:left w:w="0" w:type="dxa"/>
              <w:bottom w:w="30" w:type="dxa"/>
              <w:right w:w="0" w:type="dxa"/>
            </w:tcMar>
            <w:vAlign w:val="bottom"/>
            <w:hideMark/>
          </w:tcPr>
          <w:p w14:paraId="729B672F"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Restricted cash</w:t>
            </w:r>
          </w:p>
        </w:tc>
        <w:tc>
          <w:tcPr>
            <w:tcW w:w="441" w:type="pct"/>
            <w:shd w:val="clear" w:color="auto" w:fill="auto"/>
            <w:tcMar>
              <w:top w:w="0" w:type="dxa"/>
              <w:left w:w="0" w:type="dxa"/>
              <w:bottom w:w="30" w:type="dxa"/>
              <w:right w:w="0" w:type="dxa"/>
            </w:tcMar>
            <w:vAlign w:val="bottom"/>
            <w:hideMark/>
          </w:tcPr>
          <w:p w14:paraId="4ED2692A" w14:textId="0A697569" w:rsidR="00C84692" w:rsidRPr="006A2A5E" w:rsidRDefault="00D6224D"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05" w:type="pct"/>
            <w:tcBorders>
              <w:bottom w:val="single" w:sz="12" w:space="0" w:color="auto"/>
            </w:tcBorders>
            <w:shd w:val="clear" w:color="auto" w:fill="auto"/>
            <w:vAlign w:val="bottom"/>
            <w:hideMark/>
          </w:tcPr>
          <w:p w14:paraId="79194A18"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bottom w:val="single" w:sz="12" w:space="0" w:color="auto"/>
            </w:tcBorders>
            <w:shd w:val="clear" w:color="auto" w:fill="auto"/>
            <w:vAlign w:val="bottom"/>
          </w:tcPr>
          <w:p w14:paraId="5A3C72C1" w14:textId="564CCC9E"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4,353</w:t>
            </w:r>
          </w:p>
        </w:tc>
        <w:tc>
          <w:tcPr>
            <w:tcW w:w="137" w:type="pct"/>
            <w:shd w:val="clear" w:color="auto" w:fill="auto"/>
            <w:tcMar>
              <w:top w:w="0" w:type="dxa"/>
              <w:left w:w="0" w:type="dxa"/>
              <w:bottom w:w="30" w:type="dxa"/>
              <w:right w:w="0" w:type="dxa"/>
            </w:tcMar>
            <w:vAlign w:val="bottom"/>
            <w:hideMark/>
          </w:tcPr>
          <w:p w14:paraId="5C0B2FA7"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bottom w:val="single" w:sz="12" w:space="0" w:color="auto"/>
            </w:tcBorders>
            <w:shd w:val="clear" w:color="auto" w:fill="auto"/>
            <w:vAlign w:val="bottom"/>
            <w:hideMark/>
          </w:tcPr>
          <w:p w14:paraId="2EF6AFE4"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bottom w:val="single" w:sz="12" w:space="0" w:color="auto"/>
            </w:tcBorders>
            <w:shd w:val="clear" w:color="auto" w:fill="auto"/>
            <w:vAlign w:val="bottom"/>
            <w:hideMark/>
          </w:tcPr>
          <w:p w14:paraId="48C68A8E" w14:textId="145F8465"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5,438</w:t>
            </w:r>
          </w:p>
        </w:tc>
        <w:tc>
          <w:tcPr>
            <w:tcW w:w="68" w:type="pct"/>
            <w:shd w:val="clear" w:color="auto" w:fill="auto"/>
            <w:tcMar>
              <w:top w:w="0" w:type="dxa"/>
              <w:left w:w="0" w:type="dxa"/>
              <w:bottom w:w="30" w:type="dxa"/>
              <w:right w:w="0" w:type="dxa"/>
            </w:tcMar>
            <w:vAlign w:val="bottom"/>
            <w:hideMark/>
          </w:tcPr>
          <w:p w14:paraId="03BE436E"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bottom w:val="single" w:sz="12" w:space="0" w:color="auto"/>
            </w:tcBorders>
            <w:shd w:val="clear" w:color="auto" w:fill="auto"/>
          </w:tcPr>
          <w:p w14:paraId="1A1EC04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bottom w:val="single" w:sz="12" w:space="0" w:color="auto"/>
            </w:tcBorders>
            <w:shd w:val="clear" w:color="auto" w:fill="auto"/>
          </w:tcPr>
          <w:p w14:paraId="0BD6FAC3" w14:textId="43BF08E8"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11,763</w:t>
            </w:r>
          </w:p>
        </w:tc>
        <w:tc>
          <w:tcPr>
            <w:tcW w:w="68" w:type="pct"/>
            <w:shd w:val="clear" w:color="auto" w:fill="auto"/>
          </w:tcPr>
          <w:p w14:paraId="0AF1BB14" w14:textId="2A11E6FB"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149498D9" w14:textId="76A2A5EF" w:rsidTr="00D33273">
        <w:tc>
          <w:tcPr>
            <w:tcW w:w="2366" w:type="pct"/>
            <w:shd w:val="clear" w:color="auto" w:fill="auto"/>
            <w:tcMar>
              <w:top w:w="0" w:type="dxa"/>
              <w:left w:w="400" w:type="dxa"/>
              <w:bottom w:w="30" w:type="dxa"/>
              <w:right w:w="0" w:type="dxa"/>
            </w:tcMar>
            <w:vAlign w:val="bottom"/>
            <w:hideMark/>
          </w:tcPr>
          <w:p w14:paraId="2D51F675"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Total assets</w:t>
            </w:r>
          </w:p>
        </w:tc>
        <w:tc>
          <w:tcPr>
            <w:tcW w:w="441" w:type="pct"/>
            <w:shd w:val="clear" w:color="auto" w:fill="auto"/>
            <w:tcMar>
              <w:top w:w="0" w:type="dxa"/>
              <w:left w:w="0" w:type="dxa"/>
              <w:bottom w:w="30" w:type="dxa"/>
              <w:right w:w="0" w:type="dxa"/>
            </w:tcMar>
            <w:vAlign w:val="bottom"/>
            <w:hideMark/>
          </w:tcPr>
          <w:p w14:paraId="3C68B4BB" w14:textId="419374C3"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tcBorders>
              <w:top w:val="single" w:sz="12" w:space="0" w:color="auto"/>
              <w:bottom w:val="single" w:sz="12" w:space="0" w:color="auto"/>
            </w:tcBorders>
            <w:shd w:val="clear" w:color="auto" w:fill="auto"/>
            <w:vAlign w:val="bottom"/>
            <w:hideMark/>
          </w:tcPr>
          <w:p w14:paraId="17EA35B0"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480" w:type="pct"/>
            <w:tcBorders>
              <w:top w:val="single" w:sz="12" w:space="0" w:color="auto"/>
              <w:bottom w:val="single" w:sz="12" w:space="0" w:color="auto"/>
            </w:tcBorders>
            <w:shd w:val="clear" w:color="auto" w:fill="auto"/>
            <w:vAlign w:val="bottom"/>
          </w:tcPr>
          <w:p w14:paraId="0F1A6CEB" w14:textId="0E2A575E"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33,</w:t>
            </w:r>
            <w:r w:rsidR="00D50494">
              <w:rPr>
                <w:rFonts w:ascii="Times New Roman" w:eastAsia="Times New Roman" w:hAnsi="Times New Roman" w:cs="Times New Roman"/>
                <w:b/>
                <w:bCs/>
                <w:sz w:val="20"/>
                <w:szCs w:val="20"/>
                <w:lang w:val="en-US"/>
              </w:rPr>
              <w:t>128</w:t>
            </w:r>
            <w:r w:rsidRPr="00064A08">
              <w:rPr>
                <w:rFonts w:ascii="Times New Roman" w:eastAsia="Times New Roman" w:hAnsi="Times New Roman" w:cs="Times New Roman"/>
                <w:b/>
                <w:bCs/>
                <w:sz w:val="20"/>
                <w:szCs w:val="20"/>
                <w:lang w:val="en-US"/>
              </w:rPr>
              <w:t>,</w:t>
            </w:r>
            <w:r w:rsidR="00D50494">
              <w:rPr>
                <w:rFonts w:ascii="Times New Roman" w:eastAsia="Times New Roman" w:hAnsi="Times New Roman" w:cs="Times New Roman"/>
                <w:b/>
                <w:bCs/>
                <w:sz w:val="20"/>
                <w:szCs w:val="20"/>
                <w:lang w:val="en-US"/>
              </w:rPr>
              <w:t>912</w:t>
            </w:r>
          </w:p>
        </w:tc>
        <w:tc>
          <w:tcPr>
            <w:tcW w:w="137" w:type="pct"/>
            <w:shd w:val="clear" w:color="auto" w:fill="auto"/>
            <w:tcMar>
              <w:top w:w="0" w:type="dxa"/>
              <w:left w:w="0" w:type="dxa"/>
              <w:bottom w:w="30" w:type="dxa"/>
              <w:right w:w="0" w:type="dxa"/>
            </w:tcMar>
            <w:vAlign w:val="bottom"/>
            <w:hideMark/>
          </w:tcPr>
          <w:p w14:paraId="03D12DE5"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top w:val="single" w:sz="12" w:space="0" w:color="auto"/>
              <w:bottom w:val="single" w:sz="12" w:space="0" w:color="auto"/>
            </w:tcBorders>
            <w:shd w:val="clear" w:color="auto" w:fill="auto"/>
            <w:vAlign w:val="bottom"/>
            <w:hideMark/>
          </w:tcPr>
          <w:p w14:paraId="757C23F9"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549" w:type="pct"/>
            <w:tcBorders>
              <w:top w:val="single" w:sz="12" w:space="0" w:color="auto"/>
              <w:bottom w:val="single" w:sz="12" w:space="0" w:color="auto"/>
            </w:tcBorders>
            <w:shd w:val="clear" w:color="auto" w:fill="auto"/>
            <w:vAlign w:val="bottom"/>
            <w:hideMark/>
          </w:tcPr>
          <w:p w14:paraId="367CF8E6" w14:textId="7B4C0A2A" w:rsidR="00C84692" w:rsidRPr="006A2A5E" w:rsidRDefault="006F7BBF"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C84692">
              <w:rPr>
                <w:rFonts w:ascii="Times New Roman" w:eastAsia="Times New Roman" w:hAnsi="Times New Roman" w:cs="Times New Roman"/>
                <w:sz w:val="20"/>
                <w:szCs w:val="20"/>
                <w:lang w:val="en-US"/>
              </w:rPr>
              <w:t>,</w:t>
            </w:r>
            <w:r w:rsidR="00730A46">
              <w:rPr>
                <w:rFonts w:ascii="Times New Roman" w:eastAsia="Times New Roman" w:hAnsi="Times New Roman" w:cs="Times New Roman"/>
                <w:sz w:val="20"/>
                <w:szCs w:val="20"/>
                <w:lang w:val="en-US"/>
              </w:rPr>
              <w:t>521,629</w:t>
            </w:r>
          </w:p>
        </w:tc>
        <w:tc>
          <w:tcPr>
            <w:tcW w:w="68" w:type="pct"/>
            <w:shd w:val="clear" w:color="auto" w:fill="auto"/>
            <w:tcMar>
              <w:top w:w="0" w:type="dxa"/>
              <w:left w:w="0" w:type="dxa"/>
              <w:bottom w:w="30" w:type="dxa"/>
              <w:right w:w="0" w:type="dxa"/>
            </w:tcMar>
            <w:vAlign w:val="bottom"/>
            <w:hideMark/>
          </w:tcPr>
          <w:p w14:paraId="736569B1"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top w:val="single" w:sz="12" w:space="0" w:color="auto"/>
              <w:bottom w:val="single" w:sz="12" w:space="0" w:color="auto"/>
            </w:tcBorders>
            <w:shd w:val="clear" w:color="auto" w:fill="auto"/>
          </w:tcPr>
          <w:p w14:paraId="066E01F2" w14:textId="7EF5ECD6"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549" w:type="pct"/>
            <w:tcBorders>
              <w:top w:val="single" w:sz="12" w:space="0" w:color="auto"/>
              <w:bottom w:val="single" w:sz="12" w:space="0" w:color="auto"/>
            </w:tcBorders>
            <w:shd w:val="clear" w:color="auto" w:fill="auto"/>
          </w:tcPr>
          <w:p w14:paraId="3A284191" w14:textId="2F2EE332" w:rsidR="00C84692" w:rsidRPr="006A2A5E" w:rsidRDefault="0057049B"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6,4</w:t>
            </w:r>
            <w:r w:rsidR="002527DF">
              <w:rPr>
                <w:rFonts w:ascii="Times New Roman" w:eastAsia="Times New Roman" w:hAnsi="Times New Roman" w:cs="Times New Roman"/>
                <w:sz w:val="20"/>
                <w:szCs w:val="20"/>
                <w:lang w:val="en-US"/>
              </w:rPr>
              <w:t>87</w:t>
            </w:r>
            <w:r>
              <w:rPr>
                <w:rFonts w:ascii="Times New Roman" w:eastAsia="Times New Roman" w:hAnsi="Times New Roman" w:cs="Times New Roman"/>
                <w:sz w:val="20"/>
                <w:szCs w:val="20"/>
                <w:lang w:val="en-US"/>
              </w:rPr>
              <w:t>,261</w:t>
            </w:r>
          </w:p>
        </w:tc>
        <w:tc>
          <w:tcPr>
            <w:tcW w:w="68" w:type="pct"/>
            <w:shd w:val="clear" w:color="auto" w:fill="auto"/>
          </w:tcPr>
          <w:p w14:paraId="58C4C074" w14:textId="515EBA92"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62421F4D" w14:textId="0F17FB15" w:rsidTr="00D33273">
        <w:tc>
          <w:tcPr>
            <w:tcW w:w="2366" w:type="pct"/>
            <w:shd w:val="clear" w:color="auto" w:fill="auto"/>
            <w:vAlign w:val="bottom"/>
            <w:hideMark/>
          </w:tcPr>
          <w:p w14:paraId="23B885E4" w14:textId="58CB8B7D" w:rsidR="00C84692" w:rsidRPr="006A2A5E" w:rsidRDefault="00C84692" w:rsidP="007F0E8A">
            <w:pPr>
              <w:spacing w:after="0" w:line="240" w:lineRule="auto"/>
              <w:jc w:val="both"/>
              <w:rPr>
                <w:rFonts w:ascii="Times New Roman" w:eastAsia="Times New Roman" w:hAnsi="Times New Roman" w:cs="Times New Roman"/>
                <w:b/>
                <w:bCs/>
                <w:sz w:val="20"/>
                <w:szCs w:val="20"/>
                <w:lang w:val="en-US"/>
              </w:rPr>
            </w:pPr>
            <w:r w:rsidRPr="006A2A5E">
              <w:rPr>
                <w:rFonts w:ascii="Times New Roman" w:eastAsia="Times New Roman" w:hAnsi="Times New Roman" w:cs="Times New Roman"/>
                <w:b/>
                <w:bCs/>
                <w:sz w:val="20"/>
                <w:szCs w:val="20"/>
                <w:lang w:val="en-US"/>
              </w:rPr>
              <w:t xml:space="preserve">LIABILITIES AND STOCKHOLDERS’ </w:t>
            </w:r>
            <w:r>
              <w:rPr>
                <w:rFonts w:ascii="Times New Roman" w:eastAsia="Times New Roman" w:hAnsi="Times New Roman" w:cs="Times New Roman"/>
                <w:b/>
                <w:bCs/>
                <w:sz w:val="20"/>
                <w:szCs w:val="20"/>
                <w:lang w:val="en-US"/>
              </w:rPr>
              <w:t>DEFICIENCY</w:t>
            </w:r>
          </w:p>
        </w:tc>
        <w:tc>
          <w:tcPr>
            <w:tcW w:w="441" w:type="pct"/>
            <w:shd w:val="clear" w:color="auto" w:fill="auto"/>
            <w:vAlign w:val="bottom"/>
            <w:hideMark/>
          </w:tcPr>
          <w:p w14:paraId="78F5331F" w14:textId="50F32C30"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tcBorders>
              <w:top w:val="single" w:sz="12" w:space="0" w:color="auto"/>
            </w:tcBorders>
            <w:shd w:val="clear" w:color="auto" w:fill="auto"/>
            <w:vAlign w:val="bottom"/>
            <w:hideMark/>
          </w:tcPr>
          <w:p w14:paraId="71B72E69" w14:textId="77777777" w:rsidR="00C84692" w:rsidRPr="00D33273" w:rsidRDefault="00C84692" w:rsidP="007F0E8A">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top w:val="single" w:sz="12" w:space="0" w:color="auto"/>
            </w:tcBorders>
            <w:shd w:val="clear" w:color="auto" w:fill="auto"/>
            <w:vAlign w:val="bottom"/>
            <w:hideMark/>
          </w:tcPr>
          <w:p w14:paraId="1B7C5F9E" w14:textId="77777777" w:rsidR="00C84692" w:rsidRPr="007B5FA3" w:rsidRDefault="00C84692" w:rsidP="007F0E8A">
            <w:pPr>
              <w:spacing w:after="0" w:line="240" w:lineRule="auto"/>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 </w:t>
            </w:r>
          </w:p>
        </w:tc>
        <w:tc>
          <w:tcPr>
            <w:tcW w:w="137" w:type="pct"/>
            <w:shd w:val="clear" w:color="auto" w:fill="auto"/>
            <w:vAlign w:val="bottom"/>
            <w:hideMark/>
          </w:tcPr>
          <w:p w14:paraId="0D6CF26A" w14:textId="77777777" w:rsidR="00C84692" w:rsidRPr="00D33273" w:rsidRDefault="00C84692" w:rsidP="007F0E8A">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top w:val="single" w:sz="12" w:space="0" w:color="auto"/>
            </w:tcBorders>
            <w:shd w:val="clear" w:color="auto" w:fill="auto"/>
            <w:vAlign w:val="bottom"/>
            <w:hideMark/>
          </w:tcPr>
          <w:p w14:paraId="3A0C168A"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top w:val="single" w:sz="12" w:space="0" w:color="auto"/>
            </w:tcBorders>
            <w:shd w:val="clear" w:color="auto" w:fill="auto"/>
            <w:vAlign w:val="bottom"/>
            <w:hideMark/>
          </w:tcPr>
          <w:p w14:paraId="7CC9764F" w14:textId="77777777" w:rsidR="00C84692" w:rsidRPr="006A2A5E" w:rsidRDefault="00C84692" w:rsidP="007F0E8A">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vAlign w:val="bottom"/>
            <w:hideMark/>
          </w:tcPr>
          <w:p w14:paraId="57CCAE28"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top w:val="single" w:sz="12" w:space="0" w:color="auto"/>
            </w:tcBorders>
            <w:shd w:val="clear" w:color="auto" w:fill="auto"/>
          </w:tcPr>
          <w:p w14:paraId="44D3392B"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c>
          <w:tcPr>
            <w:tcW w:w="549" w:type="pct"/>
            <w:tcBorders>
              <w:top w:val="single" w:sz="12" w:space="0" w:color="auto"/>
            </w:tcBorders>
            <w:shd w:val="clear" w:color="auto" w:fill="auto"/>
          </w:tcPr>
          <w:p w14:paraId="7591910A" w14:textId="454D62C7"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p>
        </w:tc>
        <w:tc>
          <w:tcPr>
            <w:tcW w:w="68" w:type="pct"/>
            <w:shd w:val="clear" w:color="auto" w:fill="auto"/>
          </w:tcPr>
          <w:p w14:paraId="26081F69" w14:textId="356818F0"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r>
      <w:tr w:rsidR="00913A14" w:rsidRPr="006A2A5E" w14:paraId="6A1ED022" w14:textId="20A9BD43" w:rsidTr="00D33273">
        <w:tc>
          <w:tcPr>
            <w:tcW w:w="2366" w:type="pct"/>
            <w:shd w:val="clear" w:color="auto" w:fill="auto"/>
            <w:vAlign w:val="bottom"/>
            <w:hideMark/>
          </w:tcPr>
          <w:p w14:paraId="1DB7C6F5"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Current liabilities:</w:t>
            </w:r>
          </w:p>
        </w:tc>
        <w:tc>
          <w:tcPr>
            <w:tcW w:w="441" w:type="pct"/>
            <w:shd w:val="clear" w:color="auto" w:fill="auto"/>
            <w:vAlign w:val="bottom"/>
            <w:hideMark/>
          </w:tcPr>
          <w:p w14:paraId="2E5873C1" w14:textId="1BF314FE"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shd w:val="clear" w:color="auto" w:fill="auto"/>
            <w:vAlign w:val="bottom"/>
            <w:hideMark/>
          </w:tcPr>
          <w:p w14:paraId="125D8949" w14:textId="77777777" w:rsidR="00C84692" w:rsidRPr="00D33273" w:rsidRDefault="00C84692" w:rsidP="007F0E8A">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hideMark/>
          </w:tcPr>
          <w:p w14:paraId="296864A7" w14:textId="77777777" w:rsidR="00C84692" w:rsidRPr="007B5FA3" w:rsidRDefault="00C84692" w:rsidP="007F0E8A">
            <w:pPr>
              <w:spacing w:after="0" w:line="240" w:lineRule="auto"/>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 </w:t>
            </w:r>
          </w:p>
        </w:tc>
        <w:tc>
          <w:tcPr>
            <w:tcW w:w="137" w:type="pct"/>
            <w:shd w:val="clear" w:color="auto" w:fill="auto"/>
            <w:vAlign w:val="bottom"/>
            <w:hideMark/>
          </w:tcPr>
          <w:p w14:paraId="24EA17D0" w14:textId="77777777" w:rsidR="00C84692" w:rsidRPr="00D33273" w:rsidRDefault="00C84692" w:rsidP="007F0E8A">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762154D1"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77BFD47A" w14:textId="77777777" w:rsidR="00C84692" w:rsidRPr="006A2A5E" w:rsidRDefault="00C84692" w:rsidP="007F0E8A">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vAlign w:val="bottom"/>
            <w:hideMark/>
          </w:tcPr>
          <w:p w14:paraId="15474495"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5246287C"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0DEA90C0" w14:textId="76450E65"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p>
        </w:tc>
        <w:tc>
          <w:tcPr>
            <w:tcW w:w="68" w:type="pct"/>
            <w:shd w:val="clear" w:color="auto" w:fill="auto"/>
          </w:tcPr>
          <w:p w14:paraId="2ACE7D12" w14:textId="6C763560"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r>
      <w:tr w:rsidR="00913A14" w:rsidRPr="006A2A5E" w14:paraId="300FEA1C" w14:textId="4EA0EB30" w:rsidTr="00D33273">
        <w:tc>
          <w:tcPr>
            <w:tcW w:w="2366" w:type="pct"/>
            <w:shd w:val="clear" w:color="auto" w:fill="auto"/>
            <w:tcMar>
              <w:top w:w="0" w:type="dxa"/>
              <w:left w:w="200" w:type="dxa"/>
              <w:bottom w:w="0" w:type="dxa"/>
              <w:right w:w="0" w:type="dxa"/>
            </w:tcMar>
            <w:vAlign w:val="bottom"/>
            <w:hideMark/>
          </w:tcPr>
          <w:p w14:paraId="3B23978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Accounts payable and accrued liabilities</w:t>
            </w:r>
          </w:p>
        </w:tc>
        <w:tc>
          <w:tcPr>
            <w:tcW w:w="441" w:type="pct"/>
            <w:shd w:val="clear" w:color="auto" w:fill="auto"/>
            <w:vAlign w:val="bottom"/>
            <w:hideMark/>
          </w:tcPr>
          <w:p w14:paraId="5F799E9D" w14:textId="577908CC"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shd w:val="clear" w:color="auto" w:fill="auto"/>
            <w:vAlign w:val="bottom"/>
            <w:hideMark/>
          </w:tcPr>
          <w:p w14:paraId="57C6D52F"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480" w:type="pct"/>
            <w:shd w:val="clear" w:color="auto" w:fill="auto"/>
            <w:vAlign w:val="bottom"/>
          </w:tcPr>
          <w:p w14:paraId="01ED585A" w14:textId="75AC22D7" w:rsidR="00C84692" w:rsidRPr="007B5FA3" w:rsidRDefault="00C84692" w:rsidP="00BE5436">
            <w:pPr>
              <w:spacing w:after="0" w:line="240" w:lineRule="auto"/>
              <w:ind w:left="1440" w:hanging="1440"/>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1,</w:t>
            </w:r>
            <w:r w:rsidR="007B5FA3" w:rsidRPr="00064A08">
              <w:rPr>
                <w:rFonts w:ascii="Times New Roman" w:eastAsia="Times New Roman" w:hAnsi="Times New Roman" w:cs="Times New Roman"/>
                <w:b/>
                <w:bCs/>
                <w:sz w:val="20"/>
                <w:szCs w:val="20"/>
                <w:lang w:val="en-US"/>
              </w:rPr>
              <w:t>437,</w:t>
            </w:r>
            <w:r w:rsidR="004B65C6">
              <w:rPr>
                <w:rFonts w:ascii="Times New Roman" w:eastAsia="Times New Roman" w:hAnsi="Times New Roman" w:cs="Times New Roman"/>
                <w:b/>
                <w:bCs/>
                <w:sz w:val="20"/>
                <w:szCs w:val="20"/>
                <w:lang w:val="en-US"/>
              </w:rPr>
              <w:t>097</w:t>
            </w:r>
          </w:p>
        </w:tc>
        <w:tc>
          <w:tcPr>
            <w:tcW w:w="137" w:type="pct"/>
            <w:shd w:val="clear" w:color="auto" w:fill="auto"/>
            <w:vAlign w:val="bottom"/>
            <w:hideMark/>
          </w:tcPr>
          <w:p w14:paraId="096313DF"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01A1920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549" w:type="pct"/>
            <w:shd w:val="clear" w:color="auto" w:fill="auto"/>
            <w:vAlign w:val="bottom"/>
            <w:hideMark/>
          </w:tcPr>
          <w:p w14:paraId="2E6C99CC" w14:textId="0179C679"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852</w:t>
            </w:r>
            <w:r w:rsidRPr="006A2A5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481</w:t>
            </w:r>
          </w:p>
        </w:tc>
        <w:tc>
          <w:tcPr>
            <w:tcW w:w="68" w:type="pct"/>
            <w:shd w:val="clear" w:color="auto" w:fill="auto"/>
            <w:vAlign w:val="bottom"/>
            <w:hideMark/>
          </w:tcPr>
          <w:p w14:paraId="1754ECDF"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5C96B39E" w14:textId="6DDA2834"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549" w:type="pct"/>
            <w:shd w:val="clear" w:color="auto" w:fill="auto"/>
          </w:tcPr>
          <w:p w14:paraId="2A2A4CA8" w14:textId="42AE0758"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1,496,510</w:t>
            </w:r>
          </w:p>
        </w:tc>
        <w:tc>
          <w:tcPr>
            <w:tcW w:w="68" w:type="pct"/>
            <w:shd w:val="clear" w:color="auto" w:fill="auto"/>
          </w:tcPr>
          <w:p w14:paraId="0E6B6D80" w14:textId="7ABFC660"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079A635A" w14:textId="4A5491E7" w:rsidTr="00D33273">
        <w:tc>
          <w:tcPr>
            <w:tcW w:w="2366" w:type="pct"/>
            <w:shd w:val="clear" w:color="auto" w:fill="auto"/>
            <w:tcMar>
              <w:top w:w="0" w:type="dxa"/>
              <w:left w:w="200" w:type="dxa"/>
              <w:bottom w:w="0" w:type="dxa"/>
              <w:right w:w="0" w:type="dxa"/>
            </w:tcMar>
            <w:vAlign w:val="bottom"/>
            <w:hideMark/>
          </w:tcPr>
          <w:p w14:paraId="6D95141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Loans payable </w:t>
            </w:r>
          </w:p>
        </w:tc>
        <w:tc>
          <w:tcPr>
            <w:tcW w:w="441" w:type="pct"/>
            <w:shd w:val="clear" w:color="auto" w:fill="auto"/>
            <w:vAlign w:val="bottom"/>
            <w:hideMark/>
          </w:tcPr>
          <w:p w14:paraId="0B31A03A" w14:textId="7E0FF7C9" w:rsidR="00C84692" w:rsidRPr="006A2A5E" w:rsidRDefault="00E26FA7"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205" w:type="pct"/>
            <w:shd w:val="clear" w:color="auto" w:fill="auto"/>
            <w:vAlign w:val="bottom"/>
            <w:hideMark/>
          </w:tcPr>
          <w:p w14:paraId="09DC7A5C"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6A4ED21E" w14:textId="67C185B8"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53,706</w:t>
            </w:r>
          </w:p>
        </w:tc>
        <w:tc>
          <w:tcPr>
            <w:tcW w:w="137" w:type="pct"/>
            <w:shd w:val="clear" w:color="auto" w:fill="auto"/>
            <w:vAlign w:val="bottom"/>
            <w:hideMark/>
          </w:tcPr>
          <w:p w14:paraId="6CDFB9AA"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58BE6ECF"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1CADEF57" w14:textId="2E298F1F"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630,534</w:t>
            </w:r>
          </w:p>
        </w:tc>
        <w:tc>
          <w:tcPr>
            <w:tcW w:w="68" w:type="pct"/>
            <w:shd w:val="clear" w:color="auto" w:fill="auto"/>
            <w:vAlign w:val="bottom"/>
            <w:hideMark/>
          </w:tcPr>
          <w:p w14:paraId="57C3A4E9"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6814A6D8"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269B9208" w14:textId="53D1F2D3"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549,424</w:t>
            </w:r>
          </w:p>
        </w:tc>
        <w:tc>
          <w:tcPr>
            <w:tcW w:w="68" w:type="pct"/>
            <w:shd w:val="clear" w:color="auto" w:fill="auto"/>
          </w:tcPr>
          <w:p w14:paraId="296E32EC" w14:textId="33CBA592"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5EA4B396" w14:textId="03A43FB6" w:rsidTr="00D33273">
        <w:tc>
          <w:tcPr>
            <w:tcW w:w="2366" w:type="pct"/>
            <w:shd w:val="clear" w:color="auto" w:fill="auto"/>
            <w:tcMar>
              <w:top w:w="0" w:type="dxa"/>
              <w:left w:w="200" w:type="dxa"/>
              <w:bottom w:w="30" w:type="dxa"/>
              <w:right w:w="0" w:type="dxa"/>
            </w:tcMar>
            <w:vAlign w:val="bottom"/>
            <w:hideMark/>
          </w:tcPr>
          <w:p w14:paraId="48E22BF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Lease liability </w:t>
            </w:r>
          </w:p>
        </w:tc>
        <w:tc>
          <w:tcPr>
            <w:tcW w:w="441" w:type="pct"/>
            <w:shd w:val="clear" w:color="auto" w:fill="auto"/>
            <w:tcMar>
              <w:top w:w="0" w:type="dxa"/>
              <w:left w:w="0" w:type="dxa"/>
              <w:bottom w:w="30" w:type="dxa"/>
              <w:right w:w="0" w:type="dxa"/>
            </w:tcMar>
            <w:vAlign w:val="bottom"/>
            <w:hideMark/>
          </w:tcPr>
          <w:p w14:paraId="27BD8C62" w14:textId="6B672E22" w:rsidR="00C84692" w:rsidRPr="006A2A5E" w:rsidRDefault="00E26FA7"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205" w:type="pct"/>
            <w:tcBorders>
              <w:bottom w:val="single" w:sz="12" w:space="0" w:color="auto"/>
            </w:tcBorders>
            <w:shd w:val="clear" w:color="auto" w:fill="auto"/>
            <w:vAlign w:val="bottom"/>
            <w:hideMark/>
          </w:tcPr>
          <w:p w14:paraId="2DBF436D"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bottom w:val="single" w:sz="12" w:space="0" w:color="auto"/>
            </w:tcBorders>
            <w:shd w:val="clear" w:color="auto" w:fill="auto"/>
            <w:vAlign w:val="bottom"/>
          </w:tcPr>
          <w:p w14:paraId="1D8A6C70" w14:textId="0633C82D" w:rsidR="00C84692" w:rsidRPr="007B5FA3" w:rsidRDefault="00D50494" w:rsidP="00BE5436">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4,312</w:t>
            </w:r>
          </w:p>
        </w:tc>
        <w:tc>
          <w:tcPr>
            <w:tcW w:w="137" w:type="pct"/>
            <w:shd w:val="clear" w:color="auto" w:fill="auto"/>
            <w:tcMar>
              <w:top w:w="0" w:type="dxa"/>
              <w:left w:w="0" w:type="dxa"/>
              <w:bottom w:w="30" w:type="dxa"/>
              <w:right w:w="0" w:type="dxa"/>
            </w:tcMar>
            <w:vAlign w:val="bottom"/>
            <w:hideMark/>
          </w:tcPr>
          <w:p w14:paraId="626ED53C"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bottom w:val="single" w:sz="12" w:space="0" w:color="auto"/>
            </w:tcBorders>
            <w:shd w:val="clear" w:color="auto" w:fill="auto"/>
            <w:vAlign w:val="bottom"/>
            <w:hideMark/>
          </w:tcPr>
          <w:p w14:paraId="38C8A56E"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bottom w:val="single" w:sz="12" w:space="0" w:color="auto"/>
            </w:tcBorders>
            <w:shd w:val="clear" w:color="auto" w:fill="auto"/>
            <w:vAlign w:val="bottom"/>
            <w:hideMark/>
          </w:tcPr>
          <w:p w14:paraId="047F3319" w14:textId="00C00FA0"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6,732</w:t>
            </w:r>
          </w:p>
        </w:tc>
        <w:tc>
          <w:tcPr>
            <w:tcW w:w="68" w:type="pct"/>
            <w:shd w:val="clear" w:color="auto" w:fill="auto"/>
            <w:tcMar>
              <w:top w:w="0" w:type="dxa"/>
              <w:left w:w="0" w:type="dxa"/>
              <w:bottom w:w="30" w:type="dxa"/>
              <w:right w:w="0" w:type="dxa"/>
            </w:tcMar>
            <w:vAlign w:val="bottom"/>
            <w:hideMark/>
          </w:tcPr>
          <w:p w14:paraId="1ED7FA29"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bottom w:val="single" w:sz="12" w:space="0" w:color="auto"/>
            </w:tcBorders>
            <w:shd w:val="clear" w:color="auto" w:fill="auto"/>
          </w:tcPr>
          <w:p w14:paraId="032144C9"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bottom w:val="single" w:sz="12" w:space="0" w:color="auto"/>
            </w:tcBorders>
            <w:shd w:val="clear" w:color="auto" w:fill="auto"/>
          </w:tcPr>
          <w:p w14:paraId="18EDE942" w14:textId="777E920E"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12,116</w:t>
            </w:r>
          </w:p>
        </w:tc>
        <w:tc>
          <w:tcPr>
            <w:tcW w:w="68" w:type="pct"/>
            <w:shd w:val="clear" w:color="auto" w:fill="auto"/>
          </w:tcPr>
          <w:p w14:paraId="4F2CD087" w14:textId="393DF50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62F91C8E" w14:textId="0548B9B7" w:rsidTr="00D33273">
        <w:tc>
          <w:tcPr>
            <w:tcW w:w="2366" w:type="pct"/>
            <w:shd w:val="clear" w:color="auto" w:fill="auto"/>
            <w:tcMar>
              <w:top w:w="0" w:type="dxa"/>
              <w:left w:w="400" w:type="dxa"/>
              <w:bottom w:w="0" w:type="dxa"/>
              <w:right w:w="0" w:type="dxa"/>
            </w:tcMar>
            <w:vAlign w:val="bottom"/>
            <w:hideMark/>
          </w:tcPr>
          <w:p w14:paraId="6F8A6046"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Total current liabilities</w:t>
            </w:r>
          </w:p>
        </w:tc>
        <w:tc>
          <w:tcPr>
            <w:tcW w:w="441" w:type="pct"/>
            <w:shd w:val="clear" w:color="auto" w:fill="auto"/>
            <w:vAlign w:val="bottom"/>
            <w:hideMark/>
          </w:tcPr>
          <w:p w14:paraId="2A9C5504" w14:textId="2B04C531"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tcBorders>
              <w:top w:val="single" w:sz="12" w:space="0" w:color="auto"/>
            </w:tcBorders>
            <w:shd w:val="clear" w:color="auto" w:fill="auto"/>
            <w:vAlign w:val="bottom"/>
            <w:hideMark/>
          </w:tcPr>
          <w:p w14:paraId="4A765065"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top w:val="single" w:sz="12" w:space="0" w:color="auto"/>
            </w:tcBorders>
            <w:shd w:val="clear" w:color="auto" w:fill="auto"/>
            <w:vAlign w:val="bottom"/>
          </w:tcPr>
          <w:p w14:paraId="37F719A5" w14:textId="0E6DAAEC" w:rsidR="00C84692" w:rsidRPr="007B5FA3" w:rsidRDefault="00C84692" w:rsidP="00BE5436">
            <w:pPr>
              <w:spacing w:after="0" w:line="240" w:lineRule="auto"/>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1</w:t>
            </w:r>
            <w:r w:rsidR="007B5FA3" w:rsidRPr="00064A08">
              <w:rPr>
                <w:rFonts w:ascii="Times New Roman" w:eastAsia="Times New Roman" w:hAnsi="Times New Roman" w:cs="Times New Roman"/>
                <w:b/>
                <w:bCs/>
                <w:sz w:val="20"/>
                <w:szCs w:val="20"/>
                <w:lang w:val="en-US"/>
              </w:rPr>
              <w:t>,</w:t>
            </w:r>
            <w:r w:rsidR="00D50494">
              <w:rPr>
                <w:rFonts w:ascii="Times New Roman" w:eastAsia="Times New Roman" w:hAnsi="Times New Roman" w:cs="Times New Roman"/>
                <w:b/>
                <w:bCs/>
                <w:sz w:val="20"/>
                <w:szCs w:val="20"/>
                <w:lang w:val="en-US"/>
              </w:rPr>
              <w:t>495,</w:t>
            </w:r>
            <w:r w:rsidR="004B65C6">
              <w:rPr>
                <w:rFonts w:ascii="Times New Roman" w:eastAsia="Times New Roman" w:hAnsi="Times New Roman" w:cs="Times New Roman"/>
                <w:b/>
                <w:bCs/>
                <w:sz w:val="20"/>
                <w:szCs w:val="20"/>
                <w:lang w:val="en-US"/>
              </w:rPr>
              <w:t>115</w:t>
            </w:r>
          </w:p>
        </w:tc>
        <w:tc>
          <w:tcPr>
            <w:tcW w:w="137" w:type="pct"/>
            <w:shd w:val="clear" w:color="auto" w:fill="auto"/>
            <w:vAlign w:val="bottom"/>
            <w:hideMark/>
          </w:tcPr>
          <w:p w14:paraId="1D9F9873"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top w:val="single" w:sz="12" w:space="0" w:color="auto"/>
            </w:tcBorders>
            <w:shd w:val="clear" w:color="auto" w:fill="auto"/>
            <w:vAlign w:val="bottom"/>
            <w:hideMark/>
          </w:tcPr>
          <w:p w14:paraId="650D8DB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top w:val="single" w:sz="12" w:space="0" w:color="auto"/>
            </w:tcBorders>
            <w:shd w:val="clear" w:color="auto" w:fill="auto"/>
            <w:vAlign w:val="bottom"/>
            <w:hideMark/>
          </w:tcPr>
          <w:p w14:paraId="54037B4D" w14:textId="3542088E"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489</w:t>
            </w:r>
            <w:r w:rsidRPr="006A2A5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747</w:t>
            </w:r>
          </w:p>
        </w:tc>
        <w:tc>
          <w:tcPr>
            <w:tcW w:w="68" w:type="pct"/>
            <w:shd w:val="clear" w:color="auto" w:fill="auto"/>
            <w:vAlign w:val="bottom"/>
            <w:hideMark/>
          </w:tcPr>
          <w:p w14:paraId="249E2B8A"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top w:val="single" w:sz="12" w:space="0" w:color="auto"/>
            </w:tcBorders>
            <w:shd w:val="clear" w:color="auto" w:fill="auto"/>
          </w:tcPr>
          <w:p w14:paraId="175FEE7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top w:val="single" w:sz="12" w:space="0" w:color="auto"/>
            </w:tcBorders>
            <w:shd w:val="clear" w:color="auto" w:fill="auto"/>
          </w:tcPr>
          <w:p w14:paraId="5D70EA16" w14:textId="0393DB19"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2,058,050</w:t>
            </w:r>
          </w:p>
        </w:tc>
        <w:tc>
          <w:tcPr>
            <w:tcW w:w="68" w:type="pct"/>
            <w:shd w:val="clear" w:color="auto" w:fill="auto"/>
          </w:tcPr>
          <w:p w14:paraId="52095FD2" w14:textId="7A1A4909"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4EC94E1C" w14:textId="4CADD9EC" w:rsidTr="00D33273">
        <w:tc>
          <w:tcPr>
            <w:tcW w:w="2366" w:type="pct"/>
            <w:shd w:val="clear" w:color="auto" w:fill="auto"/>
            <w:vAlign w:val="bottom"/>
            <w:hideMark/>
          </w:tcPr>
          <w:p w14:paraId="09C9621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Asset retirement obligation</w:t>
            </w:r>
          </w:p>
        </w:tc>
        <w:tc>
          <w:tcPr>
            <w:tcW w:w="441" w:type="pct"/>
            <w:shd w:val="clear" w:color="auto" w:fill="auto"/>
            <w:vAlign w:val="bottom"/>
            <w:hideMark/>
          </w:tcPr>
          <w:p w14:paraId="0DC57C94" w14:textId="28517C3F" w:rsidR="00C84692" w:rsidRPr="006A2A5E" w:rsidRDefault="00D6224D"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E26FA7">
              <w:rPr>
                <w:rFonts w:ascii="Times New Roman" w:eastAsia="Times New Roman" w:hAnsi="Times New Roman" w:cs="Times New Roman"/>
                <w:sz w:val="20"/>
                <w:szCs w:val="20"/>
                <w:lang w:val="en-US"/>
              </w:rPr>
              <w:t>1</w:t>
            </w:r>
          </w:p>
        </w:tc>
        <w:tc>
          <w:tcPr>
            <w:tcW w:w="205" w:type="pct"/>
            <w:shd w:val="clear" w:color="auto" w:fill="auto"/>
            <w:vAlign w:val="bottom"/>
            <w:hideMark/>
          </w:tcPr>
          <w:p w14:paraId="6C48FA47"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46B65EB1" w14:textId="3ECA4EFF"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8,431,633</w:t>
            </w:r>
          </w:p>
        </w:tc>
        <w:tc>
          <w:tcPr>
            <w:tcW w:w="137" w:type="pct"/>
            <w:shd w:val="clear" w:color="auto" w:fill="auto"/>
            <w:vAlign w:val="bottom"/>
            <w:hideMark/>
          </w:tcPr>
          <w:p w14:paraId="5D5B9187"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77645284"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5EBE991F" w14:textId="79245244"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8,993,108</w:t>
            </w:r>
          </w:p>
        </w:tc>
        <w:tc>
          <w:tcPr>
            <w:tcW w:w="68" w:type="pct"/>
            <w:shd w:val="clear" w:color="auto" w:fill="auto"/>
            <w:vAlign w:val="bottom"/>
            <w:hideMark/>
          </w:tcPr>
          <w:p w14:paraId="51052E2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3F87F41F"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25A16BAC" w14:textId="0077DE85"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9,355,422</w:t>
            </w:r>
          </w:p>
        </w:tc>
        <w:tc>
          <w:tcPr>
            <w:tcW w:w="68" w:type="pct"/>
            <w:shd w:val="clear" w:color="auto" w:fill="auto"/>
          </w:tcPr>
          <w:p w14:paraId="448E1C62" w14:textId="4FD125BC"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57BE5342" w14:textId="1AE3B9CA" w:rsidTr="00D33273">
        <w:tc>
          <w:tcPr>
            <w:tcW w:w="2366" w:type="pct"/>
            <w:shd w:val="clear" w:color="auto" w:fill="auto"/>
            <w:vAlign w:val="bottom"/>
            <w:hideMark/>
          </w:tcPr>
          <w:p w14:paraId="1BC6793E"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Loans payable </w:t>
            </w:r>
          </w:p>
        </w:tc>
        <w:tc>
          <w:tcPr>
            <w:tcW w:w="441" w:type="pct"/>
            <w:shd w:val="clear" w:color="auto" w:fill="auto"/>
            <w:vAlign w:val="bottom"/>
            <w:hideMark/>
          </w:tcPr>
          <w:p w14:paraId="2825F6AC" w14:textId="1BBE15F6" w:rsidR="00C84692" w:rsidRPr="006A2A5E" w:rsidRDefault="00E26FA7"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205" w:type="pct"/>
            <w:shd w:val="clear" w:color="auto" w:fill="auto"/>
            <w:vAlign w:val="bottom"/>
            <w:hideMark/>
          </w:tcPr>
          <w:p w14:paraId="5374F256"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48819C84" w14:textId="7245632D"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63,444</w:t>
            </w:r>
          </w:p>
        </w:tc>
        <w:tc>
          <w:tcPr>
            <w:tcW w:w="137" w:type="pct"/>
            <w:shd w:val="clear" w:color="auto" w:fill="auto"/>
            <w:vAlign w:val="bottom"/>
            <w:hideMark/>
          </w:tcPr>
          <w:p w14:paraId="2F5E5489"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6C84BA6B"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3AF08AD1" w14:textId="19AE9B36"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18,513</w:t>
            </w:r>
          </w:p>
        </w:tc>
        <w:tc>
          <w:tcPr>
            <w:tcW w:w="68" w:type="pct"/>
            <w:shd w:val="clear" w:color="auto" w:fill="auto"/>
            <w:vAlign w:val="bottom"/>
            <w:hideMark/>
          </w:tcPr>
          <w:p w14:paraId="390A35CA"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5437247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4097A515" w14:textId="786ED790"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17,730</w:t>
            </w:r>
          </w:p>
        </w:tc>
        <w:tc>
          <w:tcPr>
            <w:tcW w:w="68" w:type="pct"/>
            <w:shd w:val="clear" w:color="auto" w:fill="auto"/>
          </w:tcPr>
          <w:p w14:paraId="2D5B3A39" w14:textId="3CAC7F2D"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7233B726" w14:textId="1FD56D42" w:rsidTr="00D33273">
        <w:tc>
          <w:tcPr>
            <w:tcW w:w="2366" w:type="pct"/>
            <w:shd w:val="clear" w:color="auto" w:fill="auto"/>
            <w:vAlign w:val="bottom"/>
            <w:hideMark/>
          </w:tcPr>
          <w:p w14:paraId="3B8CF2C1"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Convertible debt</w:t>
            </w:r>
          </w:p>
        </w:tc>
        <w:tc>
          <w:tcPr>
            <w:tcW w:w="441" w:type="pct"/>
            <w:shd w:val="clear" w:color="auto" w:fill="auto"/>
            <w:vAlign w:val="bottom"/>
            <w:hideMark/>
          </w:tcPr>
          <w:p w14:paraId="29499F8B" w14:textId="6F0245D9" w:rsidR="00C84692" w:rsidRPr="006A2A5E" w:rsidRDefault="00681372"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E26FA7">
              <w:rPr>
                <w:rFonts w:ascii="Times New Roman" w:eastAsia="Times New Roman" w:hAnsi="Times New Roman" w:cs="Times New Roman"/>
                <w:sz w:val="20"/>
                <w:szCs w:val="20"/>
                <w:lang w:val="en-US"/>
              </w:rPr>
              <w:t>2</w:t>
            </w:r>
          </w:p>
        </w:tc>
        <w:tc>
          <w:tcPr>
            <w:tcW w:w="205" w:type="pct"/>
            <w:shd w:val="clear" w:color="auto" w:fill="auto"/>
            <w:vAlign w:val="bottom"/>
            <w:hideMark/>
          </w:tcPr>
          <w:p w14:paraId="087A71A3"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5C664165" w14:textId="6B664A0E" w:rsidR="00C84692" w:rsidRPr="007B5FA3" w:rsidRDefault="0072468D" w:rsidP="00BE5436">
            <w:pPr>
              <w:spacing w:after="0" w:line="240" w:lineRule="auto"/>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w:t>
            </w:r>
          </w:p>
        </w:tc>
        <w:tc>
          <w:tcPr>
            <w:tcW w:w="137" w:type="pct"/>
            <w:shd w:val="clear" w:color="auto" w:fill="auto"/>
            <w:vAlign w:val="bottom"/>
            <w:hideMark/>
          </w:tcPr>
          <w:p w14:paraId="59E7AEF5"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5027CD62"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21FF1540" w14:textId="4E445123"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68" w:type="pct"/>
            <w:shd w:val="clear" w:color="auto" w:fill="auto"/>
            <w:vAlign w:val="bottom"/>
            <w:hideMark/>
          </w:tcPr>
          <w:p w14:paraId="51DEFA4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59D7080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17D4EFD2" w14:textId="717E7B1A"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11,027</w:t>
            </w:r>
          </w:p>
        </w:tc>
        <w:tc>
          <w:tcPr>
            <w:tcW w:w="68" w:type="pct"/>
            <w:shd w:val="clear" w:color="auto" w:fill="auto"/>
          </w:tcPr>
          <w:p w14:paraId="59CD3A91" w14:textId="14A4F843"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23BBC561" w14:textId="314CB25B" w:rsidTr="00D33273">
        <w:tc>
          <w:tcPr>
            <w:tcW w:w="2366" w:type="pct"/>
            <w:shd w:val="clear" w:color="auto" w:fill="auto"/>
            <w:vAlign w:val="bottom"/>
            <w:hideMark/>
          </w:tcPr>
          <w:p w14:paraId="450632B4"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Derivative liability</w:t>
            </w:r>
          </w:p>
        </w:tc>
        <w:tc>
          <w:tcPr>
            <w:tcW w:w="441" w:type="pct"/>
            <w:shd w:val="clear" w:color="auto" w:fill="auto"/>
            <w:vAlign w:val="bottom"/>
            <w:hideMark/>
          </w:tcPr>
          <w:p w14:paraId="19D3EDA6" w14:textId="1562138F" w:rsidR="00C84692" w:rsidRPr="006A2A5E" w:rsidRDefault="00681372"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E26FA7">
              <w:rPr>
                <w:rFonts w:ascii="Times New Roman" w:eastAsia="Times New Roman" w:hAnsi="Times New Roman" w:cs="Times New Roman"/>
                <w:sz w:val="20"/>
                <w:szCs w:val="20"/>
                <w:lang w:val="en-US"/>
              </w:rPr>
              <w:t>5</w:t>
            </w:r>
          </w:p>
        </w:tc>
        <w:tc>
          <w:tcPr>
            <w:tcW w:w="205" w:type="pct"/>
            <w:shd w:val="clear" w:color="auto" w:fill="auto"/>
            <w:vAlign w:val="bottom"/>
            <w:hideMark/>
          </w:tcPr>
          <w:p w14:paraId="7250AD01"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1C09E5F1" w14:textId="6AFAADAE"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516,903</w:t>
            </w:r>
          </w:p>
        </w:tc>
        <w:tc>
          <w:tcPr>
            <w:tcW w:w="137" w:type="pct"/>
            <w:shd w:val="clear" w:color="auto" w:fill="auto"/>
            <w:vAlign w:val="bottom"/>
            <w:hideMark/>
          </w:tcPr>
          <w:p w14:paraId="42C71BA7"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28DEC5FA"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055DE329" w14:textId="0DFFE5BA"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472,899</w:t>
            </w:r>
          </w:p>
        </w:tc>
        <w:tc>
          <w:tcPr>
            <w:tcW w:w="68" w:type="pct"/>
            <w:shd w:val="clear" w:color="auto" w:fill="auto"/>
            <w:vAlign w:val="bottom"/>
            <w:hideMark/>
          </w:tcPr>
          <w:p w14:paraId="7DE05F7A"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44FD554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432C4308" w14:textId="618ABCB8"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1,804,572</w:t>
            </w:r>
          </w:p>
        </w:tc>
        <w:tc>
          <w:tcPr>
            <w:tcW w:w="68" w:type="pct"/>
            <w:shd w:val="clear" w:color="auto" w:fill="auto"/>
          </w:tcPr>
          <w:p w14:paraId="66631331" w14:textId="5F00F7B8"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2FB5424C" w14:textId="01E4193E" w:rsidTr="00D33273">
        <w:tc>
          <w:tcPr>
            <w:tcW w:w="2366" w:type="pct"/>
            <w:shd w:val="clear" w:color="auto" w:fill="auto"/>
            <w:tcMar>
              <w:top w:w="0" w:type="dxa"/>
              <w:left w:w="0" w:type="dxa"/>
              <w:bottom w:w="30" w:type="dxa"/>
              <w:right w:w="0" w:type="dxa"/>
            </w:tcMar>
            <w:vAlign w:val="bottom"/>
            <w:hideMark/>
          </w:tcPr>
          <w:p w14:paraId="758FF00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Lease liability</w:t>
            </w:r>
          </w:p>
        </w:tc>
        <w:tc>
          <w:tcPr>
            <w:tcW w:w="441" w:type="pct"/>
            <w:shd w:val="clear" w:color="auto" w:fill="auto"/>
            <w:tcMar>
              <w:top w:w="0" w:type="dxa"/>
              <w:left w:w="0" w:type="dxa"/>
              <w:bottom w:w="30" w:type="dxa"/>
              <w:right w:w="0" w:type="dxa"/>
            </w:tcMar>
            <w:vAlign w:val="bottom"/>
            <w:hideMark/>
          </w:tcPr>
          <w:p w14:paraId="2DF83BEC" w14:textId="0E83DE40" w:rsidR="00C84692" w:rsidRPr="006A2A5E" w:rsidRDefault="00E26FA7"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205" w:type="pct"/>
            <w:tcBorders>
              <w:bottom w:val="single" w:sz="12" w:space="0" w:color="auto"/>
            </w:tcBorders>
            <w:shd w:val="clear" w:color="auto" w:fill="auto"/>
            <w:vAlign w:val="bottom"/>
            <w:hideMark/>
          </w:tcPr>
          <w:p w14:paraId="271F9E7C"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bottom w:val="single" w:sz="12" w:space="0" w:color="auto"/>
            </w:tcBorders>
            <w:shd w:val="clear" w:color="auto" w:fill="auto"/>
            <w:vAlign w:val="bottom"/>
          </w:tcPr>
          <w:p w14:paraId="030FB50C" w14:textId="2DE5E1A0" w:rsidR="00C84692" w:rsidRPr="007B5FA3" w:rsidRDefault="00D50494" w:rsidP="00BE5436">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7,413</w:t>
            </w:r>
          </w:p>
        </w:tc>
        <w:tc>
          <w:tcPr>
            <w:tcW w:w="137" w:type="pct"/>
            <w:shd w:val="clear" w:color="auto" w:fill="auto"/>
            <w:tcMar>
              <w:top w:w="0" w:type="dxa"/>
              <w:left w:w="0" w:type="dxa"/>
              <w:bottom w:w="30" w:type="dxa"/>
              <w:right w:w="0" w:type="dxa"/>
            </w:tcMar>
            <w:vAlign w:val="bottom"/>
            <w:hideMark/>
          </w:tcPr>
          <w:p w14:paraId="0CA1311B"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bottom w:val="single" w:sz="12" w:space="0" w:color="auto"/>
            </w:tcBorders>
            <w:shd w:val="clear" w:color="auto" w:fill="auto"/>
            <w:vAlign w:val="bottom"/>
            <w:hideMark/>
          </w:tcPr>
          <w:p w14:paraId="6535ACDA"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bottom w:val="single" w:sz="12" w:space="0" w:color="auto"/>
            </w:tcBorders>
            <w:shd w:val="clear" w:color="auto" w:fill="auto"/>
            <w:vAlign w:val="bottom"/>
            <w:hideMark/>
          </w:tcPr>
          <w:p w14:paraId="57350185" w14:textId="316C42E3"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8,592</w:t>
            </w:r>
          </w:p>
        </w:tc>
        <w:tc>
          <w:tcPr>
            <w:tcW w:w="68" w:type="pct"/>
            <w:shd w:val="clear" w:color="auto" w:fill="auto"/>
            <w:tcMar>
              <w:top w:w="0" w:type="dxa"/>
              <w:left w:w="0" w:type="dxa"/>
              <w:bottom w:w="30" w:type="dxa"/>
              <w:right w:w="0" w:type="dxa"/>
            </w:tcMar>
            <w:vAlign w:val="bottom"/>
            <w:hideMark/>
          </w:tcPr>
          <w:p w14:paraId="27883711"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bottom w:val="single" w:sz="12" w:space="0" w:color="auto"/>
            </w:tcBorders>
            <w:shd w:val="clear" w:color="auto" w:fill="auto"/>
          </w:tcPr>
          <w:p w14:paraId="746138D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bottom w:val="single" w:sz="12" w:space="0" w:color="auto"/>
            </w:tcBorders>
            <w:shd w:val="clear" w:color="auto" w:fill="auto"/>
          </w:tcPr>
          <w:p w14:paraId="6DC1E25E" w14:textId="2EC56CDB"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27,693</w:t>
            </w:r>
          </w:p>
        </w:tc>
        <w:tc>
          <w:tcPr>
            <w:tcW w:w="68" w:type="pct"/>
            <w:shd w:val="clear" w:color="auto" w:fill="auto"/>
          </w:tcPr>
          <w:p w14:paraId="26A91C38" w14:textId="1414670C"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474254F5" w14:textId="40AC48C4" w:rsidTr="00D33273">
        <w:tc>
          <w:tcPr>
            <w:tcW w:w="2366" w:type="pct"/>
            <w:shd w:val="clear" w:color="auto" w:fill="auto"/>
            <w:tcMar>
              <w:top w:w="0" w:type="dxa"/>
              <w:left w:w="400" w:type="dxa"/>
              <w:bottom w:w="30" w:type="dxa"/>
              <w:right w:w="0" w:type="dxa"/>
            </w:tcMar>
            <w:vAlign w:val="bottom"/>
            <w:hideMark/>
          </w:tcPr>
          <w:p w14:paraId="57BD1D26"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Total liabilities</w:t>
            </w:r>
          </w:p>
        </w:tc>
        <w:tc>
          <w:tcPr>
            <w:tcW w:w="441" w:type="pct"/>
            <w:shd w:val="clear" w:color="auto" w:fill="auto"/>
            <w:tcMar>
              <w:top w:w="0" w:type="dxa"/>
              <w:left w:w="0" w:type="dxa"/>
              <w:bottom w:w="30" w:type="dxa"/>
              <w:right w:w="0" w:type="dxa"/>
            </w:tcMar>
            <w:vAlign w:val="bottom"/>
            <w:hideMark/>
          </w:tcPr>
          <w:p w14:paraId="0D1415D9" w14:textId="337B724D"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tcBorders>
              <w:top w:val="single" w:sz="12" w:space="0" w:color="auto"/>
              <w:bottom w:val="single" w:sz="12" w:space="0" w:color="auto"/>
            </w:tcBorders>
            <w:shd w:val="clear" w:color="auto" w:fill="auto"/>
            <w:vAlign w:val="bottom"/>
            <w:hideMark/>
          </w:tcPr>
          <w:p w14:paraId="5696CD8B"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top w:val="single" w:sz="12" w:space="0" w:color="auto"/>
              <w:bottom w:val="single" w:sz="12" w:space="0" w:color="auto"/>
            </w:tcBorders>
            <w:shd w:val="clear" w:color="auto" w:fill="auto"/>
            <w:vAlign w:val="bottom"/>
          </w:tcPr>
          <w:p w14:paraId="725831AC" w14:textId="163C224F"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10,</w:t>
            </w:r>
            <w:r w:rsidR="00D50494">
              <w:rPr>
                <w:rFonts w:ascii="Times New Roman" w:eastAsia="Times New Roman" w:hAnsi="Times New Roman" w:cs="Times New Roman"/>
                <w:b/>
                <w:bCs/>
                <w:sz w:val="20"/>
                <w:szCs w:val="20"/>
                <w:lang w:val="en-US"/>
              </w:rPr>
              <w:t>514</w:t>
            </w:r>
            <w:r w:rsidRPr="00064A08">
              <w:rPr>
                <w:rFonts w:ascii="Times New Roman" w:eastAsia="Times New Roman" w:hAnsi="Times New Roman" w:cs="Times New Roman"/>
                <w:b/>
                <w:bCs/>
                <w:sz w:val="20"/>
                <w:szCs w:val="20"/>
                <w:lang w:val="en-US"/>
              </w:rPr>
              <w:t>,</w:t>
            </w:r>
            <w:r w:rsidR="004B65C6">
              <w:rPr>
                <w:rFonts w:ascii="Times New Roman" w:eastAsia="Times New Roman" w:hAnsi="Times New Roman" w:cs="Times New Roman"/>
                <w:b/>
                <w:bCs/>
                <w:sz w:val="20"/>
                <w:szCs w:val="20"/>
                <w:lang w:val="en-US"/>
              </w:rPr>
              <w:t>50</w:t>
            </w:r>
            <w:r w:rsidR="00D50494">
              <w:rPr>
                <w:rFonts w:ascii="Times New Roman" w:eastAsia="Times New Roman" w:hAnsi="Times New Roman" w:cs="Times New Roman"/>
                <w:b/>
                <w:bCs/>
                <w:sz w:val="20"/>
                <w:szCs w:val="20"/>
                <w:lang w:val="en-US"/>
              </w:rPr>
              <w:t>8</w:t>
            </w:r>
          </w:p>
        </w:tc>
        <w:tc>
          <w:tcPr>
            <w:tcW w:w="137" w:type="pct"/>
            <w:shd w:val="clear" w:color="auto" w:fill="auto"/>
            <w:tcMar>
              <w:top w:w="0" w:type="dxa"/>
              <w:left w:w="0" w:type="dxa"/>
              <w:bottom w:w="30" w:type="dxa"/>
              <w:right w:w="0" w:type="dxa"/>
            </w:tcMar>
            <w:vAlign w:val="bottom"/>
            <w:hideMark/>
          </w:tcPr>
          <w:p w14:paraId="3C768E11"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top w:val="single" w:sz="12" w:space="0" w:color="auto"/>
              <w:bottom w:val="single" w:sz="12" w:space="0" w:color="auto"/>
            </w:tcBorders>
            <w:shd w:val="clear" w:color="auto" w:fill="auto"/>
            <w:vAlign w:val="bottom"/>
            <w:hideMark/>
          </w:tcPr>
          <w:p w14:paraId="2BA66C4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top w:val="single" w:sz="12" w:space="0" w:color="auto"/>
              <w:bottom w:val="single" w:sz="12" w:space="0" w:color="auto"/>
            </w:tcBorders>
            <w:shd w:val="clear" w:color="auto" w:fill="auto"/>
            <w:vAlign w:val="bottom"/>
            <w:hideMark/>
          </w:tcPr>
          <w:p w14:paraId="2A941ED5" w14:textId="21A0E655"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10,982,859</w:t>
            </w:r>
          </w:p>
        </w:tc>
        <w:tc>
          <w:tcPr>
            <w:tcW w:w="68" w:type="pct"/>
            <w:shd w:val="clear" w:color="auto" w:fill="auto"/>
            <w:tcMar>
              <w:top w:w="0" w:type="dxa"/>
              <w:left w:w="0" w:type="dxa"/>
              <w:bottom w:w="30" w:type="dxa"/>
              <w:right w:w="0" w:type="dxa"/>
            </w:tcMar>
            <w:vAlign w:val="bottom"/>
            <w:hideMark/>
          </w:tcPr>
          <w:p w14:paraId="0F6F98B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top w:val="single" w:sz="12" w:space="0" w:color="auto"/>
              <w:bottom w:val="single" w:sz="12" w:space="0" w:color="auto"/>
            </w:tcBorders>
            <w:shd w:val="clear" w:color="auto" w:fill="auto"/>
          </w:tcPr>
          <w:p w14:paraId="1C94BA4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top w:val="single" w:sz="12" w:space="0" w:color="auto"/>
              <w:bottom w:val="single" w:sz="12" w:space="0" w:color="auto"/>
            </w:tcBorders>
            <w:shd w:val="clear" w:color="auto" w:fill="auto"/>
          </w:tcPr>
          <w:p w14:paraId="640B2F53" w14:textId="477F2F62"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13,274,494</w:t>
            </w:r>
          </w:p>
        </w:tc>
        <w:tc>
          <w:tcPr>
            <w:tcW w:w="68" w:type="pct"/>
            <w:shd w:val="clear" w:color="auto" w:fill="auto"/>
          </w:tcPr>
          <w:p w14:paraId="2C706F6E" w14:textId="4216140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4CC90514" w14:textId="706F9BD6" w:rsidTr="00D33273">
        <w:tc>
          <w:tcPr>
            <w:tcW w:w="2366" w:type="pct"/>
            <w:shd w:val="clear" w:color="auto" w:fill="auto"/>
            <w:vAlign w:val="bottom"/>
            <w:hideMark/>
          </w:tcPr>
          <w:p w14:paraId="56C228D9" w14:textId="7E1EEBBA"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Stockholders’ </w:t>
            </w:r>
            <w:r w:rsidR="00F83A17">
              <w:rPr>
                <w:rFonts w:ascii="Times New Roman" w:eastAsia="Times New Roman" w:hAnsi="Times New Roman" w:cs="Times New Roman"/>
                <w:sz w:val="20"/>
                <w:szCs w:val="20"/>
                <w:lang w:val="en-US"/>
              </w:rPr>
              <w:t>equity (</w:t>
            </w:r>
            <w:r>
              <w:rPr>
                <w:rFonts w:ascii="Times New Roman" w:eastAsia="Times New Roman" w:hAnsi="Times New Roman" w:cs="Times New Roman"/>
                <w:sz w:val="20"/>
                <w:szCs w:val="20"/>
                <w:lang w:val="en-US"/>
              </w:rPr>
              <w:t>deficiency</w:t>
            </w:r>
            <w:r w:rsidR="00F83A17">
              <w:rPr>
                <w:rFonts w:ascii="Times New Roman" w:eastAsia="Times New Roman" w:hAnsi="Times New Roman" w:cs="Times New Roman"/>
                <w:sz w:val="20"/>
                <w:szCs w:val="20"/>
                <w:lang w:val="en-US"/>
              </w:rPr>
              <w:t>)</w:t>
            </w:r>
            <w:r w:rsidRPr="006A2A5E">
              <w:rPr>
                <w:rFonts w:ascii="Times New Roman" w:eastAsia="Times New Roman" w:hAnsi="Times New Roman" w:cs="Times New Roman"/>
                <w:sz w:val="20"/>
                <w:szCs w:val="20"/>
                <w:lang w:val="en-US"/>
              </w:rPr>
              <w:t>:</w:t>
            </w:r>
          </w:p>
        </w:tc>
        <w:tc>
          <w:tcPr>
            <w:tcW w:w="441" w:type="pct"/>
            <w:shd w:val="clear" w:color="auto" w:fill="auto"/>
            <w:vAlign w:val="bottom"/>
            <w:hideMark/>
          </w:tcPr>
          <w:p w14:paraId="71A5F19C" w14:textId="21DCC5B9"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tcBorders>
              <w:top w:val="single" w:sz="12" w:space="0" w:color="auto"/>
            </w:tcBorders>
            <w:shd w:val="clear" w:color="auto" w:fill="auto"/>
            <w:vAlign w:val="bottom"/>
            <w:hideMark/>
          </w:tcPr>
          <w:p w14:paraId="0632D347" w14:textId="77777777" w:rsidR="00C84692" w:rsidRPr="00D33273" w:rsidRDefault="00C84692" w:rsidP="007F0E8A">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top w:val="single" w:sz="12" w:space="0" w:color="auto"/>
            </w:tcBorders>
            <w:shd w:val="clear" w:color="auto" w:fill="auto"/>
            <w:vAlign w:val="bottom"/>
            <w:hideMark/>
          </w:tcPr>
          <w:p w14:paraId="66E009F5" w14:textId="77777777" w:rsidR="00C84692" w:rsidRPr="007B5FA3" w:rsidRDefault="00C84692" w:rsidP="007F0E8A">
            <w:pPr>
              <w:spacing w:after="0" w:line="240" w:lineRule="auto"/>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 </w:t>
            </w:r>
          </w:p>
        </w:tc>
        <w:tc>
          <w:tcPr>
            <w:tcW w:w="137" w:type="pct"/>
            <w:shd w:val="clear" w:color="auto" w:fill="auto"/>
            <w:vAlign w:val="bottom"/>
            <w:hideMark/>
          </w:tcPr>
          <w:p w14:paraId="3BEADA90" w14:textId="77777777" w:rsidR="00C84692" w:rsidRPr="00D33273" w:rsidRDefault="00C84692" w:rsidP="007F0E8A">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top w:val="single" w:sz="12" w:space="0" w:color="auto"/>
            </w:tcBorders>
            <w:shd w:val="clear" w:color="auto" w:fill="auto"/>
            <w:vAlign w:val="bottom"/>
            <w:hideMark/>
          </w:tcPr>
          <w:p w14:paraId="2892FA95"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top w:val="single" w:sz="12" w:space="0" w:color="auto"/>
            </w:tcBorders>
            <w:shd w:val="clear" w:color="auto" w:fill="auto"/>
            <w:vAlign w:val="bottom"/>
            <w:hideMark/>
          </w:tcPr>
          <w:p w14:paraId="29A3E598" w14:textId="77777777" w:rsidR="00C84692" w:rsidRPr="006A2A5E" w:rsidRDefault="00C84692" w:rsidP="007F0E8A">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vAlign w:val="bottom"/>
            <w:hideMark/>
          </w:tcPr>
          <w:p w14:paraId="0FABCC4B"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top w:val="single" w:sz="12" w:space="0" w:color="auto"/>
            </w:tcBorders>
            <w:shd w:val="clear" w:color="auto" w:fill="auto"/>
          </w:tcPr>
          <w:p w14:paraId="6FCFD400" w14:textId="77777777"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c>
          <w:tcPr>
            <w:tcW w:w="549" w:type="pct"/>
            <w:tcBorders>
              <w:top w:val="single" w:sz="12" w:space="0" w:color="auto"/>
            </w:tcBorders>
            <w:shd w:val="clear" w:color="auto" w:fill="auto"/>
          </w:tcPr>
          <w:p w14:paraId="18287A9B" w14:textId="10BAF82F"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p>
        </w:tc>
        <w:tc>
          <w:tcPr>
            <w:tcW w:w="68" w:type="pct"/>
            <w:shd w:val="clear" w:color="auto" w:fill="auto"/>
          </w:tcPr>
          <w:p w14:paraId="04BA4886" w14:textId="1C237ABE" w:rsidR="00C84692" w:rsidRPr="006A2A5E" w:rsidRDefault="00C84692" w:rsidP="007F0E8A">
            <w:pPr>
              <w:spacing w:after="0" w:line="240" w:lineRule="auto"/>
              <w:jc w:val="both"/>
              <w:rPr>
                <w:rFonts w:ascii="Times New Roman" w:eastAsia="Times New Roman" w:hAnsi="Times New Roman" w:cs="Times New Roman"/>
                <w:sz w:val="20"/>
                <w:szCs w:val="20"/>
                <w:lang w:val="en-US"/>
              </w:rPr>
            </w:pPr>
          </w:p>
        </w:tc>
      </w:tr>
      <w:tr w:rsidR="00913A14" w:rsidRPr="006A2A5E" w14:paraId="608FA716" w14:textId="797CDFD1" w:rsidTr="00D33273">
        <w:tc>
          <w:tcPr>
            <w:tcW w:w="2366" w:type="pct"/>
            <w:shd w:val="clear" w:color="auto" w:fill="auto"/>
            <w:tcMar>
              <w:top w:w="0" w:type="dxa"/>
              <w:left w:w="200" w:type="dxa"/>
              <w:bottom w:w="0" w:type="dxa"/>
              <w:right w:w="0" w:type="dxa"/>
            </w:tcMar>
            <w:vAlign w:val="bottom"/>
            <w:hideMark/>
          </w:tcPr>
          <w:p w14:paraId="56D4B412"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Common stock </w:t>
            </w:r>
          </w:p>
        </w:tc>
        <w:tc>
          <w:tcPr>
            <w:tcW w:w="441" w:type="pct"/>
            <w:shd w:val="clear" w:color="auto" w:fill="auto"/>
            <w:vAlign w:val="bottom"/>
            <w:hideMark/>
          </w:tcPr>
          <w:p w14:paraId="390CEE48" w14:textId="67E66C7D" w:rsidR="00C84692" w:rsidRPr="006A2A5E" w:rsidRDefault="00681372"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7D7FB2">
              <w:rPr>
                <w:rFonts w:ascii="Times New Roman" w:eastAsia="Times New Roman" w:hAnsi="Times New Roman" w:cs="Times New Roman"/>
                <w:sz w:val="20"/>
                <w:szCs w:val="20"/>
                <w:lang w:val="en-US"/>
              </w:rPr>
              <w:t>3</w:t>
            </w:r>
          </w:p>
        </w:tc>
        <w:tc>
          <w:tcPr>
            <w:tcW w:w="205" w:type="pct"/>
            <w:shd w:val="clear" w:color="auto" w:fill="auto"/>
            <w:vAlign w:val="bottom"/>
            <w:hideMark/>
          </w:tcPr>
          <w:p w14:paraId="401E0E88"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5C205118" w14:textId="1BFCDFFB"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3,276</w:t>
            </w:r>
          </w:p>
        </w:tc>
        <w:tc>
          <w:tcPr>
            <w:tcW w:w="137" w:type="pct"/>
            <w:shd w:val="clear" w:color="auto" w:fill="auto"/>
            <w:vAlign w:val="bottom"/>
            <w:hideMark/>
          </w:tcPr>
          <w:p w14:paraId="5ED3EFD1"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469C696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79854D64" w14:textId="019DC750"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1,828</w:t>
            </w:r>
          </w:p>
        </w:tc>
        <w:tc>
          <w:tcPr>
            <w:tcW w:w="68" w:type="pct"/>
            <w:shd w:val="clear" w:color="auto" w:fill="auto"/>
            <w:vAlign w:val="bottom"/>
            <w:hideMark/>
          </w:tcPr>
          <w:p w14:paraId="09F6EA85"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40430A4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2E36DD10" w14:textId="34400573"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1,253</w:t>
            </w:r>
          </w:p>
        </w:tc>
        <w:tc>
          <w:tcPr>
            <w:tcW w:w="68" w:type="pct"/>
            <w:shd w:val="clear" w:color="auto" w:fill="auto"/>
          </w:tcPr>
          <w:p w14:paraId="46A35C65" w14:textId="63F44CE5"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0444E5CA" w14:textId="041C781F" w:rsidTr="00D33273">
        <w:tc>
          <w:tcPr>
            <w:tcW w:w="2366" w:type="pct"/>
            <w:shd w:val="clear" w:color="auto" w:fill="auto"/>
            <w:tcMar>
              <w:top w:w="0" w:type="dxa"/>
              <w:left w:w="200" w:type="dxa"/>
              <w:bottom w:w="0" w:type="dxa"/>
              <w:right w:w="0" w:type="dxa"/>
            </w:tcMar>
            <w:vAlign w:val="bottom"/>
            <w:hideMark/>
          </w:tcPr>
          <w:p w14:paraId="0209EEBB" w14:textId="1D24B9AB" w:rsidR="00C84692" w:rsidRPr="006A2A5E" w:rsidRDefault="00A235E4"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Share premium</w:t>
            </w:r>
          </w:p>
        </w:tc>
        <w:tc>
          <w:tcPr>
            <w:tcW w:w="441" w:type="pct"/>
            <w:shd w:val="clear" w:color="auto" w:fill="auto"/>
            <w:vAlign w:val="bottom"/>
            <w:hideMark/>
          </w:tcPr>
          <w:p w14:paraId="52183973" w14:textId="24F3A825" w:rsidR="00C84692" w:rsidRPr="006A2A5E" w:rsidRDefault="00681372"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7D7FB2">
              <w:rPr>
                <w:rFonts w:ascii="Times New Roman" w:eastAsia="Times New Roman" w:hAnsi="Times New Roman" w:cs="Times New Roman"/>
                <w:sz w:val="20"/>
                <w:szCs w:val="20"/>
                <w:lang w:val="en-US"/>
              </w:rPr>
              <w:t>3</w:t>
            </w:r>
          </w:p>
        </w:tc>
        <w:tc>
          <w:tcPr>
            <w:tcW w:w="205" w:type="pct"/>
            <w:shd w:val="clear" w:color="auto" w:fill="auto"/>
            <w:vAlign w:val="bottom"/>
            <w:hideMark/>
          </w:tcPr>
          <w:p w14:paraId="0660CF7E"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4B04CFAB" w14:textId="4F296B43"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57,</w:t>
            </w:r>
            <w:r w:rsidR="00D50494">
              <w:rPr>
                <w:rFonts w:ascii="Times New Roman" w:eastAsia="Times New Roman" w:hAnsi="Times New Roman" w:cs="Times New Roman"/>
                <w:b/>
                <w:bCs/>
                <w:sz w:val="20"/>
                <w:szCs w:val="20"/>
                <w:lang w:val="en-US"/>
              </w:rPr>
              <w:t>554</w:t>
            </w:r>
            <w:r w:rsidRPr="00064A08">
              <w:rPr>
                <w:rFonts w:ascii="Times New Roman" w:eastAsia="Times New Roman" w:hAnsi="Times New Roman" w:cs="Times New Roman"/>
                <w:b/>
                <w:bCs/>
                <w:sz w:val="20"/>
                <w:szCs w:val="20"/>
                <w:lang w:val="en-US"/>
              </w:rPr>
              <w:t>,</w:t>
            </w:r>
            <w:r w:rsidR="00D50494">
              <w:rPr>
                <w:rFonts w:ascii="Times New Roman" w:eastAsia="Times New Roman" w:hAnsi="Times New Roman" w:cs="Times New Roman"/>
                <w:b/>
                <w:bCs/>
                <w:sz w:val="20"/>
                <w:szCs w:val="20"/>
                <w:lang w:val="en-US"/>
              </w:rPr>
              <w:t>973</w:t>
            </w:r>
          </w:p>
        </w:tc>
        <w:tc>
          <w:tcPr>
            <w:tcW w:w="137" w:type="pct"/>
            <w:shd w:val="clear" w:color="auto" w:fill="auto"/>
            <w:vAlign w:val="bottom"/>
            <w:hideMark/>
          </w:tcPr>
          <w:p w14:paraId="129FA41F"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shd w:val="clear" w:color="auto" w:fill="auto"/>
            <w:vAlign w:val="bottom"/>
            <w:hideMark/>
          </w:tcPr>
          <w:p w14:paraId="5CFA28E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0400D47B" w14:textId="750D61DC"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32,</w:t>
            </w:r>
            <w:r w:rsidR="004A7A22">
              <w:rPr>
                <w:rFonts w:ascii="Times New Roman" w:eastAsia="Times New Roman" w:hAnsi="Times New Roman" w:cs="Times New Roman"/>
                <w:sz w:val="20"/>
                <w:szCs w:val="20"/>
                <w:lang w:val="en-US"/>
              </w:rPr>
              <w:t>175</w:t>
            </w:r>
            <w:r>
              <w:rPr>
                <w:rFonts w:ascii="Times New Roman" w:eastAsia="Times New Roman" w:hAnsi="Times New Roman" w:cs="Times New Roman"/>
                <w:sz w:val="20"/>
                <w:szCs w:val="20"/>
                <w:lang w:val="en-US"/>
              </w:rPr>
              <w:t>,</w:t>
            </w:r>
            <w:r w:rsidR="004A7A22">
              <w:rPr>
                <w:rFonts w:ascii="Times New Roman" w:eastAsia="Times New Roman" w:hAnsi="Times New Roman" w:cs="Times New Roman"/>
                <w:sz w:val="20"/>
                <w:szCs w:val="20"/>
                <w:lang w:val="en-US"/>
              </w:rPr>
              <w:t>293</w:t>
            </w:r>
          </w:p>
        </w:tc>
        <w:tc>
          <w:tcPr>
            <w:tcW w:w="68" w:type="pct"/>
            <w:shd w:val="clear" w:color="auto" w:fill="auto"/>
            <w:vAlign w:val="bottom"/>
            <w:hideMark/>
          </w:tcPr>
          <w:p w14:paraId="2EE437FE"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7718984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5B9D5602" w14:textId="4412810A"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26,331,369</w:t>
            </w:r>
          </w:p>
        </w:tc>
        <w:tc>
          <w:tcPr>
            <w:tcW w:w="68" w:type="pct"/>
            <w:shd w:val="clear" w:color="auto" w:fill="auto"/>
          </w:tcPr>
          <w:p w14:paraId="5338E02D" w14:textId="09CB698F"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5778E97B" w14:textId="47FD10EA" w:rsidTr="00D33273">
        <w:tc>
          <w:tcPr>
            <w:tcW w:w="2366" w:type="pct"/>
            <w:shd w:val="clear" w:color="auto" w:fill="auto"/>
            <w:tcMar>
              <w:top w:w="0" w:type="dxa"/>
              <w:left w:w="200" w:type="dxa"/>
              <w:bottom w:w="0" w:type="dxa"/>
              <w:right w:w="0" w:type="dxa"/>
            </w:tcMar>
            <w:vAlign w:val="bottom"/>
          </w:tcPr>
          <w:p w14:paraId="7A509460" w14:textId="0D3B730B"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D56F30">
              <w:rPr>
                <w:rFonts w:ascii="Times New Roman" w:eastAsia="Times New Roman" w:hAnsi="Times New Roman" w:cs="Times New Roman"/>
                <w:sz w:val="20"/>
                <w:szCs w:val="20"/>
                <w:lang w:val="en-US"/>
              </w:rPr>
              <w:t xml:space="preserve">Notes and amounts receivable for </w:t>
            </w:r>
            <w:r w:rsidR="00C27EEB">
              <w:rPr>
                <w:rFonts w:ascii="Times New Roman" w:eastAsia="Times New Roman" w:hAnsi="Times New Roman" w:cs="Times New Roman"/>
                <w:sz w:val="20"/>
                <w:szCs w:val="20"/>
                <w:lang w:val="en-US"/>
              </w:rPr>
              <w:t>equity issued</w:t>
            </w:r>
          </w:p>
        </w:tc>
        <w:tc>
          <w:tcPr>
            <w:tcW w:w="441" w:type="pct"/>
            <w:shd w:val="clear" w:color="auto" w:fill="auto"/>
            <w:vAlign w:val="bottom"/>
          </w:tcPr>
          <w:p w14:paraId="005913FA" w14:textId="653E90F4" w:rsidR="00C84692" w:rsidRPr="006A2A5E" w:rsidRDefault="007D7FB2"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 w:type="pct"/>
            <w:shd w:val="clear" w:color="auto" w:fill="auto"/>
            <w:vAlign w:val="bottom"/>
          </w:tcPr>
          <w:p w14:paraId="745FFCEA"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p>
        </w:tc>
        <w:tc>
          <w:tcPr>
            <w:tcW w:w="480" w:type="pct"/>
            <w:shd w:val="clear" w:color="auto" w:fill="auto"/>
            <w:vAlign w:val="bottom"/>
          </w:tcPr>
          <w:p w14:paraId="21768576" w14:textId="0304C355" w:rsidR="00C84692" w:rsidRPr="007B5FA3" w:rsidRDefault="0072468D" w:rsidP="00BE5436">
            <w:pPr>
              <w:spacing w:after="0" w:line="240" w:lineRule="auto"/>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w:t>
            </w:r>
            <w:r w:rsidR="00CC4686" w:rsidRPr="007B5FA3">
              <w:rPr>
                <w:rFonts w:ascii="Times New Roman" w:eastAsia="Times New Roman" w:hAnsi="Times New Roman" w:cs="Times New Roman"/>
                <w:b/>
                <w:bCs/>
                <w:sz w:val="20"/>
                <w:szCs w:val="20"/>
                <w:lang w:val="en-US"/>
              </w:rPr>
              <w:t>1,</w:t>
            </w:r>
            <w:r w:rsidR="007B5FA3" w:rsidRPr="00064A08">
              <w:rPr>
                <w:rFonts w:ascii="Times New Roman" w:eastAsia="Times New Roman" w:hAnsi="Times New Roman" w:cs="Times New Roman"/>
                <w:b/>
                <w:bCs/>
                <w:sz w:val="20"/>
                <w:szCs w:val="20"/>
                <w:lang w:val="en-US"/>
              </w:rPr>
              <w:t>211,809</w:t>
            </w:r>
          </w:p>
        </w:tc>
        <w:tc>
          <w:tcPr>
            <w:tcW w:w="137" w:type="pct"/>
            <w:shd w:val="clear" w:color="auto" w:fill="auto"/>
            <w:vAlign w:val="bottom"/>
          </w:tcPr>
          <w:p w14:paraId="5AEAC9AC" w14:textId="66EB51B4" w:rsidR="00C84692" w:rsidRPr="00D33273" w:rsidRDefault="0072468D"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68" w:type="pct"/>
            <w:shd w:val="clear" w:color="auto" w:fill="auto"/>
            <w:vAlign w:val="bottom"/>
          </w:tcPr>
          <w:p w14:paraId="63229862"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vAlign w:val="bottom"/>
          </w:tcPr>
          <w:p w14:paraId="413CD8D2" w14:textId="25DC9230"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(1,193,641</w:t>
            </w:r>
          </w:p>
        </w:tc>
        <w:tc>
          <w:tcPr>
            <w:tcW w:w="68" w:type="pct"/>
            <w:shd w:val="clear" w:color="auto" w:fill="auto"/>
            <w:vAlign w:val="bottom"/>
          </w:tcPr>
          <w:p w14:paraId="5656B55F" w14:textId="064F6902"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68" w:type="pct"/>
            <w:shd w:val="clear" w:color="auto" w:fill="auto"/>
          </w:tcPr>
          <w:p w14:paraId="6FF106C3" w14:textId="77777777" w:rsidR="00C84692"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26D85AB7" w14:textId="14ED4190" w:rsidR="00C84692"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68" w:type="pct"/>
            <w:shd w:val="clear" w:color="auto" w:fill="auto"/>
          </w:tcPr>
          <w:p w14:paraId="527EB06E" w14:textId="3DF97A5F" w:rsidR="00C84692" w:rsidRDefault="00C84692" w:rsidP="00BE5436">
            <w:pPr>
              <w:spacing w:after="0" w:line="240" w:lineRule="auto"/>
              <w:jc w:val="both"/>
              <w:rPr>
                <w:rFonts w:ascii="Times New Roman" w:eastAsia="Times New Roman" w:hAnsi="Times New Roman" w:cs="Times New Roman"/>
                <w:sz w:val="20"/>
                <w:szCs w:val="20"/>
                <w:lang w:val="en-US"/>
              </w:rPr>
            </w:pPr>
          </w:p>
        </w:tc>
      </w:tr>
      <w:tr w:rsidR="00643484" w:rsidRPr="006A2A5E" w14:paraId="7611B5DC" w14:textId="77777777" w:rsidTr="00D33273">
        <w:tc>
          <w:tcPr>
            <w:tcW w:w="2366" w:type="pct"/>
            <w:shd w:val="clear" w:color="auto" w:fill="auto"/>
            <w:tcMar>
              <w:top w:w="0" w:type="dxa"/>
              <w:left w:w="200" w:type="dxa"/>
              <w:bottom w:w="0" w:type="dxa"/>
              <w:right w:w="0" w:type="dxa"/>
            </w:tcMar>
            <w:vAlign w:val="bottom"/>
          </w:tcPr>
          <w:p w14:paraId="7AC4D4B1" w14:textId="3CB92B0A" w:rsidR="00643484" w:rsidRPr="006A2A5E" w:rsidRDefault="00377451" w:rsidP="007F20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Warrant and option reserve</w:t>
            </w:r>
            <w:r w:rsidR="00643484">
              <w:rPr>
                <w:rFonts w:ascii="Times New Roman" w:eastAsia="Times New Roman" w:hAnsi="Times New Roman" w:cs="Times New Roman"/>
                <w:sz w:val="20"/>
                <w:szCs w:val="20"/>
                <w:lang w:val="en-US"/>
              </w:rPr>
              <w:t xml:space="preserve"> </w:t>
            </w:r>
          </w:p>
        </w:tc>
        <w:tc>
          <w:tcPr>
            <w:tcW w:w="441" w:type="pct"/>
            <w:shd w:val="clear" w:color="auto" w:fill="auto"/>
            <w:vAlign w:val="bottom"/>
          </w:tcPr>
          <w:p w14:paraId="6C20790B" w14:textId="43C66195" w:rsidR="00643484" w:rsidRPr="006A2A5E" w:rsidRDefault="00643484"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D6224D">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lang w:val="en-US"/>
              </w:rPr>
              <w:t>,1</w:t>
            </w:r>
            <w:r w:rsidR="00D6224D">
              <w:rPr>
                <w:rFonts w:ascii="Times New Roman" w:eastAsia="Times New Roman" w:hAnsi="Times New Roman" w:cs="Times New Roman"/>
                <w:sz w:val="20"/>
                <w:szCs w:val="20"/>
                <w:lang w:val="en-US"/>
              </w:rPr>
              <w:t>5</w:t>
            </w:r>
          </w:p>
        </w:tc>
        <w:tc>
          <w:tcPr>
            <w:tcW w:w="205" w:type="pct"/>
            <w:shd w:val="clear" w:color="auto" w:fill="auto"/>
            <w:vAlign w:val="bottom"/>
          </w:tcPr>
          <w:p w14:paraId="34D086D2" w14:textId="77777777" w:rsidR="00643484" w:rsidRPr="00D33273" w:rsidRDefault="00643484" w:rsidP="007F2074">
            <w:pPr>
              <w:spacing w:after="0" w:line="240" w:lineRule="auto"/>
              <w:jc w:val="both"/>
              <w:rPr>
                <w:rFonts w:ascii="Times New Roman" w:eastAsia="Times New Roman" w:hAnsi="Times New Roman" w:cs="Times New Roman"/>
                <w:b/>
                <w:bCs/>
                <w:sz w:val="20"/>
                <w:szCs w:val="20"/>
                <w:lang w:val="en-US"/>
              </w:rPr>
            </w:pPr>
          </w:p>
        </w:tc>
        <w:tc>
          <w:tcPr>
            <w:tcW w:w="480" w:type="pct"/>
            <w:shd w:val="clear" w:color="auto" w:fill="auto"/>
            <w:vAlign w:val="bottom"/>
          </w:tcPr>
          <w:p w14:paraId="3ED0E873" w14:textId="0240329C" w:rsidR="00643484" w:rsidRPr="007B5FA3" w:rsidRDefault="007B5FA3" w:rsidP="007F2074">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5,31</w:t>
            </w:r>
            <w:r w:rsidR="003B32D3">
              <w:rPr>
                <w:rFonts w:ascii="Times New Roman" w:eastAsia="Times New Roman" w:hAnsi="Times New Roman" w:cs="Times New Roman"/>
                <w:b/>
                <w:bCs/>
                <w:sz w:val="20"/>
                <w:szCs w:val="20"/>
                <w:lang w:val="en-US"/>
              </w:rPr>
              <w:t>7</w:t>
            </w:r>
            <w:r w:rsidRPr="00064A08">
              <w:rPr>
                <w:rFonts w:ascii="Times New Roman" w:eastAsia="Times New Roman" w:hAnsi="Times New Roman" w:cs="Times New Roman"/>
                <w:b/>
                <w:bCs/>
                <w:sz w:val="20"/>
                <w:szCs w:val="20"/>
                <w:lang w:val="en-US"/>
              </w:rPr>
              <w:t>,</w:t>
            </w:r>
            <w:r w:rsidR="003B32D3">
              <w:rPr>
                <w:rFonts w:ascii="Times New Roman" w:eastAsia="Times New Roman" w:hAnsi="Times New Roman" w:cs="Times New Roman"/>
                <w:b/>
                <w:bCs/>
                <w:sz w:val="20"/>
                <w:szCs w:val="20"/>
                <w:lang w:val="en-US"/>
              </w:rPr>
              <w:t>172</w:t>
            </w:r>
          </w:p>
        </w:tc>
        <w:tc>
          <w:tcPr>
            <w:tcW w:w="137" w:type="pct"/>
            <w:shd w:val="clear" w:color="auto" w:fill="auto"/>
            <w:vAlign w:val="bottom"/>
          </w:tcPr>
          <w:p w14:paraId="6F726C86" w14:textId="77777777" w:rsidR="00643484" w:rsidRPr="00D33273" w:rsidRDefault="00643484" w:rsidP="007F2074">
            <w:pPr>
              <w:spacing w:after="0" w:line="240" w:lineRule="auto"/>
              <w:jc w:val="both"/>
              <w:rPr>
                <w:rFonts w:ascii="Times New Roman" w:eastAsia="Times New Roman" w:hAnsi="Times New Roman" w:cs="Times New Roman"/>
                <w:b/>
                <w:bCs/>
                <w:sz w:val="20"/>
                <w:szCs w:val="20"/>
                <w:lang w:val="en-US"/>
              </w:rPr>
            </w:pPr>
          </w:p>
        </w:tc>
        <w:tc>
          <w:tcPr>
            <w:tcW w:w="68" w:type="pct"/>
            <w:shd w:val="clear" w:color="auto" w:fill="auto"/>
            <w:vAlign w:val="bottom"/>
          </w:tcPr>
          <w:p w14:paraId="13BA4E56" w14:textId="77777777" w:rsidR="00643484" w:rsidRPr="006A2A5E" w:rsidRDefault="00643484" w:rsidP="007F2074">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vAlign w:val="bottom"/>
          </w:tcPr>
          <w:p w14:paraId="6D5C043E" w14:textId="03746D08" w:rsidR="00643484" w:rsidRPr="006A2A5E" w:rsidRDefault="005E68B0" w:rsidP="007F20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1,040,779</w:t>
            </w:r>
          </w:p>
        </w:tc>
        <w:tc>
          <w:tcPr>
            <w:tcW w:w="68" w:type="pct"/>
            <w:shd w:val="clear" w:color="auto" w:fill="auto"/>
            <w:vAlign w:val="bottom"/>
          </w:tcPr>
          <w:p w14:paraId="7E1BB7E7" w14:textId="77777777" w:rsidR="00643484" w:rsidRPr="006A2A5E" w:rsidRDefault="00643484" w:rsidP="007F2074">
            <w:pPr>
              <w:spacing w:after="0" w:line="240" w:lineRule="auto"/>
              <w:jc w:val="both"/>
              <w:rPr>
                <w:rFonts w:ascii="Times New Roman" w:eastAsia="Times New Roman" w:hAnsi="Times New Roman" w:cs="Times New Roman"/>
                <w:sz w:val="20"/>
                <w:szCs w:val="20"/>
                <w:lang w:val="en-US"/>
              </w:rPr>
            </w:pPr>
          </w:p>
        </w:tc>
        <w:tc>
          <w:tcPr>
            <w:tcW w:w="68" w:type="pct"/>
            <w:shd w:val="clear" w:color="auto" w:fill="auto"/>
          </w:tcPr>
          <w:p w14:paraId="086B2304" w14:textId="77777777" w:rsidR="00643484" w:rsidRPr="006A2A5E" w:rsidRDefault="00643484" w:rsidP="007F2074">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112AFAF1" w14:textId="77777777" w:rsidR="00643484" w:rsidRDefault="00643484" w:rsidP="007F20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1,177,099</w:t>
            </w:r>
          </w:p>
        </w:tc>
        <w:tc>
          <w:tcPr>
            <w:tcW w:w="68" w:type="pct"/>
            <w:shd w:val="clear" w:color="auto" w:fill="auto"/>
          </w:tcPr>
          <w:p w14:paraId="38E9A2A7" w14:textId="77777777" w:rsidR="00643484" w:rsidRPr="006A2A5E" w:rsidRDefault="00643484" w:rsidP="007F2074">
            <w:pPr>
              <w:spacing w:after="0" w:line="240" w:lineRule="auto"/>
              <w:jc w:val="both"/>
              <w:rPr>
                <w:rFonts w:ascii="Times New Roman" w:eastAsia="Times New Roman" w:hAnsi="Times New Roman" w:cs="Times New Roman"/>
                <w:sz w:val="20"/>
                <w:szCs w:val="20"/>
                <w:lang w:val="en-US"/>
              </w:rPr>
            </w:pPr>
          </w:p>
        </w:tc>
      </w:tr>
      <w:tr w:rsidR="00913A14" w:rsidRPr="006A2A5E" w14:paraId="7F077FB8" w14:textId="61435A7A" w:rsidTr="00D33273">
        <w:tc>
          <w:tcPr>
            <w:tcW w:w="2366" w:type="pct"/>
            <w:shd w:val="clear" w:color="auto" w:fill="auto"/>
            <w:tcMar>
              <w:top w:w="0" w:type="dxa"/>
              <w:left w:w="200" w:type="dxa"/>
              <w:bottom w:w="0" w:type="dxa"/>
              <w:right w:w="0" w:type="dxa"/>
            </w:tcMar>
            <w:vAlign w:val="bottom"/>
            <w:hideMark/>
          </w:tcPr>
          <w:p w14:paraId="62303A0B"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Shares to be cancelled</w:t>
            </w:r>
          </w:p>
        </w:tc>
        <w:tc>
          <w:tcPr>
            <w:tcW w:w="441" w:type="pct"/>
            <w:shd w:val="clear" w:color="auto" w:fill="auto"/>
            <w:vAlign w:val="bottom"/>
            <w:hideMark/>
          </w:tcPr>
          <w:p w14:paraId="6F2F92A8" w14:textId="3D1894D2"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shd w:val="clear" w:color="auto" w:fill="auto"/>
            <w:vAlign w:val="bottom"/>
            <w:hideMark/>
          </w:tcPr>
          <w:p w14:paraId="0F1A2EFF"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7A8998C4" w14:textId="1A8995C7"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7,661</w:t>
            </w:r>
          </w:p>
        </w:tc>
        <w:tc>
          <w:tcPr>
            <w:tcW w:w="137" w:type="pct"/>
            <w:shd w:val="clear" w:color="auto" w:fill="auto"/>
            <w:vAlign w:val="bottom"/>
          </w:tcPr>
          <w:p w14:paraId="0BB696E2" w14:textId="4D7E4E79"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p>
        </w:tc>
        <w:tc>
          <w:tcPr>
            <w:tcW w:w="68" w:type="pct"/>
            <w:shd w:val="clear" w:color="auto" w:fill="auto"/>
            <w:vAlign w:val="bottom"/>
            <w:hideMark/>
          </w:tcPr>
          <w:p w14:paraId="50A4504B"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4AA93F5D" w14:textId="595E660C"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5,323</w:t>
            </w:r>
          </w:p>
        </w:tc>
        <w:tc>
          <w:tcPr>
            <w:tcW w:w="68" w:type="pct"/>
            <w:shd w:val="clear" w:color="auto" w:fill="auto"/>
            <w:vAlign w:val="bottom"/>
            <w:hideMark/>
          </w:tcPr>
          <w:p w14:paraId="59F09EC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shd w:val="clear" w:color="auto" w:fill="auto"/>
          </w:tcPr>
          <w:p w14:paraId="0A762621"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51DFA570" w14:textId="6CF8FE7C"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68" w:type="pct"/>
            <w:shd w:val="clear" w:color="auto" w:fill="auto"/>
          </w:tcPr>
          <w:p w14:paraId="6FF2F773" w14:textId="551CEDE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395613F0" w14:textId="570BDDA7" w:rsidTr="00D33273">
        <w:tc>
          <w:tcPr>
            <w:tcW w:w="2366" w:type="pct"/>
            <w:shd w:val="clear" w:color="auto" w:fill="auto"/>
            <w:tcMar>
              <w:top w:w="0" w:type="dxa"/>
              <w:left w:w="200" w:type="dxa"/>
              <w:bottom w:w="0" w:type="dxa"/>
              <w:right w:w="0" w:type="dxa"/>
            </w:tcMar>
            <w:vAlign w:val="bottom"/>
          </w:tcPr>
          <w:p w14:paraId="5DBBB0BA" w14:textId="110B6B56"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Obligation to </w:t>
            </w:r>
            <w:r>
              <w:rPr>
                <w:rFonts w:ascii="Times New Roman" w:eastAsia="Times New Roman" w:hAnsi="Times New Roman" w:cs="Times New Roman"/>
                <w:sz w:val="20"/>
                <w:szCs w:val="20"/>
                <w:lang w:val="en-US"/>
              </w:rPr>
              <w:t>i</w:t>
            </w:r>
            <w:r w:rsidRPr="006A2A5E">
              <w:rPr>
                <w:rFonts w:ascii="Times New Roman" w:eastAsia="Times New Roman" w:hAnsi="Times New Roman" w:cs="Times New Roman"/>
                <w:sz w:val="20"/>
                <w:szCs w:val="20"/>
                <w:lang w:val="en-US"/>
              </w:rPr>
              <w:t xml:space="preserve">ssue </w:t>
            </w:r>
            <w:r>
              <w:rPr>
                <w:rFonts w:ascii="Times New Roman" w:eastAsia="Times New Roman" w:hAnsi="Times New Roman" w:cs="Times New Roman"/>
                <w:sz w:val="20"/>
                <w:szCs w:val="20"/>
                <w:lang w:val="en-US"/>
              </w:rPr>
              <w:t>s</w:t>
            </w:r>
            <w:r w:rsidRPr="006A2A5E">
              <w:rPr>
                <w:rFonts w:ascii="Times New Roman" w:eastAsia="Times New Roman" w:hAnsi="Times New Roman" w:cs="Times New Roman"/>
                <w:sz w:val="20"/>
                <w:szCs w:val="20"/>
                <w:lang w:val="en-US"/>
              </w:rPr>
              <w:t>hares</w:t>
            </w:r>
          </w:p>
        </w:tc>
        <w:tc>
          <w:tcPr>
            <w:tcW w:w="441" w:type="pct"/>
            <w:shd w:val="clear" w:color="auto" w:fill="auto"/>
            <w:vAlign w:val="bottom"/>
          </w:tcPr>
          <w:p w14:paraId="0477A538" w14:textId="64D95FEC" w:rsidR="00C84692" w:rsidRPr="006A2A5E" w:rsidRDefault="00D53D4B" w:rsidP="00D652D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205" w:type="pct"/>
            <w:shd w:val="clear" w:color="auto" w:fill="auto"/>
            <w:vAlign w:val="bottom"/>
          </w:tcPr>
          <w:p w14:paraId="7D09FA0E"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p>
        </w:tc>
        <w:tc>
          <w:tcPr>
            <w:tcW w:w="480" w:type="pct"/>
            <w:shd w:val="clear" w:color="auto" w:fill="auto"/>
            <w:vAlign w:val="bottom"/>
          </w:tcPr>
          <w:p w14:paraId="02CAEB71" w14:textId="4E9BF0D6"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51,208</w:t>
            </w:r>
          </w:p>
        </w:tc>
        <w:tc>
          <w:tcPr>
            <w:tcW w:w="137" w:type="pct"/>
            <w:shd w:val="clear" w:color="auto" w:fill="auto"/>
            <w:vAlign w:val="bottom"/>
          </w:tcPr>
          <w:p w14:paraId="3DB7075F"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p>
        </w:tc>
        <w:tc>
          <w:tcPr>
            <w:tcW w:w="68" w:type="pct"/>
            <w:shd w:val="clear" w:color="auto" w:fill="auto"/>
            <w:vAlign w:val="bottom"/>
          </w:tcPr>
          <w:p w14:paraId="46D2C558"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vAlign w:val="bottom"/>
          </w:tcPr>
          <w:p w14:paraId="1EE9A35A" w14:textId="391FD3A1"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7,450</w:t>
            </w:r>
          </w:p>
        </w:tc>
        <w:tc>
          <w:tcPr>
            <w:tcW w:w="68" w:type="pct"/>
            <w:shd w:val="clear" w:color="auto" w:fill="auto"/>
            <w:vAlign w:val="bottom"/>
          </w:tcPr>
          <w:p w14:paraId="042C7A22"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68" w:type="pct"/>
            <w:shd w:val="clear" w:color="auto" w:fill="auto"/>
          </w:tcPr>
          <w:p w14:paraId="57FD233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5AE49904" w14:textId="03C7ADB1"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15,342</w:t>
            </w:r>
          </w:p>
        </w:tc>
        <w:tc>
          <w:tcPr>
            <w:tcW w:w="68" w:type="pct"/>
            <w:shd w:val="clear" w:color="auto" w:fill="auto"/>
          </w:tcPr>
          <w:p w14:paraId="7D4338A4" w14:textId="0BDA9075"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r w:rsidR="00913A14" w:rsidRPr="006A2A5E" w14:paraId="2DF82E2F" w14:textId="16E0D7C7" w:rsidTr="00D33273">
        <w:tc>
          <w:tcPr>
            <w:tcW w:w="2366" w:type="pct"/>
            <w:shd w:val="clear" w:color="auto" w:fill="auto"/>
            <w:tcMar>
              <w:top w:w="0" w:type="dxa"/>
              <w:left w:w="200" w:type="dxa"/>
              <w:bottom w:w="0" w:type="dxa"/>
              <w:right w:w="0" w:type="dxa"/>
            </w:tcMar>
            <w:vAlign w:val="bottom"/>
            <w:hideMark/>
          </w:tcPr>
          <w:p w14:paraId="3647B0C2"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Accumulated other comprehensive loss</w:t>
            </w:r>
          </w:p>
        </w:tc>
        <w:tc>
          <w:tcPr>
            <w:tcW w:w="441" w:type="pct"/>
            <w:shd w:val="clear" w:color="auto" w:fill="auto"/>
            <w:vAlign w:val="bottom"/>
            <w:hideMark/>
          </w:tcPr>
          <w:p w14:paraId="7754E2C2" w14:textId="728C29A8" w:rsidR="00C84692" w:rsidRPr="006A2A5E" w:rsidRDefault="00C84692" w:rsidP="00D652D2">
            <w:pPr>
              <w:spacing w:after="0" w:line="240" w:lineRule="auto"/>
              <w:jc w:val="center"/>
              <w:rPr>
                <w:rFonts w:ascii="Times New Roman" w:eastAsia="Times New Roman" w:hAnsi="Times New Roman" w:cs="Times New Roman"/>
                <w:sz w:val="20"/>
                <w:szCs w:val="20"/>
                <w:lang w:val="en-US"/>
              </w:rPr>
            </w:pPr>
          </w:p>
        </w:tc>
        <w:tc>
          <w:tcPr>
            <w:tcW w:w="205" w:type="pct"/>
            <w:shd w:val="clear" w:color="auto" w:fill="auto"/>
            <w:vAlign w:val="bottom"/>
            <w:hideMark/>
          </w:tcPr>
          <w:p w14:paraId="0E8C15FB"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shd w:val="clear" w:color="auto" w:fill="auto"/>
            <w:vAlign w:val="bottom"/>
          </w:tcPr>
          <w:p w14:paraId="2F33E812" w14:textId="5841AFEA" w:rsidR="00C84692" w:rsidRPr="007B5FA3" w:rsidRDefault="00B5192E" w:rsidP="00BE5436">
            <w:pPr>
              <w:spacing w:after="0" w:line="240" w:lineRule="auto"/>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w:t>
            </w:r>
            <w:r w:rsidR="007B5FA3" w:rsidRPr="00064A08">
              <w:rPr>
                <w:rFonts w:ascii="Times New Roman" w:eastAsia="Times New Roman" w:hAnsi="Times New Roman" w:cs="Times New Roman"/>
                <w:b/>
                <w:bCs/>
                <w:sz w:val="20"/>
                <w:szCs w:val="20"/>
                <w:lang w:val="en-US"/>
              </w:rPr>
              <w:t>1,</w:t>
            </w:r>
            <w:r w:rsidR="00E85A04">
              <w:rPr>
                <w:rFonts w:ascii="Times New Roman" w:eastAsia="Times New Roman" w:hAnsi="Times New Roman" w:cs="Times New Roman"/>
                <w:b/>
                <w:bCs/>
                <w:sz w:val="20"/>
                <w:szCs w:val="20"/>
                <w:lang w:val="en-US"/>
              </w:rPr>
              <w:t>5</w:t>
            </w:r>
            <w:r w:rsidR="00D50494">
              <w:rPr>
                <w:rFonts w:ascii="Times New Roman" w:eastAsia="Times New Roman" w:hAnsi="Times New Roman" w:cs="Times New Roman"/>
                <w:b/>
                <w:bCs/>
                <w:sz w:val="20"/>
                <w:szCs w:val="20"/>
                <w:lang w:val="en-US"/>
              </w:rPr>
              <w:t>7</w:t>
            </w:r>
            <w:r w:rsidR="003B32D3">
              <w:rPr>
                <w:rFonts w:ascii="Times New Roman" w:eastAsia="Times New Roman" w:hAnsi="Times New Roman" w:cs="Times New Roman"/>
                <w:b/>
                <w:bCs/>
                <w:sz w:val="20"/>
                <w:szCs w:val="20"/>
                <w:lang w:val="en-US"/>
              </w:rPr>
              <w:t>2</w:t>
            </w:r>
            <w:r w:rsidR="007B5FA3" w:rsidRPr="00064A08">
              <w:rPr>
                <w:rFonts w:ascii="Times New Roman" w:eastAsia="Times New Roman" w:hAnsi="Times New Roman" w:cs="Times New Roman"/>
                <w:b/>
                <w:bCs/>
                <w:sz w:val="20"/>
                <w:szCs w:val="20"/>
                <w:lang w:val="en-US"/>
              </w:rPr>
              <w:t>,</w:t>
            </w:r>
            <w:r w:rsidR="003B32D3">
              <w:rPr>
                <w:rFonts w:ascii="Times New Roman" w:eastAsia="Times New Roman" w:hAnsi="Times New Roman" w:cs="Times New Roman"/>
                <w:b/>
                <w:bCs/>
                <w:sz w:val="20"/>
                <w:szCs w:val="20"/>
                <w:lang w:val="en-US"/>
              </w:rPr>
              <w:t>298</w:t>
            </w:r>
          </w:p>
        </w:tc>
        <w:tc>
          <w:tcPr>
            <w:tcW w:w="137" w:type="pct"/>
            <w:shd w:val="clear" w:color="auto" w:fill="auto"/>
            <w:vAlign w:val="bottom"/>
          </w:tcPr>
          <w:p w14:paraId="755AC29E" w14:textId="3D797F11" w:rsidR="00C84692" w:rsidRPr="00D33273" w:rsidRDefault="00B5192E"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68" w:type="pct"/>
            <w:shd w:val="clear" w:color="auto" w:fill="auto"/>
            <w:vAlign w:val="bottom"/>
            <w:hideMark/>
          </w:tcPr>
          <w:p w14:paraId="4B1FE205"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shd w:val="clear" w:color="auto" w:fill="auto"/>
            <w:vAlign w:val="bottom"/>
            <w:hideMark/>
          </w:tcPr>
          <w:p w14:paraId="212EC950" w14:textId="457AAF70"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847</w:t>
            </w:r>
            <w:r w:rsidRPr="006A2A5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412</w:t>
            </w:r>
          </w:p>
        </w:tc>
        <w:tc>
          <w:tcPr>
            <w:tcW w:w="68" w:type="pct"/>
            <w:shd w:val="clear" w:color="auto" w:fill="auto"/>
            <w:vAlign w:val="bottom"/>
            <w:hideMark/>
          </w:tcPr>
          <w:p w14:paraId="1AEDC055"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68" w:type="pct"/>
            <w:shd w:val="clear" w:color="auto" w:fill="auto"/>
          </w:tcPr>
          <w:p w14:paraId="4F71A35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shd w:val="clear" w:color="auto" w:fill="auto"/>
          </w:tcPr>
          <w:p w14:paraId="39BFBCED" w14:textId="1E37ED2A"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(490,172</w:t>
            </w:r>
          </w:p>
        </w:tc>
        <w:tc>
          <w:tcPr>
            <w:tcW w:w="68" w:type="pct"/>
            <w:shd w:val="clear" w:color="auto" w:fill="auto"/>
          </w:tcPr>
          <w:p w14:paraId="4AC2ABDC" w14:textId="62922645"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13A14" w:rsidRPr="006A2A5E" w14:paraId="2301C427" w14:textId="2947E41A" w:rsidTr="00D33273">
        <w:tc>
          <w:tcPr>
            <w:tcW w:w="2366" w:type="pct"/>
            <w:shd w:val="clear" w:color="auto" w:fill="auto"/>
            <w:tcMar>
              <w:top w:w="0" w:type="dxa"/>
              <w:left w:w="200" w:type="dxa"/>
              <w:bottom w:w="30" w:type="dxa"/>
              <w:right w:w="0" w:type="dxa"/>
            </w:tcMar>
            <w:vAlign w:val="bottom"/>
            <w:hideMark/>
          </w:tcPr>
          <w:p w14:paraId="2510887C"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Accumulated deficit</w:t>
            </w:r>
          </w:p>
        </w:tc>
        <w:tc>
          <w:tcPr>
            <w:tcW w:w="441" w:type="pct"/>
            <w:shd w:val="clear" w:color="auto" w:fill="auto"/>
            <w:tcMar>
              <w:top w:w="0" w:type="dxa"/>
              <w:left w:w="0" w:type="dxa"/>
              <w:bottom w:w="30" w:type="dxa"/>
              <w:right w:w="0" w:type="dxa"/>
            </w:tcMar>
            <w:vAlign w:val="bottom"/>
            <w:hideMark/>
          </w:tcPr>
          <w:p w14:paraId="0650B47F" w14:textId="062704C0" w:rsidR="00C84692" w:rsidRPr="006A2A5E" w:rsidRDefault="00C84692" w:rsidP="00CA4239">
            <w:pPr>
              <w:spacing w:after="0" w:line="240" w:lineRule="auto"/>
              <w:jc w:val="center"/>
              <w:rPr>
                <w:rFonts w:ascii="Times New Roman" w:eastAsia="Times New Roman" w:hAnsi="Times New Roman" w:cs="Times New Roman"/>
                <w:sz w:val="20"/>
                <w:szCs w:val="20"/>
                <w:lang w:val="en-US"/>
              </w:rPr>
            </w:pPr>
          </w:p>
        </w:tc>
        <w:tc>
          <w:tcPr>
            <w:tcW w:w="205" w:type="pct"/>
            <w:tcBorders>
              <w:bottom w:val="single" w:sz="12" w:space="0" w:color="auto"/>
            </w:tcBorders>
            <w:shd w:val="clear" w:color="auto" w:fill="auto"/>
            <w:vAlign w:val="bottom"/>
            <w:hideMark/>
          </w:tcPr>
          <w:p w14:paraId="61292F7F"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bottom w:val="single" w:sz="12" w:space="0" w:color="auto"/>
            </w:tcBorders>
            <w:shd w:val="clear" w:color="auto" w:fill="auto"/>
            <w:vAlign w:val="bottom"/>
          </w:tcPr>
          <w:p w14:paraId="0410004B" w14:textId="6068FA81" w:rsidR="00C84692" w:rsidRPr="007B5FA3" w:rsidRDefault="00B5192E" w:rsidP="00BE5436">
            <w:pPr>
              <w:spacing w:after="0" w:line="240" w:lineRule="auto"/>
              <w:jc w:val="right"/>
              <w:rPr>
                <w:rFonts w:ascii="Times New Roman" w:eastAsia="Times New Roman" w:hAnsi="Times New Roman" w:cs="Times New Roman"/>
                <w:b/>
                <w:bCs/>
                <w:sz w:val="20"/>
                <w:szCs w:val="20"/>
                <w:lang w:val="en-US"/>
              </w:rPr>
            </w:pPr>
            <w:r w:rsidRPr="007B5FA3">
              <w:rPr>
                <w:rFonts w:ascii="Times New Roman" w:eastAsia="Times New Roman" w:hAnsi="Times New Roman" w:cs="Times New Roman"/>
                <w:b/>
                <w:bCs/>
                <w:sz w:val="20"/>
                <w:szCs w:val="20"/>
                <w:lang w:val="en-US"/>
              </w:rPr>
              <w:t>(</w:t>
            </w:r>
            <w:r w:rsidR="007B5FA3" w:rsidRPr="00064A08">
              <w:rPr>
                <w:rFonts w:ascii="Times New Roman" w:eastAsia="Times New Roman" w:hAnsi="Times New Roman" w:cs="Times New Roman"/>
                <w:b/>
                <w:bCs/>
                <w:sz w:val="20"/>
                <w:szCs w:val="20"/>
                <w:lang w:val="en-US"/>
              </w:rPr>
              <w:t>37,</w:t>
            </w:r>
            <w:r w:rsidR="00D50494">
              <w:rPr>
                <w:rFonts w:ascii="Times New Roman" w:eastAsia="Times New Roman" w:hAnsi="Times New Roman" w:cs="Times New Roman"/>
                <w:b/>
                <w:bCs/>
                <w:sz w:val="20"/>
                <w:szCs w:val="20"/>
                <w:lang w:val="en-US"/>
              </w:rPr>
              <w:t>53</w:t>
            </w:r>
            <w:r w:rsidR="004B65C6">
              <w:rPr>
                <w:rFonts w:ascii="Times New Roman" w:eastAsia="Times New Roman" w:hAnsi="Times New Roman" w:cs="Times New Roman"/>
                <w:b/>
                <w:bCs/>
                <w:sz w:val="20"/>
                <w:szCs w:val="20"/>
                <w:lang w:val="en-US"/>
              </w:rPr>
              <w:t>5</w:t>
            </w:r>
            <w:r w:rsidR="007B5FA3" w:rsidRPr="00064A08">
              <w:rPr>
                <w:rFonts w:ascii="Times New Roman" w:eastAsia="Times New Roman" w:hAnsi="Times New Roman" w:cs="Times New Roman"/>
                <w:b/>
                <w:bCs/>
                <w:sz w:val="20"/>
                <w:szCs w:val="20"/>
                <w:lang w:val="en-US"/>
              </w:rPr>
              <w:t>,</w:t>
            </w:r>
            <w:r w:rsidR="004B65C6">
              <w:rPr>
                <w:rFonts w:ascii="Times New Roman" w:eastAsia="Times New Roman" w:hAnsi="Times New Roman" w:cs="Times New Roman"/>
                <w:b/>
                <w:bCs/>
                <w:sz w:val="20"/>
                <w:szCs w:val="20"/>
                <w:lang w:val="en-US"/>
              </w:rPr>
              <w:t>779</w:t>
            </w:r>
          </w:p>
        </w:tc>
        <w:tc>
          <w:tcPr>
            <w:tcW w:w="137" w:type="pct"/>
            <w:shd w:val="clear" w:color="auto" w:fill="auto"/>
            <w:tcMar>
              <w:top w:w="0" w:type="dxa"/>
              <w:left w:w="0" w:type="dxa"/>
              <w:bottom w:w="30" w:type="dxa"/>
              <w:right w:w="0" w:type="dxa"/>
            </w:tcMar>
            <w:vAlign w:val="bottom"/>
          </w:tcPr>
          <w:p w14:paraId="74E7F8F6" w14:textId="2AF374D3" w:rsidR="00C84692" w:rsidRPr="00D33273" w:rsidRDefault="00B5192E"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68" w:type="pct"/>
            <w:tcBorders>
              <w:bottom w:val="single" w:sz="12" w:space="0" w:color="auto"/>
            </w:tcBorders>
            <w:shd w:val="clear" w:color="auto" w:fill="auto"/>
            <w:vAlign w:val="bottom"/>
            <w:hideMark/>
          </w:tcPr>
          <w:p w14:paraId="75F1A319"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bottom w:val="single" w:sz="12" w:space="0" w:color="auto"/>
            </w:tcBorders>
            <w:shd w:val="clear" w:color="auto" w:fill="auto"/>
            <w:vAlign w:val="bottom"/>
            <w:hideMark/>
          </w:tcPr>
          <w:p w14:paraId="520AED85" w14:textId="69A12C9B"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3</w:t>
            </w:r>
            <w:r w:rsidR="004A7A22">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r w:rsidR="00873267">
              <w:rPr>
                <w:rFonts w:ascii="Times New Roman" w:eastAsia="Times New Roman" w:hAnsi="Times New Roman" w:cs="Times New Roman"/>
                <w:sz w:val="20"/>
                <w:szCs w:val="20"/>
                <w:lang w:val="en-US"/>
              </w:rPr>
              <w:t>650,850</w:t>
            </w:r>
          </w:p>
        </w:tc>
        <w:tc>
          <w:tcPr>
            <w:tcW w:w="68" w:type="pct"/>
            <w:shd w:val="clear" w:color="auto" w:fill="auto"/>
            <w:tcMar>
              <w:top w:w="0" w:type="dxa"/>
              <w:left w:w="0" w:type="dxa"/>
              <w:bottom w:w="30" w:type="dxa"/>
              <w:right w:w="0" w:type="dxa"/>
            </w:tcMar>
            <w:vAlign w:val="bottom"/>
            <w:hideMark/>
          </w:tcPr>
          <w:p w14:paraId="0846E66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68" w:type="pct"/>
            <w:shd w:val="clear" w:color="auto" w:fill="auto"/>
          </w:tcPr>
          <w:p w14:paraId="2BE46ED0"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bottom w:val="single" w:sz="12" w:space="0" w:color="auto"/>
            </w:tcBorders>
            <w:shd w:val="clear" w:color="auto" w:fill="auto"/>
          </w:tcPr>
          <w:p w14:paraId="4F6EF5D2" w14:textId="673919F6"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303AC6">
              <w:rPr>
                <w:rFonts w:ascii="Times New Roman" w:eastAsia="Times New Roman" w:hAnsi="Times New Roman" w:cs="Times New Roman"/>
                <w:sz w:val="20"/>
                <w:szCs w:val="20"/>
                <w:lang w:val="en-US"/>
              </w:rPr>
              <w:t>3,822,124</w:t>
            </w:r>
          </w:p>
        </w:tc>
        <w:tc>
          <w:tcPr>
            <w:tcW w:w="68" w:type="pct"/>
            <w:shd w:val="clear" w:color="auto" w:fill="auto"/>
          </w:tcPr>
          <w:p w14:paraId="4606705E" w14:textId="47A7943A"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13A14" w:rsidRPr="006A2A5E" w14:paraId="68C29257" w14:textId="0011A576" w:rsidTr="00D33273">
        <w:tc>
          <w:tcPr>
            <w:tcW w:w="2366" w:type="pct"/>
            <w:shd w:val="clear" w:color="auto" w:fill="auto"/>
            <w:tcMar>
              <w:top w:w="0" w:type="dxa"/>
              <w:left w:w="400" w:type="dxa"/>
              <w:bottom w:w="30" w:type="dxa"/>
              <w:right w:w="0" w:type="dxa"/>
            </w:tcMar>
            <w:vAlign w:val="bottom"/>
            <w:hideMark/>
          </w:tcPr>
          <w:p w14:paraId="15CED1A1" w14:textId="6D447B58"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Total stockholders’ </w:t>
            </w:r>
            <w:r w:rsidR="00864199">
              <w:rPr>
                <w:rFonts w:ascii="Times New Roman" w:eastAsia="Times New Roman" w:hAnsi="Times New Roman" w:cs="Times New Roman"/>
                <w:sz w:val="20"/>
                <w:szCs w:val="20"/>
                <w:lang w:val="en-US"/>
              </w:rPr>
              <w:t>equity (</w:t>
            </w:r>
            <w:r>
              <w:rPr>
                <w:rFonts w:ascii="Times New Roman" w:eastAsia="Times New Roman" w:hAnsi="Times New Roman" w:cs="Times New Roman"/>
                <w:sz w:val="20"/>
                <w:szCs w:val="20"/>
                <w:lang w:val="en-US"/>
              </w:rPr>
              <w:t>deficiency</w:t>
            </w:r>
            <w:r w:rsidR="00864199">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p>
        </w:tc>
        <w:tc>
          <w:tcPr>
            <w:tcW w:w="441" w:type="pct"/>
            <w:shd w:val="clear" w:color="auto" w:fill="auto"/>
            <w:tcMar>
              <w:top w:w="0" w:type="dxa"/>
              <w:left w:w="0" w:type="dxa"/>
              <w:bottom w:w="30" w:type="dxa"/>
              <w:right w:w="0" w:type="dxa"/>
            </w:tcMar>
            <w:vAlign w:val="bottom"/>
            <w:hideMark/>
          </w:tcPr>
          <w:p w14:paraId="3A4CCF93" w14:textId="21EDF0D3" w:rsidR="00C84692" w:rsidRPr="006A2A5E" w:rsidRDefault="00C84692" w:rsidP="00CA4239">
            <w:pPr>
              <w:spacing w:after="0" w:line="240" w:lineRule="auto"/>
              <w:jc w:val="center"/>
              <w:rPr>
                <w:rFonts w:ascii="Times New Roman" w:eastAsia="Times New Roman" w:hAnsi="Times New Roman" w:cs="Times New Roman"/>
                <w:sz w:val="20"/>
                <w:szCs w:val="20"/>
                <w:lang w:val="en-US"/>
              </w:rPr>
            </w:pPr>
          </w:p>
        </w:tc>
        <w:tc>
          <w:tcPr>
            <w:tcW w:w="205" w:type="pct"/>
            <w:tcBorders>
              <w:top w:val="single" w:sz="12" w:space="0" w:color="auto"/>
              <w:bottom w:val="single" w:sz="12" w:space="0" w:color="auto"/>
            </w:tcBorders>
            <w:shd w:val="clear" w:color="auto" w:fill="auto"/>
            <w:vAlign w:val="bottom"/>
            <w:hideMark/>
          </w:tcPr>
          <w:p w14:paraId="2FC41C2F"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480" w:type="pct"/>
            <w:tcBorders>
              <w:top w:val="single" w:sz="12" w:space="0" w:color="auto"/>
              <w:bottom w:val="single" w:sz="12" w:space="0" w:color="auto"/>
            </w:tcBorders>
            <w:shd w:val="clear" w:color="auto" w:fill="auto"/>
            <w:vAlign w:val="bottom"/>
          </w:tcPr>
          <w:p w14:paraId="117A127D" w14:textId="78934990"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22,61</w:t>
            </w:r>
            <w:r w:rsidR="00D50494">
              <w:rPr>
                <w:rFonts w:ascii="Times New Roman" w:eastAsia="Times New Roman" w:hAnsi="Times New Roman" w:cs="Times New Roman"/>
                <w:b/>
                <w:bCs/>
                <w:sz w:val="20"/>
                <w:szCs w:val="20"/>
                <w:lang w:val="en-US"/>
              </w:rPr>
              <w:t>4</w:t>
            </w:r>
            <w:r w:rsidR="00DA3F73">
              <w:rPr>
                <w:rFonts w:ascii="Times New Roman" w:eastAsia="Times New Roman" w:hAnsi="Times New Roman" w:cs="Times New Roman"/>
                <w:b/>
                <w:bCs/>
                <w:sz w:val="20"/>
                <w:szCs w:val="20"/>
                <w:lang w:val="en-US"/>
              </w:rPr>
              <w:t>,</w:t>
            </w:r>
            <w:r w:rsidR="004B65C6">
              <w:rPr>
                <w:rFonts w:ascii="Times New Roman" w:eastAsia="Times New Roman" w:hAnsi="Times New Roman" w:cs="Times New Roman"/>
                <w:b/>
                <w:bCs/>
                <w:sz w:val="20"/>
                <w:szCs w:val="20"/>
                <w:lang w:val="en-US"/>
              </w:rPr>
              <w:t>40</w:t>
            </w:r>
            <w:r w:rsidR="0035562D">
              <w:rPr>
                <w:rFonts w:ascii="Times New Roman" w:eastAsia="Times New Roman" w:hAnsi="Times New Roman" w:cs="Times New Roman"/>
                <w:b/>
                <w:bCs/>
                <w:sz w:val="20"/>
                <w:szCs w:val="20"/>
                <w:lang w:val="en-US"/>
              </w:rPr>
              <w:t>4</w:t>
            </w:r>
          </w:p>
        </w:tc>
        <w:tc>
          <w:tcPr>
            <w:tcW w:w="137" w:type="pct"/>
            <w:shd w:val="clear" w:color="auto" w:fill="auto"/>
            <w:tcMar>
              <w:top w:w="0" w:type="dxa"/>
              <w:left w:w="0" w:type="dxa"/>
              <w:bottom w:w="30" w:type="dxa"/>
              <w:right w:w="0" w:type="dxa"/>
            </w:tcMar>
            <w:vAlign w:val="bottom"/>
          </w:tcPr>
          <w:p w14:paraId="13240FF8" w14:textId="217C48C0"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p>
        </w:tc>
        <w:tc>
          <w:tcPr>
            <w:tcW w:w="68" w:type="pct"/>
            <w:tcBorders>
              <w:top w:val="single" w:sz="12" w:space="0" w:color="auto"/>
              <w:bottom w:val="single" w:sz="12" w:space="0" w:color="auto"/>
            </w:tcBorders>
            <w:shd w:val="clear" w:color="auto" w:fill="auto"/>
            <w:vAlign w:val="bottom"/>
            <w:hideMark/>
          </w:tcPr>
          <w:p w14:paraId="38E6F46E"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49" w:type="pct"/>
            <w:tcBorders>
              <w:top w:val="single" w:sz="12" w:space="0" w:color="auto"/>
              <w:bottom w:val="single" w:sz="12" w:space="0" w:color="auto"/>
            </w:tcBorders>
            <w:shd w:val="clear" w:color="auto" w:fill="auto"/>
            <w:vAlign w:val="bottom"/>
            <w:hideMark/>
          </w:tcPr>
          <w:p w14:paraId="0F3BEE7D" w14:textId="09AECCF3" w:rsidR="00C84692" w:rsidRPr="006A2A5E" w:rsidRDefault="00C8469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6E6855">
              <w:rPr>
                <w:rFonts w:ascii="Times New Roman" w:eastAsia="Times New Roman" w:hAnsi="Times New Roman" w:cs="Times New Roman"/>
                <w:sz w:val="20"/>
                <w:szCs w:val="20"/>
                <w:lang w:val="en-US"/>
              </w:rPr>
              <w:t>4,</w:t>
            </w:r>
            <w:r w:rsidR="00F26844">
              <w:rPr>
                <w:rFonts w:ascii="Times New Roman" w:eastAsia="Times New Roman" w:hAnsi="Times New Roman" w:cs="Times New Roman"/>
                <w:sz w:val="20"/>
                <w:szCs w:val="20"/>
                <w:lang w:val="en-US"/>
              </w:rPr>
              <w:t>461,230</w:t>
            </w:r>
          </w:p>
        </w:tc>
        <w:tc>
          <w:tcPr>
            <w:tcW w:w="68" w:type="pct"/>
            <w:shd w:val="clear" w:color="auto" w:fill="auto"/>
            <w:tcMar>
              <w:top w:w="0" w:type="dxa"/>
              <w:left w:w="0" w:type="dxa"/>
              <w:bottom w:w="30" w:type="dxa"/>
              <w:right w:w="0" w:type="dxa"/>
            </w:tcMar>
            <w:vAlign w:val="bottom"/>
            <w:hideMark/>
          </w:tcPr>
          <w:p w14:paraId="0938F2AD"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68" w:type="pct"/>
            <w:shd w:val="clear" w:color="auto" w:fill="auto"/>
          </w:tcPr>
          <w:p w14:paraId="309C2DC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top w:val="single" w:sz="12" w:space="0" w:color="auto"/>
              <w:bottom w:val="single" w:sz="12" w:space="0" w:color="auto"/>
            </w:tcBorders>
            <w:shd w:val="clear" w:color="auto" w:fill="auto"/>
          </w:tcPr>
          <w:p w14:paraId="23623EA3" w14:textId="11F92A79" w:rsidR="00C84692" w:rsidRPr="006A2A5E" w:rsidRDefault="00C84692"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03AC6">
              <w:rPr>
                <w:rFonts w:ascii="Times New Roman" w:eastAsia="Times New Roman" w:hAnsi="Times New Roman" w:cs="Times New Roman"/>
                <w:sz w:val="20"/>
                <w:szCs w:val="20"/>
                <w:lang w:val="en-US"/>
              </w:rPr>
              <w:t>6,787,233</w:t>
            </w:r>
          </w:p>
        </w:tc>
        <w:tc>
          <w:tcPr>
            <w:tcW w:w="68" w:type="pct"/>
            <w:shd w:val="clear" w:color="auto" w:fill="auto"/>
          </w:tcPr>
          <w:p w14:paraId="40055524" w14:textId="1BDB7B6F"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13A14" w:rsidRPr="006A2A5E" w14:paraId="5D19DAE7" w14:textId="27A0258A" w:rsidTr="008C01B7">
        <w:tc>
          <w:tcPr>
            <w:tcW w:w="2366" w:type="pct"/>
            <w:tcBorders>
              <w:bottom w:val="single" w:sz="12" w:space="0" w:color="auto"/>
            </w:tcBorders>
            <w:shd w:val="clear" w:color="auto" w:fill="auto"/>
            <w:tcMar>
              <w:top w:w="0" w:type="dxa"/>
              <w:left w:w="400" w:type="dxa"/>
              <w:bottom w:w="30" w:type="dxa"/>
              <w:right w:w="0" w:type="dxa"/>
            </w:tcMar>
            <w:vAlign w:val="bottom"/>
            <w:hideMark/>
          </w:tcPr>
          <w:p w14:paraId="0B74F5FD" w14:textId="0D3A1549"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Total liabilities and stockholders’ </w:t>
            </w:r>
            <w:r w:rsidR="00B24066">
              <w:rPr>
                <w:rFonts w:ascii="Times New Roman" w:eastAsia="Times New Roman" w:hAnsi="Times New Roman" w:cs="Times New Roman"/>
                <w:sz w:val="20"/>
                <w:szCs w:val="20"/>
                <w:lang w:val="en-US"/>
              </w:rPr>
              <w:t>equity (</w:t>
            </w:r>
            <w:r>
              <w:rPr>
                <w:rFonts w:ascii="Times New Roman" w:eastAsia="Times New Roman" w:hAnsi="Times New Roman" w:cs="Times New Roman"/>
                <w:sz w:val="20"/>
                <w:szCs w:val="20"/>
                <w:lang w:val="en-US"/>
              </w:rPr>
              <w:t>deficiency</w:t>
            </w:r>
            <w:r w:rsidR="00B24066">
              <w:rPr>
                <w:rFonts w:ascii="Times New Roman" w:eastAsia="Times New Roman" w:hAnsi="Times New Roman" w:cs="Times New Roman"/>
                <w:sz w:val="20"/>
                <w:szCs w:val="20"/>
                <w:lang w:val="en-US"/>
              </w:rPr>
              <w:t>)</w:t>
            </w:r>
          </w:p>
        </w:tc>
        <w:tc>
          <w:tcPr>
            <w:tcW w:w="441" w:type="pct"/>
            <w:tcBorders>
              <w:bottom w:val="single" w:sz="12" w:space="0" w:color="auto"/>
            </w:tcBorders>
            <w:shd w:val="clear" w:color="auto" w:fill="auto"/>
            <w:tcMar>
              <w:top w:w="0" w:type="dxa"/>
              <w:left w:w="0" w:type="dxa"/>
              <w:bottom w:w="30" w:type="dxa"/>
              <w:right w:w="0" w:type="dxa"/>
            </w:tcMar>
            <w:vAlign w:val="bottom"/>
            <w:hideMark/>
          </w:tcPr>
          <w:p w14:paraId="210DB158" w14:textId="403C9589" w:rsidR="00C84692" w:rsidRPr="006A2A5E" w:rsidRDefault="00C84692" w:rsidP="00CA4239">
            <w:pPr>
              <w:spacing w:after="0" w:line="240" w:lineRule="auto"/>
              <w:jc w:val="center"/>
              <w:rPr>
                <w:rFonts w:ascii="Times New Roman" w:eastAsia="Times New Roman" w:hAnsi="Times New Roman" w:cs="Times New Roman"/>
                <w:sz w:val="20"/>
                <w:szCs w:val="20"/>
                <w:lang w:val="en-US"/>
              </w:rPr>
            </w:pPr>
          </w:p>
        </w:tc>
        <w:tc>
          <w:tcPr>
            <w:tcW w:w="205" w:type="pct"/>
            <w:tcBorders>
              <w:top w:val="single" w:sz="12" w:space="0" w:color="auto"/>
              <w:bottom w:val="single" w:sz="12" w:space="0" w:color="auto"/>
            </w:tcBorders>
            <w:shd w:val="clear" w:color="auto" w:fill="auto"/>
            <w:vAlign w:val="bottom"/>
            <w:hideMark/>
          </w:tcPr>
          <w:p w14:paraId="25594CEB"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480" w:type="pct"/>
            <w:tcBorders>
              <w:top w:val="single" w:sz="12" w:space="0" w:color="auto"/>
              <w:bottom w:val="single" w:sz="12" w:space="0" w:color="auto"/>
            </w:tcBorders>
            <w:shd w:val="clear" w:color="auto" w:fill="auto"/>
            <w:vAlign w:val="bottom"/>
          </w:tcPr>
          <w:p w14:paraId="6DE8A5F1" w14:textId="792603A1" w:rsidR="00C84692" w:rsidRPr="007B5FA3" w:rsidRDefault="007B5FA3" w:rsidP="00BE5436">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33,</w:t>
            </w:r>
            <w:r w:rsidR="00D50494">
              <w:rPr>
                <w:rFonts w:ascii="Times New Roman" w:eastAsia="Times New Roman" w:hAnsi="Times New Roman" w:cs="Times New Roman"/>
                <w:b/>
                <w:bCs/>
                <w:sz w:val="20"/>
                <w:szCs w:val="20"/>
                <w:lang w:val="en-US"/>
              </w:rPr>
              <w:t>128</w:t>
            </w:r>
            <w:r w:rsidRPr="00064A08">
              <w:rPr>
                <w:rFonts w:ascii="Times New Roman" w:eastAsia="Times New Roman" w:hAnsi="Times New Roman" w:cs="Times New Roman"/>
                <w:b/>
                <w:bCs/>
                <w:sz w:val="20"/>
                <w:szCs w:val="20"/>
                <w:lang w:val="en-US"/>
              </w:rPr>
              <w:t>,</w:t>
            </w:r>
            <w:r w:rsidR="0035562D">
              <w:rPr>
                <w:rFonts w:ascii="Times New Roman" w:eastAsia="Times New Roman" w:hAnsi="Times New Roman" w:cs="Times New Roman"/>
                <w:b/>
                <w:bCs/>
                <w:sz w:val="20"/>
                <w:szCs w:val="20"/>
                <w:lang w:val="en-US"/>
              </w:rPr>
              <w:t>912</w:t>
            </w:r>
          </w:p>
        </w:tc>
        <w:tc>
          <w:tcPr>
            <w:tcW w:w="137" w:type="pct"/>
            <w:tcBorders>
              <w:bottom w:val="single" w:sz="12" w:space="0" w:color="auto"/>
            </w:tcBorders>
            <w:shd w:val="clear" w:color="auto" w:fill="auto"/>
            <w:tcMar>
              <w:top w:w="0" w:type="dxa"/>
              <w:left w:w="0" w:type="dxa"/>
              <w:bottom w:w="30" w:type="dxa"/>
              <w:right w:w="0" w:type="dxa"/>
            </w:tcMar>
            <w:vAlign w:val="bottom"/>
            <w:hideMark/>
          </w:tcPr>
          <w:p w14:paraId="1132EED6" w14:textId="77777777" w:rsidR="00C84692" w:rsidRPr="00D33273" w:rsidRDefault="00C84692" w:rsidP="00BE5436">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8" w:type="pct"/>
            <w:tcBorders>
              <w:top w:val="single" w:sz="12" w:space="0" w:color="auto"/>
              <w:bottom w:val="single" w:sz="12" w:space="0" w:color="auto"/>
            </w:tcBorders>
            <w:shd w:val="clear" w:color="auto" w:fill="auto"/>
            <w:vAlign w:val="bottom"/>
            <w:hideMark/>
          </w:tcPr>
          <w:p w14:paraId="4EA549DB"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w:t>
            </w:r>
          </w:p>
        </w:tc>
        <w:tc>
          <w:tcPr>
            <w:tcW w:w="549" w:type="pct"/>
            <w:tcBorders>
              <w:top w:val="single" w:sz="12" w:space="0" w:color="auto"/>
              <w:bottom w:val="single" w:sz="12" w:space="0" w:color="auto"/>
            </w:tcBorders>
            <w:shd w:val="clear" w:color="auto" w:fill="auto"/>
            <w:vAlign w:val="bottom"/>
            <w:hideMark/>
          </w:tcPr>
          <w:p w14:paraId="360F40E2" w14:textId="5F9CEF7B" w:rsidR="00C84692" w:rsidRPr="006A2A5E" w:rsidRDefault="004A7A22" w:rsidP="00BE5436">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C84692">
              <w:rPr>
                <w:rFonts w:ascii="Times New Roman" w:eastAsia="Times New Roman" w:hAnsi="Times New Roman" w:cs="Times New Roman"/>
                <w:sz w:val="20"/>
                <w:szCs w:val="20"/>
                <w:lang w:val="en-US"/>
              </w:rPr>
              <w:t>,</w:t>
            </w:r>
            <w:r w:rsidR="00F26844">
              <w:rPr>
                <w:rFonts w:ascii="Times New Roman" w:eastAsia="Times New Roman" w:hAnsi="Times New Roman" w:cs="Times New Roman"/>
                <w:sz w:val="20"/>
                <w:szCs w:val="20"/>
                <w:lang w:val="en-US"/>
              </w:rPr>
              <w:t>521,629</w:t>
            </w:r>
          </w:p>
        </w:tc>
        <w:tc>
          <w:tcPr>
            <w:tcW w:w="68" w:type="pct"/>
            <w:tcBorders>
              <w:bottom w:val="single" w:sz="12" w:space="0" w:color="auto"/>
            </w:tcBorders>
            <w:shd w:val="clear" w:color="auto" w:fill="auto"/>
            <w:tcMar>
              <w:top w:w="0" w:type="dxa"/>
              <w:left w:w="0" w:type="dxa"/>
              <w:bottom w:w="30" w:type="dxa"/>
              <w:right w:w="0" w:type="dxa"/>
            </w:tcMar>
            <w:vAlign w:val="bottom"/>
            <w:hideMark/>
          </w:tcPr>
          <w:p w14:paraId="0238EE47"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8" w:type="pct"/>
            <w:tcBorders>
              <w:bottom w:val="single" w:sz="12" w:space="0" w:color="auto"/>
            </w:tcBorders>
            <w:shd w:val="clear" w:color="auto" w:fill="auto"/>
          </w:tcPr>
          <w:p w14:paraId="43444043" w14:textId="77777777"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c>
          <w:tcPr>
            <w:tcW w:w="549" w:type="pct"/>
            <w:tcBorders>
              <w:top w:val="single" w:sz="12" w:space="0" w:color="auto"/>
              <w:bottom w:val="single" w:sz="12" w:space="0" w:color="auto"/>
            </w:tcBorders>
            <w:shd w:val="clear" w:color="auto" w:fill="auto"/>
          </w:tcPr>
          <w:p w14:paraId="0C4CA5FA" w14:textId="229C2856" w:rsidR="00C84692" w:rsidRPr="006A2A5E" w:rsidRDefault="00883854" w:rsidP="00CA4239">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6,487,261</w:t>
            </w:r>
          </w:p>
        </w:tc>
        <w:tc>
          <w:tcPr>
            <w:tcW w:w="68" w:type="pct"/>
            <w:shd w:val="clear" w:color="auto" w:fill="auto"/>
          </w:tcPr>
          <w:p w14:paraId="45CCEFFB" w14:textId="0B09A6B2" w:rsidR="00C84692" w:rsidRPr="006A2A5E" w:rsidRDefault="00C84692" w:rsidP="00BE5436">
            <w:pPr>
              <w:spacing w:after="0" w:line="240" w:lineRule="auto"/>
              <w:jc w:val="both"/>
              <w:rPr>
                <w:rFonts w:ascii="Times New Roman" w:eastAsia="Times New Roman" w:hAnsi="Times New Roman" w:cs="Times New Roman"/>
                <w:sz w:val="20"/>
                <w:szCs w:val="20"/>
                <w:lang w:val="en-US"/>
              </w:rPr>
            </w:pPr>
          </w:p>
        </w:tc>
      </w:tr>
    </w:tbl>
    <w:p w14:paraId="5317747B" w14:textId="77777777" w:rsidR="006A2A5E" w:rsidRDefault="006A2A5E" w:rsidP="006A2A5E">
      <w:pPr>
        <w:pStyle w:val="NormalWeb"/>
        <w:spacing w:before="0" w:beforeAutospacing="0" w:after="0" w:afterAutospacing="0"/>
        <w:jc w:val="center"/>
        <w:rPr>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851"/>
        <w:gridCol w:w="850"/>
        <w:gridCol w:w="1843"/>
        <w:gridCol w:w="329"/>
        <w:gridCol w:w="2364"/>
      </w:tblGrid>
      <w:tr w:rsidR="005E68B0" w:rsidRPr="005E68B0" w14:paraId="349A4A6B" w14:textId="77777777" w:rsidTr="00D33273">
        <w:tc>
          <w:tcPr>
            <w:tcW w:w="4111" w:type="dxa"/>
            <w:shd w:val="clear" w:color="auto" w:fill="auto"/>
          </w:tcPr>
          <w:p w14:paraId="431815E9" w14:textId="77777777" w:rsidR="00B5192E" w:rsidRPr="00815C23" w:rsidRDefault="00B5192E" w:rsidP="007F2074">
            <w:r w:rsidRPr="00815C23">
              <w:t>Nature of operations and going concern</w:t>
            </w:r>
          </w:p>
        </w:tc>
        <w:tc>
          <w:tcPr>
            <w:tcW w:w="851" w:type="dxa"/>
            <w:shd w:val="clear" w:color="auto" w:fill="auto"/>
          </w:tcPr>
          <w:p w14:paraId="0E0D60FE" w14:textId="21183AF8" w:rsidR="00B5192E" w:rsidRPr="00815C23" w:rsidRDefault="00B5192E" w:rsidP="007F2074">
            <w:pPr>
              <w:jc w:val="center"/>
            </w:pPr>
          </w:p>
        </w:tc>
        <w:tc>
          <w:tcPr>
            <w:tcW w:w="850" w:type="dxa"/>
            <w:shd w:val="clear" w:color="auto" w:fill="auto"/>
          </w:tcPr>
          <w:p w14:paraId="324E9F7B" w14:textId="0F27A802" w:rsidR="00B5192E" w:rsidRPr="00815C23" w:rsidRDefault="008D5AFE" w:rsidP="00CA4239">
            <w:pPr>
              <w:jc w:val="center"/>
            </w:pPr>
            <w:r w:rsidRPr="00815C23">
              <w:t>1</w:t>
            </w:r>
          </w:p>
        </w:tc>
        <w:tc>
          <w:tcPr>
            <w:tcW w:w="1843" w:type="dxa"/>
            <w:shd w:val="clear" w:color="auto" w:fill="auto"/>
          </w:tcPr>
          <w:p w14:paraId="0D48F5CC" w14:textId="77777777" w:rsidR="00B5192E" w:rsidRPr="00815C23" w:rsidRDefault="00B5192E" w:rsidP="007F2074">
            <w:pPr>
              <w:jc w:val="right"/>
            </w:pPr>
          </w:p>
        </w:tc>
        <w:tc>
          <w:tcPr>
            <w:tcW w:w="329" w:type="dxa"/>
            <w:shd w:val="clear" w:color="auto" w:fill="auto"/>
          </w:tcPr>
          <w:p w14:paraId="430A4ADB" w14:textId="77777777" w:rsidR="00B5192E" w:rsidRPr="00815C23" w:rsidRDefault="00B5192E" w:rsidP="007F2074"/>
        </w:tc>
        <w:tc>
          <w:tcPr>
            <w:tcW w:w="2364" w:type="dxa"/>
            <w:shd w:val="clear" w:color="auto" w:fill="auto"/>
          </w:tcPr>
          <w:p w14:paraId="7CE692CA" w14:textId="77777777" w:rsidR="00B5192E" w:rsidRPr="00815C23" w:rsidRDefault="00B5192E" w:rsidP="007F2074">
            <w:pPr>
              <w:jc w:val="right"/>
            </w:pPr>
          </w:p>
        </w:tc>
      </w:tr>
      <w:tr w:rsidR="00B5192E" w:rsidRPr="00B5192E" w14:paraId="5517E353" w14:textId="77777777" w:rsidTr="00D33273">
        <w:tc>
          <w:tcPr>
            <w:tcW w:w="4111" w:type="dxa"/>
            <w:shd w:val="clear" w:color="auto" w:fill="auto"/>
          </w:tcPr>
          <w:p w14:paraId="1E25A83D" w14:textId="1B3FE4B6" w:rsidR="00B5192E" w:rsidRPr="00815C23" w:rsidRDefault="008D5AFE" w:rsidP="007F2074">
            <w:r w:rsidRPr="00815C23">
              <w:t xml:space="preserve">IFRS </w:t>
            </w:r>
            <w:r w:rsidR="009529C5">
              <w:t xml:space="preserve">first-time </w:t>
            </w:r>
            <w:r w:rsidRPr="00815C23">
              <w:t>adoption</w:t>
            </w:r>
          </w:p>
        </w:tc>
        <w:tc>
          <w:tcPr>
            <w:tcW w:w="851" w:type="dxa"/>
            <w:shd w:val="clear" w:color="auto" w:fill="auto"/>
          </w:tcPr>
          <w:p w14:paraId="25B3FCEF" w14:textId="0B97522B" w:rsidR="00B5192E" w:rsidRPr="00815C23" w:rsidRDefault="00B5192E" w:rsidP="007F2074">
            <w:pPr>
              <w:jc w:val="center"/>
            </w:pPr>
          </w:p>
        </w:tc>
        <w:tc>
          <w:tcPr>
            <w:tcW w:w="850" w:type="dxa"/>
            <w:shd w:val="clear" w:color="auto" w:fill="auto"/>
          </w:tcPr>
          <w:p w14:paraId="04FB2F53" w14:textId="6F338EFD" w:rsidR="00B5192E" w:rsidRPr="00815C23" w:rsidRDefault="008D5AFE" w:rsidP="00CA4239">
            <w:pPr>
              <w:jc w:val="center"/>
            </w:pPr>
            <w:r w:rsidRPr="00815C23">
              <w:t>2</w:t>
            </w:r>
          </w:p>
        </w:tc>
        <w:tc>
          <w:tcPr>
            <w:tcW w:w="1843" w:type="dxa"/>
            <w:shd w:val="clear" w:color="auto" w:fill="auto"/>
          </w:tcPr>
          <w:p w14:paraId="3353361B" w14:textId="77777777" w:rsidR="00B5192E" w:rsidRPr="00815C23" w:rsidRDefault="00B5192E" w:rsidP="007F2074">
            <w:pPr>
              <w:jc w:val="right"/>
            </w:pPr>
          </w:p>
        </w:tc>
        <w:tc>
          <w:tcPr>
            <w:tcW w:w="329" w:type="dxa"/>
            <w:shd w:val="clear" w:color="auto" w:fill="auto"/>
          </w:tcPr>
          <w:p w14:paraId="1A4F7111" w14:textId="77777777" w:rsidR="00B5192E" w:rsidRPr="00815C23" w:rsidRDefault="00B5192E" w:rsidP="007F2074"/>
        </w:tc>
        <w:tc>
          <w:tcPr>
            <w:tcW w:w="2364" w:type="dxa"/>
            <w:shd w:val="clear" w:color="auto" w:fill="auto"/>
          </w:tcPr>
          <w:p w14:paraId="74B1690C" w14:textId="77777777" w:rsidR="00B5192E" w:rsidRPr="00815C23" w:rsidRDefault="00B5192E" w:rsidP="007F2074">
            <w:pPr>
              <w:jc w:val="right"/>
            </w:pPr>
          </w:p>
        </w:tc>
      </w:tr>
      <w:tr w:rsidR="005E68B0" w:rsidRPr="005E68B0" w14:paraId="55E4D6FB" w14:textId="77777777" w:rsidTr="00D33273">
        <w:tc>
          <w:tcPr>
            <w:tcW w:w="4111" w:type="dxa"/>
            <w:shd w:val="clear" w:color="auto" w:fill="auto"/>
          </w:tcPr>
          <w:p w14:paraId="1078CBA2" w14:textId="77777777" w:rsidR="00B5192E" w:rsidRPr="00815C23" w:rsidRDefault="00B5192E" w:rsidP="007F2074">
            <w:r w:rsidRPr="00815C23">
              <w:t>Subsequent events</w:t>
            </w:r>
          </w:p>
        </w:tc>
        <w:tc>
          <w:tcPr>
            <w:tcW w:w="851" w:type="dxa"/>
            <w:shd w:val="clear" w:color="auto" w:fill="auto"/>
          </w:tcPr>
          <w:p w14:paraId="0528CF96" w14:textId="62AE998A" w:rsidR="00B5192E" w:rsidRPr="00815C23" w:rsidRDefault="00B5192E" w:rsidP="007F2074">
            <w:pPr>
              <w:jc w:val="center"/>
            </w:pPr>
          </w:p>
        </w:tc>
        <w:tc>
          <w:tcPr>
            <w:tcW w:w="850" w:type="dxa"/>
            <w:shd w:val="clear" w:color="auto" w:fill="auto"/>
          </w:tcPr>
          <w:p w14:paraId="09B056C8" w14:textId="26B4E165" w:rsidR="00B5192E" w:rsidRPr="00815C23" w:rsidRDefault="00657794" w:rsidP="00CA4239">
            <w:pPr>
              <w:jc w:val="center"/>
            </w:pPr>
            <w:r>
              <w:t>2</w:t>
            </w:r>
            <w:r w:rsidR="00592A3F">
              <w:t>2</w:t>
            </w:r>
          </w:p>
        </w:tc>
        <w:tc>
          <w:tcPr>
            <w:tcW w:w="1843" w:type="dxa"/>
            <w:shd w:val="clear" w:color="auto" w:fill="auto"/>
          </w:tcPr>
          <w:p w14:paraId="4CFDED5A" w14:textId="77777777" w:rsidR="00B5192E" w:rsidRPr="00815C23" w:rsidRDefault="00B5192E" w:rsidP="007F2074">
            <w:pPr>
              <w:jc w:val="right"/>
            </w:pPr>
          </w:p>
        </w:tc>
        <w:tc>
          <w:tcPr>
            <w:tcW w:w="329" w:type="dxa"/>
            <w:shd w:val="clear" w:color="auto" w:fill="auto"/>
          </w:tcPr>
          <w:p w14:paraId="44878676" w14:textId="77777777" w:rsidR="00B5192E" w:rsidRPr="00815C23" w:rsidRDefault="00B5192E" w:rsidP="007F2074"/>
        </w:tc>
        <w:tc>
          <w:tcPr>
            <w:tcW w:w="2364" w:type="dxa"/>
            <w:shd w:val="clear" w:color="auto" w:fill="auto"/>
          </w:tcPr>
          <w:p w14:paraId="1E3E44DF" w14:textId="77777777" w:rsidR="00B5192E" w:rsidRPr="00815C23" w:rsidRDefault="00B5192E" w:rsidP="007F2074">
            <w:pPr>
              <w:jc w:val="right"/>
            </w:pPr>
          </w:p>
        </w:tc>
      </w:tr>
    </w:tbl>
    <w:p w14:paraId="47184F53" w14:textId="77777777" w:rsidR="00B5192E" w:rsidRPr="00CA4239" w:rsidRDefault="00B5192E" w:rsidP="00B5192E">
      <w:pPr>
        <w:jc w:val="both"/>
        <w:rPr>
          <w:rFonts w:ascii="Times New Roman" w:hAnsi="Times New Roman"/>
          <w:sz w:val="20"/>
          <w:szCs w:val="20"/>
        </w:rPr>
      </w:pPr>
    </w:p>
    <w:tbl>
      <w:tblPr>
        <w:tblW w:w="9792" w:type="dxa"/>
        <w:tblInd w:w="108" w:type="dxa"/>
        <w:tblLayout w:type="fixed"/>
        <w:tblLook w:val="0000" w:firstRow="0" w:lastRow="0" w:firstColumn="0" w:lastColumn="0" w:noHBand="0" w:noVBand="0"/>
      </w:tblPr>
      <w:tblGrid>
        <w:gridCol w:w="3634"/>
        <w:gridCol w:w="1113"/>
        <w:gridCol w:w="50"/>
        <w:gridCol w:w="246"/>
        <w:gridCol w:w="3505"/>
        <w:gridCol w:w="1244"/>
      </w:tblGrid>
      <w:tr w:rsidR="00B5192E" w:rsidRPr="00B5192E" w14:paraId="32B44D1D" w14:textId="77777777" w:rsidTr="00CA4239">
        <w:tc>
          <w:tcPr>
            <w:tcW w:w="4797" w:type="dxa"/>
            <w:gridSpan w:val="3"/>
            <w:shd w:val="clear" w:color="auto" w:fill="auto"/>
          </w:tcPr>
          <w:p w14:paraId="0AA7EB76" w14:textId="77777777" w:rsidR="00B5192E" w:rsidRPr="00CA4239" w:rsidRDefault="00B5192E" w:rsidP="007F2074">
            <w:pPr>
              <w:jc w:val="both"/>
              <w:rPr>
                <w:rFonts w:ascii="Times New Roman" w:hAnsi="Times New Roman"/>
                <w:sz w:val="20"/>
                <w:szCs w:val="20"/>
              </w:rPr>
            </w:pPr>
            <w:r w:rsidRPr="00CA4239">
              <w:rPr>
                <w:rFonts w:ascii="Times New Roman" w:hAnsi="Times New Roman"/>
                <w:sz w:val="20"/>
                <w:szCs w:val="20"/>
              </w:rPr>
              <w:t>APPROVED BY THE BOARD OF DIRECTORS:</w:t>
            </w:r>
          </w:p>
        </w:tc>
        <w:tc>
          <w:tcPr>
            <w:tcW w:w="246" w:type="dxa"/>
            <w:shd w:val="clear" w:color="auto" w:fill="auto"/>
          </w:tcPr>
          <w:p w14:paraId="6700CC35" w14:textId="77777777" w:rsidR="00B5192E" w:rsidRPr="00CA4239" w:rsidRDefault="00B5192E" w:rsidP="007F2074">
            <w:pPr>
              <w:snapToGrid w:val="0"/>
              <w:jc w:val="both"/>
              <w:rPr>
                <w:rFonts w:ascii="Times New Roman" w:hAnsi="Times New Roman"/>
                <w:sz w:val="20"/>
                <w:szCs w:val="20"/>
              </w:rPr>
            </w:pPr>
          </w:p>
        </w:tc>
        <w:tc>
          <w:tcPr>
            <w:tcW w:w="4749" w:type="dxa"/>
            <w:gridSpan w:val="2"/>
            <w:shd w:val="clear" w:color="auto" w:fill="auto"/>
          </w:tcPr>
          <w:p w14:paraId="24A6EBE4" w14:textId="77777777" w:rsidR="00B5192E" w:rsidRPr="00CA4239" w:rsidRDefault="00B5192E" w:rsidP="007F2074">
            <w:pPr>
              <w:snapToGrid w:val="0"/>
              <w:jc w:val="both"/>
              <w:rPr>
                <w:rFonts w:ascii="Times New Roman" w:hAnsi="Times New Roman"/>
                <w:sz w:val="20"/>
                <w:szCs w:val="20"/>
              </w:rPr>
            </w:pPr>
          </w:p>
        </w:tc>
      </w:tr>
      <w:tr w:rsidR="00B5192E" w:rsidRPr="00B5192E" w14:paraId="3663D620" w14:textId="77777777" w:rsidTr="00CA4239">
        <w:trPr>
          <w:cantSplit/>
        </w:trPr>
        <w:tc>
          <w:tcPr>
            <w:tcW w:w="3634" w:type="dxa"/>
            <w:tcBorders>
              <w:bottom w:val="single" w:sz="4" w:space="0" w:color="000000"/>
            </w:tcBorders>
            <w:shd w:val="clear" w:color="auto" w:fill="auto"/>
          </w:tcPr>
          <w:p w14:paraId="508B2379" w14:textId="0531A9B5" w:rsidR="00B5192E" w:rsidRPr="00CA4239" w:rsidRDefault="00B5192E" w:rsidP="007F2074">
            <w:pPr>
              <w:snapToGrid w:val="0"/>
              <w:jc w:val="center"/>
              <w:rPr>
                <w:rFonts w:ascii="Times New Roman" w:hAnsi="Times New Roman"/>
                <w:i/>
                <w:sz w:val="20"/>
                <w:szCs w:val="20"/>
              </w:rPr>
            </w:pPr>
            <w:r w:rsidRPr="00CA4239">
              <w:rPr>
                <w:rFonts w:ascii="Times New Roman" w:hAnsi="Times New Roman"/>
                <w:i/>
                <w:sz w:val="20"/>
                <w:szCs w:val="20"/>
              </w:rPr>
              <w:t>“</w:t>
            </w:r>
            <w:r w:rsidR="008D5AFE">
              <w:rPr>
                <w:rFonts w:ascii="Times New Roman" w:hAnsi="Times New Roman"/>
                <w:i/>
                <w:sz w:val="20"/>
                <w:szCs w:val="20"/>
              </w:rPr>
              <w:t xml:space="preserve">Arthur </w:t>
            </w:r>
            <w:proofErr w:type="spellStart"/>
            <w:r w:rsidR="008D5AFE">
              <w:rPr>
                <w:rFonts w:ascii="Times New Roman" w:hAnsi="Times New Roman"/>
                <w:i/>
                <w:sz w:val="20"/>
                <w:szCs w:val="20"/>
              </w:rPr>
              <w:t>Halleran</w:t>
            </w:r>
            <w:proofErr w:type="spellEnd"/>
            <w:r w:rsidRPr="00CA4239">
              <w:rPr>
                <w:rFonts w:ascii="Times New Roman" w:hAnsi="Times New Roman"/>
                <w:i/>
                <w:sz w:val="20"/>
                <w:szCs w:val="20"/>
              </w:rPr>
              <w:t>”</w:t>
            </w:r>
          </w:p>
        </w:tc>
        <w:tc>
          <w:tcPr>
            <w:tcW w:w="1113" w:type="dxa"/>
            <w:shd w:val="clear" w:color="auto" w:fill="auto"/>
          </w:tcPr>
          <w:p w14:paraId="04DCC575" w14:textId="237A8910" w:rsidR="00B5192E" w:rsidRPr="00CA4239" w:rsidRDefault="00B5192E" w:rsidP="007F2074">
            <w:pPr>
              <w:jc w:val="both"/>
              <w:rPr>
                <w:rFonts w:ascii="Times New Roman" w:hAnsi="Times New Roman"/>
                <w:sz w:val="20"/>
                <w:szCs w:val="20"/>
              </w:rPr>
            </w:pPr>
          </w:p>
        </w:tc>
        <w:tc>
          <w:tcPr>
            <w:tcW w:w="296" w:type="dxa"/>
            <w:gridSpan w:val="2"/>
            <w:shd w:val="clear" w:color="auto" w:fill="auto"/>
          </w:tcPr>
          <w:p w14:paraId="248FCD95" w14:textId="77777777" w:rsidR="00B5192E" w:rsidRPr="00CA4239" w:rsidRDefault="00B5192E" w:rsidP="007F2074">
            <w:pPr>
              <w:snapToGrid w:val="0"/>
              <w:jc w:val="center"/>
              <w:rPr>
                <w:rFonts w:ascii="Times New Roman" w:hAnsi="Times New Roman"/>
                <w:sz w:val="20"/>
                <w:szCs w:val="20"/>
              </w:rPr>
            </w:pPr>
          </w:p>
        </w:tc>
        <w:tc>
          <w:tcPr>
            <w:tcW w:w="3505" w:type="dxa"/>
            <w:tcBorders>
              <w:bottom w:val="single" w:sz="4" w:space="0" w:color="000000"/>
            </w:tcBorders>
            <w:shd w:val="clear" w:color="auto" w:fill="auto"/>
          </w:tcPr>
          <w:p w14:paraId="3BCE89D2" w14:textId="52235510" w:rsidR="00B5192E" w:rsidRPr="00CA4239" w:rsidRDefault="00B5192E" w:rsidP="007F2074">
            <w:pPr>
              <w:snapToGrid w:val="0"/>
              <w:jc w:val="center"/>
              <w:rPr>
                <w:rFonts w:ascii="Times New Roman" w:hAnsi="Times New Roman"/>
                <w:i/>
                <w:sz w:val="20"/>
                <w:szCs w:val="20"/>
              </w:rPr>
            </w:pPr>
            <w:r w:rsidRPr="00CA4239">
              <w:rPr>
                <w:rFonts w:ascii="Times New Roman" w:hAnsi="Times New Roman"/>
                <w:i/>
                <w:sz w:val="20"/>
                <w:szCs w:val="20"/>
              </w:rPr>
              <w:t>“</w:t>
            </w:r>
            <w:r w:rsidR="008D5AFE">
              <w:rPr>
                <w:rFonts w:ascii="Times New Roman" w:hAnsi="Times New Roman"/>
                <w:i/>
                <w:sz w:val="20"/>
                <w:szCs w:val="20"/>
              </w:rPr>
              <w:t>David Thompson</w:t>
            </w:r>
            <w:r w:rsidRPr="00CA4239">
              <w:rPr>
                <w:rFonts w:ascii="Times New Roman" w:hAnsi="Times New Roman"/>
                <w:i/>
                <w:sz w:val="20"/>
                <w:szCs w:val="20"/>
              </w:rPr>
              <w:t>”</w:t>
            </w:r>
          </w:p>
        </w:tc>
        <w:tc>
          <w:tcPr>
            <w:tcW w:w="1244" w:type="dxa"/>
            <w:shd w:val="clear" w:color="auto" w:fill="auto"/>
          </w:tcPr>
          <w:p w14:paraId="7D8A1C12" w14:textId="2EE8F2BF" w:rsidR="00B5192E" w:rsidRPr="00CA4239" w:rsidRDefault="00B5192E" w:rsidP="007F2074">
            <w:pPr>
              <w:jc w:val="both"/>
              <w:rPr>
                <w:rFonts w:ascii="Times New Roman" w:hAnsi="Times New Roman"/>
                <w:sz w:val="20"/>
                <w:szCs w:val="20"/>
              </w:rPr>
            </w:pPr>
          </w:p>
        </w:tc>
      </w:tr>
      <w:tr w:rsidR="00B5192E" w:rsidRPr="00A7745D" w14:paraId="76F1D709" w14:textId="77777777" w:rsidTr="00CA4239">
        <w:trPr>
          <w:cantSplit/>
        </w:trPr>
        <w:tc>
          <w:tcPr>
            <w:tcW w:w="3634" w:type="dxa"/>
            <w:tcBorders>
              <w:top w:val="single" w:sz="4" w:space="0" w:color="000000"/>
            </w:tcBorders>
            <w:shd w:val="clear" w:color="auto" w:fill="auto"/>
          </w:tcPr>
          <w:p w14:paraId="2F1A5F92" w14:textId="11BDF41F" w:rsidR="00B5192E" w:rsidRPr="009B1AE3" w:rsidRDefault="004D3299" w:rsidP="007F2074">
            <w:pPr>
              <w:snapToGrid w:val="0"/>
              <w:jc w:val="center"/>
              <w:rPr>
                <w:rFonts w:ascii="Times New Roman" w:hAnsi="Times New Roman"/>
              </w:rPr>
            </w:pPr>
            <w:r w:rsidRPr="00CA4239">
              <w:rPr>
                <w:rFonts w:ascii="Times New Roman" w:hAnsi="Times New Roman"/>
                <w:sz w:val="20"/>
                <w:szCs w:val="20"/>
              </w:rPr>
              <w:t>Director</w:t>
            </w:r>
          </w:p>
        </w:tc>
        <w:tc>
          <w:tcPr>
            <w:tcW w:w="1113" w:type="dxa"/>
            <w:shd w:val="clear" w:color="auto" w:fill="auto"/>
          </w:tcPr>
          <w:p w14:paraId="21D124A1" w14:textId="77777777" w:rsidR="00B5192E" w:rsidRPr="009B1AE3" w:rsidRDefault="00B5192E" w:rsidP="007F2074">
            <w:pPr>
              <w:snapToGrid w:val="0"/>
              <w:jc w:val="both"/>
              <w:rPr>
                <w:rFonts w:ascii="Times New Roman" w:hAnsi="Times New Roman"/>
              </w:rPr>
            </w:pPr>
          </w:p>
        </w:tc>
        <w:tc>
          <w:tcPr>
            <w:tcW w:w="296" w:type="dxa"/>
            <w:gridSpan w:val="2"/>
            <w:tcBorders>
              <w:top w:val="single" w:sz="4" w:space="0" w:color="000000"/>
            </w:tcBorders>
            <w:shd w:val="clear" w:color="auto" w:fill="auto"/>
          </w:tcPr>
          <w:p w14:paraId="6F76FDFE" w14:textId="77777777" w:rsidR="00B5192E" w:rsidRPr="009B1AE3" w:rsidRDefault="00B5192E" w:rsidP="007F2074">
            <w:pPr>
              <w:snapToGrid w:val="0"/>
              <w:jc w:val="both"/>
              <w:rPr>
                <w:rFonts w:ascii="Times New Roman" w:hAnsi="Times New Roman"/>
              </w:rPr>
            </w:pPr>
          </w:p>
        </w:tc>
        <w:tc>
          <w:tcPr>
            <w:tcW w:w="3505" w:type="dxa"/>
            <w:tcBorders>
              <w:top w:val="single" w:sz="4" w:space="0" w:color="000000"/>
            </w:tcBorders>
            <w:shd w:val="clear" w:color="auto" w:fill="auto"/>
          </w:tcPr>
          <w:p w14:paraId="42FADA61" w14:textId="3901AEF2" w:rsidR="00B5192E" w:rsidRPr="009B1AE3" w:rsidRDefault="004D3299" w:rsidP="007F2074">
            <w:pPr>
              <w:snapToGrid w:val="0"/>
              <w:jc w:val="center"/>
              <w:rPr>
                <w:rFonts w:ascii="Times New Roman" w:hAnsi="Times New Roman"/>
              </w:rPr>
            </w:pPr>
            <w:r w:rsidRPr="00CA4239">
              <w:rPr>
                <w:rFonts w:ascii="Times New Roman" w:hAnsi="Times New Roman"/>
                <w:sz w:val="20"/>
                <w:szCs w:val="20"/>
              </w:rPr>
              <w:t>Director</w:t>
            </w:r>
          </w:p>
        </w:tc>
        <w:tc>
          <w:tcPr>
            <w:tcW w:w="1244" w:type="dxa"/>
            <w:shd w:val="clear" w:color="auto" w:fill="auto"/>
          </w:tcPr>
          <w:p w14:paraId="2C98A4AA" w14:textId="77777777" w:rsidR="00B5192E" w:rsidRPr="005E3003" w:rsidRDefault="00B5192E" w:rsidP="007F2074">
            <w:pPr>
              <w:snapToGrid w:val="0"/>
              <w:jc w:val="both"/>
              <w:rPr>
                <w:rFonts w:ascii="Times New Roman" w:hAnsi="Times New Roman"/>
              </w:rPr>
            </w:pPr>
          </w:p>
        </w:tc>
      </w:tr>
    </w:tbl>
    <w:p w14:paraId="365A7676" w14:textId="77777777" w:rsidR="00B5192E" w:rsidRDefault="00B5192E" w:rsidP="006A2A5E">
      <w:pPr>
        <w:pStyle w:val="NormalWeb"/>
        <w:spacing w:before="0" w:beforeAutospacing="0" w:after="0" w:afterAutospacing="0"/>
        <w:jc w:val="center"/>
        <w:rPr>
          <w:sz w:val="20"/>
          <w:szCs w:val="20"/>
        </w:rPr>
      </w:pPr>
    </w:p>
    <w:p w14:paraId="5D245DA2" w14:textId="0437B377" w:rsidR="006A2A5E" w:rsidRDefault="006A2A5E" w:rsidP="006A2A5E">
      <w:pPr>
        <w:pStyle w:val="NormalWeb"/>
        <w:spacing w:before="0" w:beforeAutospacing="0" w:after="0" w:afterAutospacing="0"/>
        <w:jc w:val="center"/>
        <w:rPr>
          <w:sz w:val="20"/>
          <w:szCs w:val="20"/>
        </w:rPr>
      </w:pPr>
      <w:r>
        <w:rPr>
          <w:sz w:val="20"/>
          <w:szCs w:val="20"/>
        </w:rPr>
        <w:t xml:space="preserve">See accompanying notes to </w:t>
      </w:r>
      <w:r w:rsidR="00CF09AB">
        <w:rPr>
          <w:sz w:val="20"/>
          <w:szCs w:val="20"/>
        </w:rPr>
        <w:t xml:space="preserve">unaudited </w:t>
      </w:r>
      <w:r>
        <w:rPr>
          <w:sz w:val="20"/>
          <w:szCs w:val="20"/>
        </w:rPr>
        <w:t>consolidated</w:t>
      </w:r>
      <w:r w:rsidR="00D47907">
        <w:rPr>
          <w:sz w:val="20"/>
          <w:szCs w:val="20"/>
        </w:rPr>
        <w:t xml:space="preserve"> interim</w:t>
      </w:r>
      <w:r>
        <w:rPr>
          <w:sz w:val="20"/>
          <w:szCs w:val="20"/>
        </w:rPr>
        <w:t xml:space="preserve"> financial statements</w:t>
      </w:r>
      <w:r w:rsidR="00220499">
        <w:rPr>
          <w:sz w:val="20"/>
          <w:szCs w:val="20"/>
        </w:rPr>
        <w:t>.</w:t>
      </w:r>
    </w:p>
    <w:p w14:paraId="57290710" w14:textId="77777777" w:rsidR="006A2A5E" w:rsidRDefault="006A2A5E" w:rsidP="006A2A5E">
      <w:pPr>
        <w:pStyle w:val="NormalWeb"/>
        <w:spacing w:before="0" w:beforeAutospacing="0" w:after="0" w:afterAutospacing="0"/>
        <w:jc w:val="both"/>
        <w:rPr>
          <w:sz w:val="20"/>
          <w:szCs w:val="20"/>
        </w:rPr>
      </w:pPr>
      <w:r>
        <w:rPr>
          <w:sz w:val="20"/>
          <w:szCs w:val="20"/>
        </w:rPr>
        <w:t> </w:t>
      </w:r>
    </w:p>
    <w:p w14:paraId="45DC66AE" w14:textId="77777777" w:rsidR="006A2A5E" w:rsidRDefault="006A2A5E">
      <w:pPr>
        <w:rPr>
          <w:lang w:val="en-US"/>
        </w:rPr>
        <w:sectPr w:rsidR="006A2A5E">
          <w:headerReference w:type="default" r:id="rId11"/>
          <w:footerReference w:type="default" r:id="rId12"/>
          <w:pgSz w:w="12240" w:h="15840"/>
          <w:pgMar w:top="1440" w:right="1440" w:bottom="1440" w:left="1440" w:header="708" w:footer="708" w:gutter="0"/>
          <w:cols w:space="708"/>
          <w:docGrid w:linePitch="360"/>
        </w:sectPr>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2"/>
        <w:gridCol w:w="524"/>
        <w:gridCol w:w="709"/>
        <w:gridCol w:w="131"/>
        <w:gridCol w:w="152"/>
        <w:gridCol w:w="286"/>
        <w:gridCol w:w="1132"/>
        <w:gridCol w:w="283"/>
        <w:gridCol w:w="1276"/>
        <w:gridCol w:w="283"/>
        <w:gridCol w:w="284"/>
        <w:gridCol w:w="1276"/>
        <w:gridCol w:w="283"/>
        <w:gridCol w:w="973"/>
        <w:gridCol w:w="236"/>
        <w:gridCol w:w="67"/>
      </w:tblGrid>
      <w:tr w:rsidR="009B3EB9" w:rsidRPr="00612FF8" w14:paraId="7ACAEBB3" w14:textId="77777777" w:rsidTr="000A079E">
        <w:trPr>
          <w:gridAfter w:val="1"/>
          <w:wAfter w:w="67" w:type="dxa"/>
          <w:jc w:val="center"/>
        </w:trPr>
        <w:tc>
          <w:tcPr>
            <w:tcW w:w="3162" w:type="dxa"/>
          </w:tcPr>
          <w:p w14:paraId="04335421" w14:textId="77777777" w:rsidR="009B3EB9" w:rsidRPr="00EE0F15" w:rsidRDefault="009B3EB9" w:rsidP="005C0318">
            <w:pPr>
              <w:rPr>
                <w:sz w:val="22"/>
                <w:szCs w:val="22"/>
              </w:rPr>
            </w:pPr>
            <w:bookmarkStart w:id="1" w:name="_Hlk72698892"/>
          </w:p>
        </w:tc>
        <w:tc>
          <w:tcPr>
            <w:tcW w:w="1364" w:type="dxa"/>
            <w:gridSpan w:val="3"/>
          </w:tcPr>
          <w:p w14:paraId="402F2E8F" w14:textId="77777777" w:rsidR="009B3EB9" w:rsidRPr="00EE0F15" w:rsidRDefault="009B3EB9" w:rsidP="005C0318">
            <w:pPr>
              <w:jc w:val="center"/>
              <w:rPr>
                <w:sz w:val="22"/>
                <w:szCs w:val="22"/>
              </w:rPr>
            </w:pPr>
          </w:p>
        </w:tc>
        <w:tc>
          <w:tcPr>
            <w:tcW w:w="438" w:type="dxa"/>
            <w:gridSpan w:val="2"/>
          </w:tcPr>
          <w:p w14:paraId="6D1A031B" w14:textId="77777777" w:rsidR="009B3EB9" w:rsidRPr="00EE0F15" w:rsidRDefault="009B3EB9" w:rsidP="005C0318">
            <w:pPr>
              <w:rPr>
                <w:sz w:val="22"/>
                <w:szCs w:val="22"/>
              </w:rPr>
            </w:pPr>
          </w:p>
        </w:tc>
        <w:tc>
          <w:tcPr>
            <w:tcW w:w="2974" w:type="dxa"/>
            <w:gridSpan w:val="4"/>
          </w:tcPr>
          <w:p w14:paraId="19F616E0" w14:textId="77777777" w:rsidR="009B3EB9" w:rsidRPr="00EE0F15" w:rsidRDefault="009B3EB9" w:rsidP="005C0318">
            <w:pPr>
              <w:jc w:val="right"/>
              <w:rPr>
                <w:sz w:val="22"/>
                <w:szCs w:val="22"/>
              </w:rPr>
            </w:pPr>
          </w:p>
        </w:tc>
        <w:tc>
          <w:tcPr>
            <w:tcW w:w="284" w:type="dxa"/>
          </w:tcPr>
          <w:p w14:paraId="0876215B" w14:textId="77777777" w:rsidR="009B3EB9" w:rsidRPr="00EE0F15" w:rsidRDefault="009B3EB9" w:rsidP="005C0318"/>
        </w:tc>
        <w:tc>
          <w:tcPr>
            <w:tcW w:w="2532" w:type="dxa"/>
            <w:gridSpan w:val="3"/>
          </w:tcPr>
          <w:p w14:paraId="10D850CA" w14:textId="5D6F0DED" w:rsidR="009B3EB9" w:rsidRPr="00EE0F15" w:rsidRDefault="009B3EB9" w:rsidP="005C0318">
            <w:pPr>
              <w:rPr>
                <w:sz w:val="22"/>
                <w:szCs w:val="22"/>
              </w:rPr>
            </w:pPr>
          </w:p>
        </w:tc>
        <w:tc>
          <w:tcPr>
            <w:tcW w:w="236" w:type="dxa"/>
          </w:tcPr>
          <w:p w14:paraId="55A01ED0" w14:textId="77777777" w:rsidR="009B3EB9" w:rsidRPr="00EE0F15" w:rsidRDefault="009B3EB9" w:rsidP="005C0318">
            <w:pPr>
              <w:jc w:val="right"/>
              <w:rPr>
                <w:sz w:val="22"/>
                <w:szCs w:val="22"/>
              </w:rPr>
            </w:pPr>
          </w:p>
        </w:tc>
      </w:tr>
      <w:tr w:rsidR="009B3EB9" w:rsidRPr="00C05D5D" w14:paraId="5F50F322" w14:textId="77777777" w:rsidTr="000A079E">
        <w:trPr>
          <w:jc w:val="center"/>
        </w:trPr>
        <w:tc>
          <w:tcPr>
            <w:tcW w:w="3686" w:type="dxa"/>
            <w:gridSpan w:val="2"/>
            <w:tcBorders>
              <w:top w:val="single" w:sz="12" w:space="0" w:color="auto"/>
            </w:tcBorders>
            <w:vAlign w:val="bottom"/>
          </w:tcPr>
          <w:p w14:paraId="55C11F92" w14:textId="77777777" w:rsidR="009B3EB9" w:rsidRPr="00C078B7" w:rsidRDefault="009B3EB9" w:rsidP="005C0318">
            <w:pPr>
              <w:jc w:val="right"/>
            </w:pPr>
            <w:bookmarkStart w:id="2" w:name="_Hlk49499593"/>
            <w:bookmarkEnd w:id="1"/>
          </w:p>
        </w:tc>
        <w:tc>
          <w:tcPr>
            <w:tcW w:w="709" w:type="dxa"/>
            <w:tcBorders>
              <w:top w:val="single" w:sz="12" w:space="0" w:color="auto"/>
            </w:tcBorders>
            <w:vAlign w:val="bottom"/>
          </w:tcPr>
          <w:p w14:paraId="6CE51374" w14:textId="77777777" w:rsidR="009B3EB9" w:rsidRPr="00C078B7" w:rsidRDefault="009B3EB9" w:rsidP="005C0318">
            <w:pPr>
              <w:jc w:val="center"/>
              <w:rPr>
                <w:b/>
              </w:rPr>
            </w:pPr>
          </w:p>
        </w:tc>
        <w:tc>
          <w:tcPr>
            <w:tcW w:w="3260" w:type="dxa"/>
            <w:gridSpan w:val="6"/>
            <w:tcBorders>
              <w:top w:val="single" w:sz="12" w:space="0" w:color="auto"/>
            </w:tcBorders>
          </w:tcPr>
          <w:p w14:paraId="2B284D2A" w14:textId="77777777" w:rsidR="009B3EB9" w:rsidRPr="00C078B7" w:rsidRDefault="009B3EB9" w:rsidP="005C0318">
            <w:pPr>
              <w:jc w:val="right"/>
              <w:rPr>
                <w:b/>
              </w:rPr>
            </w:pPr>
            <w:r w:rsidRPr="00C078B7">
              <w:rPr>
                <w:b/>
              </w:rPr>
              <w:t xml:space="preserve">Three months ended </w:t>
            </w:r>
            <w:r w:rsidRPr="00C05D5D">
              <w:rPr>
                <w:b/>
              </w:rPr>
              <w:t>June 30</w:t>
            </w:r>
            <w:r w:rsidRPr="00C078B7">
              <w:rPr>
                <w:b/>
              </w:rPr>
              <w:t>,</w:t>
            </w:r>
          </w:p>
        </w:tc>
        <w:tc>
          <w:tcPr>
            <w:tcW w:w="283" w:type="dxa"/>
            <w:tcBorders>
              <w:top w:val="single" w:sz="12" w:space="0" w:color="auto"/>
            </w:tcBorders>
          </w:tcPr>
          <w:p w14:paraId="181E1EBA" w14:textId="7F80C0A8" w:rsidR="009B3EB9" w:rsidRPr="00C05D5D" w:rsidRDefault="009B3EB9" w:rsidP="005C0318">
            <w:pPr>
              <w:jc w:val="right"/>
              <w:rPr>
                <w:b/>
              </w:rPr>
            </w:pPr>
          </w:p>
        </w:tc>
        <w:tc>
          <w:tcPr>
            <w:tcW w:w="284" w:type="dxa"/>
            <w:tcBorders>
              <w:top w:val="single" w:sz="12" w:space="0" w:color="auto"/>
            </w:tcBorders>
          </w:tcPr>
          <w:p w14:paraId="56C73E1D" w14:textId="77777777" w:rsidR="009B3EB9" w:rsidRPr="00C05D5D" w:rsidRDefault="009B3EB9" w:rsidP="005C0318">
            <w:pPr>
              <w:jc w:val="right"/>
              <w:rPr>
                <w:b/>
              </w:rPr>
            </w:pPr>
          </w:p>
        </w:tc>
        <w:tc>
          <w:tcPr>
            <w:tcW w:w="2835" w:type="dxa"/>
            <w:gridSpan w:val="5"/>
            <w:tcBorders>
              <w:top w:val="single" w:sz="12" w:space="0" w:color="auto"/>
            </w:tcBorders>
          </w:tcPr>
          <w:p w14:paraId="44252032" w14:textId="36EA54E2" w:rsidR="009B3EB9" w:rsidRPr="00C05D5D" w:rsidRDefault="009B3EB9" w:rsidP="005C0318">
            <w:pPr>
              <w:jc w:val="right"/>
              <w:rPr>
                <w:b/>
              </w:rPr>
            </w:pPr>
            <w:r w:rsidRPr="00C05D5D">
              <w:rPr>
                <w:b/>
              </w:rPr>
              <w:t>Six months ended June 30,</w:t>
            </w:r>
          </w:p>
        </w:tc>
      </w:tr>
      <w:tr w:rsidR="00642A83" w:rsidRPr="00C05D5D" w14:paraId="37BE4A3E" w14:textId="77777777" w:rsidTr="000A079E">
        <w:trPr>
          <w:jc w:val="center"/>
        </w:trPr>
        <w:tc>
          <w:tcPr>
            <w:tcW w:w="3686" w:type="dxa"/>
            <w:gridSpan w:val="2"/>
            <w:tcBorders>
              <w:bottom w:val="single" w:sz="12" w:space="0" w:color="auto"/>
            </w:tcBorders>
            <w:vAlign w:val="bottom"/>
          </w:tcPr>
          <w:p w14:paraId="3F8C3871" w14:textId="77777777" w:rsidR="009B3EB9" w:rsidRPr="00C078B7" w:rsidRDefault="009B3EB9" w:rsidP="005C0318">
            <w:pPr>
              <w:jc w:val="right"/>
            </w:pPr>
          </w:p>
        </w:tc>
        <w:tc>
          <w:tcPr>
            <w:tcW w:w="709" w:type="dxa"/>
            <w:tcBorders>
              <w:bottom w:val="single" w:sz="12" w:space="0" w:color="auto"/>
            </w:tcBorders>
            <w:vAlign w:val="bottom"/>
          </w:tcPr>
          <w:p w14:paraId="015E1FC5" w14:textId="77777777" w:rsidR="009B3EB9" w:rsidRPr="00C078B7" w:rsidRDefault="009B3EB9" w:rsidP="005C0318">
            <w:pPr>
              <w:jc w:val="center"/>
              <w:rPr>
                <w:b/>
              </w:rPr>
            </w:pPr>
            <w:r w:rsidRPr="00C078B7">
              <w:rPr>
                <w:b/>
              </w:rPr>
              <w:t>Notes</w:t>
            </w:r>
          </w:p>
        </w:tc>
        <w:tc>
          <w:tcPr>
            <w:tcW w:w="283" w:type="dxa"/>
            <w:gridSpan w:val="2"/>
            <w:tcBorders>
              <w:bottom w:val="single" w:sz="12" w:space="0" w:color="auto"/>
            </w:tcBorders>
            <w:vAlign w:val="bottom"/>
          </w:tcPr>
          <w:p w14:paraId="12F57E71" w14:textId="77777777" w:rsidR="009B3EB9" w:rsidRPr="00C078B7" w:rsidRDefault="009B3EB9" w:rsidP="005C0318">
            <w:pPr>
              <w:jc w:val="center"/>
            </w:pPr>
          </w:p>
        </w:tc>
        <w:tc>
          <w:tcPr>
            <w:tcW w:w="1418" w:type="dxa"/>
            <w:gridSpan w:val="2"/>
            <w:tcBorders>
              <w:bottom w:val="single" w:sz="12" w:space="0" w:color="auto"/>
            </w:tcBorders>
            <w:vAlign w:val="bottom"/>
          </w:tcPr>
          <w:p w14:paraId="6F007F87" w14:textId="71BF1344" w:rsidR="009B3EB9" w:rsidRPr="00C078B7" w:rsidRDefault="009B3EB9" w:rsidP="005C0318">
            <w:pPr>
              <w:jc w:val="right"/>
              <w:rPr>
                <w:b/>
              </w:rPr>
            </w:pPr>
            <w:r w:rsidRPr="00C078B7">
              <w:rPr>
                <w:b/>
              </w:rPr>
              <w:t>20</w:t>
            </w:r>
            <w:r>
              <w:rPr>
                <w:b/>
              </w:rPr>
              <w:t>22</w:t>
            </w:r>
          </w:p>
        </w:tc>
        <w:tc>
          <w:tcPr>
            <w:tcW w:w="283" w:type="dxa"/>
            <w:tcBorders>
              <w:bottom w:val="single" w:sz="12" w:space="0" w:color="auto"/>
            </w:tcBorders>
            <w:vAlign w:val="bottom"/>
          </w:tcPr>
          <w:p w14:paraId="01295884" w14:textId="77777777" w:rsidR="009B3EB9" w:rsidRPr="00C078B7" w:rsidRDefault="009B3EB9" w:rsidP="005C0318">
            <w:pPr>
              <w:jc w:val="center"/>
            </w:pPr>
          </w:p>
        </w:tc>
        <w:tc>
          <w:tcPr>
            <w:tcW w:w="1276" w:type="dxa"/>
            <w:tcBorders>
              <w:bottom w:val="single" w:sz="12" w:space="0" w:color="auto"/>
            </w:tcBorders>
            <w:vAlign w:val="bottom"/>
          </w:tcPr>
          <w:p w14:paraId="2A358291" w14:textId="233913C2" w:rsidR="009B3EB9" w:rsidRPr="00C078B7" w:rsidRDefault="009B3EB9" w:rsidP="005C0318">
            <w:pPr>
              <w:jc w:val="right"/>
              <w:rPr>
                <w:b/>
              </w:rPr>
            </w:pPr>
            <w:r w:rsidRPr="00C078B7">
              <w:rPr>
                <w:b/>
              </w:rPr>
              <w:t>20</w:t>
            </w:r>
            <w:r>
              <w:rPr>
                <w:b/>
              </w:rPr>
              <w:t>21</w:t>
            </w:r>
          </w:p>
        </w:tc>
        <w:tc>
          <w:tcPr>
            <w:tcW w:w="283" w:type="dxa"/>
            <w:tcBorders>
              <w:bottom w:val="single" w:sz="12" w:space="0" w:color="auto"/>
            </w:tcBorders>
            <w:vAlign w:val="bottom"/>
          </w:tcPr>
          <w:p w14:paraId="61DEBA82" w14:textId="77777777" w:rsidR="009B3EB9" w:rsidRPr="00C05D5D" w:rsidRDefault="009B3EB9" w:rsidP="005C0318">
            <w:pPr>
              <w:jc w:val="center"/>
              <w:rPr>
                <w:b/>
              </w:rPr>
            </w:pPr>
          </w:p>
        </w:tc>
        <w:tc>
          <w:tcPr>
            <w:tcW w:w="284" w:type="dxa"/>
            <w:tcBorders>
              <w:bottom w:val="single" w:sz="12" w:space="0" w:color="auto"/>
            </w:tcBorders>
          </w:tcPr>
          <w:p w14:paraId="7B4C88EC" w14:textId="77777777" w:rsidR="009B3EB9" w:rsidRPr="00C05D5D" w:rsidRDefault="009B3EB9" w:rsidP="005C0318">
            <w:pPr>
              <w:jc w:val="right"/>
              <w:rPr>
                <w:b/>
              </w:rPr>
            </w:pPr>
          </w:p>
        </w:tc>
        <w:tc>
          <w:tcPr>
            <w:tcW w:w="1276" w:type="dxa"/>
            <w:tcBorders>
              <w:bottom w:val="single" w:sz="12" w:space="0" w:color="auto"/>
            </w:tcBorders>
            <w:vAlign w:val="bottom"/>
          </w:tcPr>
          <w:p w14:paraId="38A5FDA8" w14:textId="34A6BA79" w:rsidR="009B3EB9" w:rsidRPr="00C05D5D" w:rsidRDefault="009B3EB9" w:rsidP="005C0318">
            <w:pPr>
              <w:jc w:val="right"/>
              <w:rPr>
                <w:b/>
              </w:rPr>
            </w:pPr>
            <w:r w:rsidRPr="00C05D5D">
              <w:rPr>
                <w:b/>
              </w:rPr>
              <w:t>20</w:t>
            </w:r>
            <w:r>
              <w:rPr>
                <w:b/>
              </w:rPr>
              <w:t>22</w:t>
            </w:r>
          </w:p>
        </w:tc>
        <w:tc>
          <w:tcPr>
            <w:tcW w:w="283" w:type="dxa"/>
            <w:tcBorders>
              <w:bottom w:val="single" w:sz="12" w:space="0" w:color="auto"/>
            </w:tcBorders>
            <w:vAlign w:val="bottom"/>
          </w:tcPr>
          <w:p w14:paraId="5300F1E4" w14:textId="77777777" w:rsidR="009B3EB9" w:rsidRPr="00C05D5D" w:rsidRDefault="009B3EB9" w:rsidP="005C0318">
            <w:pPr>
              <w:jc w:val="center"/>
              <w:rPr>
                <w:b/>
              </w:rPr>
            </w:pPr>
          </w:p>
        </w:tc>
        <w:tc>
          <w:tcPr>
            <w:tcW w:w="1276" w:type="dxa"/>
            <w:gridSpan w:val="3"/>
            <w:tcBorders>
              <w:bottom w:val="single" w:sz="12" w:space="0" w:color="auto"/>
            </w:tcBorders>
            <w:vAlign w:val="bottom"/>
          </w:tcPr>
          <w:p w14:paraId="664CAC31" w14:textId="545AF5F2" w:rsidR="009B3EB9" w:rsidRPr="00C05D5D" w:rsidRDefault="009B3EB9" w:rsidP="005C0318">
            <w:pPr>
              <w:jc w:val="right"/>
              <w:rPr>
                <w:b/>
              </w:rPr>
            </w:pPr>
            <w:r w:rsidRPr="00C05D5D">
              <w:rPr>
                <w:b/>
              </w:rPr>
              <w:t>20</w:t>
            </w:r>
            <w:r>
              <w:rPr>
                <w:b/>
              </w:rPr>
              <w:t>21</w:t>
            </w:r>
          </w:p>
        </w:tc>
      </w:tr>
      <w:tr w:rsidR="00642A83" w:rsidRPr="00C05D5D" w14:paraId="0B6C4C46" w14:textId="77777777" w:rsidTr="000A079E">
        <w:trPr>
          <w:jc w:val="center"/>
        </w:trPr>
        <w:tc>
          <w:tcPr>
            <w:tcW w:w="3686" w:type="dxa"/>
            <w:gridSpan w:val="2"/>
            <w:tcBorders>
              <w:top w:val="single" w:sz="12" w:space="0" w:color="auto"/>
            </w:tcBorders>
          </w:tcPr>
          <w:p w14:paraId="3271986E" w14:textId="77777777" w:rsidR="009B3EB9" w:rsidRPr="00C078B7" w:rsidRDefault="009B3EB9" w:rsidP="005C0318">
            <w:pPr>
              <w:rPr>
                <w:b/>
              </w:rPr>
            </w:pPr>
          </w:p>
        </w:tc>
        <w:tc>
          <w:tcPr>
            <w:tcW w:w="709" w:type="dxa"/>
            <w:tcBorders>
              <w:top w:val="single" w:sz="12" w:space="0" w:color="auto"/>
            </w:tcBorders>
          </w:tcPr>
          <w:p w14:paraId="4AF193B8" w14:textId="77777777" w:rsidR="009B3EB9" w:rsidRPr="00C078B7" w:rsidRDefault="009B3EB9" w:rsidP="005C0318">
            <w:pPr>
              <w:jc w:val="center"/>
            </w:pPr>
          </w:p>
        </w:tc>
        <w:tc>
          <w:tcPr>
            <w:tcW w:w="283" w:type="dxa"/>
            <w:gridSpan w:val="2"/>
            <w:tcBorders>
              <w:top w:val="single" w:sz="12" w:space="0" w:color="auto"/>
            </w:tcBorders>
            <w:vAlign w:val="bottom"/>
          </w:tcPr>
          <w:p w14:paraId="30BCD8EE" w14:textId="77777777" w:rsidR="009B3EB9" w:rsidRPr="00C078B7" w:rsidRDefault="009B3EB9" w:rsidP="005C0318">
            <w:pPr>
              <w:jc w:val="center"/>
            </w:pPr>
          </w:p>
        </w:tc>
        <w:tc>
          <w:tcPr>
            <w:tcW w:w="1418" w:type="dxa"/>
            <w:gridSpan w:val="2"/>
            <w:tcBorders>
              <w:top w:val="single" w:sz="12" w:space="0" w:color="auto"/>
            </w:tcBorders>
            <w:vAlign w:val="bottom"/>
          </w:tcPr>
          <w:p w14:paraId="57DAE931" w14:textId="77777777" w:rsidR="009B3EB9" w:rsidRPr="00C078B7" w:rsidRDefault="009B3EB9" w:rsidP="005C0318">
            <w:pPr>
              <w:jc w:val="right"/>
            </w:pPr>
          </w:p>
        </w:tc>
        <w:tc>
          <w:tcPr>
            <w:tcW w:w="283" w:type="dxa"/>
            <w:tcBorders>
              <w:top w:val="single" w:sz="12" w:space="0" w:color="auto"/>
            </w:tcBorders>
            <w:vAlign w:val="bottom"/>
          </w:tcPr>
          <w:p w14:paraId="0430E8A0" w14:textId="77777777" w:rsidR="009B3EB9" w:rsidRPr="00C078B7" w:rsidRDefault="009B3EB9" w:rsidP="005C0318">
            <w:pPr>
              <w:jc w:val="center"/>
            </w:pPr>
          </w:p>
        </w:tc>
        <w:tc>
          <w:tcPr>
            <w:tcW w:w="1276" w:type="dxa"/>
            <w:tcBorders>
              <w:top w:val="single" w:sz="12" w:space="0" w:color="auto"/>
            </w:tcBorders>
            <w:vAlign w:val="bottom"/>
          </w:tcPr>
          <w:p w14:paraId="63590436" w14:textId="77777777" w:rsidR="009B3EB9" w:rsidRPr="00C078B7" w:rsidRDefault="009B3EB9" w:rsidP="005C0318">
            <w:pPr>
              <w:jc w:val="right"/>
            </w:pPr>
          </w:p>
        </w:tc>
        <w:tc>
          <w:tcPr>
            <w:tcW w:w="283" w:type="dxa"/>
            <w:vAlign w:val="bottom"/>
          </w:tcPr>
          <w:p w14:paraId="69036D65" w14:textId="77777777" w:rsidR="009B3EB9" w:rsidRPr="00C05D5D" w:rsidRDefault="009B3EB9" w:rsidP="005C0318">
            <w:pPr>
              <w:jc w:val="center"/>
            </w:pPr>
          </w:p>
        </w:tc>
        <w:tc>
          <w:tcPr>
            <w:tcW w:w="284" w:type="dxa"/>
          </w:tcPr>
          <w:p w14:paraId="70F29B3A" w14:textId="77777777" w:rsidR="009B3EB9" w:rsidRPr="00C05D5D" w:rsidRDefault="009B3EB9" w:rsidP="005C0318">
            <w:pPr>
              <w:jc w:val="right"/>
            </w:pPr>
          </w:p>
        </w:tc>
        <w:tc>
          <w:tcPr>
            <w:tcW w:w="1276" w:type="dxa"/>
            <w:vAlign w:val="bottom"/>
          </w:tcPr>
          <w:p w14:paraId="4388BD78" w14:textId="422DC530" w:rsidR="009B3EB9" w:rsidRPr="00C05D5D" w:rsidRDefault="009B3EB9" w:rsidP="005C0318">
            <w:pPr>
              <w:jc w:val="right"/>
            </w:pPr>
          </w:p>
        </w:tc>
        <w:tc>
          <w:tcPr>
            <w:tcW w:w="283" w:type="dxa"/>
            <w:vAlign w:val="bottom"/>
          </w:tcPr>
          <w:p w14:paraId="6FD96F25" w14:textId="77777777" w:rsidR="009B3EB9" w:rsidRPr="00C05D5D" w:rsidRDefault="009B3EB9" w:rsidP="005C0318">
            <w:pPr>
              <w:jc w:val="center"/>
            </w:pPr>
          </w:p>
        </w:tc>
        <w:tc>
          <w:tcPr>
            <w:tcW w:w="1276" w:type="dxa"/>
            <w:gridSpan w:val="3"/>
            <w:vAlign w:val="bottom"/>
          </w:tcPr>
          <w:p w14:paraId="0389D462" w14:textId="77777777" w:rsidR="009B3EB9" w:rsidRPr="00C05D5D" w:rsidRDefault="009B3EB9" w:rsidP="005C0318">
            <w:pPr>
              <w:jc w:val="right"/>
            </w:pPr>
          </w:p>
        </w:tc>
      </w:tr>
      <w:tr w:rsidR="00642A83" w:rsidRPr="00C05D5D" w14:paraId="4C50E8C9" w14:textId="77777777" w:rsidTr="000A079E">
        <w:trPr>
          <w:jc w:val="center"/>
        </w:trPr>
        <w:tc>
          <w:tcPr>
            <w:tcW w:w="3686" w:type="dxa"/>
            <w:gridSpan w:val="2"/>
          </w:tcPr>
          <w:p w14:paraId="38E64225" w14:textId="77777777" w:rsidR="009B3EB9" w:rsidRPr="00C078B7" w:rsidRDefault="009B3EB9" w:rsidP="005C0318">
            <w:r w:rsidRPr="00C078B7">
              <w:t>Revenue</w:t>
            </w:r>
          </w:p>
        </w:tc>
        <w:tc>
          <w:tcPr>
            <w:tcW w:w="709" w:type="dxa"/>
          </w:tcPr>
          <w:p w14:paraId="748464D2" w14:textId="77777777" w:rsidR="009B3EB9" w:rsidRPr="00C078B7" w:rsidRDefault="009B3EB9" w:rsidP="005C0318">
            <w:pPr>
              <w:jc w:val="center"/>
            </w:pPr>
          </w:p>
        </w:tc>
        <w:tc>
          <w:tcPr>
            <w:tcW w:w="283" w:type="dxa"/>
            <w:gridSpan w:val="2"/>
            <w:vAlign w:val="bottom"/>
          </w:tcPr>
          <w:p w14:paraId="161CD543" w14:textId="77777777" w:rsidR="009B3EB9" w:rsidRPr="00C078B7" w:rsidRDefault="009B3EB9" w:rsidP="005C0318">
            <w:pPr>
              <w:jc w:val="center"/>
            </w:pPr>
          </w:p>
        </w:tc>
        <w:tc>
          <w:tcPr>
            <w:tcW w:w="1418" w:type="dxa"/>
            <w:gridSpan w:val="2"/>
            <w:vAlign w:val="bottom"/>
          </w:tcPr>
          <w:p w14:paraId="6B2E2050" w14:textId="77777777" w:rsidR="009B3EB9" w:rsidRPr="00C078B7" w:rsidRDefault="009B3EB9" w:rsidP="005C0318">
            <w:pPr>
              <w:jc w:val="right"/>
            </w:pPr>
          </w:p>
        </w:tc>
        <w:tc>
          <w:tcPr>
            <w:tcW w:w="283" w:type="dxa"/>
            <w:vAlign w:val="bottom"/>
          </w:tcPr>
          <w:p w14:paraId="639A8702" w14:textId="77777777" w:rsidR="009B3EB9" w:rsidRPr="00C078B7" w:rsidRDefault="009B3EB9" w:rsidP="005C0318">
            <w:pPr>
              <w:jc w:val="center"/>
            </w:pPr>
          </w:p>
        </w:tc>
        <w:tc>
          <w:tcPr>
            <w:tcW w:w="1276" w:type="dxa"/>
            <w:vAlign w:val="bottom"/>
          </w:tcPr>
          <w:p w14:paraId="3A3A51EF" w14:textId="77777777" w:rsidR="009B3EB9" w:rsidRPr="00C078B7" w:rsidRDefault="009B3EB9" w:rsidP="005C0318">
            <w:pPr>
              <w:jc w:val="right"/>
            </w:pPr>
          </w:p>
        </w:tc>
        <w:tc>
          <w:tcPr>
            <w:tcW w:w="283" w:type="dxa"/>
            <w:vAlign w:val="bottom"/>
          </w:tcPr>
          <w:p w14:paraId="6A66217A" w14:textId="77777777" w:rsidR="009B3EB9" w:rsidRPr="00C05D5D" w:rsidRDefault="009B3EB9" w:rsidP="005C0318">
            <w:pPr>
              <w:jc w:val="center"/>
            </w:pPr>
          </w:p>
        </w:tc>
        <w:tc>
          <w:tcPr>
            <w:tcW w:w="284" w:type="dxa"/>
          </w:tcPr>
          <w:p w14:paraId="15D0E127" w14:textId="77777777" w:rsidR="009B3EB9" w:rsidRPr="00C05D5D" w:rsidRDefault="009B3EB9" w:rsidP="005C0318">
            <w:pPr>
              <w:jc w:val="right"/>
            </w:pPr>
          </w:p>
        </w:tc>
        <w:tc>
          <w:tcPr>
            <w:tcW w:w="1276" w:type="dxa"/>
            <w:vAlign w:val="bottom"/>
          </w:tcPr>
          <w:p w14:paraId="6B1F357C" w14:textId="2639E347" w:rsidR="009B3EB9" w:rsidRPr="00C05D5D" w:rsidRDefault="009B3EB9" w:rsidP="005C0318">
            <w:pPr>
              <w:jc w:val="right"/>
            </w:pPr>
          </w:p>
        </w:tc>
        <w:tc>
          <w:tcPr>
            <w:tcW w:w="283" w:type="dxa"/>
            <w:vAlign w:val="bottom"/>
          </w:tcPr>
          <w:p w14:paraId="2753D307" w14:textId="77777777" w:rsidR="009B3EB9" w:rsidRPr="00C05D5D" w:rsidRDefault="009B3EB9" w:rsidP="005C0318">
            <w:pPr>
              <w:jc w:val="center"/>
            </w:pPr>
          </w:p>
        </w:tc>
        <w:tc>
          <w:tcPr>
            <w:tcW w:w="1276" w:type="dxa"/>
            <w:gridSpan w:val="3"/>
            <w:vAlign w:val="bottom"/>
          </w:tcPr>
          <w:p w14:paraId="55D38C7B" w14:textId="77777777" w:rsidR="009B3EB9" w:rsidRPr="00C05D5D" w:rsidRDefault="009B3EB9" w:rsidP="005C0318">
            <w:pPr>
              <w:jc w:val="right"/>
            </w:pPr>
          </w:p>
        </w:tc>
      </w:tr>
      <w:tr w:rsidR="00642A83" w:rsidRPr="00C05D5D" w14:paraId="38854316" w14:textId="77777777" w:rsidTr="000A079E">
        <w:trPr>
          <w:jc w:val="center"/>
        </w:trPr>
        <w:tc>
          <w:tcPr>
            <w:tcW w:w="3686" w:type="dxa"/>
            <w:gridSpan w:val="2"/>
          </w:tcPr>
          <w:p w14:paraId="2320F222" w14:textId="1818B202" w:rsidR="009B3EB9" w:rsidRPr="00C078B7" w:rsidRDefault="009B3EB9" w:rsidP="005C0318">
            <w:pPr>
              <w:ind w:left="288"/>
            </w:pPr>
            <w:r w:rsidRPr="006A2A5E">
              <w:rPr>
                <w:color w:val="000000"/>
              </w:rPr>
              <w:t>Oil and gas revenue</w:t>
            </w:r>
          </w:p>
        </w:tc>
        <w:tc>
          <w:tcPr>
            <w:tcW w:w="709" w:type="dxa"/>
            <w:shd w:val="clear" w:color="auto" w:fill="auto"/>
          </w:tcPr>
          <w:p w14:paraId="41F5CC15" w14:textId="7F555D6B" w:rsidR="009B3EB9" w:rsidRPr="00C078B7" w:rsidRDefault="009B3EB9" w:rsidP="005C0318">
            <w:pPr>
              <w:jc w:val="center"/>
            </w:pPr>
            <w:r>
              <w:t>19</w:t>
            </w:r>
          </w:p>
        </w:tc>
        <w:tc>
          <w:tcPr>
            <w:tcW w:w="283" w:type="dxa"/>
            <w:gridSpan w:val="2"/>
            <w:tcBorders>
              <w:bottom w:val="single" w:sz="12" w:space="0" w:color="auto"/>
            </w:tcBorders>
            <w:vAlign w:val="bottom"/>
          </w:tcPr>
          <w:p w14:paraId="0DA31148" w14:textId="77777777" w:rsidR="009B3EB9" w:rsidRPr="00C078B7" w:rsidRDefault="009B3EB9" w:rsidP="005C0318">
            <w:pPr>
              <w:jc w:val="center"/>
            </w:pPr>
            <w:r w:rsidRPr="00C078B7">
              <w:t>$</w:t>
            </w:r>
          </w:p>
        </w:tc>
        <w:tc>
          <w:tcPr>
            <w:tcW w:w="1418" w:type="dxa"/>
            <w:gridSpan w:val="2"/>
            <w:tcBorders>
              <w:bottom w:val="single" w:sz="12" w:space="0" w:color="auto"/>
            </w:tcBorders>
            <w:vAlign w:val="bottom"/>
          </w:tcPr>
          <w:p w14:paraId="43DAADDB" w14:textId="383F4147" w:rsidR="009B3EB9" w:rsidRPr="00AA44E8" w:rsidRDefault="001C6AF5" w:rsidP="005C0318">
            <w:pPr>
              <w:jc w:val="right"/>
            </w:pPr>
            <w:r>
              <w:t>1,497,973</w:t>
            </w:r>
          </w:p>
        </w:tc>
        <w:tc>
          <w:tcPr>
            <w:tcW w:w="283" w:type="dxa"/>
            <w:tcBorders>
              <w:bottom w:val="single" w:sz="12" w:space="0" w:color="auto"/>
            </w:tcBorders>
            <w:vAlign w:val="bottom"/>
          </w:tcPr>
          <w:p w14:paraId="374C74F7" w14:textId="77777777" w:rsidR="009B3EB9" w:rsidRPr="00C078B7" w:rsidRDefault="009B3EB9" w:rsidP="005C0318">
            <w:pPr>
              <w:jc w:val="center"/>
            </w:pPr>
            <w:r w:rsidRPr="00C078B7">
              <w:t>$</w:t>
            </w:r>
          </w:p>
        </w:tc>
        <w:tc>
          <w:tcPr>
            <w:tcW w:w="1276" w:type="dxa"/>
            <w:tcBorders>
              <w:bottom w:val="single" w:sz="12" w:space="0" w:color="auto"/>
            </w:tcBorders>
            <w:vAlign w:val="bottom"/>
          </w:tcPr>
          <w:p w14:paraId="0B2FE95F" w14:textId="51BF9FEB" w:rsidR="009B3EB9" w:rsidRPr="00C078B7" w:rsidRDefault="00D06D40" w:rsidP="005C0318">
            <w:pPr>
              <w:jc w:val="right"/>
            </w:pPr>
            <w:r>
              <w:t>1,013,255</w:t>
            </w:r>
          </w:p>
        </w:tc>
        <w:tc>
          <w:tcPr>
            <w:tcW w:w="283" w:type="dxa"/>
            <w:vAlign w:val="bottom"/>
          </w:tcPr>
          <w:p w14:paraId="4818997C" w14:textId="3C53AA90" w:rsidR="009B3EB9" w:rsidRPr="00C05D5D" w:rsidRDefault="009B3EB9" w:rsidP="005C0318">
            <w:pPr>
              <w:jc w:val="center"/>
            </w:pPr>
          </w:p>
        </w:tc>
        <w:tc>
          <w:tcPr>
            <w:tcW w:w="284" w:type="dxa"/>
            <w:tcBorders>
              <w:bottom w:val="single" w:sz="12" w:space="0" w:color="auto"/>
            </w:tcBorders>
          </w:tcPr>
          <w:p w14:paraId="6ADAAE7F" w14:textId="67D5AB6B" w:rsidR="009B3EB9" w:rsidRPr="007D2716" w:rsidRDefault="00F23F71" w:rsidP="005C0318">
            <w:pPr>
              <w:jc w:val="right"/>
            </w:pPr>
            <w:r w:rsidRPr="00C05D5D">
              <w:t>$</w:t>
            </w:r>
          </w:p>
        </w:tc>
        <w:tc>
          <w:tcPr>
            <w:tcW w:w="1276" w:type="dxa"/>
            <w:tcBorders>
              <w:bottom w:val="single" w:sz="12" w:space="0" w:color="auto"/>
            </w:tcBorders>
            <w:vAlign w:val="bottom"/>
          </w:tcPr>
          <w:p w14:paraId="72C4F7D2" w14:textId="4C6CFE3D" w:rsidR="009B3EB9" w:rsidRPr="00AA44E8" w:rsidRDefault="007B5FA3" w:rsidP="005C0318">
            <w:pPr>
              <w:jc w:val="right"/>
            </w:pPr>
            <w:r>
              <w:t>2,511,598</w:t>
            </w:r>
          </w:p>
        </w:tc>
        <w:tc>
          <w:tcPr>
            <w:tcW w:w="283" w:type="dxa"/>
            <w:tcBorders>
              <w:bottom w:val="single" w:sz="12" w:space="0" w:color="auto"/>
            </w:tcBorders>
            <w:vAlign w:val="bottom"/>
          </w:tcPr>
          <w:p w14:paraId="096421F6" w14:textId="77777777" w:rsidR="009B3EB9" w:rsidRPr="00C05D5D" w:rsidRDefault="009B3EB9" w:rsidP="005C0318">
            <w:pPr>
              <w:jc w:val="center"/>
            </w:pPr>
            <w:r w:rsidRPr="00C05D5D">
              <w:t>$</w:t>
            </w:r>
          </w:p>
        </w:tc>
        <w:tc>
          <w:tcPr>
            <w:tcW w:w="1276" w:type="dxa"/>
            <w:gridSpan w:val="3"/>
            <w:tcBorders>
              <w:bottom w:val="single" w:sz="12" w:space="0" w:color="auto"/>
            </w:tcBorders>
            <w:vAlign w:val="bottom"/>
          </w:tcPr>
          <w:p w14:paraId="617798C8" w14:textId="2F0C39E7" w:rsidR="009B3EB9" w:rsidRPr="00C05D5D" w:rsidRDefault="00D06D40" w:rsidP="005C0318">
            <w:pPr>
              <w:jc w:val="right"/>
            </w:pPr>
            <w:r>
              <w:t>1,957,817</w:t>
            </w:r>
          </w:p>
        </w:tc>
      </w:tr>
      <w:tr w:rsidR="00642A83" w:rsidRPr="00C05D5D" w14:paraId="77C0FF3A" w14:textId="77777777" w:rsidTr="000A079E">
        <w:trPr>
          <w:jc w:val="center"/>
        </w:trPr>
        <w:tc>
          <w:tcPr>
            <w:tcW w:w="3686" w:type="dxa"/>
            <w:gridSpan w:val="2"/>
          </w:tcPr>
          <w:p w14:paraId="6E2F4777" w14:textId="0B1DECD4" w:rsidR="009B3EB9" w:rsidRPr="00C078B7" w:rsidRDefault="009B3EB9" w:rsidP="005C0318">
            <w:r w:rsidRPr="00C078B7">
              <w:t xml:space="preserve">Cost </w:t>
            </w:r>
            <w:r>
              <w:t>and expenses</w:t>
            </w:r>
          </w:p>
        </w:tc>
        <w:tc>
          <w:tcPr>
            <w:tcW w:w="709" w:type="dxa"/>
            <w:shd w:val="clear" w:color="auto" w:fill="auto"/>
          </w:tcPr>
          <w:p w14:paraId="26D5902D" w14:textId="77777777" w:rsidR="009B3EB9" w:rsidRPr="00C078B7" w:rsidRDefault="009B3EB9" w:rsidP="005C0318">
            <w:pPr>
              <w:jc w:val="center"/>
            </w:pPr>
          </w:p>
        </w:tc>
        <w:tc>
          <w:tcPr>
            <w:tcW w:w="283" w:type="dxa"/>
            <w:gridSpan w:val="2"/>
            <w:tcBorders>
              <w:top w:val="single" w:sz="12" w:space="0" w:color="auto"/>
            </w:tcBorders>
            <w:vAlign w:val="bottom"/>
          </w:tcPr>
          <w:p w14:paraId="6A08DE72" w14:textId="77777777" w:rsidR="009B3EB9" w:rsidRPr="00C078B7" w:rsidRDefault="009B3EB9" w:rsidP="005C0318">
            <w:pPr>
              <w:jc w:val="center"/>
            </w:pPr>
          </w:p>
        </w:tc>
        <w:tc>
          <w:tcPr>
            <w:tcW w:w="1418" w:type="dxa"/>
            <w:gridSpan w:val="2"/>
            <w:tcBorders>
              <w:top w:val="single" w:sz="12" w:space="0" w:color="auto"/>
            </w:tcBorders>
            <w:vAlign w:val="bottom"/>
          </w:tcPr>
          <w:p w14:paraId="714A9BEB" w14:textId="17D234DD" w:rsidR="009B3EB9" w:rsidRPr="00AA44E8" w:rsidRDefault="009B3EB9" w:rsidP="005C0318">
            <w:pPr>
              <w:jc w:val="right"/>
            </w:pPr>
          </w:p>
        </w:tc>
        <w:tc>
          <w:tcPr>
            <w:tcW w:w="283" w:type="dxa"/>
            <w:tcBorders>
              <w:top w:val="single" w:sz="12" w:space="0" w:color="auto"/>
            </w:tcBorders>
            <w:vAlign w:val="bottom"/>
          </w:tcPr>
          <w:p w14:paraId="564C84C6" w14:textId="77777777" w:rsidR="009B3EB9" w:rsidRPr="00C078B7" w:rsidRDefault="009B3EB9" w:rsidP="005C0318">
            <w:pPr>
              <w:jc w:val="center"/>
            </w:pPr>
          </w:p>
        </w:tc>
        <w:tc>
          <w:tcPr>
            <w:tcW w:w="1276" w:type="dxa"/>
            <w:tcBorders>
              <w:top w:val="single" w:sz="12" w:space="0" w:color="auto"/>
            </w:tcBorders>
            <w:vAlign w:val="bottom"/>
          </w:tcPr>
          <w:p w14:paraId="508E8A41" w14:textId="3D883561" w:rsidR="009B3EB9" w:rsidRPr="00C078B7" w:rsidRDefault="009B3EB9" w:rsidP="005C0318">
            <w:pPr>
              <w:jc w:val="right"/>
            </w:pPr>
          </w:p>
        </w:tc>
        <w:tc>
          <w:tcPr>
            <w:tcW w:w="283" w:type="dxa"/>
            <w:vAlign w:val="bottom"/>
          </w:tcPr>
          <w:p w14:paraId="075AAFCA" w14:textId="77777777" w:rsidR="009B3EB9" w:rsidRPr="00C05D5D" w:rsidRDefault="009B3EB9" w:rsidP="005C0318">
            <w:pPr>
              <w:jc w:val="center"/>
            </w:pPr>
          </w:p>
        </w:tc>
        <w:tc>
          <w:tcPr>
            <w:tcW w:w="284" w:type="dxa"/>
            <w:tcBorders>
              <w:top w:val="single" w:sz="12" w:space="0" w:color="auto"/>
            </w:tcBorders>
          </w:tcPr>
          <w:p w14:paraId="5C3E7904" w14:textId="77777777" w:rsidR="009B3EB9" w:rsidRPr="00AA44E8" w:rsidRDefault="009B3EB9" w:rsidP="005C0318">
            <w:pPr>
              <w:jc w:val="right"/>
            </w:pPr>
          </w:p>
        </w:tc>
        <w:tc>
          <w:tcPr>
            <w:tcW w:w="1276" w:type="dxa"/>
            <w:tcBorders>
              <w:top w:val="single" w:sz="12" w:space="0" w:color="auto"/>
            </w:tcBorders>
            <w:vAlign w:val="bottom"/>
          </w:tcPr>
          <w:p w14:paraId="3D16997F" w14:textId="62651E0B" w:rsidR="009B3EB9" w:rsidRPr="00AA44E8" w:rsidRDefault="009B3EB9" w:rsidP="005C0318">
            <w:pPr>
              <w:jc w:val="right"/>
            </w:pPr>
          </w:p>
        </w:tc>
        <w:tc>
          <w:tcPr>
            <w:tcW w:w="283" w:type="dxa"/>
            <w:tcBorders>
              <w:top w:val="single" w:sz="12" w:space="0" w:color="auto"/>
            </w:tcBorders>
            <w:vAlign w:val="bottom"/>
          </w:tcPr>
          <w:p w14:paraId="270B710F" w14:textId="77777777" w:rsidR="009B3EB9" w:rsidRPr="00C05D5D" w:rsidRDefault="009B3EB9" w:rsidP="005C0318">
            <w:pPr>
              <w:jc w:val="center"/>
            </w:pPr>
          </w:p>
        </w:tc>
        <w:tc>
          <w:tcPr>
            <w:tcW w:w="1276" w:type="dxa"/>
            <w:gridSpan w:val="3"/>
            <w:tcBorders>
              <w:top w:val="single" w:sz="12" w:space="0" w:color="auto"/>
            </w:tcBorders>
            <w:vAlign w:val="bottom"/>
          </w:tcPr>
          <w:p w14:paraId="7CFD10B5" w14:textId="36E52088" w:rsidR="009B3EB9" w:rsidRPr="00C05D5D" w:rsidRDefault="009B3EB9" w:rsidP="005C0318">
            <w:pPr>
              <w:jc w:val="right"/>
            </w:pPr>
          </w:p>
        </w:tc>
      </w:tr>
      <w:tr w:rsidR="00642A83" w:rsidRPr="00C05D5D" w14:paraId="1139AFC7" w14:textId="77777777" w:rsidTr="000A079E">
        <w:trPr>
          <w:jc w:val="center"/>
        </w:trPr>
        <w:tc>
          <w:tcPr>
            <w:tcW w:w="3686" w:type="dxa"/>
            <w:gridSpan w:val="2"/>
          </w:tcPr>
          <w:p w14:paraId="0F84B30D" w14:textId="16E33E71" w:rsidR="009B3EB9" w:rsidRPr="00C078B7" w:rsidRDefault="009B3EB9" w:rsidP="00064A08">
            <w:pPr>
              <w:ind w:left="288"/>
            </w:pPr>
            <w:r>
              <w:rPr>
                <w:color w:val="000000"/>
              </w:rPr>
              <w:t>Production</w:t>
            </w:r>
          </w:p>
        </w:tc>
        <w:tc>
          <w:tcPr>
            <w:tcW w:w="709" w:type="dxa"/>
            <w:shd w:val="clear" w:color="auto" w:fill="auto"/>
          </w:tcPr>
          <w:p w14:paraId="70D5B7E9" w14:textId="77777777" w:rsidR="009B3EB9" w:rsidRPr="00C078B7" w:rsidRDefault="009B3EB9" w:rsidP="005C0318">
            <w:pPr>
              <w:jc w:val="center"/>
            </w:pPr>
          </w:p>
        </w:tc>
        <w:tc>
          <w:tcPr>
            <w:tcW w:w="283" w:type="dxa"/>
            <w:gridSpan w:val="2"/>
            <w:vAlign w:val="bottom"/>
          </w:tcPr>
          <w:p w14:paraId="51FD5CB4" w14:textId="77777777" w:rsidR="009B3EB9" w:rsidRPr="00C078B7" w:rsidRDefault="009B3EB9" w:rsidP="005C0318">
            <w:pPr>
              <w:jc w:val="center"/>
            </w:pPr>
          </w:p>
        </w:tc>
        <w:tc>
          <w:tcPr>
            <w:tcW w:w="1418" w:type="dxa"/>
            <w:gridSpan w:val="2"/>
            <w:vAlign w:val="bottom"/>
          </w:tcPr>
          <w:p w14:paraId="7FDA575A" w14:textId="2199D6F1" w:rsidR="009B3EB9" w:rsidRPr="00AA44E8" w:rsidRDefault="001C6AF5" w:rsidP="005C0318">
            <w:pPr>
              <w:jc w:val="right"/>
            </w:pPr>
            <w:r>
              <w:t>735,087</w:t>
            </w:r>
          </w:p>
        </w:tc>
        <w:tc>
          <w:tcPr>
            <w:tcW w:w="283" w:type="dxa"/>
            <w:vAlign w:val="bottom"/>
          </w:tcPr>
          <w:p w14:paraId="76562276" w14:textId="77777777" w:rsidR="009B3EB9" w:rsidRPr="00C078B7" w:rsidRDefault="009B3EB9" w:rsidP="005C0318">
            <w:pPr>
              <w:jc w:val="center"/>
            </w:pPr>
          </w:p>
        </w:tc>
        <w:tc>
          <w:tcPr>
            <w:tcW w:w="1276" w:type="dxa"/>
            <w:vAlign w:val="bottom"/>
          </w:tcPr>
          <w:p w14:paraId="6174F1FD" w14:textId="54ACCB56" w:rsidR="009B3EB9" w:rsidRDefault="00D06D40" w:rsidP="005C0318">
            <w:pPr>
              <w:jc w:val="right"/>
            </w:pPr>
            <w:r>
              <w:t>601,633</w:t>
            </w:r>
          </w:p>
        </w:tc>
        <w:tc>
          <w:tcPr>
            <w:tcW w:w="283" w:type="dxa"/>
            <w:vAlign w:val="bottom"/>
          </w:tcPr>
          <w:p w14:paraId="5E74711E" w14:textId="77777777" w:rsidR="009B3EB9" w:rsidRPr="00C05D5D" w:rsidRDefault="009B3EB9" w:rsidP="005C0318">
            <w:pPr>
              <w:jc w:val="center"/>
            </w:pPr>
          </w:p>
        </w:tc>
        <w:tc>
          <w:tcPr>
            <w:tcW w:w="284" w:type="dxa"/>
          </w:tcPr>
          <w:p w14:paraId="431563E8" w14:textId="77777777" w:rsidR="009B3EB9" w:rsidRPr="00AA44E8" w:rsidRDefault="009B3EB9" w:rsidP="005C0318">
            <w:pPr>
              <w:jc w:val="right"/>
            </w:pPr>
          </w:p>
        </w:tc>
        <w:tc>
          <w:tcPr>
            <w:tcW w:w="1276" w:type="dxa"/>
            <w:vAlign w:val="bottom"/>
          </w:tcPr>
          <w:p w14:paraId="34246F8E" w14:textId="6973F355" w:rsidR="009B3EB9" w:rsidRPr="00AA44E8" w:rsidRDefault="007B5FA3" w:rsidP="005C0318">
            <w:pPr>
              <w:jc w:val="right"/>
            </w:pPr>
            <w:r>
              <w:t>1,357,405</w:t>
            </w:r>
          </w:p>
        </w:tc>
        <w:tc>
          <w:tcPr>
            <w:tcW w:w="283" w:type="dxa"/>
            <w:vAlign w:val="bottom"/>
          </w:tcPr>
          <w:p w14:paraId="74D86463" w14:textId="77777777" w:rsidR="009B3EB9" w:rsidRPr="00C05D5D" w:rsidRDefault="009B3EB9" w:rsidP="005C0318">
            <w:pPr>
              <w:jc w:val="center"/>
            </w:pPr>
          </w:p>
        </w:tc>
        <w:tc>
          <w:tcPr>
            <w:tcW w:w="1276" w:type="dxa"/>
            <w:gridSpan w:val="3"/>
            <w:vAlign w:val="bottom"/>
          </w:tcPr>
          <w:p w14:paraId="2C9026F2" w14:textId="3E3A41EE" w:rsidR="009B3EB9" w:rsidRDefault="00D06D40" w:rsidP="005C0318">
            <w:pPr>
              <w:jc w:val="right"/>
            </w:pPr>
            <w:r>
              <w:t>1,234,134</w:t>
            </w:r>
          </w:p>
        </w:tc>
      </w:tr>
      <w:tr w:rsidR="00642A83" w:rsidRPr="00C05D5D" w14:paraId="36F22F2B" w14:textId="77777777" w:rsidTr="000A079E">
        <w:trPr>
          <w:jc w:val="center"/>
        </w:trPr>
        <w:tc>
          <w:tcPr>
            <w:tcW w:w="3686" w:type="dxa"/>
            <w:gridSpan w:val="2"/>
          </w:tcPr>
          <w:p w14:paraId="1F792443" w14:textId="03D897F9" w:rsidR="009B3EB9" w:rsidRPr="00064A08" w:rsidRDefault="009B3EB9" w:rsidP="00064A08">
            <w:pPr>
              <w:ind w:left="288"/>
              <w:rPr>
                <w:color w:val="000000"/>
              </w:rPr>
            </w:pPr>
            <w:r w:rsidRPr="00064A08">
              <w:rPr>
                <w:color w:val="000000"/>
              </w:rPr>
              <w:t>Depletion</w:t>
            </w:r>
          </w:p>
        </w:tc>
        <w:tc>
          <w:tcPr>
            <w:tcW w:w="709" w:type="dxa"/>
            <w:shd w:val="clear" w:color="auto" w:fill="auto"/>
            <w:vAlign w:val="bottom"/>
          </w:tcPr>
          <w:p w14:paraId="0570EF31" w14:textId="2A98F0FA" w:rsidR="009B3EB9" w:rsidRPr="009E6D72" w:rsidRDefault="009B3EB9" w:rsidP="009E6D72">
            <w:pPr>
              <w:jc w:val="center"/>
            </w:pPr>
            <w:r w:rsidRPr="009E6D72">
              <w:rPr>
                <w:color w:val="000000"/>
              </w:rPr>
              <w:t>5</w:t>
            </w:r>
          </w:p>
        </w:tc>
        <w:tc>
          <w:tcPr>
            <w:tcW w:w="283" w:type="dxa"/>
            <w:gridSpan w:val="2"/>
            <w:vAlign w:val="bottom"/>
          </w:tcPr>
          <w:p w14:paraId="5894DDE7" w14:textId="77777777" w:rsidR="009B3EB9" w:rsidRPr="00C078B7" w:rsidRDefault="009B3EB9" w:rsidP="009E6D72">
            <w:pPr>
              <w:jc w:val="center"/>
            </w:pPr>
          </w:p>
        </w:tc>
        <w:tc>
          <w:tcPr>
            <w:tcW w:w="1418" w:type="dxa"/>
            <w:gridSpan w:val="2"/>
            <w:vAlign w:val="bottom"/>
          </w:tcPr>
          <w:p w14:paraId="6211BC1C" w14:textId="14EB225F" w:rsidR="009B3EB9" w:rsidRPr="00AA44E8" w:rsidRDefault="001C6AF5" w:rsidP="009E6D72">
            <w:pPr>
              <w:jc w:val="right"/>
            </w:pPr>
            <w:r>
              <w:t>82,324</w:t>
            </w:r>
          </w:p>
        </w:tc>
        <w:tc>
          <w:tcPr>
            <w:tcW w:w="283" w:type="dxa"/>
            <w:vAlign w:val="bottom"/>
          </w:tcPr>
          <w:p w14:paraId="5D6A6C2A" w14:textId="77777777" w:rsidR="009B3EB9" w:rsidRPr="00C078B7" w:rsidRDefault="009B3EB9" w:rsidP="009E6D72">
            <w:pPr>
              <w:jc w:val="center"/>
            </w:pPr>
          </w:p>
        </w:tc>
        <w:tc>
          <w:tcPr>
            <w:tcW w:w="1276" w:type="dxa"/>
            <w:vAlign w:val="bottom"/>
          </w:tcPr>
          <w:p w14:paraId="56C479F9" w14:textId="16AFA144" w:rsidR="009B3EB9" w:rsidRDefault="00D06D40" w:rsidP="009E6D72">
            <w:pPr>
              <w:jc w:val="right"/>
            </w:pPr>
            <w:r>
              <w:t>124,612</w:t>
            </w:r>
          </w:p>
        </w:tc>
        <w:tc>
          <w:tcPr>
            <w:tcW w:w="283" w:type="dxa"/>
            <w:vAlign w:val="bottom"/>
          </w:tcPr>
          <w:p w14:paraId="4A8822D1" w14:textId="77777777" w:rsidR="009B3EB9" w:rsidRPr="00C05D5D" w:rsidRDefault="009B3EB9" w:rsidP="009E6D72">
            <w:pPr>
              <w:jc w:val="center"/>
            </w:pPr>
          </w:p>
        </w:tc>
        <w:tc>
          <w:tcPr>
            <w:tcW w:w="284" w:type="dxa"/>
          </w:tcPr>
          <w:p w14:paraId="60D5EADF" w14:textId="77777777" w:rsidR="009B3EB9" w:rsidRPr="00AA44E8" w:rsidRDefault="009B3EB9" w:rsidP="009E6D72">
            <w:pPr>
              <w:jc w:val="right"/>
            </w:pPr>
          </w:p>
        </w:tc>
        <w:tc>
          <w:tcPr>
            <w:tcW w:w="1276" w:type="dxa"/>
            <w:vAlign w:val="bottom"/>
          </w:tcPr>
          <w:p w14:paraId="63AC9233" w14:textId="728B6E00" w:rsidR="009B3EB9" w:rsidRPr="00AA44E8" w:rsidRDefault="007B5FA3" w:rsidP="009E6D72">
            <w:pPr>
              <w:jc w:val="right"/>
            </w:pPr>
            <w:r>
              <w:t>148,873</w:t>
            </w:r>
          </w:p>
        </w:tc>
        <w:tc>
          <w:tcPr>
            <w:tcW w:w="283" w:type="dxa"/>
            <w:vAlign w:val="bottom"/>
          </w:tcPr>
          <w:p w14:paraId="6E71AC68" w14:textId="77777777" w:rsidR="009B3EB9" w:rsidRPr="00C05D5D" w:rsidRDefault="009B3EB9" w:rsidP="009E6D72">
            <w:pPr>
              <w:jc w:val="center"/>
            </w:pPr>
          </w:p>
        </w:tc>
        <w:tc>
          <w:tcPr>
            <w:tcW w:w="1276" w:type="dxa"/>
            <w:gridSpan w:val="3"/>
            <w:vAlign w:val="bottom"/>
          </w:tcPr>
          <w:p w14:paraId="19EFF19E" w14:textId="4D6D1AFC" w:rsidR="009B3EB9" w:rsidRDefault="00D06D40" w:rsidP="009E6D72">
            <w:pPr>
              <w:jc w:val="right"/>
            </w:pPr>
            <w:r>
              <w:t>233,713</w:t>
            </w:r>
          </w:p>
        </w:tc>
      </w:tr>
      <w:tr w:rsidR="00642A83" w:rsidRPr="00C05D5D" w14:paraId="7734B36C" w14:textId="77777777" w:rsidTr="000A079E">
        <w:trPr>
          <w:jc w:val="center"/>
        </w:trPr>
        <w:tc>
          <w:tcPr>
            <w:tcW w:w="3686" w:type="dxa"/>
            <w:gridSpan w:val="2"/>
          </w:tcPr>
          <w:p w14:paraId="70EF3445" w14:textId="26CD174C" w:rsidR="009B3EB9" w:rsidRPr="00064A08" w:rsidRDefault="009B3EB9" w:rsidP="00064A08">
            <w:pPr>
              <w:ind w:left="288"/>
              <w:rPr>
                <w:color w:val="000000"/>
              </w:rPr>
            </w:pPr>
            <w:r w:rsidRPr="00064A08">
              <w:rPr>
                <w:color w:val="000000"/>
              </w:rPr>
              <w:t>Depreciation</w:t>
            </w:r>
          </w:p>
        </w:tc>
        <w:tc>
          <w:tcPr>
            <w:tcW w:w="709" w:type="dxa"/>
            <w:shd w:val="clear" w:color="auto" w:fill="auto"/>
            <w:vAlign w:val="bottom"/>
          </w:tcPr>
          <w:p w14:paraId="23B53F04" w14:textId="48615D98" w:rsidR="009B3EB9" w:rsidRPr="009E6D72" w:rsidRDefault="009B3EB9" w:rsidP="009E6D72">
            <w:pPr>
              <w:jc w:val="center"/>
            </w:pPr>
            <w:r w:rsidRPr="009E6D72">
              <w:rPr>
                <w:color w:val="000000"/>
              </w:rPr>
              <w:t>7, 9</w:t>
            </w:r>
          </w:p>
        </w:tc>
        <w:tc>
          <w:tcPr>
            <w:tcW w:w="283" w:type="dxa"/>
            <w:gridSpan w:val="2"/>
            <w:vAlign w:val="bottom"/>
          </w:tcPr>
          <w:p w14:paraId="7B3F5158" w14:textId="77777777" w:rsidR="009B3EB9" w:rsidRPr="00C078B7" w:rsidRDefault="009B3EB9" w:rsidP="009E6D72">
            <w:pPr>
              <w:jc w:val="center"/>
            </w:pPr>
          </w:p>
        </w:tc>
        <w:tc>
          <w:tcPr>
            <w:tcW w:w="1418" w:type="dxa"/>
            <w:gridSpan w:val="2"/>
            <w:vAlign w:val="bottom"/>
          </w:tcPr>
          <w:p w14:paraId="47209574" w14:textId="6DD087A7" w:rsidR="009B3EB9" w:rsidRPr="00AA44E8" w:rsidRDefault="001C6AF5" w:rsidP="009E6D72">
            <w:pPr>
              <w:jc w:val="right"/>
            </w:pPr>
            <w:r>
              <w:t>3</w:t>
            </w:r>
            <w:r w:rsidR="0035562D">
              <w:t>2</w:t>
            </w:r>
            <w:r>
              <w:t>,</w:t>
            </w:r>
            <w:r w:rsidR="0035562D">
              <w:t>796</w:t>
            </w:r>
          </w:p>
        </w:tc>
        <w:tc>
          <w:tcPr>
            <w:tcW w:w="283" w:type="dxa"/>
            <w:vAlign w:val="bottom"/>
          </w:tcPr>
          <w:p w14:paraId="48125FFA" w14:textId="77777777" w:rsidR="009B3EB9" w:rsidRPr="00C078B7" w:rsidRDefault="009B3EB9" w:rsidP="009E6D72">
            <w:pPr>
              <w:jc w:val="center"/>
            </w:pPr>
          </w:p>
        </w:tc>
        <w:tc>
          <w:tcPr>
            <w:tcW w:w="1276" w:type="dxa"/>
            <w:vAlign w:val="bottom"/>
          </w:tcPr>
          <w:p w14:paraId="03F8D5B0" w14:textId="1C35F956" w:rsidR="009B3EB9" w:rsidRDefault="00D06D40" w:rsidP="009E6D72">
            <w:pPr>
              <w:jc w:val="right"/>
            </w:pPr>
            <w:r>
              <w:t>6,801</w:t>
            </w:r>
          </w:p>
        </w:tc>
        <w:tc>
          <w:tcPr>
            <w:tcW w:w="283" w:type="dxa"/>
            <w:vAlign w:val="bottom"/>
          </w:tcPr>
          <w:p w14:paraId="7C2A6892" w14:textId="77777777" w:rsidR="009B3EB9" w:rsidRPr="00C05D5D" w:rsidRDefault="009B3EB9" w:rsidP="009E6D72">
            <w:pPr>
              <w:jc w:val="center"/>
            </w:pPr>
          </w:p>
        </w:tc>
        <w:tc>
          <w:tcPr>
            <w:tcW w:w="284" w:type="dxa"/>
          </w:tcPr>
          <w:p w14:paraId="659701AF" w14:textId="77777777" w:rsidR="009B3EB9" w:rsidRPr="00AA44E8" w:rsidRDefault="009B3EB9" w:rsidP="009E6D72">
            <w:pPr>
              <w:jc w:val="right"/>
            </w:pPr>
          </w:p>
        </w:tc>
        <w:tc>
          <w:tcPr>
            <w:tcW w:w="1276" w:type="dxa"/>
            <w:vAlign w:val="bottom"/>
          </w:tcPr>
          <w:p w14:paraId="01FAAC9E" w14:textId="35389D1E" w:rsidR="009B3EB9" w:rsidRPr="00AA44E8" w:rsidRDefault="007B5FA3" w:rsidP="009E6D72">
            <w:pPr>
              <w:jc w:val="right"/>
            </w:pPr>
            <w:r>
              <w:t>4</w:t>
            </w:r>
            <w:r w:rsidR="0035562D">
              <w:t>3</w:t>
            </w:r>
            <w:r>
              <w:t>,</w:t>
            </w:r>
            <w:r w:rsidR="0035562D">
              <w:t>976</w:t>
            </w:r>
          </w:p>
        </w:tc>
        <w:tc>
          <w:tcPr>
            <w:tcW w:w="283" w:type="dxa"/>
            <w:vAlign w:val="bottom"/>
          </w:tcPr>
          <w:p w14:paraId="08BCDB61" w14:textId="77777777" w:rsidR="009B3EB9" w:rsidRPr="00C05D5D" w:rsidRDefault="009B3EB9" w:rsidP="009E6D72">
            <w:pPr>
              <w:jc w:val="center"/>
            </w:pPr>
          </w:p>
        </w:tc>
        <w:tc>
          <w:tcPr>
            <w:tcW w:w="1276" w:type="dxa"/>
            <w:gridSpan w:val="3"/>
            <w:vAlign w:val="bottom"/>
          </w:tcPr>
          <w:p w14:paraId="5038D1A3" w14:textId="406AC815" w:rsidR="009B3EB9" w:rsidRDefault="00D06D40" w:rsidP="009E6D72">
            <w:pPr>
              <w:jc w:val="right"/>
            </w:pPr>
            <w:r>
              <w:t>13,808</w:t>
            </w:r>
          </w:p>
        </w:tc>
      </w:tr>
      <w:tr w:rsidR="00642A83" w:rsidRPr="00C05D5D" w14:paraId="33251E8D" w14:textId="77777777" w:rsidTr="000A079E">
        <w:trPr>
          <w:jc w:val="center"/>
        </w:trPr>
        <w:tc>
          <w:tcPr>
            <w:tcW w:w="3686" w:type="dxa"/>
            <w:gridSpan w:val="2"/>
          </w:tcPr>
          <w:p w14:paraId="37494612" w14:textId="237682FA" w:rsidR="009B3EB9" w:rsidRPr="00064A08" w:rsidRDefault="009B3EB9" w:rsidP="00064A08">
            <w:pPr>
              <w:ind w:left="288"/>
              <w:rPr>
                <w:color w:val="000000"/>
              </w:rPr>
            </w:pPr>
            <w:r w:rsidRPr="00064A08">
              <w:rPr>
                <w:color w:val="000000"/>
              </w:rPr>
              <w:t>Accretion of asset retirement obligation</w:t>
            </w:r>
          </w:p>
        </w:tc>
        <w:tc>
          <w:tcPr>
            <w:tcW w:w="709" w:type="dxa"/>
            <w:shd w:val="clear" w:color="auto" w:fill="auto"/>
            <w:vAlign w:val="bottom"/>
          </w:tcPr>
          <w:p w14:paraId="1111F3CA" w14:textId="5A506197" w:rsidR="009B3EB9" w:rsidRPr="009E6D72" w:rsidRDefault="009B3EB9" w:rsidP="009E6D72">
            <w:pPr>
              <w:jc w:val="center"/>
            </w:pPr>
            <w:r w:rsidRPr="009E6D72">
              <w:rPr>
                <w:color w:val="000000"/>
              </w:rPr>
              <w:t>11</w:t>
            </w:r>
          </w:p>
        </w:tc>
        <w:tc>
          <w:tcPr>
            <w:tcW w:w="283" w:type="dxa"/>
            <w:gridSpan w:val="2"/>
            <w:vAlign w:val="bottom"/>
          </w:tcPr>
          <w:p w14:paraId="78C2384A" w14:textId="77777777" w:rsidR="009B3EB9" w:rsidRPr="00C078B7" w:rsidRDefault="009B3EB9" w:rsidP="009E6D72">
            <w:pPr>
              <w:jc w:val="center"/>
            </w:pPr>
          </w:p>
        </w:tc>
        <w:tc>
          <w:tcPr>
            <w:tcW w:w="1418" w:type="dxa"/>
            <w:gridSpan w:val="2"/>
            <w:vAlign w:val="bottom"/>
          </w:tcPr>
          <w:p w14:paraId="4DF659A8" w14:textId="60FA2CD4" w:rsidR="009B3EB9" w:rsidRPr="00AA44E8" w:rsidRDefault="001C6AF5" w:rsidP="009E6D72">
            <w:pPr>
              <w:jc w:val="right"/>
            </w:pPr>
            <w:r>
              <w:t>(141,92</w:t>
            </w:r>
            <w:r w:rsidR="005F4636">
              <w:t>3</w:t>
            </w:r>
            <w:r>
              <w:t>)</w:t>
            </w:r>
          </w:p>
        </w:tc>
        <w:tc>
          <w:tcPr>
            <w:tcW w:w="283" w:type="dxa"/>
            <w:vAlign w:val="bottom"/>
          </w:tcPr>
          <w:p w14:paraId="7EDA55B9" w14:textId="77777777" w:rsidR="009B3EB9" w:rsidRPr="00C078B7" w:rsidRDefault="009B3EB9" w:rsidP="009E6D72">
            <w:pPr>
              <w:jc w:val="center"/>
            </w:pPr>
          </w:p>
        </w:tc>
        <w:tc>
          <w:tcPr>
            <w:tcW w:w="1276" w:type="dxa"/>
            <w:vAlign w:val="bottom"/>
          </w:tcPr>
          <w:p w14:paraId="1917964A" w14:textId="731B30A1" w:rsidR="009B3EB9" w:rsidRDefault="00D06D40" w:rsidP="009E6D72">
            <w:pPr>
              <w:jc w:val="right"/>
            </w:pPr>
            <w:r>
              <w:t>22,954</w:t>
            </w:r>
          </w:p>
        </w:tc>
        <w:tc>
          <w:tcPr>
            <w:tcW w:w="283" w:type="dxa"/>
            <w:vAlign w:val="bottom"/>
          </w:tcPr>
          <w:p w14:paraId="38ED66EE" w14:textId="77777777" w:rsidR="009B3EB9" w:rsidRPr="00C05D5D" w:rsidRDefault="009B3EB9" w:rsidP="009E6D72">
            <w:pPr>
              <w:jc w:val="center"/>
            </w:pPr>
          </w:p>
        </w:tc>
        <w:tc>
          <w:tcPr>
            <w:tcW w:w="284" w:type="dxa"/>
          </w:tcPr>
          <w:p w14:paraId="45812C41" w14:textId="77777777" w:rsidR="009B3EB9" w:rsidRPr="00AA44E8" w:rsidRDefault="009B3EB9" w:rsidP="009E6D72">
            <w:pPr>
              <w:jc w:val="right"/>
            </w:pPr>
          </w:p>
        </w:tc>
        <w:tc>
          <w:tcPr>
            <w:tcW w:w="1276" w:type="dxa"/>
            <w:vAlign w:val="bottom"/>
          </w:tcPr>
          <w:p w14:paraId="06928E55" w14:textId="04356B2F" w:rsidR="009B3EB9" w:rsidRPr="00AA44E8" w:rsidRDefault="007B5FA3" w:rsidP="009E6D72">
            <w:pPr>
              <w:jc w:val="right"/>
            </w:pPr>
            <w:r>
              <w:t>82,90</w:t>
            </w:r>
            <w:r w:rsidR="005F4636">
              <w:t>5</w:t>
            </w:r>
          </w:p>
        </w:tc>
        <w:tc>
          <w:tcPr>
            <w:tcW w:w="283" w:type="dxa"/>
            <w:vAlign w:val="bottom"/>
          </w:tcPr>
          <w:p w14:paraId="3F6B0C80" w14:textId="77777777" w:rsidR="009B3EB9" w:rsidRPr="00C05D5D" w:rsidRDefault="009B3EB9" w:rsidP="009E6D72">
            <w:pPr>
              <w:jc w:val="center"/>
            </w:pPr>
          </w:p>
        </w:tc>
        <w:tc>
          <w:tcPr>
            <w:tcW w:w="1276" w:type="dxa"/>
            <w:gridSpan w:val="3"/>
            <w:vAlign w:val="bottom"/>
          </w:tcPr>
          <w:p w14:paraId="08CB5821" w14:textId="31FF9A3B" w:rsidR="009B3EB9" w:rsidRDefault="00D06D40" w:rsidP="009E6D72">
            <w:pPr>
              <w:jc w:val="right"/>
            </w:pPr>
            <w:r>
              <w:t>45,827</w:t>
            </w:r>
          </w:p>
        </w:tc>
      </w:tr>
      <w:tr w:rsidR="00642A83" w:rsidRPr="00C05D5D" w14:paraId="58230E1D" w14:textId="77777777" w:rsidTr="000A079E">
        <w:trPr>
          <w:jc w:val="center"/>
        </w:trPr>
        <w:tc>
          <w:tcPr>
            <w:tcW w:w="3686" w:type="dxa"/>
            <w:gridSpan w:val="2"/>
          </w:tcPr>
          <w:p w14:paraId="084C6133" w14:textId="13810DA0" w:rsidR="009B3EB9" w:rsidRPr="00064A08" w:rsidRDefault="009B3EB9" w:rsidP="00064A08">
            <w:pPr>
              <w:ind w:left="288"/>
              <w:rPr>
                <w:color w:val="000000"/>
              </w:rPr>
            </w:pPr>
            <w:r w:rsidRPr="00064A08">
              <w:rPr>
                <w:color w:val="000000"/>
              </w:rPr>
              <w:t>Investor relations</w:t>
            </w:r>
          </w:p>
        </w:tc>
        <w:tc>
          <w:tcPr>
            <w:tcW w:w="709" w:type="dxa"/>
            <w:shd w:val="clear" w:color="auto" w:fill="auto"/>
            <w:vAlign w:val="bottom"/>
          </w:tcPr>
          <w:p w14:paraId="7539A8EE" w14:textId="77777777" w:rsidR="009B3EB9" w:rsidRPr="009E6D72" w:rsidRDefault="009B3EB9" w:rsidP="009E6D72">
            <w:pPr>
              <w:jc w:val="center"/>
            </w:pPr>
          </w:p>
        </w:tc>
        <w:tc>
          <w:tcPr>
            <w:tcW w:w="283" w:type="dxa"/>
            <w:gridSpan w:val="2"/>
            <w:vAlign w:val="bottom"/>
          </w:tcPr>
          <w:p w14:paraId="4012B6A2" w14:textId="77777777" w:rsidR="009B3EB9" w:rsidRPr="00C078B7" w:rsidRDefault="009B3EB9" w:rsidP="009E6D72">
            <w:pPr>
              <w:jc w:val="center"/>
            </w:pPr>
          </w:p>
        </w:tc>
        <w:tc>
          <w:tcPr>
            <w:tcW w:w="1418" w:type="dxa"/>
            <w:gridSpan w:val="2"/>
            <w:vAlign w:val="bottom"/>
          </w:tcPr>
          <w:p w14:paraId="28F54E94" w14:textId="16904884" w:rsidR="009B3EB9" w:rsidRPr="00AA44E8" w:rsidRDefault="001C6AF5" w:rsidP="009E6D72">
            <w:pPr>
              <w:jc w:val="right"/>
            </w:pPr>
            <w:r>
              <w:t>1</w:t>
            </w:r>
            <w:r w:rsidR="0035562D">
              <w:t>83</w:t>
            </w:r>
            <w:r>
              <w:t>,</w:t>
            </w:r>
            <w:r w:rsidR="00E85A04">
              <w:t>7</w:t>
            </w:r>
            <w:r w:rsidR="0035562D">
              <w:t>00</w:t>
            </w:r>
          </w:p>
        </w:tc>
        <w:tc>
          <w:tcPr>
            <w:tcW w:w="283" w:type="dxa"/>
            <w:vAlign w:val="bottom"/>
          </w:tcPr>
          <w:p w14:paraId="65D4428E" w14:textId="77777777" w:rsidR="009B3EB9" w:rsidRPr="00C078B7" w:rsidRDefault="009B3EB9" w:rsidP="009E6D72">
            <w:pPr>
              <w:jc w:val="center"/>
            </w:pPr>
          </w:p>
        </w:tc>
        <w:tc>
          <w:tcPr>
            <w:tcW w:w="1276" w:type="dxa"/>
            <w:vAlign w:val="bottom"/>
          </w:tcPr>
          <w:p w14:paraId="1B0A23AB" w14:textId="2BC46C97" w:rsidR="009B3EB9" w:rsidRDefault="00D06D40" w:rsidP="009E6D72">
            <w:pPr>
              <w:jc w:val="right"/>
            </w:pPr>
            <w:r>
              <w:t>639,425</w:t>
            </w:r>
          </w:p>
        </w:tc>
        <w:tc>
          <w:tcPr>
            <w:tcW w:w="283" w:type="dxa"/>
            <w:vAlign w:val="bottom"/>
          </w:tcPr>
          <w:p w14:paraId="6F07280B" w14:textId="77777777" w:rsidR="009B3EB9" w:rsidRPr="00C05D5D" w:rsidRDefault="009B3EB9" w:rsidP="009E6D72">
            <w:pPr>
              <w:jc w:val="center"/>
            </w:pPr>
          </w:p>
        </w:tc>
        <w:tc>
          <w:tcPr>
            <w:tcW w:w="284" w:type="dxa"/>
          </w:tcPr>
          <w:p w14:paraId="1151130E" w14:textId="77777777" w:rsidR="009B3EB9" w:rsidRPr="00AA44E8" w:rsidRDefault="009B3EB9" w:rsidP="009E6D72">
            <w:pPr>
              <w:jc w:val="right"/>
            </w:pPr>
          </w:p>
        </w:tc>
        <w:tc>
          <w:tcPr>
            <w:tcW w:w="1276" w:type="dxa"/>
            <w:vAlign w:val="bottom"/>
          </w:tcPr>
          <w:p w14:paraId="00980E6F" w14:textId="0F99E272" w:rsidR="009B3EB9" w:rsidRPr="00AA44E8" w:rsidRDefault="007B5FA3" w:rsidP="009E6D72">
            <w:pPr>
              <w:jc w:val="right"/>
            </w:pPr>
            <w:r>
              <w:t>3</w:t>
            </w:r>
            <w:r w:rsidR="0035562D">
              <w:t>60</w:t>
            </w:r>
            <w:r w:rsidR="00E85A04">
              <w:t>,1</w:t>
            </w:r>
            <w:r w:rsidR="0035562D">
              <w:t>02</w:t>
            </w:r>
          </w:p>
        </w:tc>
        <w:tc>
          <w:tcPr>
            <w:tcW w:w="283" w:type="dxa"/>
            <w:vAlign w:val="bottom"/>
          </w:tcPr>
          <w:p w14:paraId="646E631B" w14:textId="77777777" w:rsidR="009B3EB9" w:rsidRPr="00C05D5D" w:rsidRDefault="009B3EB9" w:rsidP="009E6D72">
            <w:pPr>
              <w:jc w:val="center"/>
            </w:pPr>
          </w:p>
        </w:tc>
        <w:tc>
          <w:tcPr>
            <w:tcW w:w="1276" w:type="dxa"/>
            <w:gridSpan w:val="3"/>
            <w:vAlign w:val="bottom"/>
          </w:tcPr>
          <w:p w14:paraId="79DCF825" w14:textId="531EF976" w:rsidR="009B3EB9" w:rsidRDefault="00D06D40" w:rsidP="009E6D72">
            <w:pPr>
              <w:jc w:val="right"/>
            </w:pPr>
            <w:r>
              <w:t>723,574</w:t>
            </w:r>
          </w:p>
        </w:tc>
      </w:tr>
      <w:tr w:rsidR="00642A83" w:rsidRPr="00C05D5D" w14:paraId="3C9B10C6" w14:textId="77777777" w:rsidTr="000A079E">
        <w:trPr>
          <w:jc w:val="center"/>
        </w:trPr>
        <w:tc>
          <w:tcPr>
            <w:tcW w:w="3686" w:type="dxa"/>
            <w:gridSpan w:val="2"/>
          </w:tcPr>
          <w:p w14:paraId="019B575E" w14:textId="171B38A8" w:rsidR="009B3EB9" w:rsidRPr="00064A08" w:rsidRDefault="009B3EB9" w:rsidP="00064A08">
            <w:pPr>
              <w:ind w:left="288"/>
              <w:rPr>
                <w:color w:val="000000"/>
              </w:rPr>
            </w:pPr>
            <w:r w:rsidRPr="00064A08">
              <w:rPr>
                <w:color w:val="000000"/>
              </w:rPr>
              <w:t>Stock-based compensation</w:t>
            </w:r>
          </w:p>
        </w:tc>
        <w:tc>
          <w:tcPr>
            <w:tcW w:w="709" w:type="dxa"/>
            <w:shd w:val="clear" w:color="auto" w:fill="auto"/>
            <w:vAlign w:val="bottom"/>
          </w:tcPr>
          <w:p w14:paraId="3F7370D6" w14:textId="58BCC1BC" w:rsidR="009B3EB9" w:rsidRPr="009E6D72" w:rsidRDefault="009B3EB9" w:rsidP="009E6D72">
            <w:pPr>
              <w:jc w:val="center"/>
            </w:pPr>
            <w:r w:rsidRPr="009E6D72">
              <w:rPr>
                <w:color w:val="000000"/>
              </w:rPr>
              <w:t>16</w:t>
            </w:r>
          </w:p>
        </w:tc>
        <w:tc>
          <w:tcPr>
            <w:tcW w:w="283" w:type="dxa"/>
            <w:gridSpan w:val="2"/>
            <w:vAlign w:val="bottom"/>
          </w:tcPr>
          <w:p w14:paraId="4ABCAAB8" w14:textId="77777777" w:rsidR="009B3EB9" w:rsidRPr="00C078B7" w:rsidRDefault="009B3EB9" w:rsidP="009E6D72">
            <w:pPr>
              <w:jc w:val="center"/>
            </w:pPr>
          </w:p>
        </w:tc>
        <w:tc>
          <w:tcPr>
            <w:tcW w:w="1418" w:type="dxa"/>
            <w:gridSpan w:val="2"/>
            <w:vAlign w:val="bottom"/>
          </w:tcPr>
          <w:p w14:paraId="42EE2624" w14:textId="69BE78D8" w:rsidR="009B3EB9" w:rsidRPr="00AA44E8" w:rsidRDefault="00C41705" w:rsidP="009E6D72">
            <w:pPr>
              <w:jc w:val="right"/>
            </w:pPr>
            <w:r>
              <w:t>-</w:t>
            </w:r>
          </w:p>
        </w:tc>
        <w:tc>
          <w:tcPr>
            <w:tcW w:w="283" w:type="dxa"/>
            <w:vAlign w:val="bottom"/>
          </w:tcPr>
          <w:p w14:paraId="453A0FFD" w14:textId="77777777" w:rsidR="009B3EB9" w:rsidRPr="00C078B7" w:rsidRDefault="009B3EB9" w:rsidP="009E6D72">
            <w:pPr>
              <w:jc w:val="center"/>
            </w:pPr>
          </w:p>
        </w:tc>
        <w:tc>
          <w:tcPr>
            <w:tcW w:w="1276" w:type="dxa"/>
            <w:vAlign w:val="bottom"/>
          </w:tcPr>
          <w:p w14:paraId="5F843FBD" w14:textId="180F3F7B" w:rsidR="009B3EB9" w:rsidRDefault="00D06D40" w:rsidP="009E6D72">
            <w:pPr>
              <w:jc w:val="right"/>
            </w:pPr>
            <w:r>
              <w:t>124,391</w:t>
            </w:r>
          </w:p>
        </w:tc>
        <w:tc>
          <w:tcPr>
            <w:tcW w:w="283" w:type="dxa"/>
            <w:vAlign w:val="bottom"/>
          </w:tcPr>
          <w:p w14:paraId="6F8E25E6" w14:textId="77777777" w:rsidR="009B3EB9" w:rsidRPr="00C05D5D" w:rsidRDefault="009B3EB9" w:rsidP="009E6D72">
            <w:pPr>
              <w:jc w:val="center"/>
            </w:pPr>
          </w:p>
        </w:tc>
        <w:tc>
          <w:tcPr>
            <w:tcW w:w="284" w:type="dxa"/>
          </w:tcPr>
          <w:p w14:paraId="45988908" w14:textId="77777777" w:rsidR="009B3EB9" w:rsidRPr="00AA44E8" w:rsidRDefault="009B3EB9" w:rsidP="009E6D72">
            <w:pPr>
              <w:jc w:val="right"/>
            </w:pPr>
          </w:p>
        </w:tc>
        <w:tc>
          <w:tcPr>
            <w:tcW w:w="1276" w:type="dxa"/>
            <w:vAlign w:val="bottom"/>
          </w:tcPr>
          <w:p w14:paraId="3B50EC81" w14:textId="57A21F19" w:rsidR="009B3EB9" w:rsidRPr="00AA44E8" w:rsidRDefault="00C41705" w:rsidP="009E6D72">
            <w:pPr>
              <w:jc w:val="right"/>
            </w:pPr>
            <w:r>
              <w:t>84,721</w:t>
            </w:r>
          </w:p>
        </w:tc>
        <w:tc>
          <w:tcPr>
            <w:tcW w:w="283" w:type="dxa"/>
            <w:vAlign w:val="bottom"/>
          </w:tcPr>
          <w:p w14:paraId="2A8DE5C2" w14:textId="77777777" w:rsidR="009B3EB9" w:rsidRPr="00C05D5D" w:rsidRDefault="009B3EB9" w:rsidP="009E6D72">
            <w:pPr>
              <w:jc w:val="center"/>
            </w:pPr>
          </w:p>
        </w:tc>
        <w:tc>
          <w:tcPr>
            <w:tcW w:w="1276" w:type="dxa"/>
            <w:gridSpan w:val="3"/>
            <w:vAlign w:val="bottom"/>
          </w:tcPr>
          <w:p w14:paraId="20B4159A" w14:textId="22E98BE2" w:rsidR="009B3EB9" w:rsidRDefault="00D06D40" w:rsidP="009E6D72">
            <w:pPr>
              <w:jc w:val="right"/>
            </w:pPr>
            <w:r>
              <w:t>161,291</w:t>
            </w:r>
          </w:p>
        </w:tc>
      </w:tr>
      <w:tr w:rsidR="00642A83" w:rsidRPr="00C05D5D" w14:paraId="51930076" w14:textId="77777777" w:rsidTr="000A079E">
        <w:trPr>
          <w:jc w:val="center"/>
        </w:trPr>
        <w:tc>
          <w:tcPr>
            <w:tcW w:w="3686" w:type="dxa"/>
            <w:gridSpan w:val="2"/>
          </w:tcPr>
          <w:p w14:paraId="53431053" w14:textId="7201D27B" w:rsidR="009B3EB9" w:rsidRPr="00064A08" w:rsidRDefault="009B3EB9" w:rsidP="00064A08">
            <w:pPr>
              <w:ind w:left="288"/>
              <w:rPr>
                <w:color w:val="000000"/>
              </w:rPr>
            </w:pPr>
            <w:r w:rsidRPr="00064A08">
              <w:rPr>
                <w:color w:val="000000"/>
              </w:rPr>
              <w:t>General and administrative</w:t>
            </w:r>
          </w:p>
        </w:tc>
        <w:tc>
          <w:tcPr>
            <w:tcW w:w="709" w:type="dxa"/>
            <w:shd w:val="clear" w:color="auto" w:fill="auto"/>
            <w:vAlign w:val="bottom"/>
          </w:tcPr>
          <w:p w14:paraId="4ED63351" w14:textId="5C612801" w:rsidR="009B3EB9" w:rsidRPr="009E6D72" w:rsidRDefault="009B3EB9" w:rsidP="009E6D72">
            <w:pPr>
              <w:jc w:val="center"/>
            </w:pPr>
            <w:r w:rsidRPr="009E6D72">
              <w:rPr>
                <w:color w:val="000000"/>
              </w:rPr>
              <w:t>18</w:t>
            </w:r>
          </w:p>
        </w:tc>
        <w:tc>
          <w:tcPr>
            <w:tcW w:w="283" w:type="dxa"/>
            <w:gridSpan w:val="2"/>
            <w:tcBorders>
              <w:bottom w:val="single" w:sz="12" w:space="0" w:color="auto"/>
            </w:tcBorders>
            <w:vAlign w:val="bottom"/>
          </w:tcPr>
          <w:p w14:paraId="0A7B8B3D" w14:textId="77777777" w:rsidR="009B3EB9" w:rsidRPr="00C078B7" w:rsidRDefault="009B3EB9" w:rsidP="009E6D72">
            <w:pPr>
              <w:jc w:val="center"/>
            </w:pPr>
          </w:p>
        </w:tc>
        <w:tc>
          <w:tcPr>
            <w:tcW w:w="1418" w:type="dxa"/>
            <w:gridSpan w:val="2"/>
            <w:tcBorders>
              <w:bottom w:val="single" w:sz="12" w:space="0" w:color="auto"/>
            </w:tcBorders>
            <w:vAlign w:val="bottom"/>
          </w:tcPr>
          <w:p w14:paraId="40994A59" w14:textId="24188C79" w:rsidR="009B3EB9" w:rsidRPr="00AA44E8" w:rsidRDefault="001C6AF5" w:rsidP="009E6D72">
            <w:pPr>
              <w:jc w:val="right"/>
            </w:pPr>
            <w:r>
              <w:t>1,</w:t>
            </w:r>
            <w:r w:rsidR="0035562D">
              <w:t>222</w:t>
            </w:r>
            <w:r>
              <w:t>,</w:t>
            </w:r>
            <w:r w:rsidR="0035562D">
              <w:t>650</w:t>
            </w:r>
          </w:p>
        </w:tc>
        <w:tc>
          <w:tcPr>
            <w:tcW w:w="283" w:type="dxa"/>
            <w:tcBorders>
              <w:bottom w:val="single" w:sz="12" w:space="0" w:color="auto"/>
            </w:tcBorders>
            <w:vAlign w:val="bottom"/>
          </w:tcPr>
          <w:p w14:paraId="53C61218" w14:textId="77777777" w:rsidR="009B3EB9" w:rsidRPr="00C078B7" w:rsidRDefault="009B3EB9" w:rsidP="009E6D72">
            <w:pPr>
              <w:jc w:val="center"/>
            </w:pPr>
          </w:p>
        </w:tc>
        <w:tc>
          <w:tcPr>
            <w:tcW w:w="1276" w:type="dxa"/>
            <w:tcBorders>
              <w:bottom w:val="single" w:sz="12" w:space="0" w:color="auto"/>
            </w:tcBorders>
            <w:vAlign w:val="bottom"/>
          </w:tcPr>
          <w:p w14:paraId="70B113C8" w14:textId="655E6D49" w:rsidR="009B3EB9" w:rsidRDefault="00D06D40" w:rsidP="009E6D72">
            <w:pPr>
              <w:jc w:val="right"/>
            </w:pPr>
            <w:r>
              <w:t>547,179</w:t>
            </w:r>
          </w:p>
        </w:tc>
        <w:tc>
          <w:tcPr>
            <w:tcW w:w="283" w:type="dxa"/>
            <w:vAlign w:val="bottom"/>
          </w:tcPr>
          <w:p w14:paraId="5450E387" w14:textId="77777777" w:rsidR="009B3EB9" w:rsidRPr="00C05D5D" w:rsidRDefault="009B3EB9" w:rsidP="009E6D72">
            <w:pPr>
              <w:jc w:val="center"/>
            </w:pPr>
          </w:p>
        </w:tc>
        <w:tc>
          <w:tcPr>
            <w:tcW w:w="284" w:type="dxa"/>
            <w:tcBorders>
              <w:bottom w:val="single" w:sz="12" w:space="0" w:color="auto"/>
            </w:tcBorders>
          </w:tcPr>
          <w:p w14:paraId="7EAC55C7" w14:textId="77777777" w:rsidR="009B3EB9" w:rsidRPr="00AA44E8" w:rsidRDefault="009B3EB9" w:rsidP="009E6D72">
            <w:pPr>
              <w:jc w:val="right"/>
            </w:pPr>
          </w:p>
        </w:tc>
        <w:tc>
          <w:tcPr>
            <w:tcW w:w="1276" w:type="dxa"/>
            <w:tcBorders>
              <w:bottom w:val="single" w:sz="12" w:space="0" w:color="auto"/>
            </w:tcBorders>
            <w:vAlign w:val="bottom"/>
          </w:tcPr>
          <w:p w14:paraId="3E35A642" w14:textId="7AED85AF" w:rsidR="009B3EB9" w:rsidRPr="00AA44E8" w:rsidRDefault="007B5FA3" w:rsidP="009E6D72">
            <w:pPr>
              <w:jc w:val="right"/>
            </w:pPr>
            <w:r>
              <w:t>2,</w:t>
            </w:r>
            <w:r w:rsidR="0035562D">
              <w:t>334</w:t>
            </w:r>
            <w:r>
              <w:t>,</w:t>
            </w:r>
            <w:r w:rsidR="0035562D">
              <w:t>550</w:t>
            </w:r>
          </w:p>
        </w:tc>
        <w:tc>
          <w:tcPr>
            <w:tcW w:w="283" w:type="dxa"/>
            <w:tcBorders>
              <w:bottom w:val="single" w:sz="12" w:space="0" w:color="auto"/>
            </w:tcBorders>
            <w:vAlign w:val="bottom"/>
          </w:tcPr>
          <w:p w14:paraId="2B380141" w14:textId="77777777" w:rsidR="009B3EB9" w:rsidRPr="00C05D5D" w:rsidRDefault="009B3EB9" w:rsidP="009E6D72">
            <w:pPr>
              <w:jc w:val="center"/>
            </w:pPr>
          </w:p>
        </w:tc>
        <w:tc>
          <w:tcPr>
            <w:tcW w:w="1276" w:type="dxa"/>
            <w:gridSpan w:val="3"/>
            <w:tcBorders>
              <w:bottom w:val="single" w:sz="12" w:space="0" w:color="auto"/>
            </w:tcBorders>
            <w:vAlign w:val="bottom"/>
          </w:tcPr>
          <w:p w14:paraId="1E94D4D6" w14:textId="421AA1A7" w:rsidR="009B3EB9" w:rsidRDefault="00D06D40" w:rsidP="009E6D72">
            <w:pPr>
              <w:jc w:val="right"/>
            </w:pPr>
            <w:r>
              <w:t>1,030,803</w:t>
            </w:r>
          </w:p>
        </w:tc>
      </w:tr>
      <w:tr w:rsidR="00642A83" w:rsidRPr="00C05D5D" w14:paraId="099A94B1" w14:textId="77777777" w:rsidTr="000A079E">
        <w:trPr>
          <w:jc w:val="center"/>
        </w:trPr>
        <w:tc>
          <w:tcPr>
            <w:tcW w:w="3686" w:type="dxa"/>
            <w:gridSpan w:val="2"/>
          </w:tcPr>
          <w:p w14:paraId="51DB1E9D" w14:textId="1F100502" w:rsidR="009B3EB9" w:rsidRPr="00C078B7" w:rsidRDefault="009B3EB9" w:rsidP="009E6D72">
            <w:r>
              <w:t>Total expenses</w:t>
            </w:r>
          </w:p>
        </w:tc>
        <w:tc>
          <w:tcPr>
            <w:tcW w:w="709" w:type="dxa"/>
            <w:shd w:val="clear" w:color="auto" w:fill="auto"/>
          </w:tcPr>
          <w:p w14:paraId="5E325063" w14:textId="77777777" w:rsidR="009B3EB9" w:rsidRPr="00C078B7" w:rsidRDefault="009B3EB9" w:rsidP="009E6D72">
            <w:pPr>
              <w:jc w:val="center"/>
            </w:pPr>
          </w:p>
        </w:tc>
        <w:tc>
          <w:tcPr>
            <w:tcW w:w="283" w:type="dxa"/>
            <w:gridSpan w:val="2"/>
            <w:tcBorders>
              <w:top w:val="single" w:sz="12" w:space="0" w:color="auto"/>
              <w:bottom w:val="single" w:sz="12" w:space="0" w:color="auto"/>
            </w:tcBorders>
            <w:vAlign w:val="bottom"/>
          </w:tcPr>
          <w:p w14:paraId="4B42E09F" w14:textId="77777777" w:rsidR="009B3EB9" w:rsidRPr="00C078B7" w:rsidRDefault="009B3EB9" w:rsidP="009E6D72">
            <w:pPr>
              <w:jc w:val="center"/>
            </w:pPr>
          </w:p>
        </w:tc>
        <w:tc>
          <w:tcPr>
            <w:tcW w:w="1418" w:type="dxa"/>
            <w:gridSpan w:val="2"/>
            <w:tcBorders>
              <w:top w:val="single" w:sz="12" w:space="0" w:color="auto"/>
              <w:bottom w:val="single" w:sz="12" w:space="0" w:color="auto"/>
            </w:tcBorders>
            <w:vAlign w:val="bottom"/>
          </w:tcPr>
          <w:p w14:paraId="5FB01ADD" w14:textId="174F0B9E" w:rsidR="009B3EB9" w:rsidRPr="00AA44E8" w:rsidRDefault="0035562D" w:rsidP="009E6D72">
            <w:pPr>
              <w:jc w:val="right"/>
            </w:pPr>
            <w:r>
              <w:t>2,114,</w:t>
            </w:r>
            <w:r w:rsidR="00C41705">
              <w:t>634</w:t>
            </w:r>
          </w:p>
        </w:tc>
        <w:tc>
          <w:tcPr>
            <w:tcW w:w="283" w:type="dxa"/>
            <w:tcBorders>
              <w:top w:val="single" w:sz="12" w:space="0" w:color="auto"/>
              <w:bottom w:val="single" w:sz="12" w:space="0" w:color="auto"/>
            </w:tcBorders>
            <w:vAlign w:val="bottom"/>
          </w:tcPr>
          <w:p w14:paraId="020367BB" w14:textId="77777777" w:rsidR="009B3EB9" w:rsidRPr="00C078B7" w:rsidRDefault="009B3EB9" w:rsidP="009E6D72">
            <w:pPr>
              <w:jc w:val="center"/>
            </w:pPr>
          </w:p>
        </w:tc>
        <w:tc>
          <w:tcPr>
            <w:tcW w:w="1276" w:type="dxa"/>
            <w:tcBorders>
              <w:top w:val="single" w:sz="12" w:space="0" w:color="auto"/>
              <w:bottom w:val="single" w:sz="12" w:space="0" w:color="auto"/>
            </w:tcBorders>
            <w:vAlign w:val="bottom"/>
          </w:tcPr>
          <w:p w14:paraId="57AF236F" w14:textId="00935FB2" w:rsidR="009B3EB9" w:rsidRPr="00C078B7" w:rsidRDefault="00D06D40" w:rsidP="009E6D72">
            <w:pPr>
              <w:jc w:val="right"/>
            </w:pPr>
            <w:r>
              <w:t>2,066,995</w:t>
            </w:r>
          </w:p>
        </w:tc>
        <w:tc>
          <w:tcPr>
            <w:tcW w:w="283" w:type="dxa"/>
            <w:vAlign w:val="bottom"/>
          </w:tcPr>
          <w:p w14:paraId="74EF437F" w14:textId="77777777" w:rsidR="009B3EB9" w:rsidRPr="00C05D5D" w:rsidRDefault="009B3EB9" w:rsidP="009E6D72">
            <w:pPr>
              <w:jc w:val="center"/>
            </w:pPr>
          </w:p>
        </w:tc>
        <w:tc>
          <w:tcPr>
            <w:tcW w:w="284" w:type="dxa"/>
            <w:tcBorders>
              <w:top w:val="single" w:sz="12" w:space="0" w:color="auto"/>
              <w:bottom w:val="single" w:sz="12" w:space="0" w:color="auto"/>
            </w:tcBorders>
          </w:tcPr>
          <w:p w14:paraId="70909961" w14:textId="77777777" w:rsidR="009B3EB9" w:rsidRDefault="009B3EB9" w:rsidP="009E6D72">
            <w:pPr>
              <w:jc w:val="right"/>
            </w:pPr>
          </w:p>
        </w:tc>
        <w:tc>
          <w:tcPr>
            <w:tcW w:w="1276" w:type="dxa"/>
            <w:tcBorders>
              <w:top w:val="single" w:sz="12" w:space="0" w:color="auto"/>
              <w:bottom w:val="single" w:sz="12" w:space="0" w:color="auto"/>
            </w:tcBorders>
            <w:vAlign w:val="bottom"/>
          </w:tcPr>
          <w:p w14:paraId="19FD5EBE" w14:textId="33697AC8" w:rsidR="009B3EB9" w:rsidRPr="00AA44E8" w:rsidRDefault="0035562D" w:rsidP="009E6D72">
            <w:pPr>
              <w:jc w:val="right"/>
            </w:pPr>
            <w:r>
              <w:t>4,412,</w:t>
            </w:r>
            <w:r w:rsidR="00C41705">
              <w:t>532</w:t>
            </w:r>
          </w:p>
        </w:tc>
        <w:tc>
          <w:tcPr>
            <w:tcW w:w="283" w:type="dxa"/>
            <w:tcBorders>
              <w:top w:val="single" w:sz="12" w:space="0" w:color="auto"/>
              <w:bottom w:val="single" w:sz="12" w:space="0" w:color="auto"/>
            </w:tcBorders>
            <w:vAlign w:val="bottom"/>
          </w:tcPr>
          <w:p w14:paraId="28285F63" w14:textId="77777777" w:rsidR="009B3EB9" w:rsidRPr="00C05D5D" w:rsidRDefault="009B3EB9" w:rsidP="009E6D72">
            <w:pPr>
              <w:jc w:val="center"/>
            </w:pPr>
          </w:p>
        </w:tc>
        <w:tc>
          <w:tcPr>
            <w:tcW w:w="1276" w:type="dxa"/>
            <w:gridSpan w:val="3"/>
            <w:tcBorders>
              <w:top w:val="single" w:sz="12" w:space="0" w:color="auto"/>
              <w:bottom w:val="single" w:sz="12" w:space="0" w:color="auto"/>
            </w:tcBorders>
            <w:vAlign w:val="bottom"/>
          </w:tcPr>
          <w:p w14:paraId="2FE033EE" w14:textId="16D7D561" w:rsidR="009B3EB9" w:rsidRPr="00C05D5D" w:rsidRDefault="00D06D40" w:rsidP="009E6D72">
            <w:pPr>
              <w:jc w:val="right"/>
            </w:pPr>
            <w:r>
              <w:t>3,443,150</w:t>
            </w:r>
          </w:p>
        </w:tc>
      </w:tr>
      <w:tr w:rsidR="00642A83" w:rsidRPr="00C05D5D" w14:paraId="707C10E8" w14:textId="77777777" w:rsidTr="000A079E">
        <w:trPr>
          <w:jc w:val="center"/>
        </w:trPr>
        <w:tc>
          <w:tcPr>
            <w:tcW w:w="3686" w:type="dxa"/>
            <w:gridSpan w:val="2"/>
          </w:tcPr>
          <w:p w14:paraId="70F89F89" w14:textId="54472E68" w:rsidR="009B3EB9" w:rsidRPr="00C078B7" w:rsidRDefault="009B3EB9" w:rsidP="009E6D72">
            <w:pPr>
              <w:rPr>
                <w:b/>
              </w:rPr>
            </w:pPr>
            <w:r>
              <w:rPr>
                <w:b/>
              </w:rPr>
              <w:t>Loss before other income (expenses)</w:t>
            </w:r>
          </w:p>
        </w:tc>
        <w:tc>
          <w:tcPr>
            <w:tcW w:w="709" w:type="dxa"/>
            <w:shd w:val="clear" w:color="auto" w:fill="auto"/>
          </w:tcPr>
          <w:p w14:paraId="0D0D4761" w14:textId="77777777" w:rsidR="009B3EB9" w:rsidRPr="00C078B7" w:rsidRDefault="009B3EB9" w:rsidP="009E6D72">
            <w:pPr>
              <w:jc w:val="center"/>
            </w:pPr>
          </w:p>
        </w:tc>
        <w:tc>
          <w:tcPr>
            <w:tcW w:w="283" w:type="dxa"/>
            <w:gridSpan w:val="2"/>
            <w:tcBorders>
              <w:top w:val="single" w:sz="12" w:space="0" w:color="auto"/>
              <w:bottom w:val="single" w:sz="12" w:space="0" w:color="auto"/>
            </w:tcBorders>
            <w:vAlign w:val="bottom"/>
          </w:tcPr>
          <w:p w14:paraId="51780A69" w14:textId="77777777" w:rsidR="009B3EB9" w:rsidRPr="00C078B7" w:rsidRDefault="009B3EB9" w:rsidP="009E6D72">
            <w:pPr>
              <w:jc w:val="center"/>
            </w:pPr>
          </w:p>
        </w:tc>
        <w:tc>
          <w:tcPr>
            <w:tcW w:w="1418" w:type="dxa"/>
            <w:gridSpan w:val="2"/>
            <w:tcBorders>
              <w:top w:val="single" w:sz="12" w:space="0" w:color="auto"/>
              <w:bottom w:val="single" w:sz="12" w:space="0" w:color="auto"/>
            </w:tcBorders>
            <w:vAlign w:val="bottom"/>
          </w:tcPr>
          <w:p w14:paraId="05344480" w14:textId="5F139F14" w:rsidR="009B3EB9" w:rsidRPr="00AA44E8" w:rsidRDefault="001C6AF5" w:rsidP="009E6D72">
            <w:pPr>
              <w:jc w:val="right"/>
            </w:pPr>
            <w:r>
              <w:t>(</w:t>
            </w:r>
            <w:r w:rsidR="0035562D">
              <w:t>616,</w:t>
            </w:r>
            <w:r w:rsidR="00C41705">
              <w:t>661</w:t>
            </w:r>
            <w:r>
              <w:t>)</w:t>
            </w:r>
          </w:p>
        </w:tc>
        <w:tc>
          <w:tcPr>
            <w:tcW w:w="283" w:type="dxa"/>
            <w:tcBorders>
              <w:top w:val="single" w:sz="12" w:space="0" w:color="auto"/>
              <w:bottom w:val="single" w:sz="12" w:space="0" w:color="auto"/>
            </w:tcBorders>
            <w:vAlign w:val="bottom"/>
          </w:tcPr>
          <w:p w14:paraId="41349A9F" w14:textId="77777777" w:rsidR="009B3EB9" w:rsidRPr="00C078B7" w:rsidRDefault="009B3EB9" w:rsidP="009E6D72">
            <w:pPr>
              <w:jc w:val="center"/>
            </w:pPr>
          </w:p>
        </w:tc>
        <w:tc>
          <w:tcPr>
            <w:tcW w:w="1276" w:type="dxa"/>
            <w:tcBorders>
              <w:top w:val="single" w:sz="12" w:space="0" w:color="auto"/>
              <w:bottom w:val="single" w:sz="12" w:space="0" w:color="auto"/>
            </w:tcBorders>
            <w:vAlign w:val="bottom"/>
          </w:tcPr>
          <w:p w14:paraId="1A1CA17A" w14:textId="083CB59D" w:rsidR="009B3EB9" w:rsidRPr="00C078B7" w:rsidRDefault="009B3EB9" w:rsidP="009E6D72">
            <w:pPr>
              <w:jc w:val="right"/>
            </w:pPr>
            <w:r w:rsidRPr="00C078B7">
              <w:t>(</w:t>
            </w:r>
            <w:r>
              <w:t>1,0</w:t>
            </w:r>
            <w:r w:rsidR="00D06D40">
              <w:t>53</w:t>
            </w:r>
            <w:r>
              <w:t>,</w:t>
            </w:r>
            <w:r w:rsidR="00D06D40">
              <w:t>740</w:t>
            </w:r>
            <w:r w:rsidRPr="00C078B7">
              <w:t>)</w:t>
            </w:r>
          </w:p>
        </w:tc>
        <w:tc>
          <w:tcPr>
            <w:tcW w:w="283" w:type="dxa"/>
            <w:vAlign w:val="bottom"/>
          </w:tcPr>
          <w:p w14:paraId="576B8562" w14:textId="77777777" w:rsidR="009B3EB9" w:rsidRPr="00C05D5D" w:rsidRDefault="009B3EB9" w:rsidP="009E6D72">
            <w:pPr>
              <w:jc w:val="center"/>
            </w:pPr>
          </w:p>
        </w:tc>
        <w:tc>
          <w:tcPr>
            <w:tcW w:w="284" w:type="dxa"/>
            <w:tcBorders>
              <w:top w:val="single" w:sz="12" w:space="0" w:color="auto"/>
              <w:bottom w:val="single" w:sz="12" w:space="0" w:color="auto"/>
            </w:tcBorders>
          </w:tcPr>
          <w:p w14:paraId="53988ABB" w14:textId="77777777" w:rsidR="009B3EB9" w:rsidRPr="00AA44E8" w:rsidRDefault="009B3EB9" w:rsidP="009E6D72">
            <w:pPr>
              <w:jc w:val="right"/>
            </w:pPr>
          </w:p>
        </w:tc>
        <w:tc>
          <w:tcPr>
            <w:tcW w:w="1276" w:type="dxa"/>
            <w:tcBorders>
              <w:top w:val="single" w:sz="12" w:space="0" w:color="auto"/>
              <w:bottom w:val="single" w:sz="12" w:space="0" w:color="auto"/>
            </w:tcBorders>
            <w:vAlign w:val="bottom"/>
          </w:tcPr>
          <w:p w14:paraId="52E8E60E" w14:textId="55C28685" w:rsidR="009B3EB9" w:rsidRPr="00AA44E8" w:rsidRDefault="007B5FA3" w:rsidP="009E6D72">
            <w:pPr>
              <w:jc w:val="right"/>
            </w:pPr>
            <w:r>
              <w:t>(</w:t>
            </w:r>
            <w:r w:rsidR="0035562D">
              <w:t>1,900,</w:t>
            </w:r>
            <w:r w:rsidR="002F2C3A">
              <w:t>934</w:t>
            </w:r>
            <w:r>
              <w:t>)</w:t>
            </w:r>
          </w:p>
        </w:tc>
        <w:tc>
          <w:tcPr>
            <w:tcW w:w="283" w:type="dxa"/>
            <w:tcBorders>
              <w:top w:val="single" w:sz="12" w:space="0" w:color="auto"/>
              <w:bottom w:val="single" w:sz="12" w:space="0" w:color="auto"/>
            </w:tcBorders>
            <w:vAlign w:val="bottom"/>
          </w:tcPr>
          <w:p w14:paraId="4BCE7EAD" w14:textId="77777777" w:rsidR="009B3EB9" w:rsidRPr="00C05D5D" w:rsidRDefault="009B3EB9" w:rsidP="009E6D72">
            <w:pPr>
              <w:jc w:val="center"/>
            </w:pPr>
          </w:p>
        </w:tc>
        <w:tc>
          <w:tcPr>
            <w:tcW w:w="1276" w:type="dxa"/>
            <w:gridSpan w:val="3"/>
            <w:tcBorders>
              <w:top w:val="single" w:sz="12" w:space="0" w:color="auto"/>
              <w:bottom w:val="single" w:sz="12" w:space="0" w:color="auto"/>
            </w:tcBorders>
            <w:vAlign w:val="bottom"/>
          </w:tcPr>
          <w:p w14:paraId="4BDE99A6" w14:textId="23B24225" w:rsidR="009B3EB9" w:rsidRPr="00C05D5D" w:rsidRDefault="009B3EB9" w:rsidP="009E6D72">
            <w:pPr>
              <w:jc w:val="right"/>
            </w:pPr>
            <w:r w:rsidRPr="00C05D5D">
              <w:t>(</w:t>
            </w:r>
            <w:r w:rsidR="00D06D40">
              <w:t>1,485,333</w:t>
            </w:r>
            <w:r w:rsidRPr="00C05D5D">
              <w:t>)</w:t>
            </w:r>
          </w:p>
        </w:tc>
      </w:tr>
      <w:tr w:rsidR="00642A83" w:rsidRPr="00C05D5D" w14:paraId="58E7CADC" w14:textId="77777777" w:rsidTr="000A079E">
        <w:trPr>
          <w:jc w:val="center"/>
        </w:trPr>
        <w:tc>
          <w:tcPr>
            <w:tcW w:w="3686" w:type="dxa"/>
            <w:gridSpan w:val="2"/>
          </w:tcPr>
          <w:p w14:paraId="22548226" w14:textId="77777777" w:rsidR="009B3EB9" w:rsidRPr="00C078B7" w:rsidRDefault="009B3EB9" w:rsidP="009E6D72"/>
        </w:tc>
        <w:tc>
          <w:tcPr>
            <w:tcW w:w="709" w:type="dxa"/>
            <w:shd w:val="clear" w:color="auto" w:fill="auto"/>
          </w:tcPr>
          <w:p w14:paraId="1F11AE1E" w14:textId="77777777" w:rsidR="009B3EB9" w:rsidRPr="00C078B7" w:rsidRDefault="009B3EB9" w:rsidP="009E6D72">
            <w:pPr>
              <w:jc w:val="center"/>
            </w:pPr>
          </w:p>
        </w:tc>
        <w:tc>
          <w:tcPr>
            <w:tcW w:w="283" w:type="dxa"/>
            <w:gridSpan w:val="2"/>
            <w:tcBorders>
              <w:top w:val="single" w:sz="12" w:space="0" w:color="auto"/>
            </w:tcBorders>
            <w:vAlign w:val="bottom"/>
          </w:tcPr>
          <w:p w14:paraId="0451853A" w14:textId="77777777" w:rsidR="009B3EB9" w:rsidRPr="00C078B7" w:rsidRDefault="009B3EB9" w:rsidP="009E6D72">
            <w:pPr>
              <w:jc w:val="center"/>
            </w:pPr>
          </w:p>
        </w:tc>
        <w:tc>
          <w:tcPr>
            <w:tcW w:w="1418" w:type="dxa"/>
            <w:gridSpan w:val="2"/>
            <w:tcBorders>
              <w:top w:val="single" w:sz="12" w:space="0" w:color="auto"/>
            </w:tcBorders>
            <w:vAlign w:val="bottom"/>
          </w:tcPr>
          <w:p w14:paraId="4670AAC2" w14:textId="77777777" w:rsidR="009B3EB9" w:rsidRPr="00AA44E8" w:rsidRDefault="009B3EB9" w:rsidP="009E6D72">
            <w:pPr>
              <w:jc w:val="right"/>
            </w:pPr>
          </w:p>
        </w:tc>
        <w:tc>
          <w:tcPr>
            <w:tcW w:w="283" w:type="dxa"/>
            <w:tcBorders>
              <w:top w:val="single" w:sz="12" w:space="0" w:color="auto"/>
            </w:tcBorders>
            <w:vAlign w:val="bottom"/>
          </w:tcPr>
          <w:p w14:paraId="6B53A027" w14:textId="77777777" w:rsidR="009B3EB9" w:rsidRPr="00C078B7" w:rsidRDefault="009B3EB9" w:rsidP="009E6D72">
            <w:pPr>
              <w:jc w:val="center"/>
            </w:pPr>
          </w:p>
        </w:tc>
        <w:tc>
          <w:tcPr>
            <w:tcW w:w="1276" w:type="dxa"/>
            <w:tcBorders>
              <w:top w:val="single" w:sz="12" w:space="0" w:color="auto"/>
            </w:tcBorders>
            <w:vAlign w:val="bottom"/>
          </w:tcPr>
          <w:p w14:paraId="0233E38B" w14:textId="77777777" w:rsidR="009B3EB9" w:rsidRPr="00C078B7" w:rsidRDefault="009B3EB9" w:rsidP="009E6D72">
            <w:pPr>
              <w:jc w:val="right"/>
            </w:pPr>
          </w:p>
        </w:tc>
        <w:tc>
          <w:tcPr>
            <w:tcW w:w="283" w:type="dxa"/>
            <w:vAlign w:val="bottom"/>
          </w:tcPr>
          <w:p w14:paraId="1BAD0A37" w14:textId="77777777" w:rsidR="009B3EB9" w:rsidRPr="00C05D5D" w:rsidRDefault="009B3EB9" w:rsidP="009E6D72">
            <w:pPr>
              <w:jc w:val="center"/>
            </w:pPr>
          </w:p>
        </w:tc>
        <w:tc>
          <w:tcPr>
            <w:tcW w:w="284" w:type="dxa"/>
            <w:tcBorders>
              <w:top w:val="single" w:sz="12" w:space="0" w:color="auto"/>
            </w:tcBorders>
          </w:tcPr>
          <w:p w14:paraId="429B4564" w14:textId="77777777" w:rsidR="009B3EB9" w:rsidRPr="00AA44E8" w:rsidRDefault="009B3EB9" w:rsidP="009E6D72">
            <w:pPr>
              <w:jc w:val="right"/>
            </w:pPr>
          </w:p>
        </w:tc>
        <w:tc>
          <w:tcPr>
            <w:tcW w:w="1276" w:type="dxa"/>
            <w:tcBorders>
              <w:top w:val="single" w:sz="12" w:space="0" w:color="auto"/>
            </w:tcBorders>
            <w:vAlign w:val="bottom"/>
          </w:tcPr>
          <w:p w14:paraId="586D94BB" w14:textId="1E0F0E10" w:rsidR="009B3EB9" w:rsidRPr="00AA44E8" w:rsidRDefault="009B3EB9" w:rsidP="009E6D72">
            <w:pPr>
              <w:jc w:val="right"/>
            </w:pPr>
          </w:p>
        </w:tc>
        <w:tc>
          <w:tcPr>
            <w:tcW w:w="283" w:type="dxa"/>
            <w:tcBorders>
              <w:top w:val="single" w:sz="12" w:space="0" w:color="auto"/>
            </w:tcBorders>
            <w:vAlign w:val="bottom"/>
          </w:tcPr>
          <w:p w14:paraId="7EEFB5FA" w14:textId="77777777" w:rsidR="009B3EB9" w:rsidRPr="00C05D5D" w:rsidRDefault="009B3EB9" w:rsidP="009E6D72">
            <w:pPr>
              <w:jc w:val="center"/>
            </w:pPr>
          </w:p>
        </w:tc>
        <w:tc>
          <w:tcPr>
            <w:tcW w:w="1276" w:type="dxa"/>
            <w:gridSpan w:val="3"/>
            <w:tcBorders>
              <w:top w:val="single" w:sz="12" w:space="0" w:color="auto"/>
            </w:tcBorders>
            <w:vAlign w:val="bottom"/>
          </w:tcPr>
          <w:p w14:paraId="4D25352D" w14:textId="77777777" w:rsidR="009B3EB9" w:rsidRPr="00C05D5D" w:rsidRDefault="009B3EB9" w:rsidP="009E6D72">
            <w:pPr>
              <w:jc w:val="right"/>
            </w:pPr>
          </w:p>
        </w:tc>
      </w:tr>
      <w:tr w:rsidR="00642A83" w:rsidRPr="00C05D5D" w14:paraId="19E6EFB6" w14:textId="77777777" w:rsidTr="000A079E">
        <w:trPr>
          <w:jc w:val="center"/>
        </w:trPr>
        <w:tc>
          <w:tcPr>
            <w:tcW w:w="3686" w:type="dxa"/>
            <w:gridSpan w:val="2"/>
          </w:tcPr>
          <w:p w14:paraId="6E731F9C" w14:textId="3302A22D" w:rsidR="009B3EB9" w:rsidRPr="00C078B7" w:rsidRDefault="009B3EB9" w:rsidP="009E6D72">
            <w:r>
              <w:t>Other income (expense)</w:t>
            </w:r>
          </w:p>
        </w:tc>
        <w:tc>
          <w:tcPr>
            <w:tcW w:w="709" w:type="dxa"/>
            <w:shd w:val="clear" w:color="auto" w:fill="auto"/>
            <w:vAlign w:val="bottom"/>
          </w:tcPr>
          <w:p w14:paraId="519085E7" w14:textId="31183AB1" w:rsidR="009B3EB9" w:rsidRPr="00C078B7" w:rsidRDefault="009B3EB9" w:rsidP="009E6D72">
            <w:pPr>
              <w:jc w:val="center"/>
            </w:pPr>
          </w:p>
        </w:tc>
        <w:tc>
          <w:tcPr>
            <w:tcW w:w="283" w:type="dxa"/>
            <w:gridSpan w:val="2"/>
            <w:vAlign w:val="bottom"/>
          </w:tcPr>
          <w:p w14:paraId="306DCDDA" w14:textId="77777777" w:rsidR="009B3EB9" w:rsidRPr="00C078B7" w:rsidRDefault="009B3EB9" w:rsidP="009E6D72">
            <w:pPr>
              <w:jc w:val="center"/>
            </w:pPr>
          </w:p>
        </w:tc>
        <w:tc>
          <w:tcPr>
            <w:tcW w:w="1418" w:type="dxa"/>
            <w:gridSpan w:val="2"/>
            <w:shd w:val="clear" w:color="auto" w:fill="auto"/>
            <w:vAlign w:val="bottom"/>
          </w:tcPr>
          <w:p w14:paraId="7F7F035A" w14:textId="22F2C584" w:rsidR="009B3EB9" w:rsidRPr="00AA44E8" w:rsidRDefault="009B3EB9" w:rsidP="009E6D72">
            <w:pPr>
              <w:jc w:val="right"/>
            </w:pPr>
          </w:p>
        </w:tc>
        <w:tc>
          <w:tcPr>
            <w:tcW w:w="283" w:type="dxa"/>
            <w:vAlign w:val="bottom"/>
          </w:tcPr>
          <w:p w14:paraId="46B087C2" w14:textId="77777777" w:rsidR="009B3EB9" w:rsidRPr="00C078B7" w:rsidRDefault="009B3EB9" w:rsidP="009E6D72">
            <w:pPr>
              <w:jc w:val="center"/>
            </w:pPr>
          </w:p>
        </w:tc>
        <w:tc>
          <w:tcPr>
            <w:tcW w:w="1276" w:type="dxa"/>
            <w:vAlign w:val="bottom"/>
          </w:tcPr>
          <w:p w14:paraId="7D550540" w14:textId="30F1580A" w:rsidR="009B3EB9" w:rsidRPr="00C078B7" w:rsidRDefault="009B3EB9" w:rsidP="009E6D72">
            <w:pPr>
              <w:jc w:val="right"/>
            </w:pPr>
          </w:p>
        </w:tc>
        <w:tc>
          <w:tcPr>
            <w:tcW w:w="283" w:type="dxa"/>
            <w:vAlign w:val="bottom"/>
          </w:tcPr>
          <w:p w14:paraId="41B7580B" w14:textId="77777777" w:rsidR="009B3EB9" w:rsidRPr="00C05D5D" w:rsidRDefault="009B3EB9" w:rsidP="009E6D72">
            <w:pPr>
              <w:jc w:val="center"/>
            </w:pPr>
          </w:p>
        </w:tc>
        <w:tc>
          <w:tcPr>
            <w:tcW w:w="284" w:type="dxa"/>
          </w:tcPr>
          <w:p w14:paraId="00F055BA" w14:textId="77777777" w:rsidR="009B3EB9" w:rsidRPr="00AA44E8" w:rsidRDefault="009B3EB9" w:rsidP="009E6D72">
            <w:pPr>
              <w:jc w:val="right"/>
            </w:pPr>
          </w:p>
        </w:tc>
        <w:tc>
          <w:tcPr>
            <w:tcW w:w="1276" w:type="dxa"/>
            <w:vAlign w:val="bottom"/>
          </w:tcPr>
          <w:p w14:paraId="31B97823" w14:textId="7B297B76" w:rsidR="009B3EB9" w:rsidRPr="00AA44E8" w:rsidRDefault="009B3EB9" w:rsidP="009E6D72">
            <w:pPr>
              <w:jc w:val="right"/>
            </w:pPr>
          </w:p>
        </w:tc>
        <w:tc>
          <w:tcPr>
            <w:tcW w:w="283" w:type="dxa"/>
            <w:vAlign w:val="bottom"/>
          </w:tcPr>
          <w:p w14:paraId="33429DE6" w14:textId="77777777" w:rsidR="009B3EB9" w:rsidRPr="00C05D5D" w:rsidRDefault="009B3EB9" w:rsidP="009E6D72">
            <w:pPr>
              <w:jc w:val="center"/>
            </w:pPr>
          </w:p>
        </w:tc>
        <w:tc>
          <w:tcPr>
            <w:tcW w:w="1276" w:type="dxa"/>
            <w:gridSpan w:val="3"/>
            <w:vAlign w:val="bottom"/>
          </w:tcPr>
          <w:p w14:paraId="1DB04976" w14:textId="15C021DE" w:rsidR="009B3EB9" w:rsidRPr="00C05D5D" w:rsidRDefault="009B3EB9" w:rsidP="009E6D72">
            <w:pPr>
              <w:jc w:val="right"/>
            </w:pPr>
          </w:p>
        </w:tc>
      </w:tr>
      <w:tr w:rsidR="00642A83" w:rsidRPr="00C05D5D" w14:paraId="4C49AC82" w14:textId="77777777" w:rsidTr="000A079E">
        <w:trPr>
          <w:jc w:val="center"/>
        </w:trPr>
        <w:tc>
          <w:tcPr>
            <w:tcW w:w="3686" w:type="dxa"/>
            <w:gridSpan w:val="2"/>
          </w:tcPr>
          <w:p w14:paraId="68399BE2" w14:textId="77777777" w:rsidR="009B3EB9" w:rsidRPr="00C078B7" w:rsidRDefault="009B3EB9" w:rsidP="00064A08">
            <w:pPr>
              <w:ind w:left="288"/>
            </w:pPr>
            <w:r w:rsidRPr="00064A08">
              <w:rPr>
                <w:color w:val="000000"/>
              </w:rPr>
              <w:t>Interest income</w:t>
            </w:r>
          </w:p>
        </w:tc>
        <w:tc>
          <w:tcPr>
            <w:tcW w:w="709" w:type="dxa"/>
            <w:shd w:val="clear" w:color="auto" w:fill="auto"/>
            <w:vAlign w:val="bottom"/>
          </w:tcPr>
          <w:p w14:paraId="051E19C0" w14:textId="77777777" w:rsidR="009B3EB9" w:rsidRPr="00C078B7" w:rsidRDefault="009B3EB9" w:rsidP="009E6D72">
            <w:pPr>
              <w:jc w:val="center"/>
            </w:pPr>
          </w:p>
        </w:tc>
        <w:tc>
          <w:tcPr>
            <w:tcW w:w="283" w:type="dxa"/>
            <w:gridSpan w:val="2"/>
            <w:vAlign w:val="bottom"/>
          </w:tcPr>
          <w:p w14:paraId="6ECE9CC2" w14:textId="77777777" w:rsidR="009B3EB9" w:rsidRPr="00C078B7" w:rsidRDefault="009B3EB9" w:rsidP="009E6D72">
            <w:pPr>
              <w:jc w:val="center"/>
            </w:pPr>
          </w:p>
        </w:tc>
        <w:tc>
          <w:tcPr>
            <w:tcW w:w="1418" w:type="dxa"/>
            <w:gridSpan w:val="2"/>
            <w:shd w:val="clear" w:color="auto" w:fill="auto"/>
            <w:vAlign w:val="bottom"/>
          </w:tcPr>
          <w:p w14:paraId="0760BFA8" w14:textId="0D372D49" w:rsidR="009B3EB9" w:rsidRPr="00AA44E8" w:rsidRDefault="001C6AF5" w:rsidP="009E6D72">
            <w:pPr>
              <w:jc w:val="right"/>
            </w:pPr>
            <w:r>
              <w:t>15,</w:t>
            </w:r>
            <w:r w:rsidR="005779F6">
              <w:t>44</w:t>
            </w:r>
            <w:r>
              <w:t>4</w:t>
            </w:r>
          </w:p>
        </w:tc>
        <w:tc>
          <w:tcPr>
            <w:tcW w:w="283" w:type="dxa"/>
            <w:vAlign w:val="bottom"/>
          </w:tcPr>
          <w:p w14:paraId="25A54934" w14:textId="77777777" w:rsidR="009B3EB9" w:rsidRPr="00C078B7" w:rsidRDefault="009B3EB9" w:rsidP="009E6D72">
            <w:pPr>
              <w:jc w:val="center"/>
            </w:pPr>
          </w:p>
        </w:tc>
        <w:tc>
          <w:tcPr>
            <w:tcW w:w="1276" w:type="dxa"/>
            <w:vAlign w:val="bottom"/>
          </w:tcPr>
          <w:p w14:paraId="50F61A12" w14:textId="37919496" w:rsidR="009B3EB9" w:rsidRPr="00C078B7" w:rsidRDefault="00D06D40" w:rsidP="009E6D72">
            <w:pPr>
              <w:jc w:val="right"/>
            </w:pPr>
            <w:r>
              <w:t>8,956</w:t>
            </w:r>
          </w:p>
        </w:tc>
        <w:tc>
          <w:tcPr>
            <w:tcW w:w="283" w:type="dxa"/>
            <w:vAlign w:val="bottom"/>
          </w:tcPr>
          <w:p w14:paraId="0C52F7A3" w14:textId="77777777" w:rsidR="009B3EB9" w:rsidRPr="00C05D5D" w:rsidRDefault="009B3EB9" w:rsidP="009E6D72">
            <w:pPr>
              <w:jc w:val="center"/>
            </w:pPr>
          </w:p>
        </w:tc>
        <w:tc>
          <w:tcPr>
            <w:tcW w:w="284" w:type="dxa"/>
          </w:tcPr>
          <w:p w14:paraId="12A4DDF8" w14:textId="77777777" w:rsidR="009B3EB9" w:rsidRDefault="009B3EB9" w:rsidP="009E6D72">
            <w:pPr>
              <w:jc w:val="right"/>
            </w:pPr>
          </w:p>
        </w:tc>
        <w:tc>
          <w:tcPr>
            <w:tcW w:w="1276" w:type="dxa"/>
            <w:vAlign w:val="bottom"/>
          </w:tcPr>
          <w:p w14:paraId="65F2EC8C" w14:textId="3AC26355" w:rsidR="009B3EB9" w:rsidRPr="00AA44E8" w:rsidRDefault="005779F6" w:rsidP="009E6D72">
            <w:pPr>
              <w:jc w:val="right"/>
            </w:pPr>
            <w:r>
              <w:t>35,075</w:t>
            </w:r>
          </w:p>
        </w:tc>
        <w:tc>
          <w:tcPr>
            <w:tcW w:w="283" w:type="dxa"/>
            <w:vAlign w:val="bottom"/>
          </w:tcPr>
          <w:p w14:paraId="3369A9E0" w14:textId="77777777" w:rsidR="009B3EB9" w:rsidRPr="00C05D5D" w:rsidRDefault="009B3EB9" w:rsidP="009E6D72">
            <w:pPr>
              <w:jc w:val="center"/>
            </w:pPr>
          </w:p>
        </w:tc>
        <w:tc>
          <w:tcPr>
            <w:tcW w:w="1276" w:type="dxa"/>
            <w:gridSpan w:val="3"/>
            <w:vAlign w:val="bottom"/>
          </w:tcPr>
          <w:p w14:paraId="77A6C93E" w14:textId="3D579A18" w:rsidR="009B3EB9" w:rsidRPr="00C05D5D" w:rsidRDefault="00D06D40" w:rsidP="009E6D72">
            <w:pPr>
              <w:jc w:val="right"/>
            </w:pPr>
            <w:r>
              <w:t>10,930</w:t>
            </w:r>
          </w:p>
        </w:tc>
      </w:tr>
      <w:tr w:rsidR="00642A83" w:rsidRPr="00C05D5D" w14:paraId="4C50C191" w14:textId="77777777" w:rsidTr="000A079E">
        <w:trPr>
          <w:jc w:val="center"/>
        </w:trPr>
        <w:tc>
          <w:tcPr>
            <w:tcW w:w="3686" w:type="dxa"/>
            <w:gridSpan w:val="2"/>
          </w:tcPr>
          <w:p w14:paraId="4D36536D" w14:textId="5CD4C7E0" w:rsidR="009B3EB9" w:rsidRPr="009E6D72" w:rsidRDefault="009B3EB9" w:rsidP="009E6D72">
            <w:pPr>
              <w:ind w:left="288"/>
              <w:rPr>
                <w:color w:val="000000"/>
              </w:rPr>
            </w:pPr>
            <w:r>
              <w:rPr>
                <w:color w:val="000000"/>
              </w:rPr>
              <w:t>Interest expense</w:t>
            </w:r>
          </w:p>
        </w:tc>
        <w:tc>
          <w:tcPr>
            <w:tcW w:w="709" w:type="dxa"/>
            <w:shd w:val="clear" w:color="auto" w:fill="auto"/>
            <w:vAlign w:val="bottom"/>
          </w:tcPr>
          <w:p w14:paraId="382B4C8C" w14:textId="77777777" w:rsidR="009B3EB9" w:rsidRPr="00C078B7" w:rsidRDefault="009B3EB9" w:rsidP="009E6D72">
            <w:pPr>
              <w:jc w:val="center"/>
            </w:pPr>
          </w:p>
        </w:tc>
        <w:tc>
          <w:tcPr>
            <w:tcW w:w="283" w:type="dxa"/>
            <w:gridSpan w:val="2"/>
            <w:vAlign w:val="bottom"/>
          </w:tcPr>
          <w:p w14:paraId="7024696E" w14:textId="77777777" w:rsidR="009B3EB9" w:rsidRPr="00C078B7" w:rsidRDefault="009B3EB9" w:rsidP="009E6D72">
            <w:pPr>
              <w:jc w:val="center"/>
            </w:pPr>
          </w:p>
        </w:tc>
        <w:tc>
          <w:tcPr>
            <w:tcW w:w="1418" w:type="dxa"/>
            <w:gridSpan w:val="2"/>
            <w:shd w:val="clear" w:color="auto" w:fill="auto"/>
            <w:vAlign w:val="bottom"/>
          </w:tcPr>
          <w:p w14:paraId="3FED813E" w14:textId="5C98A5B8" w:rsidR="009B3EB9" w:rsidRDefault="001C6AF5" w:rsidP="009E6D72">
            <w:pPr>
              <w:jc w:val="right"/>
            </w:pPr>
            <w:r>
              <w:t>(</w:t>
            </w:r>
            <w:r w:rsidR="0035562D">
              <w:t>6,903</w:t>
            </w:r>
            <w:r>
              <w:t>)</w:t>
            </w:r>
          </w:p>
        </w:tc>
        <w:tc>
          <w:tcPr>
            <w:tcW w:w="283" w:type="dxa"/>
            <w:vAlign w:val="bottom"/>
          </w:tcPr>
          <w:p w14:paraId="1584111A" w14:textId="77777777" w:rsidR="009B3EB9" w:rsidRPr="00C078B7" w:rsidRDefault="009B3EB9" w:rsidP="009E6D72">
            <w:pPr>
              <w:jc w:val="center"/>
            </w:pPr>
          </w:p>
        </w:tc>
        <w:tc>
          <w:tcPr>
            <w:tcW w:w="1276" w:type="dxa"/>
            <w:vAlign w:val="bottom"/>
          </w:tcPr>
          <w:p w14:paraId="0690C34D" w14:textId="69280C02" w:rsidR="009B3EB9" w:rsidRDefault="00D06D40" w:rsidP="009E6D72">
            <w:pPr>
              <w:jc w:val="right"/>
            </w:pPr>
            <w:r>
              <w:t>(29,067)</w:t>
            </w:r>
          </w:p>
        </w:tc>
        <w:tc>
          <w:tcPr>
            <w:tcW w:w="283" w:type="dxa"/>
            <w:vAlign w:val="bottom"/>
          </w:tcPr>
          <w:p w14:paraId="7AA124EE" w14:textId="77777777" w:rsidR="009B3EB9" w:rsidRPr="00C05D5D" w:rsidRDefault="009B3EB9" w:rsidP="009E6D72">
            <w:pPr>
              <w:jc w:val="center"/>
            </w:pPr>
          </w:p>
        </w:tc>
        <w:tc>
          <w:tcPr>
            <w:tcW w:w="284" w:type="dxa"/>
          </w:tcPr>
          <w:p w14:paraId="237B7030" w14:textId="77777777" w:rsidR="009B3EB9" w:rsidRDefault="009B3EB9" w:rsidP="009E6D72">
            <w:pPr>
              <w:jc w:val="right"/>
            </w:pPr>
          </w:p>
        </w:tc>
        <w:tc>
          <w:tcPr>
            <w:tcW w:w="1276" w:type="dxa"/>
            <w:vAlign w:val="bottom"/>
          </w:tcPr>
          <w:p w14:paraId="1312B500" w14:textId="593A6BBE" w:rsidR="009B3EB9" w:rsidRDefault="007B5FA3" w:rsidP="009E6D72">
            <w:pPr>
              <w:jc w:val="right"/>
            </w:pPr>
            <w:r>
              <w:t>(2</w:t>
            </w:r>
            <w:r w:rsidR="0035562D">
              <w:t>8</w:t>
            </w:r>
            <w:r>
              <w:t>,</w:t>
            </w:r>
            <w:r w:rsidR="0035562D">
              <w:t>308</w:t>
            </w:r>
            <w:r>
              <w:t>)</w:t>
            </w:r>
          </w:p>
        </w:tc>
        <w:tc>
          <w:tcPr>
            <w:tcW w:w="283" w:type="dxa"/>
            <w:vAlign w:val="bottom"/>
          </w:tcPr>
          <w:p w14:paraId="4FB68243" w14:textId="77777777" w:rsidR="009B3EB9" w:rsidRPr="00C05D5D" w:rsidRDefault="009B3EB9" w:rsidP="009E6D72">
            <w:pPr>
              <w:jc w:val="center"/>
            </w:pPr>
          </w:p>
        </w:tc>
        <w:tc>
          <w:tcPr>
            <w:tcW w:w="1276" w:type="dxa"/>
            <w:gridSpan w:val="3"/>
            <w:vAlign w:val="bottom"/>
          </w:tcPr>
          <w:p w14:paraId="27B02633" w14:textId="7BEF899E" w:rsidR="009B3EB9" w:rsidRDefault="00D06D40" w:rsidP="009E6D72">
            <w:pPr>
              <w:jc w:val="right"/>
            </w:pPr>
            <w:r>
              <w:t>(73,755)</w:t>
            </w:r>
          </w:p>
        </w:tc>
      </w:tr>
      <w:tr w:rsidR="00642A83" w:rsidRPr="00C05D5D" w14:paraId="2A27F062" w14:textId="77777777" w:rsidTr="000A079E">
        <w:trPr>
          <w:jc w:val="center"/>
        </w:trPr>
        <w:tc>
          <w:tcPr>
            <w:tcW w:w="3686" w:type="dxa"/>
            <w:gridSpan w:val="2"/>
          </w:tcPr>
          <w:p w14:paraId="1F2C8FFE" w14:textId="0F1B3C54" w:rsidR="00BB452F" w:rsidRPr="009E6D72" w:rsidRDefault="00BB452F" w:rsidP="00BB452F">
            <w:pPr>
              <w:ind w:left="288"/>
              <w:rPr>
                <w:color w:val="000000"/>
              </w:rPr>
            </w:pPr>
            <w:r>
              <w:rPr>
                <w:color w:val="000000"/>
              </w:rPr>
              <w:t>Finance cost</w:t>
            </w:r>
          </w:p>
        </w:tc>
        <w:tc>
          <w:tcPr>
            <w:tcW w:w="709" w:type="dxa"/>
            <w:shd w:val="clear" w:color="auto" w:fill="auto"/>
            <w:vAlign w:val="bottom"/>
          </w:tcPr>
          <w:p w14:paraId="0B9CC3DD" w14:textId="30F685AA" w:rsidR="00BB452F" w:rsidRPr="00C078B7" w:rsidRDefault="00BB452F" w:rsidP="00BB452F">
            <w:pPr>
              <w:jc w:val="center"/>
            </w:pPr>
            <w:r>
              <w:rPr>
                <w:color w:val="000000"/>
              </w:rPr>
              <w:t>8</w:t>
            </w:r>
          </w:p>
        </w:tc>
        <w:tc>
          <w:tcPr>
            <w:tcW w:w="283" w:type="dxa"/>
            <w:gridSpan w:val="2"/>
            <w:vAlign w:val="bottom"/>
          </w:tcPr>
          <w:p w14:paraId="1812BECB" w14:textId="77777777" w:rsidR="00BB452F" w:rsidRPr="00C078B7" w:rsidRDefault="00BB452F" w:rsidP="00BB452F">
            <w:pPr>
              <w:jc w:val="center"/>
            </w:pPr>
          </w:p>
        </w:tc>
        <w:tc>
          <w:tcPr>
            <w:tcW w:w="1418" w:type="dxa"/>
            <w:gridSpan w:val="2"/>
            <w:shd w:val="clear" w:color="auto" w:fill="auto"/>
            <w:vAlign w:val="bottom"/>
          </w:tcPr>
          <w:p w14:paraId="222E2C7E" w14:textId="638699C6" w:rsidR="00BB452F" w:rsidRDefault="001C6AF5" w:rsidP="00BB452F">
            <w:pPr>
              <w:jc w:val="right"/>
            </w:pPr>
            <w:r>
              <w:t>(2,</w:t>
            </w:r>
            <w:r w:rsidR="005779F6">
              <w:t>936</w:t>
            </w:r>
            <w:r>
              <w:t>)</w:t>
            </w:r>
          </w:p>
        </w:tc>
        <w:tc>
          <w:tcPr>
            <w:tcW w:w="283" w:type="dxa"/>
            <w:vAlign w:val="bottom"/>
          </w:tcPr>
          <w:p w14:paraId="606DA0D5" w14:textId="77777777" w:rsidR="00BB452F" w:rsidRPr="00C078B7" w:rsidRDefault="00BB452F" w:rsidP="00BB452F">
            <w:pPr>
              <w:jc w:val="center"/>
            </w:pPr>
          </w:p>
        </w:tc>
        <w:tc>
          <w:tcPr>
            <w:tcW w:w="1276" w:type="dxa"/>
            <w:vAlign w:val="bottom"/>
          </w:tcPr>
          <w:p w14:paraId="68BFFB05" w14:textId="22BDAB08" w:rsidR="00BB452F" w:rsidRDefault="00D06D40" w:rsidP="00BB452F">
            <w:pPr>
              <w:jc w:val="right"/>
            </w:pPr>
            <w:r>
              <w:t>(38,083)</w:t>
            </w:r>
          </w:p>
        </w:tc>
        <w:tc>
          <w:tcPr>
            <w:tcW w:w="283" w:type="dxa"/>
            <w:vAlign w:val="bottom"/>
          </w:tcPr>
          <w:p w14:paraId="280DE162" w14:textId="77777777" w:rsidR="00BB452F" w:rsidRPr="00C05D5D" w:rsidRDefault="00BB452F" w:rsidP="00BB452F">
            <w:pPr>
              <w:jc w:val="center"/>
            </w:pPr>
          </w:p>
        </w:tc>
        <w:tc>
          <w:tcPr>
            <w:tcW w:w="284" w:type="dxa"/>
          </w:tcPr>
          <w:p w14:paraId="75916782" w14:textId="77777777" w:rsidR="00BB452F" w:rsidRDefault="00BB452F" w:rsidP="00BB452F">
            <w:pPr>
              <w:jc w:val="right"/>
            </w:pPr>
          </w:p>
        </w:tc>
        <w:tc>
          <w:tcPr>
            <w:tcW w:w="1276" w:type="dxa"/>
            <w:vAlign w:val="bottom"/>
          </w:tcPr>
          <w:p w14:paraId="378C3C07" w14:textId="21D3C915" w:rsidR="00BB452F" w:rsidRDefault="007B5FA3" w:rsidP="00BB452F">
            <w:pPr>
              <w:jc w:val="right"/>
            </w:pPr>
            <w:r>
              <w:t>(29,</w:t>
            </w:r>
            <w:r w:rsidR="005779F6">
              <w:t>448</w:t>
            </w:r>
            <w:r>
              <w:t>)</w:t>
            </w:r>
          </w:p>
        </w:tc>
        <w:tc>
          <w:tcPr>
            <w:tcW w:w="283" w:type="dxa"/>
            <w:vAlign w:val="bottom"/>
          </w:tcPr>
          <w:p w14:paraId="19E7A0B4" w14:textId="77777777" w:rsidR="00BB452F" w:rsidRPr="00C05D5D" w:rsidRDefault="00BB452F" w:rsidP="00BB452F">
            <w:pPr>
              <w:jc w:val="center"/>
            </w:pPr>
          </w:p>
        </w:tc>
        <w:tc>
          <w:tcPr>
            <w:tcW w:w="1276" w:type="dxa"/>
            <w:gridSpan w:val="3"/>
            <w:vAlign w:val="bottom"/>
          </w:tcPr>
          <w:p w14:paraId="660CC9CB" w14:textId="10925DB4" w:rsidR="00BB452F" w:rsidRDefault="001A593C" w:rsidP="00BB452F">
            <w:pPr>
              <w:jc w:val="right"/>
            </w:pPr>
            <w:r>
              <w:t>(49,382)</w:t>
            </w:r>
          </w:p>
        </w:tc>
      </w:tr>
      <w:tr w:rsidR="00642A83" w:rsidRPr="00C05D5D" w14:paraId="0F33CA67" w14:textId="77777777" w:rsidTr="000A079E">
        <w:trPr>
          <w:jc w:val="center"/>
        </w:trPr>
        <w:tc>
          <w:tcPr>
            <w:tcW w:w="3686" w:type="dxa"/>
            <w:gridSpan w:val="2"/>
          </w:tcPr>
          <w:p w14:paraId="587C5B35" w14:textId="00C9B6B4" w:rsidR="00BB452F" w:rsidRPr="009E6D72" w:rsidRDefault="00BB452F" w:rsidP="00BB452F">
            <w:pPr>
              <w:ind w:left="288"/>
              <w:rPr>
                <w:color w:val="000000"/>
              </w:rPr>
            </w:pPr>
            <w:r>
              <w:rPr>
                <w:color w:val="000000"/>
              </w:rPr>
              <w:t>Foreign exchange gain</w:t>
            </w:r>
          </w:p>
        </w:tc>
        <w:tc>
          <w:tcPr>
            <w:tcW w:w="709" w:type="dxa"/>
            <w:shd w:val="clear" w:color="auto" w:fill="auto"/>
            <w:vAlign w:val="bottom"/>
          </w:tcPr>
          <w:p w14:paraId="35C3F033" w14:textId="7C72A604" w:rsidR="00BB452F" w:rsidRPr="00C078B7" w:rsidRDefault="00BB452F" w:rsidP="00BB452F">
            <w:pPr>
              <w:jc w:val="center"/>
            </w:pPr>
            <w:r w:rsidRPr="006A2A5E">
              <w:rPr>
                <w:color w:val="000000"/>
              </w:rPr>
              <w:t> </w:t>
            </w:r>
          </w:p>
        </w:tc>
        <w:tc>
          <w:tcPr>
            <w:tcW w:w="283" w:type="dxa"/>
            <w:gridSpan w:val="2"/>
            <w:vAlign w:val="bottom"/>
          </w:tcPr>
          <w:p w14:paraId="38E2963D" w14:textId="77777777" w:rsidR="00BB452F" w:rsidRPr="00C078B7" w:rsidRDefault="00BB452F" w:rsidP="00BB452F">
            <w:pPr>
              <w:jc w:val="center"/>
            </w:pPr>
          </w:p>
        </w:tc>
        <w:tc>
          <w:tcPr>
            <w:tcW w:w="1418" w:type="dxa"/>
            <w:gridSpan w:val="2"/>
            <w:shd w:val="clear" w:color="auto" w:fill="auto"/>
            <w:vAlign w:val="bottom"/>
          </w:tcPr>
          <w:p w14:paraId="67AA8776" w14:textId="3729AFB1" w:rsidR="00BB452F" w:rsidRDefault="001C6AF5" w:rsidP="00BB452F">
            <w:pPr>
              <w:jc w:val="right"/>
            </w:pPr>
            <w:r>
              <w:t>44</w:t>
            </w:r>
            <w:r w:rsidR="004B65C6">
              <w:t>9</w:t>
            </w:r>
            <w:r w:rsidR="00DA3F73">
              <w:t>,</w:t>
            </w:r>
            <w:r w:rsidR="002F2C3A">
              <w:t>745</w:t>
            </w:r>
          </w:p>
        </w:tc>
        <w:tc>
          <w:tcPr>
            <w:tcW w:w="283" w:type="dxa"/>
            <w:vAlign w:val="bottom"/>
          </w:tcPr>
          <w:p w14:paraId="141BA9E3" w14:textId="77777777" w:rsidR="00BB452F" w:rsidRPr="00C078B7" w:rsidRDefault="00BB452F" w:rsidP="00BB452F">
            <w:pPr>
              <w:jc w:val="center"/>
            </w:pPr>
          </w:p>
        </w:tc>
        <w:tc>
          <w:tcPr>
            <w:tcW w:w="1276" w:type="dxa"/>
            <w:vAlign w:val="bottom"/>
          </w:tcPr>
          <w:p w14:paraId="04513226" w14:textId="1EAF66DF" w:rsidR="00BB452F" w:rsidRDefault="00D06D40" w:rsidP="00BB452F">
            <w:pPr>
              <w:jc w:val="right"/>
            </w:pPr>
            <w:r>
              <w:t>65,527</w:t>
            </w:r>
          </w:p>
        </w:tc>
        <w:tc>
          <w:tcPr>
            <w:tcW w:w="283" w:type="dxa"/>
            <w:vAlign w:val="bottom"/>
          </w:tcPr>
          <w:p w14:paraId="39FD96A0" w14:textId="77777777" w:rsidR="00BB452F" w:rsidRPr="00C05D5D" w:rsidRDefault="00BB452F" w:rsidP="00BB452F">
            <w:pPr>
              <w:jc w:val="center"/>
            </w:pPr>
          </w:p>
        </w:tc>
        <w:tc>
          <w:tcPr>
            <w:tcW w:w="284" w:type="dxa"/>
          </w:tcPr>
          <w:p w14:paraId="49F37530" w14:textId="77777777" w:rsidR="00BB452F" w:rsidRDefault="00BB452F" w:rsidP="00BB452F">
            <w:pPr>
              <w:jc w:val="right"/>
            </w:pPr>
          </w:p>
        </w:tc>
        <w:tc>
          <w:tcPr>
            <w:tcW w:w="1276" w:type="dxa"/>
            <w:vAlign w:val="bottom"/>
          </w:tcPr>
          <w:p w14:paraId="50884227" w14:textId="67B8377C" w:rsidR="00BB452F" w:rsidRDefault="001C6AF5" w:rsidP="00BB452F">
            <w:pPr>
              <w:jc w:val="right"/>
            </w:pPr>
            <w:r>
              <w:t>32</w:t>
            </w:r>
            <w:r w:rsidR="004B65C6">
              <w:t>8</w:t>
            </w:r>
            <w:r>
              <w:t>,</w:t>
            </w:r>
            <w:r w:rsidR="002F2C3A">
              <w:t>620</w:t>
            </w:r>
          </w:p>
        </w:tc>
        <w:tc>
          <w:tcPr>
            <w:tcW w:w="283" w:type="dxa"/>
            <w:vAlign w:val="bottom"/>
          </w:tcPr>
          <w:p w14:paraId="165EBDB1" w14:textId="77777777" w:rsidR="00BB452F" w:rsidRPr="00C05D5D" w:rsidRDefault="00BB452F" w:rsidP="00BB452F">
            <w:pPr>
              <w:jc w:val="center"/>
            </w:pPr>
          </w:p>
        </w:tc>
        <w:tc>
          <w:tcPr>
            <w:tcW w:w="1276" w:type="dxa"/>
            <w:gridSpan w:val="3"/>
            <w:vAlign w:val="bottom"/>
          </w:tcPr>
          <w:p w14:paraId="4B9FFBE1" w14:textId="0DD4A18A" w:rsidR="00BB452F" w:rsidRDefault="001A593C" w:rsidP="00BB452F">
            <w:pPr>
              <w:jc w:val="right"/>
            </w:pPr>
            <w:r>
              <w:t>(918)</w:t>
            </w:r>
          </w:p>
        </w:tc>
      </w:tr>
      <w:tr w:rsidR="00642A83" w:rsidRPr="00C05D5D" w14:paraId="661E4344" w14:textId="77777777" w:rsidTr="000A079E">
        <w:trPr>
          <w:jc w:val="center"/>
        </w:trPr>
        <w:tc>
          <w:tcPr>
            <w:tcW w:w="3686" w:type="dxa"/>
            <w:gridSpan w:val="2"/>
          </w:tcPr>
          <w:p w14:paraId="676E436A" w14:textId="7A3DD00C" w:rsidR="00BB452F" w:rsidRPr="009E6D72" w:rsidRDefault="00BB452F" w:rsidP="00BB452F">
            <w:pPr>
              <w:ind w:left="288"/>
              <w:rPr>
                <w:color w:val="000000"/>
              </w:rPr>
            </w:pPr>
            <w:r>
              <w:rPr>
                <w:color w:val="000000"/>
              </w:rPr>
              <w:t>Other income</w:t>
            </w:r>
          </w:p>
        </w:tc>
        <w:tc>
          <w:tcPr>
            <w:tcW w:w="709" w:type="dxa"/>
            <w:shd w:val="clear" w:color="auto" w:fill="auto"/>
            <w:vAlign w:val="bottom"/>
          </w:tcPr>
          <w:p w14:paraId="0C1D2CAD" w14:textId="5557F0CC" w:rsidR="00BB452F" w:rsidRPr="00C078B7" w:rsidRDefault="00BB452F" w:rsidP="00BB452F">
            <w:pPr>
              <w:jc w:val="center"/>
            </w:pPr>
            <w:r w:rsidRPr="006A2A5E">
              <w:rPr>
                <w:color w:val="000000"/>
              </w:rPr>
              <w:t> </w:t>
            </w:r>
          </w:p>
        </w:tc>
        <w:tc>
          <w:tcPr>
            <w:tcW w:w="283" w:type="dxa"/>
            <w:gridSpan w:val="2"/>
            <w:vAlign w:val="bottom"/>
          </w:tcPr>
          <w:p w14:paraId="5647A34A" w14:textId="77777777" w:rsidR="00BB452F" w:rsidRPr="00C078B7" w:rsidRDefault="00BB452F" w:rsidP="00BB452F">
            <w:pPr>
              <w:jc w:val="center"/>
            </w:pPr>
          </w:p>
        </w:tc>
        <w:tc>
          <w:tcPr>
            <w:tcW w:w="1418" w:type="dxa"/>
            <w:gridSpan w:val="2"/>
            <w:shd w:val="clear" w:color="auto" w:fill="auto"/>
            <w:vAlign w:val="bottom"/>
          </w:tcPr>
          <w:p w14:paraId="155041CD" w14:textId="799F4EA4" w:rsidR="00BB452F" w:rsidRDefault="001C6AF5" w:rsidP="00BB452F">
            <w:pPr>
              <w:jc w:val="right"/>
            </w:pPr>
            <w:r>
              <w:t>-</w:t>
            </w:r>
          </w:p>
        </w:tc>
        <w:tc>
          <w:tcPr>
            <w:tcW w:w="283" w:type="dxa"/>
            <w:vAlign w:val="bottom"/>
          </w:tcPr>
          <w:p w14:paraId="42F908E0" w14:textId="77777777" w:rsidR="00BB452F" w:rsidRPr="00C078B7" w:rsidRDefault="00BB452F" w:rsidP="00BB452F">
            <w:pPr>
              <w:jc w:val="center"/>
            </w:pPr>
          </w:p>
        </w:tc>
        <w:tc>
          <w:tcPr>
            <w:tcW w:w="1276" w:type="dxa"/>
            <w:vAlign w:val="bottom"/>
          </w:tcPr>
          <w:p w14:paraId="66D64414" w14:textId="24F7EB3A" w:rsidR="00BB452F" w:rsidRDefault="00D06D40" w:rsidP="00BB452F">
            <w:pPr>
              <w:jc w:val="right"/>
            </w:pPr>
            <w:r>
              <w:t>-</w:t>
            </w:r>
          </w:p>
        </w:tc>
        <w:tc>
          <w:tcPr>
            <w:tcW w:w="283" w:type="dxa"/>
            <w:vAlign w:val="bottom"/>
          </w:tcPr>
          <w:p w14:paraId="44FE90C7" w14:textId="77777777" w:rsidR="00BB452F" w:rsidRPr="00C05D5D" w:rsidRDefault="00BB452F" w:rsidP="00BB452F">
            <w:pPr>
              <w:jc w:val="center"/>
            </w:pPr>
          </w:p>
        </w:tc>
        <w:tc>
          <w:tcPr>
            <w:tcW w:w="284" w:type="dxa"/>
          </w:tcPr>
          <w:p w14:paraId="02CE79E0" w14:textId="77777777" w:rsidR="00BB452F" w:rsidRDefault="00BB452F" w:rsidP="00BB452F">
            <w:pPr>
              <w:jc w:val="right"/>
            </w:pPr>
          </w:p>
        </w:tc>
        <w:tc>
          <w:tcPr>
            <w:tcW w:w="1276" w:type="dxa"/>
            <w:vAlign w:val="bottom"/>
          </w:tcPr>
          <w:p w14:paraId="7504F024" w14:textId="79C8231C" w:rsidR="00BB452F" w:rsidRDefault="001C6AF5" w:rsidP="00BB452F">
            <w:pPr>
              <w:jc w:val="right"/>
            </w:pPr>
            <w:r>
              <w:t>-</w:t>
            </w:r>
          </w:p>
        </w:tc>
        <w:tc>
          <w:tcPr>
            <w:tcW w:w="283" w:type="dxa"/>
            <w:vAlign w:val="bottom"/>
          </w:tcPr>
          <w:p w14:paraId="597D8AB7" w14:textId="77777777" w:rsidR="00BB452F" w:rsidRPr="00C05D5D" w:rsidRDefault="00BB452F" w:rsidP="00BB452F">
            <w:pPr>
              <w:jc w:val="center"/>
            </w:pPr>
          </w:p>
        </w:tc>
        <w:tc>
          <w:tcPr>
            <w:tcW w:w="1276" w:type="dxa"/>
            <w:gridSpan w:val="3"/>
            <w:vAlign w:val="bottom"/>
          </w:tcPr>
          <w:p w14:paraId="403F6F37" w14:textId="43C3EFF3" w:rsidR="00BB452F" w:rsidRDefault="001A593C" w:rsidP="00BB452F">
            <w:pPr>
              <w:jc w:val="right"/>
            </w:pPr>
            <w:r>
              <w:t>(36)</w:t>
            </w:r>
          </w:p>
        </w:tc>
      </w:tr>
      <w:tr w:rsidR="00642A83" w:rsidRPr="00C05D5D" w14:paraId="29BC88D3" w14:textId="77777777" w:rsidTr="000A079E">
        <w:trPr>
          <w:jc w:val="center"/>
        </w:trPr>
        <w:tc>
          <w:tcPr>
            <w:tcW w:w="3686" w:type="dxa"/>
            <w:gridSpan w:val="2"/>
          </w:tcPr>
          <w:p w14:paraId="0B21A4D6" w14:textId="0D862C78" w:rsidR="00BB452F" w:rsidRPr="009E6D72" w:rsidRDefault="00BB452F" w:rsidP="00BB452F">
            <w:pPr>
              <w:ind w:left="288"/>
              <w:rPr>
                <w:color w:val="000000"/>
              </w:rPr>
            </w:pPr>
            <w:r>
              <w:rPr>
                <w:color w:val="000000"/>
              </w:rPr>
              <w:t>Change in fair value of derivative liability</w:t>
            </w:r>
          </w:p>
        </w:tc>
        <w:tc>
          <w:tcPr>
            <w:tcW w:w="709" w:type="dxa"/>
            <w:shd w:val="clear" w:color="auto" w:fill="auto"/>
            <w:vAlign w:val="bottom"/>
          </w:tcPr>
          <w:p w14:paraId="24BD6C67" w14:textId="29BD9A00" w:rsidR="00BB452F" w:rsidRPr="00C078B7" w:rsidRDefault="00BB452F" w:rsidP="00BB452F">
            <w:pPr>
              <w:jc w:val="center"/>
            </w:pPr>
            <w:r>
              <w:rPr>
                <w:color w:val="000000"/>
              </w:rPr>
              <w:t>11</w:t>
            </w:r>
          </w:p>
        </w:tc>
        <w:tc>
          <w:tcPr>
            <w:tcW w:w="283" w:type="dxa"/>
            <w:gridSpan w:val="2"/>
            <w:vAlign w:val="bottom"/>
          </w:tcPr>
          <w:p w14:paraId="11F469E9" w14:textId="77777777" w:rsidR="00BB452F" w:rsidRPr="00C078B7" w:rsidRDefault="00BB452F" w:rsidP="00BB452F">
            <w:pPr>
              <w:jc w:val="center"/>
            </w:pPr>
          </w:p>
        </w:tc>
        <w:tc>
          <w:tcPr>
            <w:tcW w:w="1418" w:type="dxa"/>
            <w:gridSpan w:val="2"/>
            <w:shd w:val="clear" w:color="auto" w:fill="auto"/>
            <w:vAlign w:val="bottom"/>
          </w:tcPr>
          <w:p w14:paraId="688FD5DA" w14:textId="0C930064" w:rsidR="00BB452F" w:rsidRDefault="005779F6" w:rsidP="00BB452F">
            <w:pPr>
              <w:jc w:val="right"/>
            </w:pPr>
            <w:r>
              <w:t>207,60</w:t>
            </w:r>
            <w:r w:rsidR="004B65C6">
              <w:t>3</w:t>
            </w:r>
          </w:p>
        </w:tc>
        <w:tc>
          <w:tcPr>
            <w:tcW w:w="283" w:type="dxa"/>
            <w:vAlign w:val="bottom"/>
          </w:tcPr>
          <w:p w14:paraId="710BED99" w14:textId="77777777" w:rsidR="00BB452F" w:rsidRPr="00C078B7" w:rsidRDefault="00BB452F" w:rsidP="00BB452F">
            <w:pPr>
              <w:jc w:val="center"/>
            </w:pPr>
          </w:p>
        </w:tc>
        <w:tc>
          <w:tcPr>
            <w:tcW w:w="1276" w:type="dxa"/>
            <w:vAlign w:val="bottom"/>
          </w:tcPr>
          <w:p w14:paraId="71A70BE0" w14:textId="77F0F04A" w:rsidR="00BB452F" w:rsidRDefault="00D06D40" w:rsidP="00BB452F">
            <w:pPr>
              <w:jc w:val="right"/>
            </w:pPr>
            <w:r>
              <w:t>3,032,128</w:t>
            </w:r>
          </w:p>
        </w:tc>
        <w:tc>
          <w:tcPr>
            <w:tcW w:w="283" w:type="dxa"/>
            <w:vAlign w:val="bottom"/>
          </w:tcPr>
          <w:p w14:paraId="307F95F9" w14:textId="77777777" w:rsidR="00BB452F" w:rsidRPr="00C05D5D" w:rsidRDefault="00BB452F" w:rsidP="00BB452F">
            <w:pPr>
              <w:jc w:val="center"/>
            </w:pPr>
          </w:p>
        </w:tc>
        <w:tc>
          <w:tcPr>
            <w:tcW w:w="284" w:type="dxa"/>
          </w:tcPr>
          <w:p w14:paraId="435B13CF" w14:textId="77777777" w:rsidR="00BB452F" w:rsidRDefault="00BB452F" w:rsidP="00BB452F">
            <w:pPr>
              <w:jc w:val="right"/>
            </w:pPr>
          </w:p>
        </w:tc>
        <w:tc>
          <w:tcPr>
            <w:tcW w:w="1276" w:type="dxa"/>
            <w:vAlign w:val="bottom"/>
          </w:tcPr>
          <w:p w14:paraId="29A94634" w14:textId="60832E3E" w:rsidR="00BB452F" w:rsidRDefault="001C6AF5" w:rsidP="00BB452F">
            <w:pPr>
              <w:jc w:val="right"/>
            </w:pPr>
            <w:r>
              <w:t>(3</w:t>
            </w:r>
            <w:r w:rsidR="005779F6">
              <w:t>61</w:t>
            </w:r>
            <w:r>
              <w:t>,</w:t>
            </w:r>
            <w:r w:rsidR="005779F6">
              <w:t>1</w:t>
            </w:r>
            <w:r w:rsidR="004B65C6">
              <w:t>70</w:t>
            </w:r>
            <w:r>
              <w:t>)</w:t>
            </w:r>
          </w:p>
        </w:tc>
        <w:tc>
          <w:tcPr>
            <w:tcW w:w="283" w:type="dxa"/>
            <w:vAlign w:val="bottom"/>
          </w:tcPr>
          <w:p w14:paraId="5DF6FD13" w14:textId="77777777" w:rsidR="00BB452F" w:rsidRPr="00C05D5D" w:rsidRDefault="00BB452F" w:rsidP="00BB452F">
            <w:pPr>
              <w:jc w:val="center"/>
            </w:pPr>
          </w:p>
        </w:tc>
        <w:tc>
          <w:tcPr>
            <w:tcW w:w="1276" w:type="dxa"/>
            <w:gridSpan w:val="3"/>
            <w:vAlign w:val="bottom"/>
          </w:tcPr>
          <w:p w14:paraId="6757A6FB" w14:textId="12AD86E6" w:rsidR="00BB452F" w:rsidRDefault="001A593C" w:rsidP="00BB452F">
            <w:pPr>
              <w:jc w:val="right"/>
            </w:pPr>
            <w:r>
              <w:t>(5,698,468)</w:t>
            </w:r>
          </w:p>
        </w:tc>
      </w:tr>
      <w:tr w:rsidR="000A079E" w:rsidRPr="00C05D5D" w14:paraId="4376EE9D" w14:textId="77777777" w:rsidTr="000A079E">
        <w:trPr>
          <w:jc w:val="center"/>
        </w:trPr>
        <w:tc>
          <w:tcPr>
            <w:tcW w:w="3686" w:type="dxa"/>
            <w:gridSpan w:val="2"/>
          </w:tcPr>
          <w:p w14:paraId="1E74AAB7" w14:textId="100EFC75" w:rsidR="00BB452F" w:rsidRPr="009E6D72" w:rsidRDefault="00BB452F" w:rsidP="00BB452F">
            <w:pPr>
              <w:ind w:left="288"/>
              <w:rPr>
                <w:color w:val="000000"/>
              </w:rPr>
            </w:pPr>
            <w:r>
              <w:rPr>
                <w:color w:val="000000"/>
              </w:rPr>
              <w:t>Gain (loss) on debt settlement</w:t>
            </w:r>
          </w:p>
        </w:tc>
        <w:tc>
          <w:tcPr>
            <w:tcW w:w="709" w:type="dxa"/>
            <w:shd w:val="clear" w:color="auto" w:fill="auto"/>
            <w:vAlign w:val="bottom"/>
          </w:tcPr>
          <w:p w14:paraId="7CC5E1BA" w14:textId="77777777" w:rsidR="00BB452F" w:rsidRPr="00C078B7" w:rsidRDefault="00BB452F" w:rsidP="00BB452F">
            <w:pPr>
              <w:jc w:val="center"/>
            </w:pPr>
          </w:p>
        </w:tc>
        <w:tc>
          <w:tcPr>
            <w:tcW w:w="283" w:type="dxa"/>
            <w:gridSpan w:val="2"/>
            <w:tcBorders>
              <w:bottom w:val="single" w:sz="12" w:space="0" w:color="auto"/>
            </w:tcBorders>
            <w:vAlign w:val="bottom"/>
          </w:tcPr>
          <w:p w14:paraId="4E71A610" w14:textId="77777777" w:rsidR="00BB452F" w:rsidRPr="00C078B7" w:rsidRDefault="00BB452F" w:rsidP="00BB452F">
            <w:pPr>
              <w:jc w:val="center"/>
            </w:pPr>
          </w:p>
        </w:tc>
        <w:tc>
          <w:tcPr>
            <w:tcW w:w="1418" w:type="dxa"/>
            <w:gridSpan w:val="2"/>
            <w:tcBorders>
              <w:bottom w:val="single" w:sz="12" w:space="0" w:color="auto"/>
            </w:tcBorders>
            <w:shd w:val="clear" w:color="auto" w:fill="auto"/>
            <w:vAlign w:val="bottom"/>
          </w:tcPr>
          <w:p w14:paraId="78FC99A3" w14:textId="2A22BAF2" w:rsidR="00BB452F" w:rsidRDefault="001C6AF5" w:rsidP="00BB452F">
            <w:pPr>
              <w:jc w:val="right"/>
            </w:pPr>
            <w:r>
              <w:t>(</w:t>
            </w:r>
            <w:r w:rsidR="005779F6">
              <w:t>46</w:t>
            </w:r>
            <w:r>
              <w:t>)</w:t>
            </w:r>
          </w:p>
        </w:tc>
        <w:tc>
          <w:tcPr>
            <w:tcW w:w="283" w:type="dxa"/>
            <w:tcBorders>
              <w:bottom w:val="single" w:sz="12" w:space="0" w:color="auto"/>
            </w:tcBorders>
            <w:vAlign w:val="bottom"/>
          </w:tcPr>
          <w:p w14:paraId="0D9EFCA7" w14:textId="77777777" w:rsidR="00BB452F" w:rsidRPr="00C078B7" w:rsidRDefault="00BB452F" w:rsidP="00BB452F">
            <w:pPr>
              <w:jc w:val="center"/>
            </w:pPr>
          </w:p>
        </w:tc>
        <w:tc>
          <w:tcPr>
            <w:tcW w:w="1276" w:type="dxa"/>
            <w:tcBorders>
              <w:bottom w:val="single" w:sz="12" w:space="0" w:color="auto"/>
            </w:tcBorders>
            <w:vAlign w:val="bottom"/>
          </w:tcPr>
          <w:p w14:paraId="274F3EA7" w14:textId="7FA6F9C6" w:rsidR="00BB452F" w:rsidRDefault="00D06D40" w:rsidP="00BB452F">
            <w:pPr>
              <w:jc w:val="right"/>
            </w:pPr>
            <w:r>
              <w:t>(73,560)</w:t>
            </w:r>
          </w:p>
        </w:tc>
        <w:tc>
          <w:tcPr>
            <w:tcW w:w="283" w:type="dxa"/>
            <w:vAlign w:val="bottom"/>
          </w:tcPr>
          <w:p w14:paraId="2623580C" w14:textId="77777777" w:rsidR="00BB452F" w:rsidRPr="00C05D5D" w:rsidRDefault="00BB452F" w:rsidP="00BB452F">
            <w:pPr>
              <w:jc w:val="center"/>
            </w:pPr>
          </w:p>
        </w:tc>
        <w:tc>
          <w:tcPr>
            <w:tcW w:w="284" w:type="dxa"/>
          </w:tcPr>
          <w:p w14:paraId="4AC6721D" w14:textId="77777777" w:rsidR="00BB452F" w:rsidRDefault="00BB452F" w:rsidP="00BB452F">
            <w:pPr>
              <w:jc w:val="right"/>
            </w:pPr>
          </w:p>
        </w:tc>
        <w:tc>
          <w:tcPr>
            <w:tcW w:w="1276" w:type="dxa"/>
            <w:tcBorders>
              <w:bottom w:val="single" w:sz="12" w:space="0" w:color="auto"/>
            </w:tcBorders>
            <w:vAlign w:val="bottom"/>
          </w:tcPr>
          <w:p w14:paraId="34F593DC" w14:textId="3173D3B3" w:rsidR="00BB452F" w:rsidRDefault="001C6AF5" w:rsidP="00BB452F">
            <w:pPr>
              <w:jc w:val="right"/>
            </w:pPr>
            <w:r>
              <w:t>71,</w:t>
            </w:r>
            <w:r w:rsidR="005779F6">
              <w:t>236</w:t>
            </w:r>
          </w:p>
        </w:tc>
        <w:tc>
          <w:tcPr>
            <w:tcW w:w="283" w:type="dxa"/>
            <w:tcBorders>
              <w:bottom w:val="single" w:sz="12" w:space="0" w:color="auto"/>
            </w:tcBorders>
            <w:vAlign w:val="bottom"/>
          </w:tcPr>
          <w:p w14:paraId="4C362E0C" w14:textId="77777777" w:rsidR="00BB452F" w:rsidRPr="00C05D5D" w:rsidRDefault="00BB452F" w:rsidP="00BB452F">
            <w:pPr>
              <w:jc w:val="center"/>
            </w:pPr>
          </w:p>
        </w:tc>
        <w:tc>
          <w:tcPr>
            <w:tcW w:w="1276" w:type="dxa"/>
            <w:gridSpan w:val="3"/>
            <w:tcBorders>
              <w:bottom w:val="single" w:sz="12" w:space="0" w:color="auto"/>
            </w:tcBorders>
            <w:vAlign w:val="bottom"/>
          </w:tcPr>
          <w:p w14:paraId="55915501" w14:textId="0483BF5D" w:rsidR="00BB452F" w:rsidRDefault="001A593C" w:rsidP="00BB452F">
            <w:pPr>
              <w:jc w:val="right"/>
            </w:pPr>
            <w:r>
              <w:t>(145,665)</w:t>
            </w:r>
          </w:p>
        </w:tc>
      </w:tr>
      <w:tr w:rsidR="000A079E" w:rsidRPr="00C05D5D" w14:paraId="33D2441B" w14:textId="77777777" w:rsidTr="000A079E">
        <w:trPr>
          <w:jc w:val="center"/>
        </w:trPr>
        <w:tc>
          <w:tcPr>
            <w:tcW w:w="3686" w:type="dxa"/>
            <w:gridSpan w:val="2"/>
          </w:tcPr>
          <w:p w14:paraId="356CAFD2" w14:textId="470B29DE" w:rsidR="00BB452F" w:rsidRPr="009E6D72" w:rsidRDefault="00BB452F" w:rsidP="00064A08">
            <w:pPr>
              <w:rPr>
                <w:color w:val="000000"/>
              </w:rPr>
            </w:pPr>
            <w:r>
              <w:rPr>
                <w:color w:val="000000"/>
              </w:rPr>
              <w:t>Total other income (expense)</w:t>
            </w:r>
          </w:p>
        </w:tc>
        <w:tc>
          <w:tcPr>
            <w:tcW w:w="709" w:type="dxa"/>
            <w:shd w:val="clear" w:color="auto" w:fill="auto"/>
            <w:vAlign w:val="bottom"/>
          </w:tcPr>
          <w:p w14:paraId="25A1D219" w14:textId="77777777" w:rsidR="00BB452F" w:rsidRPr="00C078B7" w:rsidRDefault="00BB452F" w:rsidP="00BB452F">
            <w:pPr>
              <w:jc w:val="center"/>
            </w:pPr>
          </w:p>
        </w:tc>
        <w:tc>
          <w:tcPr>
            <w:tcW w:w="283" w:type="dxa"/>
            <w:gridSpan w:val="2"/>
            <w:tcBorders>
              <w:top w:val="single" w:sz="12" w:space="0" w:color="auto"/>
              <w:bottom w:val="single" w:sz="12" w:space="0" w:color="auto"/>
            </w:tcBorders>
            <w:vAlign w:val="bottom"/>
          </w:tcPr>
          <w:p w14:paraId="4C05E0F9" w14:textId="77777777" w:rsidR="00BB452F" w:rsidRPr="00C078B7" w:rsidRDefault="00BB452F" w:rsidP="00BB452F">
            <w:pPr>
              <w:jc w:val="center"/>
            </w:pPr>
          </w:p>
        </w:tc>
        <w:tc>
          <w:tcPr>
            <w:tcW w:w="1418" w:type="dxa"/>
            <w:gridSpan w:val="2"/>
            <w:tcBorders>
              <w:top w:val="single" w:sz="12" w:space="0" w:color="auto"/>
              <w:bottom w:val="single" w:sz="12" w:space="0" w:color="auto"/>
            </w:tcBorders>
            <w:shd w:val="clear" w:color="auto" w:fill="auto"/>
            <w:vAlign w:val="bottom"/>
          </w:tcPr>
          <w:p w14:paraId="18948CC5" w14:textId="44E3FBC3" w:rsidR="00BB452F" w:rsidRDefault="001C6AF5" w:rsidP="00BB452F">
            <w:pPr>
              <w:jc w:val="right"/>
            </w:pPr>
            <w:r>
              <w:t>6</w:t>
            </w:r>
            <w:r w:rsidR="0035562D">
              <w:t>62</w:t>
            </w:r>
            <w:r>
              <w:t>,</w:t>
            </w:r>
            <w:r w:rsidR="002F2C3A">
              <w:t>907</w:t>
            </w:r>
          </w:p>
        </w:tc>
        <w:tc>
          <w:tcPr>
            <w:tcW w:w="283" w:type="dxa"/>
            <w:tcBorders>
              <w:top w:val="single" w:sz="12" w:space="0" w:color="auto"/>
              <w:bottom w:val="single" w:sz="12" w:space="0" w:color="auto"/>
            </w:tcBorders>
            <w:vAlign w:val="bottom"/>
          </w:tcPr>
          <w:p w14:paraId="15E93304" w14:textId="77777777" w:rsidR="00BB452F" w:rsidRPr="00C078B7" w:rsidRDefault="00BB452F" w:rsidP="00BB452F">
            <w:pPr>
              <w:jc w:val="center"/>
            </w:pPr>
          </w:p>
        </w:tc>
        <w:tc>
          <w:tcPr>
            <w:tcW w:w="1276" w:type="dxa"/>
            <w:tcBorders>
              <w:top w:val="single" w:sz="12" w:space="0" w:color="auto"/>
              <w:bottom w:val="single" w:sz="12" w:space="0" w:color="auto"/>
            </w:tcBorders>
            <w:vAlign w:val="bottom"/>
          </w:tcPr>
          <w:p w14:paraId="2E56E4F0" w14:textId="616D9246" w:rsidR="00BB452F" w:rsidRDefault="00D06D40" w:rsidP="00BB452F">
            <w:pPr>
              <w:jc w:val="right"/>
            </w:pPr>
            <w:r>
              <w:t>2,965,901</w:t>
            </w:r>
          </w:p>
        </w:tc>
        <w:tc>
          <w:tcPr>
            <w:tcW w:w="283" w:type="dxa"/>
            <w:vAlign w:val="bottom"/>
          </w:tcPr>
          <w:p w14:paraId="5699A5C6" w14:textId="77777777" w:rsidR="00BB452F" w:rsidRPr="00C05D5D" w:rsidRDefault="00BB452F" w:rsidP="00BB452F">
            <w:pPr>
              <w:jc w:val="center"/>
            </w:pPr>
          </w:p>
        </w:tc>
        <w:tc>
          <w:tcPr>
            <w:tcW w:w="284" w:type="dxa"/>
          </w:tcPr>
          <w:p w14:paraId="43EDDE7A" w14:textId="77777777" w:rsidR="00BB452F" w:rsidRDefault="00BB452F" w:rsidP="00BB452F">
            <w:pPr>
              <w:jc w:val="right"/>
            </w:pPr>
          </w:p>
        </w:tc>
        <w:tc>
          <w:tcPr>
            <w:tcW w:w="1276" w:type="dxa"/>
            <w:tcBorders>
              <w:top w:val="single" w:sz="12" w:space="0" w:color="auto"/>
              <w:bottom w:val="single" w:sz="12" w:space="0" w:color="auto"/>
            </w:tcBorders>
            <w:vAlign w:val="bottom"/>
          </w:tcPr>
          <w:p w14:paraId="5F798DEC" w14:textId="7649DFE4" w:rsidR="00BB452F" w:rsidRDefault="002F2C3A" w:rsidP="00BB452F">
            <w:pPr>
              <w:jc w:val="right"/>
            </w:pPr>
            <w:r>
              <w:t>16,005</w:t>
            </w:r>
          </w:p>
        </w:tc>
        <w:tc>
          <w:tcPr>
            <w:tcW w:w="283" w:type="dxa"/>
            <w:tcBorders>
              <w:top w:val="single" w:sz="12" w:space="0" w:color="auto"/>
              <w:bottom w:val="single" w:sz="12" w:space="0" w:color="auto"/>
            </w:tcBorders>
            <w:vAlign w:val="bottom"/>
          </w:tcPr>
          <w:p w14:paraId="55466D47" w14:textId="77777777" w:rsidR="00BB452F" w:rsidRPr="00C05D5D" w:rsidRDefault="00BB452F" w:rsidP="00BB452F">
            <w:pPr>
              <w:jc w:val="center"/>
            </w:pPr>
          </w:p>
        </w:tc>
        <w:tc>
          <w:tcPr>
            <w:tcW w:w="1276" w:type="dxa"/>
            <w:gridSpan w:val="3"/>
            <w:tcBorders>
              <w:top w:val="single" w:sz="12" w:space="0" w:color="auto"/>
              <w:bottom w:val="single" w:sz="12" w:space="0" w:color="auto"/>
            </w:tcBorders>
            <w:vAlign w:val="bottom"/>
          </w:tcPr>
          <w:p w14:paraId="09DB0EC5" w14:textId="620CBBE0" w:rsidR="00BB452F" w:rsidRDefault="001A593C" w:rsidP="00BB452F">
            <w:pPr>
              <w:jc w:val="right"/>
            </w:pPr>
            <w:r>
              <w:t>(5,957,294)</w:t>
            </w:r>
          </w:p>
        </w:tc>
      </w:tr>
      <w:tr w:rsidR="00642A83" w:rsidRPr="00C05D5D" w14:paraId="53D69621" w14:textId="77777777" w:rsidTr="000A079E">
        <w:trPr>
          <w:jc w:val="center"/>
        </w:trPr>
        <w:tc>
          <w:tcPr>
            <w:tcW w:w="3686" w:type="dxa"/>
            <w:gridSpan w:val="2"/>
          </w:tcPr>
          <w:p w14:paraId="362A7309" w14:textId="0C39FA38" w:rsidR="00BB452F" w:rsidRPr="00C078B7" w:rsidRDefault="00BB452F" w:rsidP="00BB452F">
            <w:pPr>
              <w:rPr>
                <w:b/>
              </w:rPr>
            </w:pPr>
            <w:r>
              <w:rPr>
                <w:b/>
              </w:rPr>
              <w:t xml:space="preserve">Net </w:t>
            </w:r>
            <w:r w:rsidR="00D06D40">
              <w:rPr>
                <w:b/>
              </w:rPr>
              <w:t>income (loss)</w:t>
            </w:r>
          </w:p>
        </w:tc>
        <w:tc>
          <w:tcPr>
            <w:tcW w:w="709" w:type="dxa"/>
            <w:shd w:val="clear" w:color="auto" w:fill="auto"/>
          </w:tcPr>
          <w:p w14:paraId="158BEF2C" w14:textId="77777777" w:rsidR="00BB452F" w:rsidRPr="00C078B7" w:rsidRDefault="00BB452F" w:rsidP="00BB452F">
            <w:pPr>
              <w:jc w:val="center"/>
            </w:pPr>
          </w:p>
        </w:tc>
        <w:tc>
          <w:tcPr>
            <w:tcW w:w="283" w:type="dxa"/>
            <w:gridSpan w:val="2"/>
            <w:tcBorders>
              <w:top w:val="single" w:sz="12" w:space="0" w:color="auto"/>
              <w:bottom w:val="single" w:sz="12" w:space="0" w:color="auto"/>
            </w:tcBorders>
            <w:vAlign w:val="bottom"/>
          </w:tcPr>
          <w:p w14:paraId="346328BA" w14:textId="77777777" w:rsidR="00BB452F" w:rsidRPr="00C078B7" w:rsidRDefault="00BB452F" w:rsidP="00BB452F">
            <w:pPr>
              <w:jc w:val="center"/>
            </w:pPr>
          </w:p>
        </w:tc>
        <w:tc>
          <w:tcPr>
            <w:tcW w:w="1418" w:type="dxa"/>
            <w:gridSpan w:val="2"/>
            <w:tcBorders>
              <w:top w:val="single" w:sz="12" w:space="0" w:color="auto"/>
              <w:bottom w:val="single" w:sz="12" w:space="0" w:color="auto"/>
            </w:tcBorders>
            <w:vAlign w:val="bottom"/>
          </w:tcPr>
          <w:p w14:paraId="5B1E34D2" w14:textId="716A9FAA" w:rsidR="00BB452F" w:rsidRPr="00AA44E8" w:rsidRDefault="0035562D" w:rsidP="00BB452F">
            <w:pPr>
              <w:jc w:val="right"/>
            </w:pPr>
            <w:r>
              <w:t>4</w:t>
            </w:r>
            <w:r w:rsidR="004B65C6">
              <w:t>6</w:t>
            </w:r>
            <w:r>
              <w:t>,</w:t>
            </w:r>
            <w:r w:rsidR="004B65C6">
              <w:t>246</w:t>
            </w:r>
          </w:p>
        </w:tc>
        <w:tc>
          <w:tcPr>
            <w:tcW w:w="283" w:type="dxa"/>
            <w:tcBorders>
              <w:top w:val="single" w:sz="12" w:space="0" w:color="auto"/>
              <w:bottom w:val="single" w:sz="12" w:space="0" w:color="auto"/>
            </w:tcBorders>
            <w:vAlign w:val="bottom"/>
          </w:tcPr>
          <w:p w14:paraId="30DD408B" w14:textId="77777777" w:rsidR="00BB452F" w:rsidRPr="00C078B7" w:rsidRDefault="00BB452F" w:rsidP="00BB452F">
            <w:pPr>
              <w:jc w:val="center"/>
            </w:pPr>
          </w:p>
        </w:tc>
        <w:tc>
          <w:tcPr>
            <w:tcW w:w="1276" w:type="dxa"/>
            <w:tcBorders>
              <w:top w:val="single" w:sz="12" w:space="0" w:color="auto"/>
              <w:bottom w:val="single" w:sz="12" w:space="0" w:color="auto"/>
            </w:tcBorders>
            <w:vAlign w:val="bottom"/>
          </w:tcPr>
          <w:p w14:paraId="3301EFAF" w14:textId="6C3A3B99" w:rsidR="00BB452F" w:rsidRPr="00C078B7" w:rsidRDefault="00D06D40" w:rsidP="00BB452F">
            <w:pPr>
              <w:jc w:val="right"/>
            </w:pPr>
            <w:r>
              <w:t>1,912,161</w:t>
            </w:r>
          </w:p>
        </w:tc>
        <w:tc>
          <w:tcPr>
            <w:tcW w:w="283" w:type="dxa"/>
            <w:vAlign w:val="bottom"/>
          </w:tcPr>
          <w:p w14:paraId="6C54E895" w14:textId="77777777" w:rsidR="00BB452F" w:rsidRPr="00C05D5D" w:rsidRDefault="00BB452F" w:rsidP="00BB452F">
            <w:pPr>
              <w:jc w:val="center"/>
            </w:pPr>
          </w:p>
        </w:tc>
        <w:tc>
          <w:tcPr>
            <w:tcW w:w="284" w:type="dxa"/>
          </w:tcPr>
          <w:p w14:paraId="2AA44CB9" w14:textId="77777777" w:rsidR="00BB452F" w:rsidRPr="00AA44E8" w:rsidRDefault="00BB452F" w:rsidP="00BB452F">
            <w:pPr>
              <w:jc w:val="right"/>
            </w:pPr>
          </w:p>
        </w:tc>
        <w:tc>
          <w:tcPr>
            <w:tcW w:w="1276" w:type="dxa"/>
            <w:tcBorders>
              <w:top w:val="single" w:sz="12" w:space="0" w:color="auto"/>
              <w:bottom w:val="single" w:sz="12" w:space="0" w:color="auto"/>
            </w:tcBorders>
            <w:vAlign w:val="bottom"/>
          </w:tcPr>
          <w:p w14:paraId="106B9E6F" w14:textId="52037438" w:rsidR="00BB452F" w:rsidRPr="00AA44E8" w:rsidRDefault="001C6AF5" w:rsidP="00BB452F">
            <w:pPr>
              <w:jc w:val="right"/>
            </w:pPr>
            <w:r>
              <w:t>(</w:t>
            </w:r>
            <w:r w:rsidR="0035562D">
              <w:t>1,88</w:t>
            </w:r>
            <w:r w:rsidR="004B65C6">
              <w:t>4</w:t>
            </w:r>
            <w:r w:rsidR="0035562D">
              <w:t>,</w:t>
            </w:r>
            <w:r w:rsidR="004B65C6">
              <w:t>929</w:t>
            </w:r>
            <w:r>
              <w:t>)</w:t>
            </w:r>
          </w:p>
        </w:tc>
        <w:tc>
          <w:tcPr>
            <w:tcW w:w="283" w:type="dxa"/>
            <w:tcBorders>
              <w:top w:val="single" w:sz="12" w:space="0" w:color="auto"/>
              <w:bottom w:val="single" w:sz="12" w:space="0" w:color="auto"/>
            </w:tcBorders>
            <w:vAlign w:val="bottom"/>
          </w:tcPr>
          <w:p w14:paraId="0BA9B702" w14:textId="77777777" w:rsidR="00BB452F" w:rsidRPr="00C05D5D" w:rsidRDefault="00BB452F" w:rsidP="00BB452F">
            <w:pPr>
              <w:jc w:val="center"/>
            </w:pPr>
          </w:p>
        </w:tc>
        <w:tc>
          <w:tcPr>
            <w:tcW w:w="1276" w:type="dxa"/>
            <w:gridSpan w:val="3"/>
            <w:tcBorders>
              <w:top w:val="single" w:sz="12" w:space="0" w:color="auto"/>
              <w:bottom w:val="single" w:sz="12" w:space="0" w:color="auto"/>
            </w:tcBorders>
            <w:vAlign w:val="bottom"/>
          </w:tcPr>
          <w:p w14:paraId="08DE816D" w14:textId="5CC2B505" w:rsidR="00BB452F" w:rsidRPr="00C05D5D" w:rsidRDefault="00BB452F" w:rsidP="00BB452F">
            <w:pPr>
              <w:jc w:val="right"/>
            </w:pPr>
            <w:r w:rsidRPr="00C05D5D">
              <w:t>(</w:t>
            </w:r>
            <w:r w:rsidR="001A593C">
              <w:t>7,442,627)</w:t>
            </w:r>
          </w:p>
        </w:tc>
      </w:tr>
      <w:tr w:rsidR="000A079E" w:rsidRPr="00C05D5D" w14:paraId="4D1112E6" w14:textId="77777777" w:rsidTr="000A079E">
        <w:trPr>
          <w:jc w:val="center"/>
        </w:trPr>
        <w:tc>
          <w:tcPr>
            <w:tcW w:w="4395" w:type="dxa"/>
            <w:gridSpan w:val="3"/>
          </w:tcPr>
          <w:p w14:paraId="60604472" w14:textId="48460EAA" w:rsidR="00D06D40" w:rsidRPr="00C078B7" w:rsidRDefault="00642A83" w:rsidP="00064A08">
            <w:pPr>
              <w:jc w:val="left"/>
            </w:pPr>
            <w:r>
              <w:t xml:space="preserve">      </w:t>
            </w:r>
            <w:r w:rsidR="00D06D40">
              <w:t>Other comprehensive income (loss)</w:t>
            </w:r>
          </w:p>
        </w:tc>
        <w:tc>
          <w:tcPr>
            <w:tcW w:w="283" w:type="dxa"/>
            <w:gridSpan w:val="2"/>
            <w:tcBorders>
              <w:top w:val="single" w:sz="12" w:space="0" w:color="auto"/>
            </w:tcBorders>
            <w:vAlign w:val="bottom"/>
          </w:tcPr>
          <w:p w14:paraId="682EA3C7" w14:textId="77777777" w:rsidR="00D06D40" w:rsidRPr="00C078B7" w:rsidRDefault="00D06D40" w:rsidP="00BB452F">
            <w:pPr>
              <w:jc w:val="center"/>
            </w:pPr>
          </w:p>
        </w:tc>
        <w:tc>
          <w:tcPr>
            <w:tcW w:w="1418" w:type="dxa"/>
            <w:gridSpan w:val="2"/>
            <w:tcBorders>
              <w:top w:val="single" w:sz="12" w:space="0" w:color="auto"/>
            </w:tcBorders>
            <w:vAlign w:val="bottom"/>
          </w:tcPr>
          <w:p w14:paraId="604DE561" w14:textId="77777777" w:rsidR="00D06D40" w:rsidRPr="00AA44E8" w:rsidRDefault="00D06D40" w:rsidP="00BB452F">
            <w:pPr>
              <w:jc w:val="right"/>
            </w:pPr>
          </w:p>
        </w:tc>
        <w:tc>
          <w:tcPr>
            <w:tcW w:w="283" w:type="dxa"/>
            <w:tcBorders>
              <w:top w:val="single" w:sz="12" w:space="0" w:color="auto"/>
            </w:tcBorders>
            <w:vAlign w:val="bottom"/>
          </w:tcPr>
          <w:p w14:paraId="27659D25" w14:textId="77777777" w:rsidR="00D06D40" w:rsidRPr="00C078B7" w:rsidRDefault="00D06D40" w:rsidP="00BB452F">
            <w:pPr>
              <w:jc w:val="center"/>
            </w:pPr>
          </w:p>
        </w:tc>
        <w:tc>
          <w:tcPr>
            <w:tcW w:w="1276" w:type="dxa"/>
            <w:tcBorders>
              <w:top w:val="single" w:sz="12" w:space="0" w:color="auto"/>
            </w:tcBorders>
            <w:vAlign w:val="bottom"/>
          </w:tcPr>
          <w:p w14:paraId="004A654B" w14:textId="77777777" w:rsidR="00D06D40" w:rsidRPr="00C078B7" w:rsidRDefault="00D06D40" w:rsidP="00BB452F">
            <w:pPr>
              <w:jc w:val="right"/>
            </w:pPr>
          </w:p>
        </w:tc>
        <w:tc>
          <w:tcPr>
            <w:tcW w:w="283" w:type="dxa"/>
            <w:vAlign w:val="bottom"/>
          </w:tcPr>
          <w:p w14:paraId="411CA159" w14:textId="77777777" w:rsidR="00D06D40" w:rsidRPr="00C05D5D" w:rsidRDefault="00D06D40" w:rsidP="00BB452F">
            <w:pPr>
              <w:jc w:val="center"/>
            </w:pPr>
          </w:p>
        </w:tc>
        <w:tc>
          <w:tcPr>
            <w:tcW w:w="284" w:type="dxa"/>
          </w:tcPr>
          <w:p w14:paraId="74EB6861" w14:textId="77777777" w:rsidR="00D06D40" w:rsidRPr="00AA44E8" w:rsidRDefault="00D06D40" w:rsidP="00BB452F">
            <w:pPr>
              <w:jc w:val="right"/>
            </w:pPr>
          </w:p>
        </w:tc>
        <w:tc>
          <w:tcPr>
            <w:tcW w:w="1276" w:type="dxa"/>
            <w:tcBorders>
              <w:top w:val="single" w:sz="12" w:space="0" w:color="auto"/>
            </w:tcBorders>
            <w:vAlign w:val="bottom"/>
          </w:tcPr>
          <w:p w14:paraId="0266A888" w14:textId="7C200EF9" w:rsidR="00D06D40" w:rsidRPr="00AA44E8" w:rsidRDefault="00D06D40" w:rsidP="00BB452F">
            <w:pPr>
              <w:jc w:val="right"/>
            </w:pPr>
          </w:p>
        </w:tc>
        <w:tc>
          <w:tcPr>
            <w:tcW w:w="283" w:type="dxa"/>
            <w:tcBorders>
              <w:top w:val="single" w:sz="12" w:space="0" w:color="auto"/>
            </w:tcBorders>
            <w:vAlign w:val="bottom"/>
          </w:tcPr>
          <w:p w14:paraId="375C1910" w14:textId="77777777" w:rsidR="00D06D40" w:rsidRPr="00C05D5D" w:rsidRDefault="00D06D40" w:rsidP="00BB452F">
            <w:pPr>
              <w:jc w:val="center"/>
            </w:pPr>
          </w:p>
        </w:tc>
        <w:tc>
          <w:tcPr>
            <w:tcW w:w="1276" w:type="dxa"/>
            <w:gridSpan w:val="3"/>
            <w:tcBorders>
              <w:top w:val="single" w:sz="12" w:space="0" w:color="auto"/>
            </w:tcBorders>
            <w:vAlign w:val="bottom"/>
          </w:tcPr>
          <w:p w14:paraId="633A425F" w14:textId="77777777" w:rsidR="00D06D40" w:rsidRPr="00C05D5D" w:rsidRDefault="00D06D40" w:rsidP="00BB452F">
            <w:pPr>
              <w:jc w:val="right"/>
            </w:pPr>
          </w:p>
        </w:tc>
      </w:tr>
      <w:tr w:rsidR="00642A83" w:rsidRPr="00C05D5D" w14:paraId="2A599EB6" w14:textId="77777777" w:rsidTr="000A079E">
        <w:trPr>
          <w:jc w:val="center"/>
        </w:trPr>
        <w:tc>
          <w:tcPr>
            <w:tcW w:w="3686" w:type="dxa"/>
            <w:gridSpan w:val="2"/>
          </w:tcPr>
          <w:p w14:paraId="230ED9F9" w14:textId="61DD92B5" w:rsidR="00BB452F" w:rsidRPr="00C078B7" w:rsidRDefault="00BB452F" w:rsidP="00064A08">
            <w:pPr>
              <w:ind w:left="288"/>
              <w:jc w:val="left"/>
            </w:pPr>
            <w:r w:rsidRPr="00064A08">
              <w:rPr>
                <w:color w:val="000000"/>
              </w:rPr>
              <w:t>Foreign currency</w:t>
            </w:r>
            <w:r>
              <w:rPr>
                <w:color w:val="000000"/>
              </w:rPr>
              <w:t xml:space="preserve"> </w:t>
            </w:r>
            <w:r w:rsidRPr="00064A08">
              <w:rPr>
                <w:color w:val="000000"/>
              </w:rPr>
              <w:t>translation</w:t>
            </w:r>
          </w:p>
        </w:tc>
        <w:tc>
          <w:tcPr>
            <w:tcW w:w="709" w:type="dxa"/>
            <w:shd w:val="clear" w:color="auto" w:fill="auto"/>
          </w:tcPr>
          <w:p w14:paraId="0BCCE5D3" w14:textId="77777777" w:rsidR="00BB452F" w:rsidRPr="00C078B7" w:rsidRDefault="00BB452F" w:rsidP="00BB452F">
            <w:pPr>
              <w:jc w:val="center"/>
            </w:pPr>
          </w:p>
        </w:tc>
        <w:tc>
          <w:tcPr>
            <w:tcW w:w="283" w:type="dxa"/>
            <w:gridSpan w:val="2"/>
            <w:tcBorders>
              <w:bottom w:val="single" w:sz="4" w:space="0" w:color="auto"/>
            </w:tcBorders>
            <w:vAlign w:val="bottom"/>
          </w:tcPr>
          <w:p w14:paraId="4E998440" w14:textId="77777777" w:rsidR="00BB452F" w:rsidRPr="00C078B7" w:rsidRDefault="00BB452F" w:rsidP="00BB452F">
            <w:pPr>
              <w:jc w:val="center"/>
            </w:pPr>
          </w:p>
        </w:tc>
        <w:tc>
          <w:tcPr>
            <w:tcW w:w="1418" w:type="dxa"/>
            <w:gridSpan w:val="2"/>
            <w:tcBorders>
              <w:bottom w:val="single" w:sz="4" w:space="0" w:color="auto"/>
            </w:tcBorders>
            <w:vAlign w:val="bottom"/>
          </w:tcPr>
          <w:p w14:paraId="727378B8" w14:textId="7C720B32" w:rsidR="00BB452F" w:rsidRPr="00AA44E8" w:rsidRDefault="001C6AF5" w:rsidP="00BB452F">
            <w:pPr>
              <w:jc w:val="right"/>
            </w:pPr>
            <w:r>
              <w:t>(</w:t>
            </w:r>
            <w:r w:rsidR="005779F6">
              <w:t>8</w:t>
            </w:r>
            <w:r w:rsidR="0035562D">
              <w:t>69</w:t>
            </w:r>
            <w:r>
              <w:t>,</w:t>
            </w:r>
            <w:r w:rsidR="004B65C6">
              <w:t>604</w:t>
            </w:r>
            <w:r>
              <w:t>)</w:t>
            </w:r>
          </w:p>
        </w:tc>
        <w:tc>
          <w:tcPr>
            <w:tcW w:w="283" w:type="dxa"/>
            <w:tcBorders>
              <w:bottom w:val="single" w:sz="4" w:space="0" w:color="auto"/>
            </w:tcBorders>
            <w:vAlign w:val="bottom"/>
          </w:tcPr>
          <w:p w14:paraId="52EB1325" w14:textId="77777777" w:rsidR="00BB452F" w:rsidRPr="00C078B7" w:rsidRDefault="00BB452F" w:rsidP="00BB452F">
            <w:pPr>
              <w:jc w:val="center"/>
            </w:pPr>
          </w:p>
        </w:tc>
        <w:tc>
          <w:tcPr>
            <w:tcW w:w="1276" w:type="dxa"/>
            <w:tcBorders>
              <w:bottom w:val="single" w:sz="4" w:space="0" w:color="auto"/>
            </w:tcBorders>
            <w:vAlign w:val="bottom"/>
          </w:tcPr>
          <w:p w14:paraId="1F4A464A" w14:textId="141D1C7B" w:rsidR="00BB452F" w:rsidRPr="00C078B7" w:rsidRDefault="00BB452F" w:rsidP="00BB452F">
            <w:pPr>
              <w:jc w:val="right"/>
            </w:pPr>
            <w:r w:rsidRPr="00C078B7">
              <w:t>(</w:t>
            </w:r>
            <w:r w:rsidR="00D06D40">
              <w:t>103,227</w:t>
            </w:r>
            <w:r w:rsidRPr="00C078B7">
              <w:t>)</w:t>
            </w:r>
          </w:p>
        </w:tc>
        <w:tc>
          <w:tcPr>
            <w:tcW w:w="283" w:type="dxa"/>
            <w:vAlign w:val="bottom"/>
          </w:tcPr>
          <w:p w14:paraId="7F77422C" w14:textId="77777777" w:rsidR="00BB452F" w:rsidRPr="00C05D5D" w:rsidRDefault="00BB452F" w:rsidP="00BB452F">
            <w:pPr>
              <w:jc w:val="center"/>
            </w:pPr>
          </w:p>
        </w:tc>
        <w:tc>
          <w:tcPr>
            <w:tcW w:w="284" w:type="dxa"/>
            <w:tcBorders>
              <w:bottom w:val="single" w:sz="4" w:space="0" w:color="auto"/>
            </w:tcBorders>
          </w:tcPr>
          <w:p w14:paraId="3AE32FDE" w14:textId="77777777" w:rsidR="00BB452F" w:rsidRDefault="00BB452F" w:rsidP="00BB452F">
            <w:pPr>
              <w:jc w:val="right"/>
            </w:pPr>
          </w:p>
        </w:tc>
        <w:tc>
          <w:tcPr>
            <w:tcW w:w="1276" w:type="dxa"/>
            <w:tcBorders>
              <w:bottom w:val="single" w:sz="4" w:space="0" w:color="auto"/>
            </w:tcBorders>
            <w:vAlign w:val="bottom"/>
          </w:tcPr>
          <w:p w14:paraId="1D328228" w14:textId="24999FDA" w:rsidR="00BB452F" w:rsidRPr="00AA44E8" w:rsidRDefault="001C6AF5" w:rsidP="00BB452F">
            <w:pPr>
              <w:jc w:val="right"/>
            </w:pPr>
            <w:r>
              <w:t>(</w:t>
            </w:r>
            <w:r w:rsidR="0035562D">
              <w:t>72</w:t>
            </w:r>
            <w:r w:rsidR="000F0E2F">
              <w:t>4</w:t>
            </w:r>
            <w:r w:rsidR="0035562D">
              <w:t>,</w:t>
            </w:r>
            <w:r w:rsidR="000F0E2F">
              <w:t>886</w:t>
            </w:r>
            <w:r>
              <w:t>)</w:t>
            </w:r>
          </w:p>
        </w:tc>
        <w:tc>
          <w:tcPr>
            <w:tcW w:w="283" w:type="dxa"/>
            <w:tcBorders>
              <w:bottom w:val="single" w:sz="4" w:space="0" w:color="auto"/>
            </w:tcBorders>
            <w:vAlign w:val="bottom"/>
          </w:tcPr>
          <w:p w14:paraId="35B7E8DC" w14:textId="77777777" w:rsidR="00BB452F" w:rsidRPr="00C05D5D" w:rsidRDefault="00BB452F" w:rsidP="00BB452F">
            <w:pPr>
              <w:jc w:val="center"/>
            </w:pPr>
          </w:p>
        </w:tc>
        <w:tc>
          <w:tcPr>
            <w:tcW w:w="1276" w:type="dxa"/>
            <w:gridSpan w:val="3"/>
            <w:tcBorders>
              <w:bottom w:val="single" w:sz="4" w:space="0" w:color="auto"/>
            </w:tcBorders>
            <w:vAlign w:val="bottom"/>
          </w:tcPr>
          <w:p w14:paraId="6B6D1FD4" w14:textId="241CE99F" w:rsidR="00BB452F" w:rsidRPr="00C05D5D" w:rsidRDefault="001A593C" w:rsidP="00BB452F">
            <w:pPr>
              <w:jc w:val="right"/>
            </w:pPr>
            <w:r>
              <w:t>(185,844)</w:t>
            </w:r>
          </w:p>
        </w:tc>
      </w:tr>
      <w:tr w:rsidR="000A079E" w:rsidRPr="00C05D5D" w14:paraId="271AA9B5" w14:textId="77777777" w:rsidTr="00E47F6C">
        <w:trPr>
          <w:jc w:val="center"/>
        </w:trPr>
        <w:tc>
          <w:tcPr>
            <w:tcW w:w="3686" w:type="dxa"/>
            <w:gridSpan w:val="2"/>
          </w:tcPr>
          <w:p w14:paraId="26473F33" w14:textId="12D689E5" w:rsidR="00BB452F" w:rsidRPr="00C078B7" w:rsidRDefault="00BB452F" w:rsidP="00BB452F">
            <w:pPr>
              <w:rPr>
                <w:b/>
              </w:rPr>
            </w:pPr>
            <w:r w:rsidRPr="00C078B7">
              <w:rPr>
                <w:b/>
              </w:rPr>
              <w:t xml:space="preserve">Comprehensive </w:t>
            </w:r>
            <w:r w:rsidR="00D06D40">
              <w:rPr>
                <w:b/>
              </w:rPr>
              <w:t>income (</w:t>
            </w:r>
            <w:r w:rsidRPr="00C078B7">
              <w:rPr>
                <w:b/>
              </w:rPr>
              <w:t>loss</w:t>
            </w:r>
            <w:r w:rsidR="00D06D40">
              <w:rPr>
                <w:b/>
              </w:rPr>
              <w:t>)</w:t>
            </w:r>
            <w:r w:rsidRPr="00C078B7">
              <w:rPr>
                <w:b/>
              </w:rPr>
              <w:t xml:space="preserve"> </w:t>
            </w:r>
          </w:p>
        </w:tc>
        <w:tc>
          <w:tcPr>
            <w:tcW w:w="709" w:type="dxa"/>
            <w:shd w:val="clear" w:color="auto" w:fill="auto"/>
          </w:tcPr>
          <w:p w14:paraId="165054B5" w14:textId="77777777" w:rsidR="00BB452F" w:rsidRPr="00C078B7" w:rsidRDefault="00BB452F" w:rsidP="00BB452F">
            <w:pPr>
              <w:jc w:val="center"/>
            </w:pPr>
          </w:p>
        </w:tc>
        <w:tc>
          <w:tcPr>
            <w:tcW w:w="283" w:type="dxa"/>
            <w:gridSpan w:val="2"/>
            <w:tcBorders>
              <w:top w:val="single" w:sz="4" w:space="0" w:color="auto"/>
              <w:bottom w:val="single" w:sz="12" w:space="0" w:color="auto"/>
            </w:tcBorders>
            <w:vAlign w:val="bottom"/>
          </w:tcPr>
          <w:p w14:paraId="22CE5AAE" w14:textId="77777777" w:rsidR="00BB452F" w:rsidRPr="00C078B7" w:rsidRDefault="00BB452F" w:rsidP="00BB452F">
            <w:pPr>
              <w:jc w:val="center"/>
            </w:pPr>
            <w:r w:rsidRPr="00C078B7">
              <w:t>$</w:t>
            </w:r>
          </w:p>
        </w:tc>
        <w:tc>
          <w:tcPr>
            <w:tcW w:w="1418" w:type="dxa"/>
            <w:gridSpan w:val="2"/>
            <w:tcBorders>
              <w:top w:val="single" w:sz="4" w:space="0" w:color="auto"/>
              <w:bottom w:val="single" w:sz="12" w:space="0" w:color="auto"/>
            </w:tcBorders>
            <w:vAlign w:val="bottom"/>
          </w:tcPr>
          <w:p w14:paraId="61797E28" w14:textId="3901D63C" w:rsidR="00BB452F" w:rsidRPr="00AA44E8" w:rsidRDefault="001C6AF5" w:rsidP="00BB452F">
            <w:pPr>
              <w:jc w:val="right"/>
            </w:pPr>
            <w:r>
              <w:t>(</w:t>
            </w:r>
            <w:r w:rsidR="0035562D">
              <w:t>823,</w:t>
            </w:r>
            <w:r w:rsidR="004B65C6">
              <w:t>35</w:t>
            </w:r>
            <w:r w:rsidR="0035562D">
              <w:t>8</w:t>
            </w:r>
            <w:r>
              <w:t>)</w:t>
            </w:r>
          </w:p>
        </w:tc>
        <w:tc>
          <w:tcPr>
            <w:tcW w:w="283" w:type="dxa"/>
            <w:tcBorders>
              <w:top w:val="single" w:sz="4" w:space="0" w:color="auto"/>
              <w:bottom w:val="single" w:sz="12" w:space="0" w:color="auto"/>
            </w:tcBorders>
            <w:vAlign w:val="bottom"/>
          </w:tcPr>
          <w:p w14:paraId="0CE9A02C" w14:textId="77777777" w:rsidR="00BB452F" w:rsidRPr="00C078B7" w:rsidRDefault="00BB452F" w:rsidP="00BB452F">
            <w:pPr>
              <w:jc w:val="center"/>
            </w:pPr>
            <w:r w:rsidRPr="00C078B7">
              <w:t>$</w:t>
            </w:r>
          </w:p>
        </w:tc>
        <w:tc>
          <w:tcPr>
            <w:tcW w:w="1276" w:type="dxa"/>
            <w:tcBorders>
              <w:top w:val="single" w:sz="4" w:space="0" w:color="auto"/>
              <w:bottom w:val="single" w:sz="12" w:space="0" w:color="auto"/>
            </w:tcBorders>
            <w:vAlign w:val="bottom"/>
          </w:tcPr>
          <w:p w14:paraId="79B27114" w14:textId="50D55099" w:rsidR="00BB452F" w:rsidRPr="00C078B7" w:rsidRDefault="00D06D40" w:rsidP="00BB452F">
            <w:pPr>
              <w:jc w:val="right"/>
            </w:pPr>
            <w:r>
              <w:t>1,808,934</w:t>
            </w:r>
          </w:p>
        </w:tc>
        <w:tc>
          <w:tcPr>
            <w:tcW w:w="283" w:type="dxa"/>
            <w:tcBorders>
              <w:bottom w:val="single" w:sz="12" w:space="0" w:color="auto"/>
            </w:tcBorders>
            <w:vAlign w:val="bottom"/>
          </w:tcPr>
          <w:p w14:paraId="4DA8F5D7" w14:textId="79E965AC" w:rsidR="00BB452F" w:rsidRPr="00C05D5D" w:rsidRDefault="00BB452F" w:rsidP="00BB452F">
            <w:pPr>
              <w:jc w:val="center"/>
            </w:pPr>
          </w:p>
        </w:tc>
        <w:tc>
          <w:tcPr>
            <w:tcW w:w="284" w:type="dxa"/>
            <w:tcBorders>
              <w:top w:val="single" w:sz="4" w:space="0" w:color="auto"/>
              <w:bottom w:val="single" w:sz="12" w:space="0" w:color="auto"/>
            </w:tcBorders>
          </w:tcPr>
          <w:p w14:paraId="59C38174" w14:textId="3DF78560" w:rsidR="00BB452F" w:rsidRPr="00AA44E8" w:rsidRDefault="00BB452F" w:rsidP="00BB452F">
            <w:pPr>
              <w:jc w:val="right"/>
            </w:pPr>
            <w:r w:rsidRPr="00C05D5D">
              <w:t>$</w:t>
            </w:r>
          </w:p>
        </w:tc>
        <w:tc>
          <w:tcPr>
            <w:tcW w:w="1276" w:type="dxa"/>
            <w:tcBorders>
              <w:top w:val="single" w:sz="4" w:space="0" w:color="auto"/>
              <w:bottom w:val="single" w:sz="12" w:space="0" w:color="auto"/>
            </w:tcBorders>
            <w:vAlign w:val="bottom"/>
          </w:tcPr>
          <w:p w14:paraId="65EC1065" w14:textId="03ACBA93" w:rsidR="00BB452F" w:rsidRPr="00AA44E8" w:rsidRDefault="001C6AF5" w:rsidP="00BB452F">
            <w:pPr>
              <w:jc w:val="right"/>
            </w:pPr>
            <w:r>
              <w:t>(2,</w:t>
            </w:r>
            <w:r w:rsidR="0035562D">
              <w:t>6</w:t>
            </w:r>
            <w:r w:rsidR="000F0E2F">
              <w:t>09</w:t>
            </w:r>
            <w:r w:rsidR="0035562D">
              <w:t>,</w:t>
            </w:r>
            <w:r w:rsidR="000F0E2F">
              <w:t>815</w:t>
            </w:r>
            <w:r>
              <w:t>)</w:t>
            </w:r>
          </w:p>
        </w:tc>
        <w:tc>
          <w:tcPr>
            <w:tcW w:w="283" w:type="dxa"/>
            <w:tcBorders>
              <w:top w:val="single" w:sz="4" w:space="0" w:color="auto"/>
              <w:bottom w:val="single" w:sz="12" w:space="0" w:color="auto"/>
            </w:tcBorders>
            <w:vAlign w:val="bottom"/>
          </w:tcPr>
          <w:p w14:paraId="2C3DE3FC" w14:textId="77777777" w:rsidR="00BB452F" w:rsidRPr="00C05D5D" w:rsidRDefault="00BB452F" w:rsidP="00BB452F">
            <w:pPr>
              <w:jc w:val="center"/>
            </w:pPr>
            <w:r w:rsidRPr="00C05D5D">
              <w:t>$</w:t>
            </w:r>
          </w:p>
        </w:tc>
        <w:tc>
          <w:tcPr>
            <w:tcW w:w="1276" w:type="dxa"/>
            <w:gridSpan w:val="3"/>
            <w:tcBorders>
              <w:top w:val="single" w:sz="4" w:space="0" w:color="auto"/>
              <w:bottom w:val="single" w:sz="12" w:space="0" w:color="auto"/>
            </w:tcBorders>
            <w:vAlign w:val="bottom"/>
          </w:tcPr>
          <w:p w14:paraId="5D600699" w14:textId="3094532D" w:rsidR="00BB452F" w:rsidRPr="00C05D5D" w:rsidRDefault="00BB452F" w:rsidP="00BB452F">
            <w:pPr>
              <w:jc w:val="right"/>
            </w:pPr>
            <w:r w:rsidRPr="00C05D5D">
              <w:t>(</w:t>
            </w:r>
            <w:r w:rsidR="001A593C">
              <w:t>7,628,471</w:t>
            </w:r>
            <w:r w:rsidRPr="00C05D5D">
              <w:t>)</w:t>
            </w:r>
          </w:p>
        </w:tc>
      </w:tr>
      <w:tr w:rsidR="00E47F6C" w:rsidRPr="00C05D5D" w14:paraId="57F2C44D" w14:textId="77777777" w:rsidTr="00E47F6C">
        <w:trPr>
          <w:jc w:val="center"/>
        </w:trPr>
        <w:tc>
          <w:tcPr>
            <w:tcW w:w="3686" w:type="dxa"/>
            <w:gridSpan w:val="2"/>
          </w:tcPr>
          <w:p w14:paraId="779289B8" w14:textId="77777777" w:rsidR="00BB452F" w:rsidRPr="00C078B7" w:rsidRDefault="00BB452F" w:rsidP="00BB452F"/>
        </w:tc>
        <w:tc>
          <w:tcPr>
            <w:tcW w:w="709" w:type="dxa"/>
            <w:shd w:val="clear" w:color="auto" w:fill="auto"/>
          </w:tcPr>
          <w:p w14:paraId="4BBA5439" w14:textId="77777777" w:rsidR="00BB452F" w:rsidRPr="00C078B7" w:rsidRDefault="00BB452F" w:rsidP="00BB452F">
            <w:pPr>
              <w:jc w:val="center"/>
            </w:pPr>
          </w:p>
        </w:tc>
        <w:tc>
          <w:tcPr>
            <w:tcW w:w="283" w:type="dxa"/>
            <w:gridSpan w:val="2"/>
            <w:tcBorders>
              <w:top w:val="single" w:sz="12" w:space="0" w:color="auto"/>
            </w:tcBorders>
            <w:vAlign w:val="bottom"/>
          </w:tcPr>
          <w:p w14:paraId="463DFCA0" w14:textId="77777777" w:rsidR="00BB452F" w:rsidRPr="00C078B7" w:rsidRDefault="00BB452F" w:rsidP="00BB452F">
            <w:pPr>
              <w:jc w:val="center"/>
            </w:pPr>
          </w:p>
        </w:tc>
        <w:tc>
          <w:tcPr>
            <w:tcW w:w="1418" w:type="dxa"/>
            <w:gridSpan w:val="2"/>
            <w:tcBorders>
              <w:top w:val="single" w:sz="12" w:space="0" w:color="auto"/>
            </w:tcBorders>
            <w:vAlign w:val="bottom"/>
          </w:tcPr>
          <w:p w14:paraId="531171DF" w14:textId="77777777" w:rsidR="00BB452F" w:rsidRPr="00AA44E8" w:rsidRDefault="00BB452F" w:rsidP="00BB452F">
            <w:pPr>
              <w:jc w:val="right"/>
            </w:pPr>
          </w:p>
        </w:tc>
        <w:tc>
          <w:tcPr>
            <w:tcW w:w="283" w:type="dxa"/>
            <w:tcBorders>
              <w:top w:val="single" w:sz="12" w:space="0" w:color="auto"/>
            </w:tcBorders>
            <w:vAlign w:val="bottom"/>
          </w:tcPr>
          <w:p w14:paraId="5F4A597E" w14:textId="77777777" w:rsidR="00BB452F" w:rsidRPr="00C078B7" w:rsidRDefault="00BB452F" w:rsidP="00BB452F">
            <w:pPr>
              <w:jc w:val="center"/>
            </w:pPr>
          </w:p>
        </w:tc>
        <w:tc>
          <w:tcPr>
            <w:tcW w:w="1276" w:type="dxa"/>
            <w:tcBorders>
              <w:top w:val="single" w:sz="12" w:space="0" w:color="auto"/>
            </w:tcBorders>
            <w:vAlign w:val="bottom"/>
          </w:tcPr>
          <w:p w14:paraId="42581CAD" w14:textId="77777777" w:rsidR="00BB452F" w:rsidRPr="00C078B7" w:rsidRDefault="00BB452F" w:rsidP="00BB452F">
            <w:pPr>
              <w:jc w:val="right"/>
            </w:pPr>
          </w:p>
        </w:tc>
        <w:tc>
          <w:tcPr>
            <w:tcW w:w="283" w:type="dxa"/>
            <w:tcBorders>
              <w:top w:val="single" w:sz="12" w:space="0" w:color="auto"/>
            </w:tcBorders>
            <w:vAlign w:val="bottom"/>
          </w:tcPr>
          <w:p w14:paraId="4950F3E3" w14:textId="77777777" w:rsidR="00BB452F" w:rsidRPr="00C05D5D" w:rsidRDefault="00BB452F" w:rsidP="00BB452F">
            <w:pPr>
              <w:jc w:val="center"/>
            </w:pPr>
          </w:p>
        </w:tc>
        <w:tc>
          <w:tcPr>
            <w:tcW w:w="284" w:type="dxa"/>
            <w:tcBorders>
              <w:top w:val="single" w:sz="12" w:space="0" w:color="auto"/>
            </w:tcBorders>
          </w:tcPr>
          <w:p w14:paraId="0250FF7D" w14:textId="77777777" w:rsidR="00BB452F" w:rsidRPr="00AA44E8" w:rsidRDefault="00BB452F" w:rsidP="00BB452F">
            <w:pPr>
              <w:jc w:val="right"/>
            </w:pPr>
          </w:p>
        </w:tc>
        <w:tc>
          <w:tcPr>
            <w:tcW w:w="1276" w:type="dxa"/>
            <w:tcBorders>
              <w:top w:val="single" w:sz="12" w:space="0" w:color="auto"/>
            </w:tcBorders>
            <w:vAlign w:val="bottom"/>
          </w:tcPr>
          <w:p w14:paraId="41A9198A" w14:textId="3C4A1D40" w:rsidR="00BB452F" w:rsidRPr="00AA44E8" w:rsidRDefault="00BB452F" w:rsidP="00BB452F">
            <w:pPr>
              <w:jc w:val="right"/>
            </w:pPr>
          </w:p>
        </w:tc>
        <w:tc>
          <w:tcPr>
            <w:tcW w:w="283" w:type="dxa"/>
            <w:tcBorders>
              <w:top w:val="single" w:sz="12" w:space="0" w:color="auto"/>
            </w:tcBorders>
            <w:vAlign w:val="bottom"/>
          </w:tcPr>
          <w:p w14:paraId="0F45A751" w14:textId="77777777" w:rsidR="00BB452F" w:rsidRPr="00C05D5D" w:rsidRDefault="00BB452F" w:rsidP="00BB452F">
            <w:pPr>
              <w:jc w:val="center"/>
            </w:pPr>
          </w:p>
        </w:tc>
        <w:tc>
          <w:tcPr>
            <w:tcW w:w="1276" w:type="dxa"/>
            <w:gridSpan w:val="3"/>
            <w:tcBorders>
              <w:top w:val="single" w:sz="12" w:space="0" w:color="auto"/>
            </w:tcBorders>
            <w:vAlign w:val="bottom"/>
          </w:tcPr>
          <w:p w14:paraId="7E307C47" w14:textId="77777777" w:rsidR="00BB452F" w:rsidRPr="00C05D5D" w:rsidRDefault="00BB452F" w:rsidP="00BB452F">
            <w:pPr>
              <w:jc w:val="right"/>
            </w:pPr>
          </w:p>
        </w:tc>
      </w:tr>
      <w:tr w:rsidR="000A079E" w:rsidRPr="00C05D5D" w14:paraId="1981BA8A" w14:textId="77777777" w:rsidTr="00E47F6C">
        <w:trPr>
          <w:jc w:val="center"/>
        </w:trPr>
        <w:tc>
          <w:tcPr>
            <w:tcW w:w="3686" w:type="dxa"/>
            <w:gridSpan w:val="2"/>
          </w:tcPr>
          <w:p w14:paraId="7B80EDD3" w14:textId="77777777" w:rsidR="000A079E" w:rsidRDefault="000A079E" w:rsidP="00BB452F"/>
          <w:p w14:paraId="598A1085" w14:textId="4AFD8916" w:rsidR="00BB452F" w:rsidRPr="00C078B7" w:rsidRDefault="00BB452F" w:rsidP="00BB452F">
            <w:r w:rsidRPr="00C078B7">
              <w:t>Loss per share – Basic and diluted</w:t>
            </w:r>
          </w:p>
        </w:tc>
        <w:tc>
          <w:tcPr>
            <w:tcW w:w="709" w:type="dxa"/>
            <w:shd w:val="clear" w:color="auto" w:fill="auto"/>
          </w:tcPr>
          <w:p w14:paraId="20A89DC7" w14:textId="77777777" w:rsidR="00BB452F" w:rsidRPr="00C078B7" w:rsidRDefault="00BB452F" w:rsidP="00BB452F">
            <w:pPr>
              <w:jc w:val="center"/>
            </w:pPr>
          </w:p>
        </w:tc>
        <w:tc>
          <w:tcPr>
            <w:tcW w:w="283" w:type="dxa"/>
            <w:gridSpan w:val="2"/>
            <w:tcBorders>
              <w:bottom w:val="single" w:sz="12" w:space="0" w:color="auto"/>
            </w:tcBorders>
            <w:vAlign w:val="bottom"/>
          </w:tcPr>
          <w:p w14:paraId="7FB99E80" w14:textId="77777777" w:rsidR="00BB452F" w:rsidRPr="00C078B7" w:rsidRDefault="00BB452F" w:rsidP="00BB452F">
            <w:pPr>
              <w:jc w:val="center"/>
            </w:pPr>
            <w:r w:rsidRPr="00C078B7">
              <w:t>$</w:t>
            </w:r>
          </w:p>
        </w:tc>
        <w:tc>
          <w:tcPr>
            <w:tcW w:w="1418" w:type="dxa"/>
            <w:gridSpan w:val="2"/>
            <w:tcBorders>
              <w:bottom w:val="single" w:sz="12" w:space="0" w:color="auto"/>
            </w:tcBorders>
            <w:vAlign w:val="bottom"/>
          </w:tcPr>
          <w:p w14:paraId="0F029215" w14:textId="214A70FA" w:rsidR="00BB452F" w:rsidRPr="00AA44E8" w:rsidRDefault="001C6AF5" w:rsidP="00BB452F">
            <w:pPr>
              <w:jc w:val="right"/>
            </w:pPr>
            <w:r>
              <w:t>0.00</w:t>
            </w:r>
          </w:p>
        </w:tc>
        <w:tc>
          <w:tcPr>
            <w:tcW w:w="283" w:type="dxa"/>
            <w:tcBorders>
              <w:bottom w:val="single" w:sz="12" w:space="0" w:color="auto"/>
            </w:tcBorders>
            <w:vAlign w:val="bottom"/>
          </w:tcPr>
          <w:p w14:paraId="70AAF396" w14:textId="77777777" w:rsidR="00BB452F" w:rsidRPr="00C078B7" w:rsidRDefault="00BB452F" w:rsidP="00BB452F">
            <w:pPr>
              <w:jc w:val="center"/>
            </w:pPr>
            <w:r w:rsidRPr="00C078B7">
              <w:t>$</w:t>
            </w:r>
          </w:p>
        </w:tc>
        <w:tc>
          <w:tcPr>
            <w:tcW w:w="1276" w:type="dxa"/>
            <w:tcBorders>
              <w:bottom w:val="single" w:sz="12" w:space="0" w:color="auto"/>
            </w:tcBorders>
            <w:shd w:val="clear" w:color="auto" w:fill="auto"/>
            <w:vAlign w:val="bottom"/>
          </w:tcPr>
          <w:p w14:paraId="694FB807" w14:textId="663E1817" w:rsidR="00BB452F" w:rsidRPr="00C078B7" w:rsidRDefault="00BB452F" w:rsidP="00BB452F">
            <w:pPr>
              <w:jc w:val="right"/>
            </w:pPr>
            <w:r w:rsidRPr="00C078B7">
              <w:t>0.0</w:t>
            </w:r>
            <w:r w:rsidR="00D06D40">
              <w:t>1</w:t>
            </w:r>
          </w:p>
        </w:tc>
        <w:tc>
          <w:tcPr>
            <w:tcW w:w="283" w:type="dxa"/>
            <w:tcBorders>
              <w:bottom w:val="single" w:sz="12" w:space="0" w:color="auto"/>
            </w:tcBorders>
            <w:vAlign w:val="bottom"/>
          </w:tcPr>
          <w:p w14:paraId="3253CC2C" w14:textId="24947837" w:rsidR="00BB452F" w:rsidRPr="00C05D5D" w:rsidRDefault="00BB452F" w:rsidP="00BB452F">
            <w:pPr>
              <w:jc w:val="center"/>
            </w:pPr>
          </w:p>
        </w:tc>
        <w:tc>
          <w:tcPr>
            <w:tcW w:w="284" w:type="dxa"/>
            <w:tcBorders>
              <w:bottom w:val="single" w:sz="12" w:space="0" w:color="auto"/>
            </w:tcBorders>
          </w:tcPr>
          <w:p w14:paraId="43D74505" w14:textId="77777777" w:rsidR="00BB452F" w:rsidRDefault="00BB452F" w:rsidP="00BB452F">
            <w:pPr>
              <w:jc w:val="right"/>
            </w:pPr>
          </w:p>
          <w:p w14:paraId="7E02AC0F" w14:textId="5CFF2910" w:rsidR="00BB452F" w:rsidRPr="00AA44E8" w:rsidRDefault="00BB452F" w:rsidP="00BB452F">
            <w:pPr>
              <w:jc w:val="right"/>
            </w:pPr>
            <w:r w:rsidRPr="00C05D5D">
              <w:t>$</w:t>
            </w:r>
          </w:p>
        </w:tc>
        <w:tc>
          <w:tcPr>
            <w:tcW w:w="1276" w:type="dxa"/>
            <w:tcBorders>
              <w:bottom w:val="single" w:sz="12" w:space="0" w:color="auto"/>
            </w:tcBorders>
            <w:vAlign w:val="bottom"/>
          </w:tcPr>
          <w:p w14:paraId="53CC6F7A" w14:textId="5F9EE14A" w:rsidR="00BB452F" w:rsidRPr="00AA44E8" w:rsidRDefault="001C6AF5" w:rsidP="00BB452F">
            <w:pPr>
              <w:jc w:val="right"/>
            </w:pPr>
            <w:r>
              <w:t>(0.01)</w:t>
            </w:r>
          </w:p>
        </w:tc>
        <w:tc>
          <w:tcPr>
            <w:tcW w:w="283" w:type="dxa"/>
            <w:tcBorders>
              <w:bottom w:val="single" w:sz="12" w:space="0" w:color="auto"/>
            </w:tcBorders>
            <w:vAlign w:val="bottom"/>
          </w:tcPr>
          <w:p w14:paraId="64DD7DB3" w14:textId="77777777" w:rsidR="00BB452F" w:rsidRPr="00C05D5D" w:rsidRDefault="00BB452F" w:rsidP="00BB452F">
            <w:pPr>
              <w:jc w:val="center"/>
            </w:pPr>
            <w:r w:rsidRPr="00C05D5D">
              <w:t>$</w:t>
            </w:r>
          </w:p>
        </w:tc>
        <w:tc>
          <w:tcPr>
            <w:tcW w:w="1276" w:type="dxa"/>
            <w:gridSpan w:val="3"/>
            <w:tcBorders>
              <w:bottom w:val="single" w:sz="12" w:space="0" w:color="auto"/>
            </w:tcBorders>
            <w:vAlign w:val="bottom"/>
          </w:tcPr>
          <w:p w14:paraId="202C28D3" w14:textId="61B92C3F" w:rsidR="00BB452F" w:rsidRPr="00C05D5D" w:rsidRDefault="00BB452F" w:rsidP="00BB452F">
            <w:pPr>
              <w:jc w:val="right"/>
            </w:pPr>
            <w:r w:rsidRPr="00C05D5D">
              <w:t>(0.</w:t>
            </w:r>
            <w:r>
              <w:t>0</w:t>
            </w:r>
            <w:r w:rsidR="001A593C">
              <w:t>5</w:t>
            </w:r>
            <w:r w:rsidRPr="00C05D5D">
              <w:t>)</w:t>
            </w:r>
          </w:p>
        </w:tc>
      </w:tr>
      <w:tr w:rsidR="000A079E" w:rsidRPr="00C05D5D" w14:paraId="5164291F" w14:textId="77777777" w:rsidTr="00E47F6C">
        <w:trPr>
          <w:jc w:val="center"/>
        </w:trPr>
        <w:tc>
          <w:tcPr>
            <w:tcW w:w="3686" w:type="dxa"/>
            <w:gridSpan w:val="2"/>
          </w:tcPr>
          <w:p w14:paraId="46CF4484" w14:textId="77777777" w:rsidR="00BB452F" w:rsidRPr="00C078B7" w:rsidRDefault="00BB452F" w:rsidP="00BB452F"/>
        </w:tc>
        <w:tc>
          <w:tcPr>
            <w:tcW w:w="709" w:type="dxa"/>
            <w:shd w:val="clear" w:color="auto" w:fill="auto"/>
          </w:tcPr>
          <w:p w14:paraId="18845C3D" w14:textId="77777777" w:rsidR="00BB452F" w:rsidRPr="00C078B7" w:rsidRDefault="00BB452F" w:rsidP="00BB452F">
            <w:pPr>
              <w:jc w:val="center"/>
            </w:pPr>
          </w:p>
        </w:tc>
        <w:tc>
          <w:tcPr>
            <w:tcW w:w="283" w:type="dxa"/>
            <w:gridSpan w:val="2"/>
            <w:tcBorders>
              <w:top w:val="single" w:sz="12" w:space="0" w:color="auto"/>
            </w:tcBorders>
            <w:vAlign w:val="bottom"/>
          </w:tcPr>
          <w:p w14:paraId="28D3534C" w14:textId="77777777" w:rsidR="00BB452F" w:rsidRPr="00C078B7" w:rsidRDefault="00BB452F" w:rsidP="00BB452F">
            <w:pPr>
              <w:jc w:val="center"/>
            </w:pPr>
          </w:p>
        </w:tc>
        <w:tc>
          <w:tcPr>
            <w:tcW w:w="1418" w:type="dxa"/>
            <w:gridSpan w:val="2"/>
            <w:tcBorders>
              <w:top w:val="single" w:sz="12" w:space="0" w:color="auto"/>
            </w:tcBorders>
            <w:vAlign w:val="bottom"/>
          </w:tcPr>
          <w:p w14:paraId="4E2F5ADB" w14:textId="77777777" w:rsidR="00BB452F" w:rsidRPr="00AA44E8" w:rsidRDefault="00BB452F" w:rsidP="00BB452F">
            <w:pPr>
              <w:jc w:val="right"/>
            </w:pPr>
          </w:p>
        </w:tc>
        <w:tc>
          <w:tcPr>
            <w:tcW w:w="283" w:type="dxa"/>
            <w:tcBorders>
              <w:top w:val="single" w:sz="12" w:space="0" w:color="auto"/>
            </w:tcBorders>
            <w:vAlign w:val="bottom"/>
          </w:tcPr>
          <w:p w14:paraId="09BD7202" w14:textId="77777777" w:rsidR="00BB452F" w:rsidRPr="00C078B7" w:rsidRDefault="00BB452F" w:rsidP="00BB452F">
            <w:pPr>
              <w:jc w:val="center"/>
            </w:pPr>
          </w:p>
        </w:tc>
        <w:tc>
          <w:tcPr>
            <w:tcW w:w="1276" w:type="dxa"/>
            <w:tcBorders>
              <w:top w:val="single" w:sz="12" w:space="0" w:color="auto"/>
            </w:tcBorders>
            <w:shd w:val="clear" w:color="auto" w:fill="auto"/>
            <w:vAlign w:val="bottom"/>
          </w:tcPr>
          <w:p w14:paraId="43CB6029" w14:textId="77777777" w:rsidR="00BB452F" w:rsidRPr="00C078B7" w:rsidRDefault="00BB452F" w:rsidP="00BB452F">
            <w:pPr>
              <w:jc w:val="right"/>
            </w:pPr>
          </w:p>
        </w:tc>
        <w:tc>
          <w:tcPr>
            <w:tcW w:w="283" w:type="dxa"/>
            <w:tcBorders>
              <w:top w:val="single" w:sz="12" w:space="0" w:color="auto"/>
            </w:tcBorders>
            <w:vAlign w:val="bottom"/>
          </w:tcPr>
          <w:p w14:paraId="6C34EFE4" w14:textId="77777777" w:rsidR="00BB452F" w:rsidRPr="00C05D5D" w:rsidRDefault="00BB452F" w:rsidP="00BB452F">
            <w:pPr>
              <w:jc w:val="center"/>
            </w:pPr>
          </w:p>
        </w:tc>
        <w:tc>
          <w:tcPr>
            <w:tcW w:w="284" w:type="dxa"/>
            <w:tcBorders>
              <w:top w:val="single" w:sz="12" w:space="0" w:color="auto"/>
            </w:tcBorders>
          </w:tcPr>
          <w:p w14:paraId="701EC76A" w14:textId="77777777" w:rsidR="00BB452F" w:rsidRPr="00AA44E8" w:rsidRDefault="00BB452F" w:rsidP="00BB452F">
            <w:pPr>
              <w:jc w:val="right"/>
            </w:pPr>
          </w:p>
        </w:tc>
        <w:tc>
          <w:tcPr>
            <w:tcW w:w="1276" w:type="dxa"/>
            <w:tcBorders>
              <w:top w:val="single" w:sz="12" w:space="0" w:color="auto"/>
            </w:tcBorders>
            <w:vAlign w:val="bottom"/>
          </w:tcPr>
          <w:p w14:paraId="45E3E65A" w14:textId="478FBBA7" w:rsidR="00BB452F" w:rsidRPr="00AA44E8" w:rsidRDefault="00BB452F" w:rsidP="00BB452F">
            <w:pPr>
              <w:jc w:val="right"/>
            </w:pPr>
          </w:p>
        </w:tc>
        <w:tc>
          <w:tcPr>
            <w:tcW w:w="283" w:type="dxa"/>
            <w:tcBorders>
              <w:top w:val="single" w:sz="12" w:space="0" w:color="auto"/>
            </w:tcBorders>
            <w:vAlign w:val="bottom"/>
          </w:tcPr>
          <w:p w14:paraId="5308F385" w14:textId="77777777" w:rsidR="00BB452F" w:rsidRPr="00C05D5D" w:rsidRDefault="00BB452F" w:rsidP="00BB452F">
            <w:pPr>
              <w:jc w:val="center"/>
            </w:pPr>
          </w:p>
        </w:tc>
        <w:tc>
          <w:tcPr>
            <w:tcW w:w="1276" w:type="dxa"/>
            <w:gridSpan w:val="3"/>
            <w:tcBorders>
              <w:top w:val="single" w:sz="12" w:space="0" w:color="auto"/>
            </w:tcBorders>
            <w:vAlign w:val="bottom"/>
          </w:tcPr>
          <w:p w14:paraId="19731394" w14:textId="77777777" w:rsidR="00BB452F" w:rsidRPr="00C05D5D" w:rsidRDefault="00BB452F" w:rsidP="00BB452F">
            <w:pPr>
              <w:jc w:val="right"/>
            </w:pPr>
          </w:p>
        </w:tc>
      </w:tr>
      <w:tr w:rsidR="000A079E" w:rsidRPr="0007626B" w14:paraId="4B77B252" w14:textId="77777777" w:rsidTr="000A079E">
        <w:trPr>
          <w:trHeight w:val="60"/>
          <w:jc w:val="center"/>
        </w:trPr>
        <w:tc>
          <w:tcPr>
            <w:tcW w:w="3686" w:type="dxa"/>
            <w:gridSpan w:val="2"/>
            <w:tcBorders>
              <w:bottom w:val="single" w:sz="12" w:space="0" w:color="auto"/>
            </w:tcBorders>
          </w:tcPr>
          <w:p w14:paraId="446E62D4" w14:textId="77777777" w:rsidR="00BB452F" w:rsidRPr="00C078B7" w:rsidRDefault="00BB452F" w:rsidP="00BB452F">
            <w:r w:rsidRPr="00C078B7">
              <w:t>Weighted average shares outstanding – Basic and diluted</w:t>
            </w:r>
          </w:p>
        </w:tc>
        <w:tc>
          <w:tcPr>
            <w:tcW w:w="709" w:type="dxa"/>
            <w:tcBorders>
              <w:bottom w:val="single" w:sz="12" w:space="0" w:color="auto"/>
            </w:tcBorders>
            <w:shd w:val="clear" w:color="auto" w:fill="auto"/>
          </w:tcPr>
          <w:p w14:paraId="59D24358" w14:textId="77777777" w:rsidR="00BB452F" w:rsidRPr="00C078B7" w:rsidRDefault="00BB452F" w:rsidP="00BB452F">
            <w:pPr>
              <w:jc w:val="center"/>
            </w:pPr>
          </w:p>
        </w:tc>
        <w:tc>
          <w:tcPr>
            <w:tcW w:w="283" w:type="dxa"/>
            <w:gridSpan w:val="2"/>
            <w:tcBorders>
              <w:bottom w:val="single" w:sz="12" w:space="0" w:color="auto"/>
            </w:tcBorders>
            <w:vAlign w:val="bottom"/>
          </w:tcPr>
          <w:p w14:paraId="726E691F" w14:textId="77777777" w:rsidR="00BB452F" w:rsidRPr="00C078B7" w:rsidRDefault="00BB452F" w:rsidP="00BB452F">
            <w:pPr>
              <w:jc w:val="center"/>
            </w:pPr>
          </w:p>
        </w:tc>
        <w:tc>
          <w:tcPr>
            <w:tcW w:w="1418" w:type="dxa"/>
            <w:gridSpan w:val="2"/>
            <w:tcBorders>
              <w:bottom w:val="single" w:sz="12" w:space="0" w:color="auto"/>
            </w:tcBorders>
            <w:vAlign w:val="bottom"/>
          </w:tcPr>
          <w:p w14:paraId="10C3C885" w14:textId="79D175B9" w:rsidR="00BB452F" w:rsidRPr="00AA44E8" w:rsidRDefault="00D06D40" w:rsidP="00BB452F">
            <w:pPr>
              <w:jc w:val="right"/>
            </w:pPr>
            <w:r>
              <w:t>296,789,008</w:t>
            </w:r>
          </w:p>
        </w:tc>
        <w:tc>
          <w:tcPr>
            <w:tcW w:w="283" w:type="dxa"/>
            <w:tcBorders>
              <w:bottom w:val="single" w:sz="12" w:space="0" w:color="auto"/>
            </w:tcBorders>
            <w:vAlign w:val="bottom"/>
          </w:tcPr>
          <w:p w14:paraId="41F04C57" w14:textId="77777777" w:rsidR="00BB452F" w:rsidRPr="00C078B7" w:rsidRDefault="00BB452F" w:rsidP="00BB452F">
            <w:pPr>
              <w:jc w:val="center"/>
            </w:pPr>
          </w:p>
        </w:tc>
        <w:tc>
          <w:tcPr>
            <w:tcW w:w="1276" w:type="dxa"/>
            <w:tcBorders>
              <w:bottom w:val="single" w:sz="12" w:space="0" w:color="auto"/>
            </w:tcBorders>
            <w:shd w:val="clear" w:color="auto" w:fill="auto"/>
            <w:vAlign w:val="bottom"/>
          </w:tcPr>
          <w:p w14:paraId="3AAD7E06" w14:textId="4B0C9704" w:rsidR="00BB452F" w:rsidRPr="00C078B7" w:rsidRDefault="00D06D40" w:rsidP="00BB452F">
            <w:pPr>
              <w:jc w:val="right"/>
            </w:pPr>
            <w:r>
              <w:t>189,512,490</w:t>
            </w:r>
          </w:p>
        </w:tc>
        <w:tc>
          <w:tcPr>
            <w:tcW w:w="283" w:type="dxa"/>
            <w:tcBorders>
              <w:bottom w:val="single" w:sz="12" w:space="0" w:color="auto"/>
            </w:tcBorders>
            <w:vAlign w:val="bottom"/>
          </w:tcPr>
          <w:p w14:paraId="2CC86C8B" w14:textId="77777777" w:rsidR="00BB452F" w:rsidRPr="00C05D5D" w:rsidRDefault="00BB452F" w:rsidP="00BB452F">
            <w:pPr>
              <w:jc w:val="center"/>
            </w:pPr>
          </w:p>
        </w:tc>
        <w:tc>
          <w:tcPr>
            <w:tcW w:w="284" w:type="dxa"/>
            <w:tcBorders>
              <w:bottom w:val="single" w:sz="12" w:space="0" w:color="auto"/>
            </w:tcBorders>
          </w:tcPr>
          <w:p w14:paraId="7381C7E6" w14:textId="77777777" w:rsidR="00BB452F" w:rsidRDefault="00BB452F" w:rsidP="00BB452F">
            <w:pPr>
              <w:jc w:val="right"/>
            </w:pPr>
          </w:p>
        </w:tc>
        <w:tc>
          <w:tcPr>
            <w:tcW w:w="1276" w:type="dxa"/>
            <w:tcBorders>
              <w:bottom w:val="single" w:sz="12" w:space="0" w:color="auto"/>
            </w:tcBorders>
            <w:vAlign w:val="bottom"/>
          </w:tcPr>
          <w:p w14:paraId="1FF8EB76" w14:textId="34F971C2" w:rsidR="00BB452F" w:rsidRPr="00AA44E8" w:rsidRDefault="00D06D40" w:rsidP="00BB452F">
            <w:pPr>
              <w:jc w:val="right"/>
            </w:pPr>
            <w:r>
              <w:t>248,633,296</w:t>
            </w:r>
          </w:p>
        </w:tc>
        <w:tc>
          <w:tcPr>
            <w:tcW w:w="283" w:type="dxa"/>
            <w:tcBorders>
              <w:bottom w:val="single" w:sz="12" w:space="0" w:color="auto"/>
            </w:tcBorders>
            <w:vAlign w:val="bottom"/>
          </w:tcPr>
          <w:p w14:paraId="2B6DD4FA" w14:textId="77777777" w:rsidR="00BB452F" w:rsidRPr="00C05D5D" w:rsidRDefault="00BB452F" w:rsidP="00BB452F">
            <w:pPr>
              <w:jc w:val="center"/>
            </w:pPr>
          </w:p>
        </w:tc>
        <w:tc>
          <w:tcPr>
            <w:tcW w:w="1276" w:type="dxa"/>
            <w:gridSpan w:val="3"/>
            <w:tcBorders>
              <w:bottom w:val="single" w:sz="12" w:space="0" w:color="auto"/>
            </w:tcBorders>
            <w:vAlign w:val="bottom"/>
          </w:tcPr>
          <w:p w14:paraId="2F903CC2" w14:textId="49879DF2" w:rsidR="00BB452F" w:rsidRPr="00C05D5D" w:rsidRDefault="00D06D40" w:rsidP="00BB452F">
            <w:pPr>
              <w:jc w:val="right"/>
            </w:pPr>
            <w:r>
              <w:t>142,003,395</w:t>
            </w:r>
          </w:p>
        </w:tc>
      </w:tr>
      <w:tr w:rsidR="00642A83" w:rsidRPr="0007626B" w14:paraId="380600AD" w14:textId="77777777" w:rsidTr="000A079E">
        <w:trPr>
          <w:jc w:val="center"/>
        </w:trPr>
        <w:tc>
          <w:tcPr>
            <w:tcW w:w="3686" w:type="dxa"/>
            <w:gridSpan w:val="2"/>
            <w:tcBorders>
              <w:top w:val="single" w:sz="12" w:space="0" w:color="auto"/>
            </w:tcBorders>
          </w:tcPr>
          <w:p w14:paraId="4A00D772" w14:textId="77777777" w:rsidR="00BB452F" w:rsidRPr="00C078B7" w:rsidRDefault="00BB452F" w:rsidP="00BB452F"/>
        </w:tc>
        <w:tc>
          <w:tcPr>
            <w:tcW w:w="709" w:type="dxa"/>
            <w:tcBorders>
              <w:top w:val="single" w:sz="12" w:space="0" w:color="auto"/>
            </w:tcBorders>
          </w:tcPr>
          <w:p w14:paraId="1D55FA39" w14:textId="77777777" w:rsidR="00BB452F" w:rsidRPr="00C078B7" w:rsidRDefault="00BB452F" w:rsidP="00BB452F">
            <w:pPr>
              <w:jc w:val="center"/>
            </w:pPr>
          </w:p>
        </w:tc>
        <w:tc>
          <w:tcPr>
            <w:tcW w:w="283" w:type="dxa"/>
            <w:gridSpan w:val="2"/>
            <w:tcBorders>
              <w:top w:val="single" w:sz="12" w:space="0" w:color="auto"/>
            </w:tcBorders>
            <w:vAlign w:val="bottom"/>
          </w:tcPr>
          <w:p w14:paraId="066D0CF7" w14:textId="77777777" w:rsidR="00BB452F" w:rsidRPr="00C078B7" w:rsidRDefault="00BB452F" w:rsidP="00BB452F">
            <w:pPr>
              <w:jc w:val="center"/>
            </w:pPr>
          </w:p>
        </w:tc>
        <w:tc>
          <w:tcPr>
            <w:tcW w:w="1418" w:type="dxa"/>
            <w:gridSpan w:val="2"/>
            <w:tcBorders>
              <w:top w:val="single" w:sz="12" w:space="0" w:color="auto"/>
            </w:tcBorders>
            <w:vAlign w:val="bottom"/>
          </w:tcPr>
          <w:p w14:paraId="2097124F" w14:textId="77777777" w:rsidR="00BB452F" w:rsidRPr="00C078B7" w:rsidRDefault="00BB452F" w:rsidP="00BB452F">
            <w:pPr>
              <w:jc w:val="right"/>
            </w:pPr>
          </w:p>
        </w:tc>
        <w:tc>
          <w:tcPr>
            <w:tcW w:w="283" w:type="dxa"/>
            <w:tcBorders>
              <w:top w:val="single" w:sz="12" w:space="0" w:color="auto"/>
            </w:tcBorders>
            <w:vAlign w:val="bottom"/>
          </w:tcPr>
          <w:p w14:paraId="5EA62B7A" w14:textId="77777777" w:rsidR="00BB452F" w:rsidRPr="00C078B7" w:rsidRDefault="00BB452F" w:rsidP="00BB452F">
            <w:pPr>
              <w:jc w:val="center"/>
            </w:pPr>
          </w:p>
        </w:tc>
        <w:tc>
          <w:tcPr>
            <w:tcW w:w="1276" w:type="dxa"/>
            <w:tcBorders>
              <w:top w:val="single" w:sz="12" w:space="0" w:color="auto"/>
            </w:tcBorders>
            <w:vAlign w:val="bottom"/>
          </w:tcPr>
          <w:p w14:paraId="27DECBCD" w14:textId="77777777" w:rsidR="00BB452F" w:rsidRPr="00C078B7" w:rsidRDefault="00BB452F" w:rsidP="00BB452F">
            <w:pPr>
              <w:jc w:val="right"/>
            </w:pPr>
          </w:p>
        </w:tc>
        <w:tc>
          <w:tcPr>
            <w:tcW w:w="283" w:type="dxa"/>
            <w:tcBorders>
              <w:top w:val="single" w:sz="12" w:space="0" w:color="auto"/>
            </w:tcBorders>
            <w:vAlign w:val="bottom"/>
          </w:tcPr>
          <w:p w14:paraId="293D4134" w14:textId="77777777" w:rsidR="00BB452F" w:rsidRPr="0007626B" w:rsidRDefault="00BB452F" w:rsidP="00BB452F">
            <w:pPr>
              <w:jc w:val="center"/>
            </w:pPr>
          </w:p>
        </w:tc>
        <w:tc>
          <w:tcPr>
            <w:tcW w:w="284" w:type="dxa"/>
            <w:tcBorders>
              <w:top w:val="single" w:sz="12" w:space="0" w:color="auto"/>
            </w:tcBorders>
          </w:tcPr>
          <w:p w14:paraId="00EAFDEA" w14:textId="77777777" w:rsidR="00BB452F" w:rsidRPr="0007626B" w:rsidRDefault="00BB452F" w:rsidP="00BB452F">
            <w:pPr>
              <w:jc w:val="right"/>
            </w:pPr>
          </w:p>
        </w:tc>
        <w:tc>
          <w:tcPr>
            <w:tcW w:w="1276" w:type="dxa"/>
            <w:tcBorders>
              <w:top w:val="single" w:sz="12" w:space="0" w:color="auto"/>
            </w:tcBorders>
            <w:vAlign w:val="bottom"/>
          </w:tcPr>
          <w:p w14:paraId="2DFB378A" w14:textId="54DEC2FB" w:rsidR="00BB452F" w:rsidRPr="0007626B" w:rsidRDefault="00BB452F" w:rsidP="00BB452F">
            <w:pPr>
              <w:jc w:val="right"/>
            </w:pPr>
          </w:p>
        </w:tc>
        <w:tc>
          <w:tcPr>
            <w:tcW w:w="283" w:type="dxa"/>
            <w:tcBorders>
              <w:top w:val="single" w:sz="12" w:space="0" w:color="auto"/>
            </w:tcBorders>
            <w:vAlign w:val="bottom"/>
          </w:tcPr>
          <w:p w14:paraId="198E8632" w14:textId="77777777" w:rsidR="00BB452F" w:rsidRPr="0007626B" w:rsidRDefault="00BB452F" w:rsidP="00BB452F">
            <w:pPr>
              <w:jc w:val="center"/>
            </w:pPr>
          </w:p>
        </w:tc>
        <w:tc>
          <w:tcPr>
            <w:tcW w:w="1276" w:type="dxa"/>
            <w:gridSpan w:val="3"/>
            <w:tcBorders>
              <w:top w:val="single" w:sz="12" w:space="0" w:color="auto"/>
            </w:tcBorders>
            <w:vAlign w:val="bottom"/>
          </w:tcPr>
          <w:p w14:paraId="0BBEF692" w14:textId="77777777" w:rsidR="00BB452F" w:rsidRPr="00C078B7" w:rsidRDefault="00BB452F" w:rsidP="00BB452F">
            <w:pPr>
              <w:jc w:val="right"/>
              <w:rPr>
                <w:highlight w:val="yellow"/>
              </w:rPr>
            </w:pPr>
          </w:p>
        </w:tc>
      </w:tr>
      <w:tr w:rsidR="00642A83" w:rsidRPr="0007626B" w14:paraId="1D8CFCB7" w14:textId="77777777" w:rsidTr="000A079E">
        <w:trPr>
          <w:jc w:val="center"/>
        </w:trPr>
        <w:tc>
          <w:tcPr>
            <w:tcW w:w="3686" w:type="dxa"/>
            <w:gridSpan w:val="2"/>
          </w:tcPr>
          <w:p w14:paraId="5954CB2E" w14:textId="77777777" w:rsidR="00BB452F" w:rsidRPr="00C078B7" w:rsidRDefault="00BB452F" w:rsidP="00BB452F"/>
        </w:tc>
        <w:tc>
          <w:tcPr>
            <w:tcW w:w="709" w:type="dxa"/>
          </w:tcPr>
          <w:p w14:paraId="250397DA" w14:textId="77777777" w:rsidR="00BB452F" w:rsidRPr="00C078B7" w:rsidRDefault="00BB452F" w:rsidP="00BB452F">
            <w:pPr>
              <w:jc w:val="center"/>
            </w:pPr>
          </w:p>
        </w:tc>
        <w:tc>
          <w:tcPr>
            <w:tcW w:w="283" w:type="dxa"/>
            <w:gridSpan w:val="2"/>
            <w:vAlign w:val="bottom"/>
          </w:tcPr>
          <w:p w14:paraId="15E54E81" w14:textId="77777777" w:rsidR="00BB452F" w:rsidRPr="00C078B7" w:rsidRDefault="00BB452F" w:rsidP="00BB452F">
            <w:pPr>
              <w:jc w:val="center"/>
            </w:pPr>
          </w:p>
        </w:tc>
        <w:tc>
          <w:tcPr>
            <w:tcW w:w="1418" w:type="dxa"/>
            <w:gridSpan w:val="2"/>
            <w:vAlign w:val="bottom"/>
          </w:tcPr>
          <w:p w14:paraId="19016935" w14:textId="77777777" w:rsidR="00BB452F" w:rsidRPr="00C078B7" w:rsidRDefault="00BB452F" w:rsidP="00BB452F">
            <w:pPr>
              <w:jc w:val="right"/>
            </w:pPr>
          </w:p>
        </w:tc>
        <w:tc>
          <w:tcPr>
            <w:tcW w:w="283" w:type="dxa"/>
            <w:vAlign w:val="bottom"/>
          </w:tcPr>
          <w:p w14:paraId="662DCE86" w14:textId="77777777" w:rsidR="00BB452F" w:rsidRPr="00C078B7" w:rsidRDefault="00BB452F" w:rsidP="00BB452F">
            <w:pPr>
              <w:jc w:val="center"/>
            </w:pPr>
          </w:p>
        </w:tc>
        <w:tc>
          <w:tcPr>
            <w:tcW w:w="1276" w:type="dxa"/>
            <w:vAlign w:val="bottom"/>
          </w:tcPr>
          <w:p w14:paraId="0658D455" w14:textId="77777777" w:rsidR="00BB452F" w:rsidRPr="00C078B7" w:rsidRDefault="00BB452F" w:rsidP="00BB452F">
            <w:pPr>
              <w:jc w:val="right"/>
            </w:pPr>
          </w:p>
        </w:tc>
        <w:tc>
          <w:tcPr>
            <w:tcW w:w="283" w:type="dxa"/>
            <w:vAlign w:val="bottom"/>
          </w:tcPr>
          <w:p w14:paraId="18D678B4" w14:textId="77777777" w:rsidR="00BB452F" w:rsidRPr="0007626B" w:rsidRDefault="00BB452F" w:rsidP="00BB452F">
            <w:pPr>
              <w:jc w:val="center"/>
            </w:pPr>
          </w:p>
        </w:tc>
        <w:tc>
          <w:tcPr>
            <w:tcW w:w="284" w:type="dxa"/>
          </w:tcPr>
          <w:p w14:paraId="0B065DC9" w14:textId="77777777" w:rsidR="00BB452F" w:rsidRPr="0007626B" w:rsidRDefault="00BB452F" w:rsidP="00BB452F">
            <w:pPr>
              <w:jc w:val="right"/>
            </w:pPr>
          </w:p>
        </w:tc>
        <w:tc>
          <w:tcPr>
            <w:tcW w:w="1276" w:type="dxa"/>
            <w:vAlign w:val="bottom"/>
          </w:tcPr>
          <w:p w14:paraId="76E1513A" w14:textId="521BAE9B" w:rsidR="00BB452F" w:rsidRPr="0007626B" w:rsidRDefault="00BB452F" w:rsidP="00BB452F">
            <w:pPr>
              <w:jc w:val="right"/>
            </w:pPr>
          </w:p>
        </w:tc>
        <w:tc>
          <w:tcPr>
            <w:tcW w:w="283" w:type="dxa"/>
            <w:vAlign w:val="bottom"/>
          </w:tcPr>
          <w:p w14:paraId="3CF614FB" w14:textId="77777777" w:rsidR="00BB452F" w:rsidRPr="0007626B" w:rsidRDefault="00BB452F" w:rsidP="00BB452F">
            <w:pPr>
              <w:jc w:val="center"/>
            </w:pPr>
          </w:p>
        </w:tc>
        <w:tc>
          <w:tcPr>
            <w:tcW w:w="1276" w:type="dxa"/>
            <w:gridSpan w:val="3"/>
            <w:vAlign w:val="bottom"/>
          </w:tcPr>
          <w:p w14:paraId="478FC536" w14:textId="77777777" w:rsidR="00BB452F" w:rsidRPr="00C078B7" w:rsidRDefault="00BB452F" w:rsidP="00BB452F">
            <w:pPr>
              <w:jc w:val="right"/>
              <w:rPr>
                <w:highlight w:val="yellow"/>
              </w:rPr>
            </w:pPr>
          </w:p>
        </w:tc>
      </w:tr>
      <w:bookmarkEnd w:id="2"/>
    </w:tbl>
    <w:p w14:paraId="332C68B9" w14:textId="77777777" w:rsidR="007361CC" w:rsidRDefault="007361CC">
      <w:pPr>
        <w:rPr>
          <w:lang w:val="en-US"/>
        </w:rPr>
      </w:pPr>
    </w:p>
    <w:p w14:paraId="487042DB" w14:textId="79BF1F82" w:rsidR="00AC760F" w:rsidRDefault="00AC760F" w:rsidP="00AC760F">
      <w:pPr>
        <w:pStyle w:val="NormalWeb"/>
        <w:spacing w:before="0" w:beforeAutospacing="0" w:after="0" w:afterAutospacing="0"/>
        <w:jc w:val="center"/>
        <w:rPr>
          <w:sz w:val="20"/>
          <w:szCs w:val="20"/>
        </w:rPr>
      </w:pPr>
      <w:r>
        <w:rPr>
          <w:sz w:val="20"/>
          <w:szCs w:val="20"/>
        </w:rPr>
        <w:t>See accompanying notes to unaudited consolidated interim financial statements</w:t>
      </w:r>
      <w:r w:rsidR="00336250">
        <w:rPr>
          <w:sz w:val="20"/>
          <w:szCs w:val="20"/>
        </w:rPr>
        <w:t>.</w:t>
      </w:r>
    </w:p>
    <w:p w14:paraId="4F9EFC7F" w14:textId="77777777" w:rsidR="006A2A5E" w:rsidRDefault="006A2A5E">
      <w:pPr>
        <w:rPr>
          <w:lang w:val="en-US"/>
        </w:rPr>
        <w:sectPr w:rsidR="006A2A5E">
          <w:headerReference w:type="default" r:id="rId13"/>
          <w:pgSz w:w="12240" w:h="15840"/>
          <w:pgMar w:top="1440" w:right="1440" w:bottom="1440" w:left="1440" w:header="708" w:footer="708" w:gutter="0"/>
          <w:cols w:space="708"/>
          <w:docGrid w:linePitch="360"/>
        </w:sectPr>
      </w:pPr>
    </w:p>
    <w:tbl>
      <w:tblPr>
        <w:tblW w:w="5532" w:type="pct"/>
        <w:tblInd w:w="-680" w:type="dxa"/>
        <w:tblLayout w:type="fixed"/>
        <w:tblCellMar>
          <w:left w:w="0" w:type="dxa"/>
          <w:right w:w="0" w:type="dxa"/>
        </w:tblCellMar>
        <w:tblLook w:val="04A0" w:firstRow="1" w:lastRow="0" w:firstColumn="1" w:lastColumn="0" w:noHBand="0" w:noVBand="1"/>
      </w:tblPr>
      <w:tblGrid>
        <w:gridCol w:w="2423"/>
        <w:gridCol w:w="995"/>
        <w:gridCol w:w="284"/>
        <w:gridCol w:w="141"/>
        <w:gridCol w:w="582"/>
        <w:gridCol w:w="141"/>
        <w:gridCol w:w="284"/>
        <w:gridCol w:w="852"/>
        <w:gridCol w:w="143"/>
        <w:gridCol w:w="992"/>
        <w:gridCol w:w="141"/>
        <w:gridCol w:w="1136"/>
        <w:gridCol w:w="141"/>
        <w:gridCol w:w="141"/>
        <w:gridCol w:w="708"/>
        <w:gridCol w:w="141"/>
        <w:gridCol w:w="852"/>
        <w:gridCol w:w="141"/>
        <w:gridCol w:w="284"/>
        <w:gridCol w:w="992"/>
        <w:gridCol w:w="284"/>
        <w:gridCol w:w="143"/>
        <w:gridCol w:w="992"/>
        <w:gridCol w:w="141"/>
        <w:gridCol w:w="141"/>
        <w:gridCol w:w="995"/>
        <w:gridCol w:w="129"/>
      </w:tblGrid>
      <w:tr w:rsidR="00D33273" w:rsidRPr="00872008" w14:paraId="3C9A3E35" w14:textId="77777777" w:rsidTr="00F23222">
        <w:trPr>
          <w:trHeight w:val="703"/>
        </w:trPr>
        <w:tc>
          <w:tcPr>
            <w:tcW w:w="845" w:type="pct"/>
            <w:tcBorders>
              <w:top w:val="single" w:sz="12" w:space="0" w:color="auto"/>
              <w:bottom w:val="single" w:sz="12" w:space="0" w:color="auto"/>
            </w:tcBorders>
            <w:shd w:val="clear" w:color="auto" w:fill="auto"/>
            <w:tcMar>
              <w:top w:w="0" w:type="dxa"/>
              <w:left w:w="200" w:type="dxa"/>
              <w:bottom w:w="0" w:type="dxa"/>
              <w:right w:w="0" w:type="dxa"/>
            </w:tcMar>
            <w:vAlign w:val="bottom"/>
          </w:tcPr>
          <w:p w14:paraId="69A23C48" w14:textId="77777777" w:rsidR="00BE0A6C" w:rsidRPr="00A50B5D" w:rsidRDefault="00BE0A6C" w:rsidP="007F2074">
            <w:pPr>
              <w:spacing w:after="0" w:line="240" w:lineRule="auto"/>
              <w:jc w:val="both"/>
              <w:rPr>
                <w:rFonts w:ascii="Times New Roman" w:eastAsia="Times New Roman" w:hAnsi="Times New Roman" w:cs="Times New Roman"/>
                <w:b/>
                <w:bCs/>
                <w:sz w:val="18"/>
                <w:szCs w:val="18"/>
                <w:lang w:val="en-US"/>
              </w:rPr>
            </w:pPr>
          </w:p>
        </w:tc>
        <w:tc>
          <w:tcPr>
            <w:tcW w:w="347" w:type="pct"/>
            <w:tcBorders>
              <w:top w:val="single" w:sz="12" w:space="0" w:color="auto"/>
              <w:bottom w:val="single" w:sz="12" w:space="0" w:color="auto"/>
            </w:tcBorders>
            <w:shd w:val="clear" w:color="auto" w:fill="auto"/>
            <w:vAlign w:val="bottom"/>
          </w:tcPr>
          <w:p w14:paraId="0FEF8055" w14:textId="5BC4C7F2"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r w:rsidRPr="00A50B5D">
              <w:rPr>
                <w:rFonts w:ascii="Times New Roman" w:eastAsia="Times New Roman" w:hAnsi="Times New Roman" w:cs="Times New Roman"/>
                <w:b/>
                <w:bCs/>
                <w:sz w:val="18"/>
                <w:szCs w:val="18"/>
                <w:lang w:val="en-US"/>
              </w:rPr>
              <w:t>Shares</w:t>
            </w:r>
          </w:p>
        </w:tc>
        <w:tc>
          <w:tcPr>
            <w:tcW w:w="351" w:type="pct"/>
            <w:gridSpan w:val="3"/>
            <w:tcBorders>
              <w:top w:val="single" w:sz="12" w:space="0" w:color="auto"/>
              <w:bottom w:val="single" w:sz="12" w:space="0" w:color="auto"/>
            </w:tcBorders>
            <w:shd w:val="clear" w:color="auto" w:fill="auto"/>
            <w:vAlign w:val="bottom"/>
          </w:tcPr>
          <w:p w14:paraId="721AFF1D" w14:textId="77777777"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r w:rsidRPr="00A50B5D">
              <w:rPr>
                <w:rFonts w:ascii="Times New Roman" w:eastAsia="Times New Roman" w:hAnsi="Times New Roman" w:cs="Times New Roman"/>
                <w:b/>
                <w:bCs/>
                <w:sz w:val="18"/>
                <w:szCs w:val="18"/>
                <w:lang w:val="en-US"/>
              </w:rPr>
              <w:t>Amount</w:t>
            </w:r>
          </w:p>
        </w:tc>
        <w:tc>
          <w:tcPr>
            <w:tcW w:w="49" w:type="pct"/>
            <w:tcBorders>
              <w:top w:val="single" w:sz="12" w:space="0" w:color="auto"/>
              <w:bottom w:val="single" w:sz="12" w:space="0" w:color="auto"/>
            </w:tcBorders>
            <w:shd w:val="clear" w:color="auto" w:fill="auto"/>
            <w:vAlign w:val="bottom"/>
          </w:tcPr>
          <w:p w14:paraId="10B9EB42" w14:textId="77777777" w:rsidR="00BE0A6C" w:rsidRPr="003D281F" w:rsidRDefault="00BE0A6C" w:rsidP="00D33273">
            <w:pPr>
              <w:spacing w:after="0" w:line="240" w:lineRule="auto"/>
              <w:jc w:val="right"/>
              <w:rPr>
                <w:rFonts w:ascii="Times New Roman" w:eastAsia="Times New Roman" w:hAnsi="Times New Roman" w:cs="Times New Roman"/>
                <w:b/>
                <w:bCs/>
                <w:sz w:val="18"/>
                <w:szCs w:val="18"/>
                <w:lang w:val="en-US"/>
              </w:rPr>
            </w:pPr>
          </w:p>
        </w:tc>
        <w:tc>
          <w:tcPr>
            <w:tcW w:w="396" w:type="pct"/>
            <w:gridSpan w:val="2"/>
            <w:tcBorders>
              <w:top w:val="single" w:sz="12" w:space="0" w:color="auto"/>
              <w:bottom w:val="single" w:sz="12" w:space="0" w:color="auto"/>
            </w:tcBorders>
            <w:shd w:val="clear" w:color="auto" w:fill="auto"/>
            <w:vAlign w:val="bottom"/>
          </w:tcPr>
          <w:p w14:paraId="4782EFDC" w14:textId="3E270392"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Share premium</w:t>
            </w:r>
          </w:p>
        </w:tc>
        <w:tc>
          <w:tcPr>
            <w:tcW w:w="50" w:type="pct"/>
            <w:tcBorders>
              <w:top w:val="single" w:sz="12" w:space="0" w:color="auto"/>
              <w:bottom w:val="single" w:sz="12" w:space="0" w:color="auto"/>
            </w:tcBorders>
            <w:shd w:val="clear" w:color="auto" w:fill="auto"/>
            <w:vAlign w:val="bottom"/>
          </w:tcPr>
          <w:p w14:paraId="1EB0260D" w14:textId="77777777"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p>
        </w:tc>
        <w:tc>
          <w:tcPr>
            <w:tcW w:w="346" w:type="pct"/>
            <w:tcBorders>
              <w:top w:val="single" w:sz="12" w:space="0" w:color="auto"/>
              <w:bottom w:val="single" w:sz="12" w:space="0" w:color="auto"/>
            </w:tcBorders>
            <w:shd w:val="clear" w:color="auto" w:fill="auto"/>
            <w:vAlign w:val="bottom"/>
          </w:tcPr>
          <w:p w14:paraId="6C6C1D7A" w14:textId="77777777" w:rsidR="00BE0A6C" w:rsidRDefault="00BE0A6C" w:rsidP="00D33273">
            <w:pPr>
              <w:spacing w:after="0" w:line="240" w:lineRule="auto"/>
              <w:jc w:val="right"/>
              <w:rPr>
                <w:rFonts w:ascii="Times New Roman" w:eastAsia="Times New Roman" w:hAnsi="Times New Roman" w:cs="Times New Roman"/>
                <w:b/>
                <w:bCs/>
                <w:sz w:val="18"/>
                <w:szCs w:val="18"/>
                <w:lang w:val="en-US"/>
              </w:rPr>
            </w:pPr>
          </w:p>
          <w:p w14:paraId="2F1AF7C5" w14:textId="77777777" w:rsidR="00BE0A6C" w:rsidRDefault="00BE0A6C" w:rsidP="00D33273">
            <w:pPr>
              <w:spacing w:after="0" w:line="240" w:lineRule="auto"/>
              <w:jc w:val="right"/>
              <w:rPr>
                <w:rFonts w:ascii="Times New Roman" w:eastAsia="Times New Roman" w:hAnsi="Times New Roman" w:cs="Times New Roman"/>
                <w:b/>
                <w:bCs/>
                <w:sz w:val="18"/>
                <w:szCs w:val="18"/>
                <w:lang w:val="en-US"/>
              </w:rPr>
            </w:pPr>
          </w:p>
          <w:p w14:paraId="27BB9025" w14:textId="3428BAD5" w:rsidR="00BE0A6C" w:rsidRPr="00A50B5D" w:rsidRDefault="00C13FCB" w:rsidP="00D33273">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Warrant and </w:t>
            </w:r>
            <w:r w:rsidR="002F42A7">
              <w:rPr>
                <w:rFonts w:ascii="Times New Roman" w:eastAsia="Times New Roman" w:hAnsi="Times New Roman" w:cs="Times New Roman"/>
                <w:b/>
                <w:bCs/>
                <w:sz w:val="18"/>
                <w:szCs w:val="18"/>
                <w:lang w:val="en-US"/>
              </w:rPr>
              <w:t>o</w:t>
            </w:r>
            <w:r>
              <w:rPr>
                <w:rFonts w:ascii="Times New Roman" w:eastAsia="Times New Roman" w:hAnsi="Times New Roman" w:cs="Times New Roman"/>
                <w:b/>
                <w:bCs/>
                <w:sz w:val="18"/>
                <w:szCs w:val="18"/>
                <w:lang w:val="en-US"/>
              </w:rPr>
              <w:t xml:space="preserve">ption </w:t>
            </w:r>
            <w:r w:rsidR="002F42A7">
              <w:rPr>
                <w:rFonts w:ascii="Times New Roman" w:eastAsia="Times New Roman" w:hAnsi="Times New Roman" w:cs="Times New Roman"/>
                <w:b/>
                <w:bCs/>
                <w:sz w:val="18"/>
                <w:szCs w:val="18"/>
                <w:lang w:val="en-US"/>
              </w:rPr>
              <w:t>r</w:t>
            </w:r>
            <w:r>
              <w:rPr>
                <w:rFonts w:ascii="Times New Roman" w:eastAsia="Times New Roman" w:hAnsi="Times New Roman" w:cs="Times New Roman"/>
                <w:b/>
                <w:bCs/>
                <w:sz w:val="18"/>
                <w:szCs w:val="18"/>
                <w:lang w:val="en-US"/>
              </w:rPr>
              <w:t>eserve</w:t>
            </w:r>
          </w:p>
        </w:tc>
        <w:tc>
          <w:tcPr>
            <w:tcW w:w="49" w:type="pct"/>
            <w:tcBorders>
              <w:top w:val="single" w:sz="12" w:space="0" w:color="auto"/>
              <w:bottom w:val="single" w:sz="12" w:space="0" w:color="auto"/>
            </w:tcBorders>
            <w:shd w:val="clear" w:color="auto" w:fill="auto"/>
            <w:vAlign w:val="bottom"/>
          </w:tcPr>
          <w:p w14:paraId="05389D32" w14:textId="7301D0FE"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p>
        </w:tc>
        <w:tc>
          <w:tcPr>
            <w:tcW w:w="396" w:type="pct"/>
            <w:tcBorders>
              <w:top w:val="single" w:sz="12" w:space="0" w:color="auto"/>
              <w:bottom w:val="single" w:sz="12" w:space="0" w:color="auto"/>
            </w:tcBorders>
            <w:shd w:val="clear" w:color="auto" w:fill="auto"/>
            <w:vAlign w:val="bottom"/>
          </w:tcPr>
          <w:p w14:paraId="67522E63" w14:textId="77777777" w:rsidR="00BE0A6C" w:rsidRDefault="00BE0A6C" w:rsidP="00D33273">
            <w:pPr>
              <w:spacing w:after="0" w:line="240" w:lineRule="auto"/>
              <w:jc w:val="right"/>
              <w:rPr>
                <w:rFonts w:ascii="Times New Roman" w:eastAsia="Times New Roman" w:hAnsi="Times New Roman" w:cs="Times New Roman"/>
                <w:b/>
                <w:bCs/>
                <w:sz w:val="18"/>
                <w:szCs w:val="18"/>
                <w:lang w:val="en-US"/>
              </w:rPr>
            </w:pPr>
          </w:p>
          <w:p w14:paraId="67F34B92" w14:textId="6D761D62" w:rsidR="00BE0A6C" w:rsidRPr="00870D44" w:rsidRDefault="00BE0A6C" w:rsidP="00D33273">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Receivables for equity issued</w:t>
            </w:r>
          </w:p>
        </w:tc>
        <w:tc>
          <w:tcPr>
            <w:tcW w:w="49" w:type="pct"/>
            <w:tcBorders>
              <w:top w:val="single" w:sz="12" w:space="0" w:color="auto"/>
              <w:bottom w:val="single" w:sz="12" w:space="0" w:color="auto"/>
            </w:tcBorders>
            <w:shd w:val="clear" w:color="auto" w:fill="auto"/>
            <w:vAlign w:val="bottom"/>
          </w:tcPr>
          <w:p w14:paraId="7BA71A05" w14:textId="77777777" w:rsidR="00BE0A6C" w:rsidRPr="00870D44" w:rsidRDefault="00BE0A6C" w:rsidP="00D33273">
            <w:pPr>
              <w:spacing w:after="0" w:line="240" w:lineRule="auto"/>
              <w:jc w:val="right"/>
              <w:rPr>
                <w:rFonts w:ascii="Times New Roman" w:eastAsia="Times New Roman" w:hAnsi="Times New Roman" w:cs="Times New Roman"/>
                <w:b/>
                <w:bCs/>
                <w:sz w:val="18"/>
                <w:szCs w:val="18"/>
                <w:lang w:val="en-US"/>
              </w:rPr>
            </w:pPr>
          </w:p>
        </w:tc>
        <w:tc>
          <w:tcPr>
            <w:tcW w:w="296" w:type="pct"/>
            <w:gridSpan w:val="2"/>
            <w:tcBorders>
              <w:top w:val="single" w:sz="12" w:space="0" w:color="auto"/>
              <w:bottom w:val="single" w:sz="12" w:space="0" w:color="auto"/>
            </w:tcBorders>
            <w:shd w:val="clear" w:color="auto" w:fill="auto"/>
            <w:vAlign w:val="bottom"/>
          </w:tcPr>
          <w:p w14:paraId="549E26EE" w14:textId="199459EB"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r w:rsidRPr="00870D44">
              <w:rPr>
                <w:rFonts w:ascii="Times New Roman" w:eastAsia="Times New Roman" w:hAnsi="Times New Roman" w:cs="Times New Roman"/>
                <w:b/>
                <w:bCs/>
                <w:sz w:val="18"/>
                <w:szCs w:val="18"/>
                <w:lang w:val="en-US"/>
              </w:rPr>
              <w:t>Obligation to</w:t>
            </w:r>
            <w:r w:rsidRPr="003D281F">
              <w:rPr>
                <w:rFonts w:ascii="Times New Roman" w:eastAsia="Times New Roman" w:hAnsi="Times New Roman" w:cs="Times New Roman"/>
                <w:b/>
                <w:bCs/>
                <w:sz w:val="18"/>
                <w:szCs w:val="18"/>
                <w:lang w:val="en-US"/>
              </w:rPr>
              <w:t xml:space="preserve"> </w:t>
            </w:r>
            <w:r w:rsidR="002F42A7">
              <w:rPr>
                <w:rFonts w:ascii="Times New Roman" w:eastAsia="Times New Roman" w:hAnsi="Times New Roman" w:cs="Times New Roman"/>
                <w:b/>
                <w:bCs/>
                <w:sz w:val="18"/>
                <w:szCs w:val="18"/>
                <w:lang w:val="en-US"/>
              </w:rPr>
              <w:t>i</w:t>
            </w:r>
            <w:r w:rsidRPr="00A50B5D">
              <w:rPr>
                <w:rFonts w:ascii="Times New Roman" w:eastAsia="Times New Roman" w:hAnsi="Times New Roman" w:cs="Times New Roman"/>
                <w:b/>
                <w:bCs/>
                <w:sz w:val="18"/>
                <w:szCs w:val="18"/>
                <w:lang w:val="en-US"/>
              </w:rPr>
              <w:t>ssue shares</w:t>
            </w:r>
          </w:p>
        </w:tc>
        <w:tc>
          <w:tcPr>
            <w:tcW w:w="49" w:type="pct"/>
            <w:tcBorders>
              <w:top w:val="single" w:sz="12" w:space="0" w:color="auto"/>
              <w:bottom w:val="single" w:sz="12" w:space="0" w:color="auto"/>
            </w:tcBorders>
            <w:shd w:val="clear" w:color="auto" w:fill="auto"/>
            <w:vAlign w:val="bottom"/>
          </w:tcPr>
          <w:p w14:paraId="52484EB4" w14:textId="77777777"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p>
        </w:tc>
        <w:tc>
          <w:tcPr>
            <w:tcW w:w="297" w:type="pct"/>
            <w:tcBorders>
              <w:top w:val="single" w:sz="12" w:space="0" w:color="auto"/>
              <w:bottom w:val="single" w:sz="12" w:space="0" w:color="auto"/>
            </w:tcBorders>
            <w:shd w:val="clear" w:color="auto" w:fill="auto"/>
            <w:vAlign w:val="bottom"/>
          </w:tcPr>
          <w:p w14:paraId="3B002BDA" w14:textId="77777777" w:rsidR="00BE0A6C" w:rsidRDefault="00BE0A6C" w:rsidP="00D33273">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Shares to</w:t>
            </w:r>
          </w:p>
          <w:p w14:paraId="109F2995" w14:textId="6B4A4C5C" w:rsidR="00BE0A6C" w:rsidRPr="00A50B5D" w:rsidRDefault="002F42A7" w:rsidP="00D33273">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b</w:t>
            </w:r>
            <w:r w:rsidR="00BE0A6C" w:rsidRPr="00A50B5D">
              <w:rPr>
                <w:rFonts w:ascii="Times New Roman" w:eastAsia="Times New Roman" w:hAnsi="Times New Roman" w:cs="Times New Roman"/>
                <w:b/>
                <w:bCs/>
                <w:sz w:val="18"/>
                <w:szCs w:val="18"/>
                <w:lang w:val="en-US"/>
              </w:rPr>
              <w:t>e cancelled</w:t>
            </w:r>
          </w:p>
        </w:tc>
        <w:tc>
          <w:tcPr>
            <w:tcW w:w="49" w:type="pct"/>
            <w:tcBorders>
              <w:top w:val="single" w:sz="12" w:space="0" w:color="auto"/>
              <w:bottom w:val="single" w:sz="12" w:space="0" w:color="auto"/>
            </w:tcBorders>
            <w:shd w:val="clear" w:color="auto" w:fill="auto"/>
            <w:vAlign w:val="bottom"/>
          </w:tcPr>
          <w:p w14:paraId="450AF55F" w14:textId="77777777" w:rsidR="00BE0A6C" w:rsidRDefault="00BE0A6C" w:rsidP="00D33273">
            <w:pPr>
              <w:spacing w:after="0" w:line="240" w:lineRule="auto"/>
              <w:jc w:val="right"/>
              <w:rPr>
                <w:rFonts w:ascii="Times New Roman" w:eastAsia="Times New Roman" w:hAnsi="Times New Roman" w:cs="Times New Roman"/>
                <w:b/>
                <w:bCs/>
                <w:sz w:val="18"/>
                <w:szCs w:val="18"/>
                <w:lang w:val="en-US"/>
              </w:rPr>
            </w:pPr>
          </w:p>
        </w:tc>
        <w:tc>
          <w:tcPr>
            <w:tcW w:w="445" w:type="pct"/>
            <w:gridSpan w:val="2"/>
            <w:tcBorders>
              <w:top w:val="single" w:sz="12" w:space="0" w:color="auto"/>
              <w:bottom w:val="single" w:sz="12" w:space="0" w:color="auto"/>
            </w:tcBorders>
            <w:shd w:val="clear" w:color="auto" w:fill="auto"/>
            <w:vAlign w:val="bottom"/>
          </w:tcPr>
          <w:p w14:paraId="507418D9" w14:textId="1C6043E9"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Accumulated other </w:t>
            </w:r>
            <w:r w:rsidR="002F42A7">
              <w:rPr>
                <w:rFonts w:ascii="Times New Roman" w:eastAsia="Times New Roman" w:hAnsi="Times New Roman" w:cs="Times New Roman"/>
                <w:b/>
                <w:bCs/>
                <w:sz w:val="18"/>
                <w:szCs w:val="18"/>
                <w:lang w:val="en-US"/>
              </w:rPr>
              <w:t>c</w:t>
            </w:r>
            <w:r w:rsidRPr="00A50B5D">
              <w:rPr>
                <w:rFonts w:ascii="Times New Roman" w:eastAsia="Times New Roman" w:hAnsi="Times New Roman" w:cs="Times New Roman"/>
                <w:b/>
                <w:bCs/>
                <w:sz w:val="18"/>
                <w:szCs w:val="18"/>
                <w:lang w:val="en-US"/>
              </w:rPr>
              <w:t>omprehensive income (loss)</w:t>
            </w:r>
          </w:p>
        </w:tc>
        <w:tc>
          <w:tcPr>
            <w:tcW w:w="99" w:type="pct"/>
            <w:tcBorders>
              <w:top w:val="single" w:sz="12" w:space="0" w:color="auto"/>
              <w:bottom w:val="single" w:sz="12" w:space="0" w:color="auto"/>
            </w:tcBorders>
            <w:shd w:val="clear" w:color="auto" w:fill="auto"/>
            <w:vAlign w:val="bottom"/>
          </w:tcPr>
          <w:p w14:paraId="10EA26C9" w14:textId="77777777"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p>
        </w:tc>
        <w:tc>
          <w:tcPr>
            <w:tcW w:w="396" w:type="pct"/>
            <w:gridSpan w:val="2"/>
            <w:tcBorders>
              <w:top w:val="single" w:sz="12" w:space="0" w:color="auto"/>
              <w:bottom w:val="single" w:sz="12" w:space="0" w:color="auto"/>
            </w:tcBorders>
            <w:shd w:val="clear" w:color="auto" w:fill="auto"/>
            <w:vAlign w:val="bottom"/>
          </w:tcPr>
          <w:p w14:paraId="01DE9A5B" w14:textId="77777777"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Accumulated </w:t>
            </w:r>
            <w:r w:rsidRPr="00A50B5D">
              <w:rPr>
                <w:rFonts w:ascii="Times New Roman" w:eastAsia="Times New Roman" w:hAnsi="Times New Roman" w:cs="Times New Roman"/>
                <w:b/>
                <w:bCs/>
                <w:sz w:val="18"/>
                <w:szCs w:val="18"/>
                <w:lang w:val="en-US"/>
              </w:rPr>
              <w:t>deficit</w:t>
            </w:r>
          </w:p>
        </w:tc>
        <w:tc>
          <w:tcPr>
            <w:tcW w:w="49" w:type="pct"/>
            <w:tcBorders>
              <w:top w:val="single" w:sz="12" w:space="0" w:color="auto"/>
              <w:bottom w:val="single" w:sz="12" w:space="0" w:color="auto"/>
            </w:tcBorders>
            <w:shd w:val="clear" w:color="auto" w:fill="auto"/>
            <w:vAlign w:val="bottom"/>
          </w:tcPr>
          <w:p w14:paraId="53D4446A" w14:textId="77777777"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p>
        </w:tc>
        <w:tc>
          <w:tcPr>
            <w:tcW w:w="396" w:type="pct"/>
            <w:gridSpan w:val="2"/>
            <w:tcBorders>
              <w:top w:val="single" w:sz="12" w:space="0" w:color="auto"/>
              <w:bottom w:val="single" w:sz="12" w:space="0" w:color="auto"/>
            </w:tcBorders>
            <w:shd w:val="clear" w:color="auto" w:fill="auto"/>
            <w:vAlign w:val="bottom"/>
          </w:tcPr>
          <w:p w14:paraId="1151688F" w14:textId="77777777"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r w:rsidRPr="00A50B5D">
              <w:rPr>
                <w:rFonts w:ascii="Times New Roman" w:eastAsia="Times New Roman" w:hAnsi="Times New Roman" w:cs="Times New Roman"/>
                <w:b/>
                <w:bCs/>
                <w:sz w:val="18"/>
                <w:szCs w:val="18"/>
                <w:lang w:val="en-US"/>
              </w:rPr>
              <w:t>Total</w:t>
            </w:r>
          </w:p>
        </w:tc>
        <w:tc>
          <w:tcPr>
            <w:tcW w:w="45" w:type="pct"/>
            <w:tcBorders>
              <w:top w:val="single" w:sz="12" w:space="0" w:color="auto"/>
              <w:bottom w:val="single" w:sz="12" w:space="0" w:color="auto"/>
            </w:tcBorders>
            <w:shd w:val="clear" w:color="auto" w:fill="auto"/>
            <w:vAlign w:val="bottom"/>
          </w:tcPr>
          <w:p w14:paraId="7B24FC74" w14:textId="77777777" w:rsidR="00BE0A6C" w:rsidRPr="00A50B5D" w:rsidRDefault="00BE0A6C" w:rsidP="00D33273">
            <w:pPr>
              <w:spacing w:after="0" w:line="240" w:lineRule="auto"/>
              <w:jc w:val="right"/>
              <w:rPr>
                <w:rFonts w:ascii="Times New Roman" w:eastAsia="Times New Roman" w:hAnsi="Times New Roman" w:cs="Times New Roman"/>
                <w:b/>
                <w:bCs/>
                <w:sz w:val="18"/>
                <w:szCs w:val="18"/>
                <w:lang w:val="en-US"/>
              </w:rPr>
            </w:pPr>
          </w:p>
        </w:tc>
      </w:tr>
      <w:tr w:rsidR="00D33273" w:rsidRPr="00872008" w14:paraId="162F1313" w14:textId="77777777" w:rsidTr="00BE0A6C">
        <w:tc>
          <w:tcPr>
            <w:tcW w:w="845" w:type="pct"/>
            <w:tcBorders>
              <w:top w:val="single" w:sz="12" w:space="0" w:color="auto"/>
            </w:tcBorders>
            <w:shd w:val="clear" w:color="auto" w:fill="auto"/>
            <w:vAlign w:val="bottom"/>
          </w:tcPr>
          <w:p w14:paraId="79555CAE" w14:textId="600CD93A" w:rsidR="00BE0A6C" w:rsidRPr="00A50B5D" w:rsidRDefault="00BE0A6C" w:rsidP="007F2074">
            <w:pPr>
              <w:spacing w:after="0" w:line="240" w:lineRule="auto"/>
              <w:jc w:val="both"/>
              <w:rPr>
                <w:rFonts w:ascii="Times New Roman" w:eastAsia="Times New Roman" w:hAnsi="Times New Roman" w:cs="Times New Roman"/>
                <w:b/>
                <w:bCs/>
                <w:sz w:val="18"/>
                <w:szCs w:val="18"/>
                <w:lang w:val="en-US"/>
              </w:rPr>
            </w:pPr>
            <w:r w:rsidRPr="00A50B5D">
              <w:rPr>
                <w:rFonts w:ascii="Times New Roman" w:eastAsia="Times New Roman" w:hAnsi="Times New Roman" w:cs="Times New Roman"/>
                <w:b/>
                <w:bCs/>
                <w:sz w:val="18"/>
                <w:szCs w:val="18"/>
                <w:lang w:val="en-US"/>
              </w:rPr>
              <w:t>Balance, December 31, 20</w:t>
            </w:r>
            <w:r>
              <w:rPr>
                <w:rFonts w:ascii="Times New Roman" w:eastAsia="Times New Roman" w:hAnsi="Times New Roman" w:cs="Times New Roman"/>
                <w:b/>
                <w:bCs/>
                <w:sz w:val="18"/>
                <w:szCs w:val="18"/>
                <w:lang w:val="en-US"/>
              </w:rPr>
              <w:t>20</w:t>
            </w:r>
          </w:p>
        </w:tc>
        <w:tc>
          <w:tcPr>
            <w:tcW w:w="347" w:type="pct"/>
            <w:tcBorders>
              <w:top w:val="single" w:sz="12" w:space="0" w:color="auto"/>
            </w:tcBorders>
            <w:shd w:val="clear" w:color="auto" w:fill="auto"/>
            <w:vAlign w:val="bottom"/>
          </w:tcPr>
          <w:p w14:paraId="5AD1863B" w14:textId="1774DADA" w:rsidR="00BE0A6C" w:rsidRPr="00CA4239" w:rsidRDefault="00BE0A6C" w:rsidP="007F2074">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xml:space="preserve"> </w:t>
            </w:r>
          </w:p>
          <w:p w14:paraId="33176B90" w14:textId="7DCE8BB8" w:rsidR="00BE0A6C" w:rsidRPr="00CA4239" w:rsidRDefault="00BE0A6C" w:rsidP="007F2074">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125,339,156</w:t>
            </w:r>
          </w:p>
        </w:tc>
        <w:tc>
          <w:tcPr>
            <w:tcW w:w="99" w:type="pct"/>
            <w:tcBorders>
              <w:top w:val="single" w:sz="12" w:space="0" w:color="auto"/>
            </w:tcBorders>
            <w:shd w:val="clear" w:color="auto" w:fill="auto"/>
            <w:vAlign w:val="bottom"/>
          </w:tcPr>
          <w:p w14:paraId="24863CE5"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p>
        </w:tc>
        <w:tc>
          <w:tcPr>
            <w:tcW w:w="49" w:type="pct"/>
            <w:tcBorders>
              <w:top w:val="single" w:sz="12" w:space="0" w:color="auto"/>
            </w:tcBorders>
            <w:shd w:val="clear" w:color="auto" w:fill="auto"/>
            <w:vAlign w:val="bottom"/>
          </w:tcPr>
          <w:p w14:paraId="4CDADEE7"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203" w:type="pct"/>
            <w:tcBorders>
              <w:top w:val="single" w:sz="12" w:space="0" w:color="auto"/>
            </w:tcBorders>
            <w:shd w:val="clear" w:color="auto" w:fill="auto"/>
            <w:vAlign w:val="bottom"/>
          </w:tcPr>
          <w:p w14:paraId="03A6293A" w14:textId="6A518D9F" w:rsidR="00BE0A6C" w:rsidRPr="00CA4239" w:rsidRDefault="00BE0A6C" w:rsidP="007F2074">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1,253</w:t>
            </w:r>
          </w:p>
        </w:tc>
        <w:tc>
          <w:tcPr>
            <w:tcW w:w="49" w:type="pct"/>
            <w:tcBorders>
              <w:top w:val="single" w:sz="12" w:space="0" w:color="auto"/>
            </w:tcBorders>
            <w:shd w:val="clear" w:color="auto" w:fill="auto"/>
          </w:tcPr>
          <w:p w14:paraId="1888395D"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p>
        </w:tc>
        <w:tc>
          <w:tcPr>
            <w:tcW w:w="99" w:type="pct"/>
            <w:tcBorders>
              <w:top w:val="single" w:sz="12" w:space="0" w:color="auto"/>
            </w:tcBorders>
            <w:shd w:val="clear" w:color="auto" w:fill="auto"/>
            <w:vAlign w:val="bottom"/>
          </w:tcPr>
          <w:p w14:paraId="3D0D6D77" w14:textId="77777777" w:rsidR="00BE0A6C" w:rsidRPr="00CA4239" w:rsidRDefault="00BE0A6C" w:rsidP="00CA4239">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xml:space="preserve">   $</w:t>
            </w:r>
          </w:p>
        </w:tc>
        <w:tc>
          <w:tcPr>
            <w:tcW w:w="297" w:type="pct"/>
            <w:tcBorders>
              <w:top w:val="single" w:sz="12" w:space="0" w:color="auto"/>
            </w:tcBorders>
            <w:shd w:val="clear" w:color="auto" w:fill="auto"/>
            <w:vAlign w:val="bottom"/>
          </w:tcPr>
          <w:p w14:paraId="472D4F6A" w14:textId="2C475347" w:rsidR="00BE0A6C" w:rsidRPr="00CA4239" w:rsidRDefault="00BE0A6C" w:rsidP="007F2074">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26,331,369</w:t>
            </w:r>
          </w:p>
        </w:tc>
        <w:tc>
          <w:tcPr>
            <w:tcW w:w="50" w:type="pct"/>
            <w:tcBorders>
              <w:top w:val="single" w:sz="12" w:space="0" w:color="auto"/>
            </w:tcBorders>
            <w:shd w:val="clear" w:color="auto" w:fill="auto"/>
          </w:tcPr>
          <w:p w14:paraId="1F126467"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p>
        </w:tc>
        <w:tc>
          <w:tcPr>
            <w:tcW w:w="346" w:type="pct"/>
            <w:tcBorders>
              <w:top w:val="single" w:sz="12" w:space="0" w:color="auto"/>
            </w:tcBorders>
            <w:shd w:val="clear" w:color="auto" w:fill="auto"/>
          </w:tcPr>
          <w:p w14:paraId="2A67848F"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p>
          <w:p w14:paraId="42B2525F" w14:textId="68A3AAD9" w:rsidR="00BE0A6C" w:rsidRPr="00CA4239" w:rsidRDefault="00BE0A6C" w:rsidP="00CA4239">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1,177,099</w:t>
            </w:r>
          </w:p>
        </w:tc>
        <w:tc>
          <w:tcPr>
            <w:tcW w:w="49" w:type="pct"/>
            <w:tcBorders>
              <w:top w:val="single" w:sz="12" w:space="0" w:color="auto"/>
            </w:tcBorders>
            <w:shd w:val="clear" w:color="auto" w:fill="auto"/>
            <w:vAlign w:val="bottom"/>
          </w:tcPr>
          <w:p w14:paraId="304C5F8A" w14:textId="61959642"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396" w:type="pct"/>
            <w:tcBorders>
              <w:top w:val="single" w:sz="12" w:space="0" w:color="auto"/>
            </w:tcBorders>
            <w:shd w:val="clear" w:color="auto" w:fill="auto"/>
          </w:tcPr>
          <w:p w14:paraId="7CF9F64A"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p>
          <w:p w14:paraId="1C6A67D3"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49" w:type="pct"/>
            <w:tcBorders>
              <w:top w:val="single" w:sz="12" w:space="0" w:color="auto"/>
            </w:tcBorders>
            <w:shd w:val="clear" w:color="auto" w:fill="auto"/>
          </w:tcPr>
          <w:p w14:paraId="391DD5B5"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p>
        </w:tc>
        <w:tc>
          <w:tcPr>
            <w:tcW w:w="49" w:type="pct"/>
            <w:tcBorders>
              <w:top w:val="single" w:sz="12" w:space="0" w:color="auto"/>
            </w:tcBorders>
            <w:shd w:val="clear" w:color="auto" w:fill="auto"/>
            <w:vAlign w:val="bottom"/>
          </w:tcPr>
          <w:p w14:paraId="489C423E"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247" w:type="pct"/>
            <w:tcBorders>
              <w:top w:val="single" w:sz="12" w:space="0" w:color="auto"/>
            </w:tcBorders>
            <w:shd w:val="clear" w:color="auto" w:fill="auto"/>
            <w:vAlign w:val="bottom"/>
          </w:tcPr>
          <w:p w14:paraId="2DA614EC" w14:textId="34ED1DA5" w:rsidR="00BE0A6C" w:rsidRPr="00CA4239" w:rsidRDefault="00BE0A6C" w:rsidP="007F2074">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15,342</w:t>
            </w:r>
          </w:p>
        </w:tc>
        <w:tc>
          <w:tcPr>
            <w:tcW w:w="49" w:type="pct"/>
            <w:tcBorders>
              <w:top w:val="single" w:sz="12" w:space="0" w:color="auto"/>
            </w:tcBorders>
            <w:shd w:val="clear" w:color="auto" w:fill="auto"/>
            <w:vAlign w:val="bottom"/>
          </w:tcPr>
          <w:p w14:paraId="577D77C0"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297" w:type="pct"/>
            <w:tcBorders>
              <w:top w:val="single" w:sz="12" w:space="0" w:color="auto"/>
            </w:tcBorders>
            <w:shd w:val="clear" w:color="auto" w:fill="auto"/>
            <w:vAlign w:val="bottom"/>
          </w:tcPr>
          <w:p w14:paraId="0367EEAC" w14:textId="10479FAB" w:rsidR="00BE0A6C" w:rsidRPr="00CA4239" w:rsidRDefault="00BE0A6C" w:rsidP="007F2074">
            <w:pPr>
              <w:spacing w:after="0" w:line="240" w:lineRule="auto"/>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xml:space="preserve">  $             -</w:t>
            </w:r>
          </w:p>
        </w:tc>
        <w:tc>
          <w:tcPr>
            <w:tcW w:w="49" w:type="pct"/>
            <w:tcBorders>
              <w:top w:val="single" w:sz="12" w:space="0" w:color="auto"/>
            </w:tcBorders>
            <w:shd w:val="clear" w:color="auto" w:fill="auto"/>
          </w:tcPr>
          <w:p w14:paraId="453C01DE"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p>
        </w:tc>
        <w:tc>
          <w:tcPr>
            <w:tcW w:w="99" w:type="pct"/>
            <w:tcBorders>
              <w:top w:val="single" w:sz="12" w:space="0" w:color="auto"/>
            </w:tcBorders>
            <w:shd w:val="clear" w:color="auto" w:fill="auto"/>
            <w:vAlign w:val="bottom"/>
          </w:tcPr>
          <w:p w14:paraId="2A208322"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xml:space="preserve">     $</w:t>
            </w:r>
          </w:p>
        </w:tc>
        <w:tc>
          <w:tcPr>
            <w:tcW w:w="346" w:type="pct"/>
            <w:tcBorders>
              <w:top w:val="single" w:sz="12" w:space="0" w:color="auto"/>
            </w:tcBorders>
            <w:shd w:val="clear" w:color="auto" w:fill="auto"/>
            <w:vAlign w:val="bottom"/>
          </w:tcPr>
          <w:p w14:paraId="3C536EE4" w14:textId="44CF80A1" w:rsidR="00BE0A6C" w:rsidRPr="00CA4239" w:rsidRDefault="00BE0A6C" w:rsidP="007F2074">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(490,172</w:t>
            </w:r>
          </w:p>
        </w:tc>
        <w:tc>
          <w:tcPr>
            <w:tcW w:w="99" w:type="pct"/>
            <w:tcBorders>
              <w:top w:val="single" w:sz="12" w:space="0" w:color="auto"/>
            </w:tcBorders>
            <w:shd w:val="clear" w:color="auto" w:fill="auto"/>
            <w:vAlign w:val="bottom"/>
          </w:tcPr>
          <w:p w14:paraId="67D1FBDD"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50" w:type="pct"/>
            <w:tcBorders>
              <w:top w:val="single" w:sz="12" w:space="0" w:color="auto"/>
            </w:tcBorders>
            <w:shd w:val="clear" w:color="auto" w:fill="auto"/>
            <w:vAlign w:val="bottom"/>
          </w:tcPr>
          <w:p w14:paraId="7DB841B8"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346" w:type="pct"/>
            <w:tcBorders>
              <w:top w:val="single" w:sz="12" w:space="0" w:color="auto"/>
            </w:tcBorders>
            <w:shd w:val="clear" w:color="auto" w:fill="auto"/>
            <w:vAlign w:val="bottom"/>
          </w:tcPr>
          <w:p w14:paraId="20BE3A63" w14:textId="2E336219" w:rsidR="00BE0A6C" w:rsidRPr="00CA4239" w:rsidRDefault="00BE0A6C" w:rsidP="007F2074">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(33,822,124</w:t>
            </w:r>
          </w:p>
        </w:tc>
        <w:tc>
          <w:tcPr>
            <w:tcW w:w="49" w:type="pct"/>
            <w:tcBorders>
              <w:top w:val="single" w:sz="12" w:space="0" w:color="auto"/>
            </w:tcBorders>
            <w:shd w:val="clear" w:color="auto" w:fill="auto"/>
            <w:vAlign w:val="bottom"/>
          </w:tcPr>
          <w:p w14:paraId="3CD2BC42"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49" w:type="pct"/>
            <w:tcBorders>
              <w:top w:val="single" w:sz="12" w:space="0" w:color="auto"/>
            </w:tcBorders>
            <w:shd w:val="clear" w:color="auto" w:fill="auto"/>
            <w:vAlign w:val="bottom"/>
          </w:tcPr>
          <w:p w14:paraId="7B8D1713" w14:textId="77777777" w:rsidR="00BE0A6C" w:rsidRPr="00CA4239" w:rsidRDefault="00BE0A6C" w:rsidP="007F2074">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347" w:type="pct"/>
            <w:tcBorders>
              <w:top w:val="single" w:sz="12" w:space="0" w:color="auto"/>
            </w:tcBorders>
            <w:shd w:val="clear" w:color="auto" w:fill="auto"/>
            <w:vAlign w:val="bottom"/>
          </w:tcPr>
          <w:p w14:paraId="6EBB31B4" w14:textId="051607FC" w:rsidR="00BE0A6C" w:rsidRPr="00CA4239" w:rsidRDefault="00DB0190" w:rsidP="007F2074">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w:t>
            </w:r>
            <w:r w:rsidR="00BE0A6C" w:rsidRPr="00CA4239">
              <w:rPr>
                <w:rFonts w:ascii="Times New Roman" w:eastAsia="Times New Roman" w:hAnsi="Times New Roman" w:cs="Times New Roman"/>
                <w:b/>
                <w:bCs/>
                <w:sz w:val="18"/>
                <w:szCs w:val="18"/>
                <w:lang w:val="en-US"/>
              </w:rPr>
              <w:t>6,787,233</w:t>
            </w:r>
          </w:p>
        </w:tc>
        <w:tc>
          <w:tcPr>
            <w:tcW w:w="45" w:type="pct"/>
            <w:tcBorders>
              <w:top w:val="single" w:sz="12" w:space="0" w:color="auto"/>
            </w:tcBorders>
            <w:shd w:val="clear" w:color="auto" w:fill="auto"/>
            <w:vAlign w:val="bottom"/>
          </w:tcPr>
          <w:p w14:paraId="1E6EC5B2" w14:textId="7F8B33BE" w:rsidR="00BE0A6C" w:rsidRPr="00A50B5D" w:rsidRDefault="00DB0190" w:rsidP="007F207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D33273" w:rsidRPr="003D281F" w14:paraId="40133E1B" w14:textId="77777777" w:rsidTr="00BE0A6C">
        <w:tc>
          <w:tcPr>
            <w:tcW w:w="845" w:type="pct"/>
            <w:shd w:val="clear" w:color="auto" w:fill="auto"/>
            <w:vAlign w:val="bottom"/>
          </w:tcPr>
          <w:p w14:paraId="7B8A9B66" w14:textId="77777777" w:rsidR="00BE0A6C" w:rsidRPr="00A50B5D" w:rsidRDefault="00BE0A6C" w:rsidP="00CA4239">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Issuance of common stock</w:t>
            </w:r>
          </w:p>
        </w:tc>
        <w:tc>
          <w:tcPr>
            <w:tcW w:w="347" w:type="pct"/>
            <w:shd w:val="clear" w:color="auto" w:fill="auto"/>
            <w:vAlign w:val="bottom"/>
          </w:tcPr>
          <w:p w14:paraId="0F788408" w14:textId="1A4CFA4F"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12,9</w:t>
            </w:r>
            <w:r w:rsidR="00F45F07">
              <w:rPr>
                <w:rFonts w:ascii="Times New Roman" w:eastAsia="Times New Roman" w:hAnsi="Times New Roman" w:cs="Times New Roman"/>
                <w:sz w:val="18"/>
                <w:szCs w:val="18"/>
                <w:lang w:val="en-US"/>
              </w:rPr>
              <w:t>7</w:t>
            </w:r>
            <w:r>
              <w:rPr>
                <w:rFonts w:ascii="Times New Roman" w:eastAsia="Times New Roman" w:hAnsi="Times New Roman" w:cs="Times New Roman"/>
                <w:sz w:val="18"/>
                <w:szCs w:val="18"/>
                <w:lang w:val="en-US"/>
              </w:rPr>
              <w:t>1,992</w:t>
            </w:r>
          </w:p>
        </w:tc>
        <w:tc>
          <w:tcPr>
            <w:tcW w:w="99" w:type="pct"/>
            <w:shd w:val="clear" w:color="auto" w:fill="auto"/>
            <w:vAlign w:val="bottom"/>
          </w:tcPr>
          <w:p w14:paraId="1D6DD0A5"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18EA0417"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tcPr>
          <w:p w14:paraId="64AB9808" w14:textId="62B1B0E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129</w:t>
            </w:r>
          </w:p>
        </w:tc>
        <w:tc>
          <w:tcPr>
            <w:tcW w:w="49" w:type="pct"/>
            <w:shd w:val="clear" w:color="auto" w:fill="auto"/>
          </w:tcPr>
          <w:p w14:paraId="25F45528" w14:textId="77777777" w:rsidR="00BE0A6C" w:rsidRPr="003D281F" w:rsidRDefault="00BE0A6C" w:rsidP="007F2074">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2973A8BD"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tcPr>
          <w:p w14:paraId="551D1FE5" w14:textId="162B6CF6" w:rsidR="00BE0A6C" w:rsidRPr="00A50B5D" w:rsidRDefault="00F45F07"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256,513</w:t>
            </w:r>
          </w:p>
        </w:tc>
        <w:tc>
          <w:tcPr>
            <w:tcW w:w="50" w:type="pct"/>
            <w:shd w:val="clear" w:color="auto" w:fill="auto"/>
          </w:tcPr>
          <w:p w14:paraId="3872ACF3"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28A85210" w14:textId="1FA2826F"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595D67BC" w14:textId="79C0BAB9"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396" w:type="pct"/>
            <w:shd w:val="clear" w:color="auto" w:fill="auto"/>
          </w:tcPr>
          <w:p w14:paraId="6F618570"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0B491A58" w14:textId="2AF6E444"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0E8450CD"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47" w:type="pct"/>
            <w:shd w:val="clear" w:color="auto" w:fill="auto"/>
            <w:vAlign w:val="bottom"/>
          </w:tcPr>
          <w:p w14:paraId="051C901C" w14:textId="434FB2D1"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15,342</w:t>
            </w:r>
          </w:p>
        </w:tc>
        <w:tc>
          <w:tcPr>
            <w:tcW w:w="49" w:type="pct"/>
            <w:shd w:val="clear" w:color="auto" w:fill="auto"/>
            <w:vAlign w:val="bottom"/>
          </w:tcPr>
          <w:p w14:paraId="33D12829"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297" w:type="pct"/>
            <w:shd w:val="clear" w:color="auto" w:fill="auto"/>
            <w:vAlign w:val="bottom"/>
          </w:tcPr>
          <w:p w14:paraId="79FE8A41"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r w:rsidRPr="00A50B5D">
              <w:rPr>
                <w:rFonts w:ascii="Times New Roman" w:eastAsia="Times New Roman" w:hAnsi="Times New Roman" w:cs="Times New Roman"/>
                <w:sz w:val="18"/>
                <w:szCs w:val="18"/>
                <w:lang w:val="en-US"/>
              </w:rPr>
              <w:t> </w:t>
            </w:r>
          </w:p>
        </w:tc>
        <w:tc>
          <w:tcPr>
            <w:tcW w:w="49" w:type="pct"/>
            <w:shd w:val="clear" w:color="auto" w:fill="auto"/>
          </w:tcPr>
          <w:p w14:paraId="350AC5E4" w14:textId="77777777" w:rsidR="00BE0A6C" w:rsidRPr="005E231C" w:rsidRDefault="00BE0A6C" w:rsidP="007F2074">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7956936B"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096256AD"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99" w:type="pct"/>
            <w:shd w:val="clear" w:color="auto" w:fill="auto"/>
            <w:vAlign w:val="bottom"/>
          </w:tcPr>
          <w:p w14:paraId="1CA3E66B"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vAlign w:val="bottom"/>
          </w:tcPr>
          <w:p w14:paraId="56CB59DB"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52430F3C"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49" w:type="pct"/>
            <w:shd w:val="clear" w:color="auto" w:fill="auto"/>
            <w:vAlign w:val="bottom"/>
          </w:tcPr>
          <w:p w14:paraId="71AC411E"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784B114F"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shd w:val="clear" w:color="auto" w:fill="auto"/>
            <w:vAlign w:val="bottom"/>
          </w:tcPr>
          <w:p w14:paraId="72E3F5D0" w14:textId="651CCCB6"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r w:rsidR="00E860EE">
              <w:rPr>
                <w:rFonts w:ascii="Times New Roman" w:eastAsia="Times New Roman" w:hAnsi="Times New Roman" w:cs="Times New Roman"/>
                <w:sz w:val="18"/>
                <w:szCs w:val="18"/>
                <w:lang w:val="en-US"/>
              </w:rPr>
              <w:t>41</w:t>
            </w:r>
            <w:r>
              <w:rPr>
                <w:rFonts w:ascii="Times New Roman" w:eastAsia="Times New Roman" w:hAnsi="Times New Roman" w:cs="Times New Roman"/>
                <w:sz w:val="18"/>
                <w:szCs w:val="18"/>
                <w:lang w:val="en-US"/>
              </w:rPr>
              <w:t>,</w:t>
            </w:r>
            <w:r w:rsidR="00E860EE">
              <w:rPr>
                <w:rFonts w:ascii="Times New Roman" w:eastAsia="Times New Roman" w:hAnsi="Times New Roman" w:cs="Times New Roman"/>
                <w:sz w:val="18"/>
                <w:szCs w:val="18"/>
                <w:lang w:val="en-US"/>
              </w:rPr>
              <w:t>300</w:t>
            </w:r>
          </w:p>
        </w:tc>
        <w:tc>
          <w:tcPr>
            <w:tcW w:w="45" w:type="pct"/>
            <w:shd w:val="clear" w:color="auto" w:fill="auto"/>
            <w:vAlign w:val="bottom"/>
          </w:tcPr>
          <w:p w14:paraId="2E5A1EFB"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r>
      <w:tr w:rsidR="00D33273" w:rsidRPr="00872008" w14:paraId="1DCABFDF" w14:textId="77777777" w:rsidTr="00BE0A6C">
        <w:tc>
          <w:tcPr>
            <w:tcW w:w="845" w:type="pct"/>
            <w:shd w:val="clear" w:color="auto" w:fill="auto"/>
            <w:vAlign w:val="bottom"/>
            <w:hideMark/>
          </w:tcPr>
          <w:p w14:paraId="45512AC1" w14:textId="77777777" w:rsidR="00BE0A6C" w:rsidRPr="00A50B5D" w:rsidRDefault="00BE0A6C" w:rsidP="00CA4239">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Stock issued for debt settlement</w:t>
            </w:r>
          </w:p>
        </w:tc>
        <w:tc>
          <w:tcPr>
            <w:tcW w:w="347" w:type="pct"/>
            <w:shd w:val="clear" w:color="auto" w:fill="auto"/>
            <w:vAlign w:val="bottom"/>
            <w:hideMark/>
          </w:tcPr>
          <w:p w14:paraId="55E20002" w14:textId="4CAD1D17" w:rsidR="00BE0A6C" w:rsidRPr="00A50B5D" w:rsidRDefault="00F45F07"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w:t>
            </w:r>
            <w:r w:rsidR="00BE0A6C">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216</w:t>
            </w:r>
            <w:r w:rsidR="00BE0A6C">
              <w:rPr>
                <w:rFonts w:ascii="Times New Roman" w:eastAsia="Times New Roman" w:hAnsi="Times New Roman" w:cs="Times New Roman"/>
                <w:sz w:val="18"/>
                <w:szCs w:val="18"/>
                <w:lang w:val="en-US"/>
              </w:rPr>
              <w:t>,667</w:t>
            </w:r>
          </w:p>
        </w:tc>
        <w:tc>
          <w:tcPr>
            <w:tcW w:w="99" w:type="pct"/>
            <w:shd w:val="clear" w:color="auto" w:fill="auto"/>
            <w:vAlign w:val="bottom"/>
            <w:hideMark/>
          </w:tcPr>
          <w:p w14:paraId="5A273B05"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2E10170B"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hideMark/>
          </w:tcPr>
          <w:p w14:paraId="3A50CDE0" w14:textId="2841E1B6" w:rsidR="00BE0A6C" w:rsidRPr="00A50B5D" w:rsidRDefault="00F45F07"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52</w:t>
            </w:r>
          </w:p>
        </w:tc>
        <w:tc>
          <w:tcPr>
            <w:tcW w:w="49" w:type="pct"/>
            <w:shd w:val="clear" w:color="auto" w:fill="auto"/>
          </w:tcPr>
          <w:p w14:paraId="48F6CBCA" w14:textId="77777777" w:rsidR="00BE0A6C" w:rsidRPr="003D281F" w:rsidRDefault="00BE0A6C" w:rsidP="007F2074">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3EF4CDD0"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hideMark/>
          </w:tcPr>
          <w:p w14:paraId="50887EB3" w14:textId="027CBB3E" w:rsidR="00BE0A6C" w:rsidRPr="00A50B5D" w:rsidRDefault="00F45F07"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208,081</w:t>
            </w:r>
          </w:p>
        </w:tc>
        <w:tc>
          <w:tcPr>
            <w:tcW w:w="50" w:type="pct"/>
            <w:shd w:val="clear" w:color="auto" w:fill="auto"/>
          </w:tcPr>
          <w:p w14:paraId="17E3B54D"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0FA57566" w14:textId="2261AAD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hideMark/>
          </w:tcPr>
          <w:p w14:paraId="1F718693" w14:textId="71C83E5E"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396" w:type="pct"/>
            <w:shd w:val="clear" w:color="auto" w:fill="auto"/>
          </w:tcPr>
          <w:p w14:paraId="61447E4E"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1BAE6C6D" w14:textId="138987B8"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hideMark/>
          </w:tcPr>
          <w:p w14:paraId="0D824F44"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47" w:type="pct"/>
            <w:shd w:val="clear" w:color="auto" w:fill="auto"/>
            <w:vAlign w:val="bottom"/>
            <w:hideMark/>
          </w:tcPr>
          <w:p w14:paraId="5B27A9FC"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49" w:type="pct"/>
            <w:shd w:val="clear" w:color="auto" w:fill="auto"/>
            <w:vAlign w:val="bottom"/>
            <w:hideMark/>
          </w:tcPr>
          <w:p w14:paraId="1BB110ED"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hideMark/>
          </w:tcPr>
          <w:p w14:paraId="72E3088B"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shd w:val="clear" w:color="auto" w:fill="auto"/>
          </w:tcPr>
          <w:p w14:paraId="0ACBC266" w14:textId="77777777" w:rsidR="00BE0A6C" w:rsidRPr="005E231C" w:rsidRDefault="00BE0A6C" w:rsidP="007F2074">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45ED66F2"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hideMark/>
          </w:tcPr>
          <w:p w14:paraId="3F932BFA"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99" w:type="pct"/>
            <w:shd w:val="clear" w:color="auto" w:fill="auto"/>
            <w:vAlign w:val="bottom"/>
            <w:hideMark/>
          </w:tcPr>
          <w:p w14:paraId="0C0AFC67"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vAlign w:val="bottom"/>
            <w:hideMark/>
          </w:tcPr>
          <w:p w14:paraId="1C81A215"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hideMark/>
          </w:tcPr>
          <w:p w14:paraId="3433CEFB"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49" w:type="pct"/>
            <w:shd w:val="clear" w:color="auto" w:fill="auto"/>
            <w:vAlign w:val="bottom"/>
            <w:hideMark/>
          </w:tcPr>
          <w:p w14:paraId="4298345F"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641DFB66"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shd w:val="clear" w:color="auto" w:fill="auto"/>
            <w:vAlign w:val="bottom"/>
            <w:hideMark/>
          </w:tcPr>
          <w:p w14:paraId="6D425E8E" w14:textId="0627EEE0" w:rsidR="00BE0A6C" w:rsidRPr="00A50B5D" w:rsidRDefault="00E860EE"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208,133</w:t>
            </w:r>
          </w:p>
        </w:tc>
        <w:tc>
          <w:tcPr>
            <w:tcW w:w="45" w:type="pct"/>
            <w:shd w:val="clear" w:color="auto" w:fill="auto"/>
            <w:vAlign w:val="bottom"/>
            <w:hideMark/>
          </w:tcPr>
          <w:p w14:paraId="26325A02"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r>
      <w:tr w:rsidR="00D33273" w:rsidRPr="003D281F" w14:paraId="39CB9ABE" w14:textId="77777777" w:rsidTr="00BE0A6C">
        <w:tc>
          <w:tcPr>
            <w:tcW w:w="845" w:type="pct"/>
            <w:shd w:val="clear" w:color="auto" w:fill="auto"/>
            <w:vAlign w:val="bottom"/>
          </w:tcPr>
          <w:p w14:paraId="31968F36" w14:textId="77777777" w:rsidR="00BE0A6C" w:rsidRPr="00A50B5D" w:rsidRDefault="00BE0A6C" w:rsidP="00CA4239">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Stock issued for services</w:t>
            </w:r>
          </w:p>
        </w:tc>
        <w:tc>
          <w:tcPr>
            <w:tcW w:w="347" w:type="pct"/>
            <w:shd w:val="clear" w:color="auto" w:fill="auto"/>
            <w:vAlign w:val="bottom"/>
          </w:tcPr>
          <w:p w14:paraId="7800E50D" w14:textId="3D071022" w:rsidR="00BE0A6C" w:rsidRPr="00A50B5D" w:rsidRDefault="00F45F07"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2,630</w:t>
            </w:r>
            <w:r w:rsidR="00BE0A6C">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591</w:t>
            </w:r>
          </w:p>
        </w:tc>
        <w:tc>
          <w:tcPr>
            <w:tcW w:w="99" w:type="pct"/>
            <w:shd w:val="clear" w:color="auto" w:fill="auto"/>
            <w:vAlign w:val="bottom"/>
          </w:tcPr>
          <w:p w14:paraId="55602D24"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65B09D03"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tcPr>
          <w:p w14:paraId="43845B40" w14:textId="5302CDF4" w:rsidR="00BE0A6C" w:rsidRPr="00A50B5D" w:rsidRDefault="00F45F07"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26</w:t>
            </w:r>
          </w:p>
        </w:tc>
        <w:tc>
          <w:tcPr>
            <w:tcW w:w="49" w:type="pct"/>
            <w:shd w:val="clear" w:color="auto" w:fill="auto"/>
          </w:tcPr>
          <w:p w14:paraId="47AD73F3" w14:textId="77777777" w:rsidR="00BE0A6C" w:rsidRPr="003D281F" w:rsidRDefault="00BE0A6C" w:rsidP="007F2074">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644618FA"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tcPr>
          <w:p w14:paraId="703917A4" w14:textId="2DA3EF2B" w:rsidR="00BE0A6C" w:rsidRPr="00A50B5D" w:rsidRDefault="00F45F07"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670,550</w:t>
            </w:r>
          </w:p>
        </w:tc>
        <w:tc>
          <w:tcPr>
            <w:tcW w:w="50" w:type="pct"/>
            <w:shd w:val="clear" w:color="auto" w:fill="auto"/>
          </w:tcPr>
          <w:p w14:paraId="783E7299"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56CF9E25" w14:textId="15AF117C"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594CF333" w14:textId="4A46F3FF"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r w:rsidRPr="00A50B5D">
              <w:rPr>
                <w:rFonts w:ascii="Times New Roman" w:eastAsia="Times New Roman" w:hAnsi="Times New Roman" w:cs="Times New Roman"/>
                <w:sz w:val="18"/>
                <w:szCs w:val="18"/>
                <w:lang w:val="en-US"/>
              </w:rPr>
              <w:t> </w:t>
            </w:r>
          </w:p>
        </w:tc>
        <w:tc>
          <w:tcPr>
            <w:tcW w:w="396" w:type="pct"/>
            <w:shd w:val="clear" w:color="auto" w:fill="auto"/>
          </w:tcPr>
          <w:p w14:paraId="781AD8D8"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38FDD732" w14:textId="716EE535"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7D357566"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47" w:type="pct"/>
            <w:shd w:val="clear" w:color="auto" w:fill="auto"/>
            <w:vAlign w:val="bottom"/>
          </w:tcPr>
          <w:p w14:paraId="06E5BAE7"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49" w:type="pct"/>
            <w:shd w:val="clear" w:color="auto" w:fill="auto"/>
            <w:vAlign w:val="bottom"/>
          </w:tcPr>
          <w:p w14:paraId="363FD250"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tcPr>
          <w:p w14:paraId="497408D9"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shd w:val="clear" w:color="auto" w:fill="auto"/>
          </w:tcPr>
          <w:p w14:paraId="0384591C" w14:textId="77777777" w:rsidR="00BE0A6C" w:rsidRPr="005E231C" w:rsidRDefault="00BE0A6C" w:rsidP="007F2074">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075B2659"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4EDAC706"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99" w:type="pct"/>
            <w:shd w:val="clear" w:color="auto" w:fill="auto"/>
            <w:vAlign w:val="bottom"/>
          </w:tcPr>
          <w:p w14:paraId="3A120ED7"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vAlign w:val="bottom"/>
          </w:tcPr>
          <w:p w14:paraId="61D029E4"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09E3FD3A" w14:textId="77777777" w:rsidR="00BE0A6C" w:rsidRPr="00A50B5D" w:rsidRDefault="00BE0A6C" w:rsidP="007F2074">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49" w:type="pct"/>
            <w:shd w:val="clear" w:color="auto" w:fill="auto"/>
            <w:vAlign w:val="bottom"/>
          </w:tcPr>
          <w:p w14:paraId="0A76550B"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78A93898"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shd w:val="clear" w:color="auto" w:fill="auto"/>
            <w:vAlign w:val="bottom"/>
          </w:tcPr>
          <w:p w14:paraId="0EED28DE" w14:textId="051B232F" w:rsidR="00BE0A6C" w:rsidRPr="00A50B5D" w:rsidRDefault="00E860EE" w:rsidP="007F2074">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670,576</w:t>
            </w:r>
          </w:p>
        </w:tc>
        <w:tc>
          <w:tcPr>
            <w:tcW w:w="45" w:type="pct"/>
            <w:shd w:val="clear" w:color="auto" w:fill="auto"/>
            <w:vAlign w:val="bottom"/>
          </w:tcPr>
          <w:p w14:paraId="3B4573B0" w14:textId="77777777" w:rsidR="00BE0A6C" w:rsidRPr="00A50B5D" w:rsidRDefault="00BE0A6C" w:rsidP="007F2074">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r>
      <w:tr w:rsidR="00D33273" w:rsidRPr="00872008" w14:paraId="4DA03E65" w14:textId="77777777" w:rsidTr="00BE0A6C">
        <w:tc>
          <w:tcPr>
            <w:tcW w:w="845" w:type="pct"/>
            <w:shd w:val="clear" w:color="auto" w:fill="auto"/>
            <w:vAlign w:val="bottom"/>
          </w:tcPr>
          <w:p w14:paraId="65351C26" w14:textId="77777777" w:rsidR="00BE0A6C" w:rsidRPr="00A50B5D" w:rsidRDefault="00BE0A6C" w:rsidP="00370578">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Restricted stock unit grants and vesting</w:t>
            </w:r>
          </w:p>
        </w:tc>
        <w:tc>
          <w:tcPr>
            <w:tcW w:w="347" w:type="pct"/>
            <w:shd w:val="clear" w:color="auto" w:fill="auto"/>
            <w:vAlign w:val="bottom"/>
          </w:tcPr>
          <w:p w14:paraId="4185BAA4" w14:textId="0D47F1E6"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150,000</w:t>
            </w:r>
          </w:p>
        </w:tc>
        <w:tc>
          <w:tcPr>
            <w:tcW w:w="99" w:type="pct"/>
            <w:shd w:val="clear" w:color="auto" w:fill="auto"/>
            <w:vAlign w:val="bottom"/>
          </w:tcPr>
          <w:p w14:paraId="42560171"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78821A0C"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tcPr>
          <w:p w14:paraId="322E41EF" w14:textId="7D217E63"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w:t>
            </w:r>
          </w:p>
        </w:tc>
        <w:tc>
          <w:tcPr>
            <w:tcW w:w="49" w:type="pct"/>
            <w:shd w:val="clear" w:color="auto" w:fill="auto"/>
          </w:tcPr>
          <w:p w14:paraId="33A4462A" w14:textId="77777777" w:rsidR="00BE0A6C" w:rsidRPr="003D281F"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40249904"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tcPr>
          <w:p w14:paraId="570F0D89" w14:textId="7428A4D4"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36,898</w:t>
            </w:r>
          </w:p>
        </w:tc>
        <w:tc>
          <w:tcPr>
            <w:tcW w:w="50" w:type="pct"/>
            <w:shd w:val="clear" w:color="auto" w:fill="auto"/>
          </w:tcPr>
          <w:p w14:paraId="5BE29F6C"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027DEC04" w14:textId="0EBF4C66"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77872DDD" w14:textId="3420BD7C"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396" w:type="pct"/>
            <w:shd w:val="clear" w:color="auto" w:fill="auto"/>
          </w:tcPr>
          <w:p w14:paraId="17F7631C"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742629FF" w14:textId="77777777" w:rsidR="00BE0A6C" w:rsidRDefault="00BE0A6C" w:rsidP="00370578">
            <w:pPr>
              <w:spacing w:after="0" w:line="240" w:lineRule="auto"/>
              <w:jc w:val="both"/>
              <w:rPr>
                <w:rFonts w:ascii="Times New Roman" w:eastAsia="Times New Roman" w:hAnsi="Times New Roman" w:cs="Times New Roman"/>
                <w:sz w:val="18"/>
                <w:szCs w:val="18"/>
                <w:lang w:val="en-US"/>
              </w:rPr>
            </w:pPr>
          </w:p>
          <w:p w14:paraId="08A1EB56" w14:textId="307C4F05"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46CE04A1" w14:textId="2A0DA365"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68946BC7" w14:textId="68422E49"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20F7A296" w14:textId="4DF68321"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tcPr>
          <w:p w14:paraId="5725208B" w14:textId="09F48F11"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shd w:val="clear" w:color="auto" w:fill="auto"/>
          </w:tcPr>
          <w:p w14:paraId="465E5C59" w14:textId="77777777" w:rsidR="00BE0A6C" w:rsidRPr="005E231C"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2D0992BB" w14:textId="062134E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634EE5F3" w14:textId="42F73E76"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tcPr>
          <w:p w14:paraId="64D88932" w14:textId="222405B8"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vAlign w:val="bottom"/>
          </w:tcPr>
          <w:p w14:paraId="62142EE9" w14:textId="5AFC16F2"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3B588220" w14:textId="1409171C"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4D84EB87"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7F4C7514"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shd w:val="clear" w:color="auto" w:fill="auto"/>
            <w:vAlign w:val="bottom"/>
          </w:tcPr>
          <w:p w14:paraId="333474B5" w14:textId="3A776341"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36,900</w:t>
            </w:r>
          </w:p>
        </w:tc>
        <w:tc>
          <w:tcPr>
            <w:tcW w:w="45" w:type="pct"/>
            <w:shd w:val="clear" w:color="auto" w:fill="auto"/>
            <w:vAlign w:val="bottom"/>
          </w:tcPr>
          <w:p w14:paraId="7E6E01B7"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r>
      <w:tr w:rsidR="00D33273" w:rsidRPr="003D281F" w14:paraId="26EF1AB2" w14:textId="77777777" w:rsidTr="00BE0A6C">
        <w:tc>
          <w:tcPr>
            <w:tcW w:w="845" w:type="pct"/>
            <w:shd w:val="clear" w:color="auto" w:fill="auto"/>
            <w:vAlign w:val="bottom"/>
          </w:tcPr>
          <w:p w14:paraId="3439220B" w14:textId="041B9555" w:rsidR="00BE0A6C" w:rsidRPr="00A50B5D" w:rsidRDefault="00BE0A6C" w:rsidP="0037057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Warrants exercised</w:t>
            </w:r>
          </w:p>
        </w:tc>
        <w:tc>
          <w:tcPr>
            <w:tcW w:w="347" w:type="pct"/>
            <w:shd w:val="clear" w:color="auto" w:fill="auto"/>
            <w:vAlign w:val="bottom"/>
          </w:tcPr>
          <w:p w14:paraId="0EDBC3E2" w14:textId="128AC0AF"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5,854,400</w:t>
            </w:r>
          </w:p>
        </w:tc>
        <w:tc>
          <w:tcPr>
            <w:tcW w:w="99" w:type="pct"/>
            <w:shd w:val="clear" w:color="auto" w:fill="auto"/>
            <w:vAlign w:val="bottom"/>
          </w:tcPr>
          <w:p w14:paraId="1FF67E4F"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4E5861EF"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tcPr>
          <w:p w14:paraId="2FB1E15F" w14:textId="700EA747"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58</w:t>
            </w:r>
          </w:p>
        </w:tc>
        <w:tc>
          <w:tcPr>
            <w:tcW w:w="49" w:type="pct"/>
            <w:shd w:val="clear" w:color="auto" w:fill="auto"/>
          </w:tcPr>
          <w:p w14:paraId="561FC14B" w14:textId="77777777" w:rsidR="00BE0A6C" w:rsidRPr="003D281F"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1B47348A"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tcPr>
          <w:p w14:paraId="15B740E4" w14:textId="7D344759"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574,469</w:t>
            </w:r>
          </w:p>
        </w:tc>
        <w:tc>
          <w:tcPr>
            <w:tcW w:w="50" w:type="pct"/>
            <w:shd w:val="clear" w:color="auto" w:fill="auto"/>
          </w:tcPr>
          <w:p w14:paraId="5C20C598"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68FCDD68" w14:textId="200ADF2F"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32412B7E" w14:textId="33155954"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396" w:type="pct"/>
            <w:shd w:val="clear" w:color="auto" w:fill="auto"/>
          </w:tcPr>
          <w:p w14:paraId="092E5140"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50EFBADF" w14:textId="43BE993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17E0E6D0"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47" w:type="pct"/>
            <w:shd w:val="clear" w:color="auto" w:fill="auto"/>
            <w:vAlign w:val="bottom"/>
          </w:tcPr>
          <w:p w14:paraId="2A037F53" w14:textId="3BC854CE"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63384ABF" w14:textId="0F6A2F31"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tcPr>
          <w:p w14:paraId="0198790D" w14:textId="7B9A7562"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shd w:val="clear" w:color="auto" w:fill="auto"/>
          </w:tcPr>
          <w:p w14:paraId="51689E45" w14:textId="77777777" w:rsidR="00BE0A6C" w:rsidRPr="005E231C"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358C9FE6" w14:textId="6F962E8E"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6EDF0FE5" w14:textId="6F84E476"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tcPr>
          <w:p w14:paraId="7E71C01F" w14:textId="583D6BD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vAlign w:val="bottom"/>
          </w:tcPr>
          <w:p w14:paraId="6CE44FE2" w14:textId="475F0360"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0DD97D3A" w14:textId="231165C6"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6BA5D1BD"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536C3E4A"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shd w:val="clear" w:color="auto" w:fill="auto"/>
            <w:vAlign w:val="bottom"/>
          </w:tcPr>
          <w:p w14:paraId="7A9E75D2" w14:textId="59A22B93" w:rsidR="00BE0A6C" w:rsidRPr="00A50B5D" w:rsidRDefault="00E860EE"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574,527</w:t>
            </w:r>
          </w:p>
        </w:tc>
        <w:tc>
          <w:tcPr>
            <w:tcW w:w="45" w:type="pct"/>
            <w:shd w:val="clear" w:color="auto" w:fill="auto"/>
            <w:vAlign w:val="bottom"/>
          </w:tcPr>
          <w:p w14:paraId="2C1AEA6F"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r>
      <w:tr w:rsidR="00D33273" w:rsidRPr="00872008" w14:paraId="41CFCB04" w14:textId="77777777" w:rsidTr="00BE0A6C">
        <w:tc>
          <w:tcPr>
            <w:tcW w:w="845" w:type="pct"/>
            <w:shd w:val="clear" w:color="auto" w:fill="auto"/>
            <w:vAlign w:val="bottom"/>
            <w:hideMark/>
          </w:tcPr>
          <w:p w14:paraId="66F31285" w14:textId="77777777" w:rsidR="00BE0A6C" w:rsidRPr="00A50B5D" w:rsidRDefault="00BE0A6C" w:rsidP="00370578">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Options exercised</w:t>
            </w:r>
          </w:p>
        </w:tc>
        <w:tc>
          <w:tcPr>
            <w:tcW w:w="347" w:type="pct"/>
            <w:shd w:val="clear" w:color="auto" w:fill="auto"/>
            <w:vAlign w:val="bottom"/>
            <w:hideMark/>
          </w:tcPr>
          <w:p w14:paraId="161A6617" w14:textId="3D6E8530"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780,000</w:t>
            </w:r>
          </w:p>
        </w:tc>
        <w:tc>
          <w:tcPr>
            <w:tcW w:w="99" w:type="pct"/>
            <w:shd w:val="clear" w:color="auto" w:fill="auto"/>
            <w:vAlign w:val="bottom"/>
            <w:hideMark/>
          </w:tcPr>
          <w:p w14:paraId="0DCB37CE"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48289D32"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hideMark/>
          </w:tcPr>
          <w:p w14:paraId="59236C51" w14:textId="583AEE04"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w:t>
            </w:r>
          </w:p>
        </w:tc>
        <w:tc>
          <w:tcPr>
            <w:tcW w:w="49" w:type="pct"/>
            <w:shd w:val="clear" w:color="auto" w:fill="auto"/>
          </w:tcPr>
          <w:p w14:paraId="3EFF4182" w14:textId="77777777" w:rsidR="00BE0A6C" w:rsidRPr="003D281F"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6180E926"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hideMark/>
          </w:tcPr>
          <w:p w14:paraId="297D373D" w14:textId="53F853A9"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300,729</w:t>
            </w:r>
          </w:p>
        </w:tc>
        <w:tc>
          <w:tcPr>
            <w:tcW w:w="50" w:type="pct"/>
            <w:shd w:val="clear" w:color="auto" w:fill="auto"/>
          </w:tcPr>
          <w:p w14:paraId="467EF3AD"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33681B17" w14:textId="524CDA31"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(16</w:t>
            </w:r>
            <w:r w:rsidR="00E860EE">
              <w:rPr>
                <w:rFonts w:ascii="Times New Roman" w:eastAsia="Times New Roman" w:hAnsi="Times New Roman" w:cs="Times New Roman"/>
                <w:sz w:val="18"/>
                <w:szCs w:val="18"/>
                <w:lang w:val="en-US"/>
              </w:rPr>
              <w:t>3</w:t>
            </w:r>
            <w:r>
              <w:rPr>
                <w:rFonts w:ascii="Times New Roman" w:eastAsia="Times New Roman" w:hAnsi="Times New Roman" w:cs="Times New Roman"/>
                <w:sz w:val="18"/>
                <w:szCs w:val="18"/>
                <w:lang w:val="en-US"/>
              </w:rPr>
              <w:t>,</w:t>
            </w:r>
            <w:r w:rsidR="00E860EE">
              <w:rPr>
                <w:rFonts w:ascii="Times New Roman" w:eastAsia="Times New Roman" w:hAnsi="Times New Roman" w:cs="Times New Roman"/>
                <w:sz w:val="18"/>
                <w:szCs w:val="18"/>
                <w:lang w:val="en-US"/>
              </w:rPr>
              <w:t>766</w:t>
            </w:r>
          </w:p>
        </w:tc>
        <w:tc>
          <w:tcPr>
            <w:tcW w:w="49" w:type="pct"/>
            <w:shd w:val="clear" w:color="auto" w:fill="auto"/>
            <w:vAlign w:val="bottom"/>
            <w:hideMark/>
          </w:tcPr>
          <w:p w14:paraId="43BCF03C" w14:textId="37BD53DC"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r w:rsidRPr="00A50B5D">
              <w:rPr>
                <w:rFonts w:ascii="Times New Roman" w:eastAsia="Times New Roman" w:hAnsi="Times New Roman" w:cs="Times New Roman"/>
                <w:sz w:val="18"/>
                <w:szCs w:val="18"/>
                <w:lang w:val="en-US"/>
              </w:rPr>
              <w:t> </w:t>
            </w:r>
          </w:p>
        </w:tc>
        <w:tc>
          <w:tcPr>
            <w:tcW w:w="396" w:type="pct"/>
            <w:shd w:val="clear" w:color="auto" w:fill="auto"/>
          </w:tcPr>
          <w:p w14:paraId="4258F5CE"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69DAA8AA" w14:textId="23039AEB"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hideMark/>
          </w:tcPr>
          <w:p w14:paraId="048570E1"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47" w:type="pct"/>
            <w:shd w:val="clear" w:color="auto" w:fill="auto"/>
            <w:vAlign w:val="bottom"/>
            <w:hideMark/>
          </w:tcPr>
          <w:p w14:paraId="0E482987" w14:textId="6D7A25FB"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016DE5F5" w14:textId="02101236"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hideMark/>
          </w:tcPr>
          <w:p w14:paraId="701B872C" w14:textId="71F8C7C5"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shd w:val="clear" w:color="auto" w:fill="auto"/>
          </w:tcPr>
          <w:p w14:paraId="6B1D9267" w14:textId="77777777" w:rsidR="00BE0A6C" w:rsidRPr="005E231C"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688662B1" w14:textId="7014C0A8"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hideMark/>
          </w:tcPr>
          <w:p w14:paraId="06850216" w14:textId="672FE30B"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hideMark/>
          </w:tcPr>
          <w:p w14:paraId="37ADBB0B" w14:textId="3325FA22"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vAlign w:val="bottom"/>
            <w:hideMark/>
          </w:tcPr>
          <w:p w14:paraId="1EED5F8D" w14:textId="52F9BBB9"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hideMark/>
          </w:tcPr>
          <w:p w14:paraId="137773CD" w14:textId="51A38C16"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68A22F33"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30F9AC6B"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shd w:val="clear" w:color="auto" w:fill="auto"/>
            <w:vAlign w:val="bottom"/>
            <w:hideMark/>
          </w:tcPr>
          <w:p w14:paraId="75584621" w14:textId="695B79D1"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136,</w:t>
            </w:r>
            <w:r w:rsidR="00E860EE">
              <w:rPr>
                <w:rFonts w:ascii="Times New Roman" w:eastAsia="Times New Roman" w:hAnsi="Times New Roman" w:cs="Times New Roman"/>
                <w:sz w:val="18"/>
                <w:szCs w:val="18"/>
                <w:lang w:val="en-US"/>
              </w:rPr>
              <w:t>971</w:t>
            </w:r>
          </w:p>
        </w:tc>
        <w:tc>
          <w:tcPr>
            <w:tcW w:w="45" w:type="pct"/>
            <w:shd w:val="clear" w:color="auto" w:fill="auto"/>
            <w:vAlign w:val="bottom"/>
            <w:hideMark/>
          </w:tcPr>
          <w:p w14:paraId="56876835"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r>
      <w:tr w:rsidR="00D33273" w:rsidRPr="003D281F" w14:paraId="65FE68C1" w14:textId="77777777" w:rsidTr="00BE0A6C">
        <w:tc>
          <w:tcPr>
            <w:tcW w:w="845" w:type="pct"/>
            <w:shd w:val="clear" w:color="auto" w:fill="auto"/>
            <w:vAlign w:val="bottom"/>
            <w:hideMark/>
          </w:tcPr>
          <w:p w14:paraId="09264264" w14:textId="4354E027" w:rsidR="00BE0A6C" w:rsidRPr="00A50B5D" w:rsidRDefault="00BE0A6C" w:rsidP="00370578">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Conversion of debentures</w:t>
            </w:r>
          </w:p>
        </w:tc>
        <w:tc>
          <w:tcPr>
            <w:tcW w:w="347" w:type="pct"/>
            <w:shd w:val="clear" w:color="auto" w:fill="auto"/>
            <w:vAlign w:val="bottom"/>
            <w:hideMark/>
          </w:tcPr>
          <w:p w14:paraId="1BCDBE09" w14:textId="13EC4C47"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2,160,000</w:t>
            </w:r>
          </w:p>
        </w:tc>
        <w:tc>
          <w:tcPr>
            <w:tcW w:w="99" w:type="pct"/>
            <w:shd w:val="clear" w:color="auto" w:fill="auto"/>
            <w:vAlign w:val="bottom"/>
            <w:hideMark/>
          </w:tcPr>
          <w:p w14:paraId="3F003297"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05A1A419"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hideMark/>
          </w:tcPr>
          <w:p w14:paraId="2521135F" w14:textId="6B3709E5"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22</w:t>
            </w:r>
          </w:p>
        </w:tc>
        <w:tc>
          <w:tcPr>
            <w:tcW w:w="49" w:type="pct"/>
            <w:shd w:val="clear" w:color="auto" w:fill="auto"/>
          </w:tcPr>
          <w:p w14:paraId="00F0F783" w14:textId="77777777" w:rsidR="00BE0A6C" w:rsidRPr="003D281F"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37540175"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hideMark/>
          </w:tcPr>
          <w:p w14:paraId="2CC8A712" w14:textId="398388AF" w:rsidR="00BE0A6C" w:rsidRPr="00A50B5D" w:rsidRDefault="00F45F07"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522,497</w:t>
            </w:r>
          </w:p>
        </w:tc>
        <w:tc>
          <w:tcPr>
            <w:tcW w:w="50" w:type="pct"/>
            <w:shd w:val="clear" w:color="auto" w:fill="auto"/>
            <w:vAlign w:val="bottom"/>
          </w:tcPr>
          <w:p w14:paraId="1B025B9C" w14:textId="0D17520A"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3844C6BA" w14:textId="0F571662"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8BE1A02" w14:textId="08BEB2A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396" w:type="pct"/>
            <w:shd w:val="clear" w:color="auto" w:fill="auto"/>
          </w:tcPr>
          <w:p w14:paraId="1FF8889C"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1C9D7FE6" w14:textId="13E2F699"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hideMark/>
          </w:tcPr>
          <w:p w14:paraId="61404902"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47" w:type="pct"/>
            <w:shd w:val="clear" w:color="auto" w:fill="auto"/>
            <w:vAlign w:val="bottom"/>
            <w:hideMark/>
          </w:tcPr>
          <w:p w14:paraId="7A3DC33D"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2E78027B"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hideMark/>
          </w:tcPr>
          <w:p w14:paraId="4D040452"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shd w:val="clear" w:color="auto" w:fill="auto"/>
          </w:tcPr>
          <w:p w14:paraId="2E269D40" w14:textId="77777777" w:rsidR="00BE0A6C" w:rsidRPr="005E231C"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1A6B6377"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hideMark/>
          </w:tcPr>
          <w:p w14:paraId="24D37D16"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hideMark/>
          </w:tcPr>
          <w:p w14:paraId="607278F3"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vAlign w:val="bottom"/>
            <w:hideMark/>
          </w:tcPr>
          <w:p w14:paraId="2296F8D1"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hideMark/>
          </w:tcPr>
          <w:p w14:paraId="14D42B0B"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2A83F28E"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22FCF5D9"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shd w:val="clear" w:color="auto" w:fill="auto"/>
            <w:vAlign w:val="bottom"/>
            <w:hideMark/>
          </w:tcPr>
          <w:p w14:paraId="5D704B84" w14:textId="7B84B874"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522,519</w:t>
            </w:r>
          </w:p>
        </w:tc>
        <w:tc>
          <w:tcPr>
            <w:tcW w:w="45" w:type="pct"/>
            <w:shd w:val="clear" w:color="auto" w:fill="auto"/>
            <w:vAlign w:val="bottom"/>
            <w:hideMark/>
          </w:tcPr>
          <w:p w14:paraId="380DDDF2" w14:textId="09BE2DB0"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r>
      <w:tr w:rsidR="00D33273" w:rsidRPr="00872008" w14:paraId="4DF1FA3C" w14:textId="77777777" w:rsidTr="00BE0A6C">
        <w:tc>
          <w:tcPr>
            <w:tcW w:w="845" w:type="pct"/>
            <w:shd w:val="clear" w:color="auto" w:fill="auto"/>
            <w:vAlign w:val="bottom"/>
            <w:hideMark/>
          </w:tcPr>
          <w:p w14:paraId="67B1336A" w14:textId="30F35F87" w:rsidR="00BE0A6C" w:rsidRPr="00A50B5D" w:rsidRDefault="00BE0A6C" w:rsidP="0037057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Warrants issued for loan</w:t>
            </w:r>
          </w:p>
        </w:tc>
        <w:tc>
          <w:tcPr>
            <w:tcW w:w="347" w:type="pct"/>
            <w:shd w:val="clear" w:color="auto" w:fill="auto"/>
            <w:vAlign w:val="bottom"/>
          </w:tcPr>
          <w:p w14:paraId="140E4FDD" w14:textId="0D3842B5"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tcPr>
          <w:p w14:paraId="041A8969" w14:textId="4263CE0E"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0916367F" w14:textId="09E4C0B0"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tcPr>
          <w:p w14:paraId="34356634" w14:textId="27C0CBFF"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tcPr>
          <w:p w14:paraId="7F9E97FA" w14:textId="77777777" w:rsidR="00BE0A6C" w:rsidRPr="003D281F"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02394FC7" w14:textId="3189CDFD"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6BB645CE" w14:textId="264F36C9"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152,751</w:t>
            </w:r>
          </w:p>
        </w:tc>
        <w:tc>
          <w:tcPr>
            <w:tcW w:w="50" w:type="pct"/>
            <w:shd w:val="clear" w:color="auto" w:fill="auto"/>
          </w:tcPr>
          <w:p w14:paraId="2C36578F"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2FE7B736" w14:textId="44813761"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4AA0D8BD" w14:textId="6E39AE38"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396" w:type="pct"/>
            <w:shd w:val="clear" w:color="auto" w:fill="auto"/>
          </w:tcPr>
          <w:p w14:paraId="17A7A09B"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14C91AE6" w14:textId="599925BB"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0219B310" w14:textId="16AB1A81"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2EF7278F" w14:textId="59EE080F"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5AB55C03" w14:textId="1BB80EA1"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tcPr>
          <w:p w14:paraId="7A97BF5F" w14:textId="7F15EE88"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shd w:val="clear" w:color="auto" w:fill="auto"/>
          </w:tcPr>
          <w:p w14:paraId="2A958903" w14:textId="77777777" w:rsidR="00BE0A6C" w:rsidRPr="005E231C"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45B60857" w14:textId="076CD284"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736AB9AF" w14:textId="74D4D636"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tcPr>
          <w:p w14:paraId="606264BC" w14:textId="242AC1AA"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vAlign w:val="bottom"/>
          </w:tcPr>
          <w:p w14:paraId="39BF6B5F" w14:textId="17546DE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tcPr>
          <w:p w14:paraId="7F86E4A3" w14:textId="1D08F3E9"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tcPr>
          <w:p w14:paraId="74FE4C34" w14:textId="696730EC"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5ABE64FE" w14:textId="02CF6520"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55355916" w14:textId="43F853A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152,751</w:t>
            </w:r>
          </w:p>
        </w:tc>
        <w:tc>
          <w:tcPr>
            <w:tcW w:w="45" w:type="pct"/>
            <w:shd w:val="clear" w:color="auto" w:fill="auto"/>
            <w:vAlign w:val="bottom"/>
            <w:hideMark/>
          </w:tcPr>
          <w:p w14:paraId="7AA781A5"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r>
      <w:tr w:rsidR="00E860EE" w:rsidRPr="00872008" w14:paraId="67249281" w14:textId="77777777" w:rsidTr="00BE0A6C">
        <w:tc>
          <w:tcPr>
            <w:tcW w:w="845" w:type="pct"/>
            <w:shd w:val="clear" w:color="auto" w:fill="auto"/>
            <w:vAlign w:val="bottom"/>
          </w:tcPr>
          <w:p w14:paraId="2DCF4B36" w14:textId="4E1BBDF9" w:rsidR="00E860EE" w:rsidRDefault="00E860EE" w:rsidP="0037057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Options issued</w:t>
            </w:r>
          </w:p>
        </w:tc>
        <w:tc>
          <w:tcPr>
            <w:tcW w:w="347" w:type="pct"/>
            <w:shd w:val="clear" w:color="auto" w:fill="auto"/>
            <w:vAlign w:val="bottom"/>
          </w:tcPr>
          <w:p w14:paraId="04852778" w14:textId="4654FDBE"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tcPr>
          <w:p w14:paraId="0347D9B3"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767756DB"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203" w:type="pct"/>
            <w:shd w:val="clear" w:color="auto" w:fill="auto"/>
            <w:vAlign w:val="bottom"/>
          </w:tcPr>
          <w:p w14:paraId="5B4BFD8E" w14:textId="01D90FCF"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tcPr>
          <w:p w14:paraId="0D4B1405" w14:textId="77777777" w:rsidR="00E860EE" w:rsidRPr="003D281F" w:rsidRDefault="00E860EE"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144BB8B8"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37FA2776" w14:textId="6EBDA728" w:rsidR="00E860EE" w:rsidRDefault="00E860EE"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108,775</w:t>
            </w:r>
          </w:p>
        </w:tc>
        <w:tc>
          <w:tcPr>
            <w:tcW w:w="50" w:type="pct"/>
            <w:shd w:val="clear" w:color="auto" w:fill="auto"/>
          </w:tcPr>
          <w:p w14:paraId="12C8B1B0"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38555BEB"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3DB41BF1" w14:textId="77777777" w:rsidR="00E860EE" w:rsidRDefault="00E860EE" w:rsidP="00370578">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41A0B0A9"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4CA62181" w14:textId="77777777" w:rsidR="00E860EE"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1C60311A"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314860C1" w14:textId="77777777"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p>
        </w:tc>
        <w:tc>
          <w:tcPr>
            <w:tcW w:w="49" w:type="pct"/>
            <w:shd w:val="clear" w:color="auto" w:fill="auto"/>
            <w:vAlign w:val="bottom"/>
          </w:tcPr>
          <w:p w14:paraId="40B48954"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690544B6" w14:textId="77777777"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p>
        </w:tc>
        <w:tc>
          <w:tcPr>
            <w:tcW w:w="49" w:type="pct"/>
            <w:shd w:val="clear" w:color="auto" w:fill="auto"/>
          </w:tcPr>
          <w:p w14:paraId="0A29FB39" w14:textId="77777777" w:rsidR="00E860EE" w:rsidRPr="005E231C" w:rsidRDefault="00E860EE"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07976BEA"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571397F2" w14:textId="77777777"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p>
        </w:tc>
        <w:tc>
          <w:tcPr>
            <w:tcW w:w="99" w:type="pct"/>
            <w:shd w:val="clear" w:color="auto" w:fill="auto"/>
            <w:vAlign w:val="bottom"/>
          </w:tcPr>
          <w:p w14:paraId="25B8F1A3"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431AC212"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74940DCB" w14:textId="77777777"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p>
        </w:tc>
        <w:tc>
          <w:tcPr>
            <w:tcW w:w="49" w:type="pct"/>
            <w:shd w:val="clear" w:color="auto" w:fill="auto"/>
            <w:vAlign w:val="bottom"/>
          </w:tcPr>
          <w:p w14:paraId="6EE21C1B"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735D1F48"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56860783" w14:textId="5B377114" w:rsidR="00E860EE" w:rsidRDefault="00E860EE"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108,775</w:t>
            </w:r>
          </w:p>
        </w:tc>
        <w:tc>
          <w:tcPr>
            <w:tcW w:w="45" w:type="pct"/>
            <w:shd w:val="clear" w:color="auto" w:fill="auto"/>
            <w:vAlign w:val="bottom"/>
          </w:tcPr>
          <w:p w14:paraId="6EDB1E41"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r>
      <w:tr w:rsidR="00E860EE" w:rsidRPr="00872008" w14:paraId="135B5956" w14:textId="77777777" w:rsidTr="00BE0A6C">
        <w:tc>
          <w:tcPr>
            <w:tcW w:w="845" w:type="pct"/>
            <w:shd w:val="clear" w:color="auto" w:fill="auto"/>
            <w:vAlign w:val="bottom"/>
          </w:tcPr>
          <w:p w14:paraId="423C2E66" w14:textId="6A3716B0" w:rsidR="00E860EE" w:rsidRDefault="00E860EE" w:rsidP="0037057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Warrants issued</w:t>
            </w:r>
          </w:p>
        </w:tc>
        <w:tc>
          <w:tcPr>
            <w:tcW w:w="347" w:type="pct"/>
            <w:shd w:val="clear" w:color="auto" w:fill="auto"/>
            <w:vAlign w:val="bottom"/>
          </w:tcPr>
          <w:p w14:paraId="19CCE808" w14:textId="68243AB9"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tcPr>
          <w:p w14:paraId="64EE40BD"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3367797"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203" w:type="pct"/>
            <w:shd w:val="clear" w:color="auto" w:fill="auto"/>
            <w:vAlign w:val="bottom"/>
          </w:tcPr>
          <w:p w14:paraId="7B96A907" w14:textId="4133EFF2"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tcPr>
          <w:p w14:paraId="5DDF7531" w14:textId="77777777" w:rsidR="00E860EE" w:rsidRPr="003D281F" w:rsidRDefault="00E860EE"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609FB82F"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6A69C5AD" w14:textId="585181B4" w:rsidR="00E860EE" w:rsidRDefault="00E860EE"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15,616</w:t>
            </w:r>
          </w:p>
        </w:tc>
        <w:tc>
          <w:tcPr>
            <w:tcW w:w="50" w:type="pct"/>
            <w:shd w:val="clear" w:color="auto" w:fill="auto"/>
          </w:tcPr>
          <w:p w14:paraId="76D17F8C"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5E1707CE"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3493640C" w14:textId="77777777" w:rsidR="00E860EE" w:rsidRDefault="00E860EE" w:rsidP="00370578">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1571DDA7"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4C511979" w14:textId="77777777" w:rsidR="00E860EE"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5E4B0D93"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00549959" w14:textId="77777777"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p>
        </w:tc>
        <w:tc>
          <w:tcPr>
            <w:tcW w:w="49" w:type="pct"/>
            <w:shd w:val="clear" w:color="auto" w:fill="auto"/>
            <w:vAlign w:val="bottom"/>
          </w:tcPr>
          <w:p w14:paraId="488B8FBF"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2D1676DE" w14:textId="77777777"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p>
        </w:tc>
        <w:tc>
          <w:tcPr>
            <w:tcW w:w="49" w:type="pct"/>
            <w:shd w:val="clear" w:color="auto" w:fill="auto"/>
          </w:tcPr>
          <w:p w14:paraId="51DAFAC3" w14:textId="77777777" w:rsidR="00E860EE" w:rsidRPr="005E231C" w:rsidRDefault="00E860EE"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58D2FC0E"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311C9089" w14:textId="77777777"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p>
        </w:tc>
        <w:tc>
          <w:tcPr>
            <w:tcW w:w="99" w:type="pct"/>
            <w:shd w:val="clear" w:color="auto" w:fill="auto"/>
            <w:vAlign w:val="bottom"/>
          </w:tcPr>
          <w:p w14:paraId="2FE19D61"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7D5F6242"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4F497DE1" w14:textId="77777777" w:rsidR="00E860EE" w:rsidRPr="00A50B5D" w:rsidRDefault="00E860EE" w:rsidP="00370578">
            <w:pPr>
              <w:spacing w:after="0" w:line="240" w:lineRule="auto"/>
              <w:jc w:val="right"/>
              <w:rPr>
                <w:rFonts w:ascii="Times New Roman" w:eastAsia="Times New Roman" w:hAnsi="Times New Roman" w:cs="Times New Roman"/>
                <w:sz w:val="18"/>
                <w:szCs w:val="18"/>
                <w:lang w:val="en-US"/>
              </w:rPr>
            </w:pPr>
          </w:p>
        </w:tc>
        <w:tc>
          <w:tcPr>
            <w:tcW w:w="49" w:type="pct"/>
            <w:shd w:val="clear" w:color="auto" w:fill="auto"/>
            <w:vAlign w:val="bottom"/>
          </w:tcPr>
          <w:p w14:paraId="516EFCF9"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9EBCD4D"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562FCB94" w14:textId="19CA499A" w:rsidR="00E860EE" w:rsidRDefault="00E860EE" w:rsidP="0037057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15,616</w:t>
            </w:r>
          </w:p>
        </w:tc>
        <w:tc>
          <w:tcPr>
            <w:tcW w:w="45" w:type="pct"/>
            <w:shd w:val="clear" w:color="auto" w:fill="auto"/>
            <w:vAlign w:val="bottom"/>
          </w:tcPr>
          <w:p w14:paraId="02A1C6FC" w14:textId="77777777" w:rsidR="00E860EE" w:rsidRPr="00A50B5D" w:rsidRDefault="00E860EE" w:rsidP="00370578">
            <w:pPr>
              <w:spacing w:after="0" w:line="240" w:lineRule="auto"/>
              <w:jc w:val="both"/>
              <w:rPr>
                <w:rFonts w:ascii="Times New Roman" w:eastAsia="Times New Roman" w:hAnsi="Times New Roman" w:cs="Times New Roman"/>
                <w:sz w:val="18"/>
                <w:szCs w:val="18"/>
                <w:lang w:val="en-US"/>
              </w:rPr>
            </w:pPr>
          </w:p>
        </w:tc>
      </w:tr>
      <w:tr w:rsidR="00D33273" w:rsidRPr="003D281F" w14:paraId="5488CC50" w14:textId="77777777" w:rsidTr="00BE0A6C">
        <w:tc>
          <w:tcPr>
            <w:tcW w:w="845" w:type="pct"/>
            <w:shd w:val="clear" w:color="auto" w:fill="auto"/>
            <w:vAlign w:val="bottom"/>
            <w:hideMark/>
          </w:tcPr>
          <w:p w14:paraId="49F5E33D" w14:textId="77777777" w:rsidR="00BE0A6C" w:rsidRPr="00A50B5D" w:rsidRDefault="00BE0A6C" w:rsidP="00370578">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Currency translation adjustment</w:t>
            </w:r>
          </w:p>
        </w:tc>
        <w:tc>
          <w:tcPr>
            <w:tcW w:w="347" w:type="pct"/>
            <w:shd w:val="clear" w:color="auto" w:fill="auto"/>
            <w:vAlign w:val="bottom"/>
            <w:hideMark/>
          </w:tcPr>
          <w:p w14:paraId="791B6C14" w14:textId="0A4206B5"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shd w:val="clear" w:color="auto" w:fill="auto"/>
            <w:vAlign w:val="bottom"/>
            <w:hideMark/>
          </w:tcPr>
          <w:p w14:paraId="2C0E4210" w14:textId="2207F1A6"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3A0930F6" w14:textId="25CE2102"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shd w:val="clear" w:color="auto" w:fill="auto"/>
            <w:vAlign w:val="bottom"/>
            <w:hideMark/>
          </w:tcPr>
          <w:p w14:paraId="0DA81C58" w14:textId="6FD509F0"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tcPr>
          <w:p w14:paraId="055420AF" w14:textId="77777777" w:rsidR="00BE0A6C" w:rsidRPr="003D281F"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07767C58" w14:textId="5AEB2F93"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shd w:val="clear" w:color="auto" w:fill="auto"/>
            <w:vAlign w:val="bottom"/>
            <w:hideMark/>
          </w:tcPr>
          <w:p w14:paraId="678CFA3B" w14:textId="0B8D101E"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shd w:val="clear" w:color="auto" w:fill="auto"/>
          </w:tcPr>
          <w:p w14:paraId="4AF73217"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411FE900" w14:textId="3BC9E230"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hideMark/>
          </w:tcPr>
          <w:p w14:paraId="2668A777" w14:textId="3DB01016"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396" w:type="pct"/>
            <w:shd w:val="clear" w:color="auto" w:fill="auto"/>
          </w:tcPr>
          <w:p w14:paraId="17ED47A4"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tcPr>
          <w:p w14:paraId="04E21607" w14:textId="13BC3321"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hideMark/>
          </w:tcPr>
          <w:p w14:paraId="7073CDE7" w14:textId="2665F6E2"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47" w:type="pct"/>
            <w:shd w:val="clear" w:color="auto" w:fill="auto"/>
            <w:vAlign w:val="bottom"/>
            <w:hideMark/>
          </w:tcPr>
          <w:p w14:paraId="25AEFC13" w14:textId="30BCFC3E"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hideMark/>
          </w:tcPr>
          <w:p w14:paraId="450920C5" w14:textId="5D259C94"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hideMark/>
          </w:tcPr>
          <w:p w14:paraId="0A3B046E"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shd w:val="clear" w:color="auto" w:fill="auto"/>
          </w:tcPr>
          <w:p w14:paraId="1525A1CB" w14:textId="77777777" w:rsidR="00BE0A6C" w:rsidRPr="005E231C"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5FBC9434"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hideMark/>
          </w:tcPr>
          <w:p w14:paraId="608E7637" w14:textId="061F6A09"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r w:rsidR="00E860EE">
              <w:rPr>
                <w:rFonts w:ascii="Times New Roman" w:eastAsia="Times New Roman" w:hAnsi="Times New Roman" w:cs="Times New Roman"/>
                <w:sz w:val="18"/>
                <w:szCs w:val="18"/>
                <w:lang w:val="en-US"/>
              </w:rPr>
              <w:t>185,844</w:t>
            </w:r>
          </w:p>
        </w:tc>
        <w:tc>
          <w:tcPr>
            <w:tcW w:w="99" w:type="pct"/>
            <w:shd w:val="clear" w:color="auto" w:fill="auto"/>
            <w:vAlign w:val="bottom"/>
            <w:hideMark/>
          </w:tcPr>
          <w:p w14:paraId="545A0853"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50" w:type="pct"/>
            <w:shd w:val="clear" w:color="auto" w:fill="auto"/>
            <w:vAlign w:val="bottom"/>
            <w:hideMark/>
          </w:tcPr>
          <w:p w14:paraId="1CFE4B05"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shd w:val="clear" w:color="auto" w:fill="auto"/>
            <w:vAlign w:val="bottom"/>
            <w:hideMark/>
          </w:tcPr>
          <w:p w14:paraId="6290C3C0" w14:textId="06F4D39A"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49" w:type="pct"/>
            <w:shd w:val="clear" w:color="auto" w:fill="auto"/>
            <w:vAlign w:val="bottom"/>
            <w:hideMark/>
          </w:tcPr>
          <w:p w14:paraId="66B27AC8"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shd w:val="clear" w:color="auto" w:fill="auto"/>
            <w:vAlign w:val="bottom"/>
            <w:hideMark/>
          </w:tcPr>
          <w:p w14:paraId="681D4948"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shd w:val="clear" w:color="auto" w:fill="auto"/>
            <w:vAlign w:val="bottom"/>
            <w:hideMark/>
          </w:tcPr>
          <w:p w14:paraId="46914E4F" w14:textId="7E33812E"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r w:rsidR="00E860EE">
              <w:rPr>
                <w:rFonts w:ascii="Times New Roman" w:eastAsia="Times New Roman" w:hAnsi="Times New Roman" w:cs="Times New Roman"/>
                <w:sz w:val="18"/>
                <w:szCs w:val="18"/>
                <w:lang w:val="en-US"/>
              </w:rPr>
              <w:t>185,844</w:t>
            </w:r>
          </w:p>
        </w:tc>
        <w:tc>
          <w:tcPr>
            <w:tcW w:w="45" w:type="pct"/>
            <w:shd w:val="clear" w:color="auto" w:fill="auto"/>
            <w:vAlign w:val="bottom"/>
            <w:hideMark/>
          </w:tcPr>
          <w:p w14:paraId="4F760FE7"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r>
      <w:tr w:rsidR="00D33273" w:rsidRPr="00872008" w14:paraId="03F6CFF0" w14:textId="77777777" w:rsidTr="00BE0A6C">
        <w:tc>
          <w:tcPr>
            <w:tcW w:w="845" w:type="pct"/>
            <w:tcBorders>
              <w:bottom w:val="single" w:sz="12" w:space="0" w:color="auto"/>
            </w:tcBorders>
            <w:shd w:val="clear" w:color="auto" w:fill="auto"/>
            <w:vAlign w:val="bottom"/>
            <w:hideMark/>
          </w:tcPr>
          <w:p w14:paraId="47AB458F" w14:textId="77777777" w:rsidR="00BE0A6C" w:rsidRPr="00A50B5D" w:rsidRDefault="00BE0A6C" w:rsidP="00370578">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Net loss</w:t>
            </w:r>
          </w:p>
        </w:tc>
        <w:tc>
          <w:tcPr>
            <w:tcW w:w="347" w:type="pct"/>
            <w:tcBorders>
              <w:bottom w:val="single" w:sz="12" w:space="0" w:color="auto"/>
            </w:tcBorders>
            <w:shd w:val="clear" w:color="auto" w:fill="auto"/>
            <w:vAlign w:val="bottom"/>
            <w:hideMark/>
          </w:tcPr>
          <w:p w14:paraId="109855CB" w14:textId="0D6F18C3"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tcBorders>
              <w:bottom w:val="single" w:sz="12" w:space="0" w:color="auto"/>
            </w:tcBorders>
            <w:shd w:val="clear" w:color="auto" w:fill="auto"/>
            <w:vAlign w:val="bottom"/>
            <w:hideMark/>
          </w:tcPr>
          <w:p w14:paraId="3F20143A"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tcBorders>
              <w:bottom w:val="single" w:sz="12" w:space="0" w:color="auto"/>
            </w:tcBorders>
            <w:shd w:val="clear" w:color="auto" w:fill="auto"/>
            <w:vAlign w:val="bottom"/>
            <w:hideMark/>
          </w:tcPr>
          <w:p w14:paraId="4CB4D9D9"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03" w:type="pct"/>
            <w:tcBorders>
              <w:bottom w:val="single" w:sz="12" w:space="0" w:color="auto"/>
            </w:tcBorders>
            <w:shd w:val="clear" w:color="auto" w:fill="auto"/>
            <w:vAlign w:val="bottom"/>
            <w:hideMark/>
          </w:tcPr>
          <w:p w14:paraId="51163F6F"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tcBorders>
              <w:bottom w:val="single" w:sz="12" w:space="0" w:color="auto"/>
            </w:tcBorders>
            <w:shd w:val="clear" w:color="auto" w:fill="auto"/>
          </w:tcPr>
          <w:p w14:paraId="5D8C6ADA" w14:textId="77777777" w:rsidR="00BE0A6C" w:rsidRPr="003D281F"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tcBorders>
              <w:bottom w:val="single" w:sz="12" w:space="0" w:color="auto"/>
            </w:tcBorders>
            <w:shd w:val="clear" w:color="auto" w:fill="auto"/>
            <w:vAlign w:val="bottom"/>
            <w:hideMark/>
          </w:tcPr>
          <w:p w14:paraId="6EEC0BC1"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tcBorders>
              <w:bottom w:val="single" w:sz="12" w:space="0" w:color="auto"/>
            </w:tcBorders>
            <w:shd w:val="clear" w:color="auto" w:fill="auto"/>
            <w:vAlign w:val="bottom"/>
            <w:hideMark/>
          </w:tcPr>
          <w:p w14:paraId="708BCDCB"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tcBorders>
              <w:bottom w:val="single" w:sz="12" w:space="0" w:color="auto"/>
            </w:tcBorders>
            <w:shd w:val="clear" w:color="auto" w:fill="auto"/>
          </w:tcPr>
          <w:p w14:paraId="0467F7ED"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346" w:type="pct"/>
            <w:tcBorders>
              <w:bottom w:val="single" w:sz="12" w:space="0" w:color="auto"/>
            </w:tcBorders>
            <w:shd w:val="clear" w:color="auto" w:fill="auto"/>
          </w:tcPr>
          <w:p w14:paraId="604EA232" w14:textId="0849705B"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tcBorders>
              <w:bottom w:val="single" w:sz="12" w:space="0" w:color="auto"/>
            </w:tcBorders>
            <w:shd w:val="clear" w:color="auto" w:fill="auto"/>
            <w:vAlign w:val="bottom"/>
            <w:hideMark/>
          </w:tcPr>
          <w:p w14:paraId="3E62C721" w14:textId="4BCF81BA"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396" w:type="pct"/>
            <w:tcBorders>
              <w:bottom w:val="single" w:sz="12" w:space="0" w:color="auto"/>
            </w:tcBorders>
            <w:shd w:val="clear" w:color="auto" w:fill="auto"/>
          </w:tcPr>
          <w:p w14:paraId="6E7E037E"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p>
        </w:tc>
        <w:tc>
          <w:tcPr>
            <w:tcW w:w="49" w:type="pct"/>
            <w:tcBorders>
              <w:bottom w:val="single" w:sz="12" w:space="0" w:color="auto"/>
            </w:tcBorders>
            <w:shd w:val="clear" w:color="auto" w:fill="auto"/>
          </w:tcPr>
          <w:p w14:paraId="7358F60D" w14:textId="1FC8AC31"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tcBorders>
              <w:bottom w:val="single" w:sz="12" w:space="0" w:color="auto"/>
            </w:tcBorders>
            <w:shd w:val="clear" w:color="auto" w:fill="auto"/>
            <w:vAlign w:val="bottom"/>
            <w:hideMark/>
          </w:tcPr>
          <w:p w14:paraId="36E44589"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47" w:type="pct"/>
            <w:tcBorders>
              <w:bottom w:val="single" w:sz="12" w:space="0" w:color="auto"/>
            </w:tcBorders>
            <w:shd w:val="clear" w:color="auto" w:fill="auto"/>
            <w:vAlign w:val="bottom"/>
            <w:hideMark/>
          </w:tcPr>
          <w:p w14:paraId="6E4C7980"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49" w:type="pct"/>
            <w:tcBorders>
              <w:bottom w:val="single" w:sz="12" w:space="0" w:color="auto"/>
            </w:tcBorders>
            <w:shd w:val="clear" w:color="auto" w:fill="auto"/>
            <w:vAlign w:val="bottom"/>
            <w:hideMark/>
          </w:tcPr>
          <w:p w14:paraId="06DE1073"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297" w:type="pct"/>
            <w:tcBorders>
              <w:bottom w:val="single" w:sz="12" w:space="0" w:color="auto"/>
            </w:tcBorders>
            <w:shd w:val="clear" w:color="auto" w:fill="auto"/>
            <w:vAlign w:val="bottom"/>
            <w:hideMark/>
          </w:tcPr>
          <w:p w14:paraId="1029C374"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r>
              <w:rPr>
                <w:rFonts w:ascii="Times New Roman" w:eastAsia="Times New Roman" w:hAnsi="Times New Roman" w:cs="Times New Roman"/>
                <w:sz w:val="18"/>
                <w:szCs w:val="18"/>
                <w:lang w:val="en-US"/>
              </w:rPr>
              <w:t>-</w:t>
            </w:r>
          </w:p>
        </w:tc>
        <w:tc>
          <w:tcPr>
            <w:tcW w:w="49" w:type="pct"/>
            <w:tcBorders>
              <w:bottom w:val="single" w:sz="12" w:space="0" w:color="auto"/>
            </w:tcBorders>
            <w:shd w:val="clear" w:color="auto" w:fill="auto"/>
          </w:tcPr>
          <w:p w14:paraId="2D3BEB0B" w14:textId="77777777" w:rsidR="00BE0A6C" w:rsidRPr="005E231C" w:rsidRDefault="00BE0A6C" w:rsidP="00370578">
            <w:pPr>
              <w:spacing w:after="0" w:line="240" w:lineRule="auto"/>
              <w:jc w:val="both"/>
              <w:rPr>
                <w:rFonts w:ascii="Times New Roman" w:eastAsia="Times New Roman" w:hAnsi="Times New Roman" w:cs="Times New Roman"/>
                <w:sz w:val="18"/>
                <w:szCs w:val="18"/>
                <w:lang w:val="en-US"/>
              </w:rPr>
            </w:pPr>
          </w:p>
        </w:tc>
        <w:tc>
          <w:tcPr>
            <w:tcW w:w="99" w:type="pct"/>
            <w:tcBorders>
              <w:bottom w:val="single" w:sz="12" w:space="0" w:color="auto"/>
            </w:tcBorders>
            <w:shd w:val="clear" w:color="auto" w:fill="auto"/>
            <w:vAlign w:val="bottom"/>
            <w:hideMark/>
          </w:tcPr>
          <w:p w14:paraId="6EB4DDC9"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tcBorders>
              <w:bottom w:val="single" w:sz="12" w:space="0" w:color="auto"/>
            </w:tcBorders>
            <w:shd w:val="clear" w:color="auto" w:fill="auto"/>
            <w:vAlign w:val="bottom"/>
            <w:hideMark/>
          </w:tcPr>
          <w:p w14:paraId="2BAD4B3A" w14:textId="77777777"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99" w:type="pct"/>
            <w:tcBorders>
              <w:bottom w:val="single" w:sz="12" w:space="0" w:color="auto"/>
            </w:tcBorders>
            <w:shd w:val="clear" w:color="auto" w:fill="auto"/>
            <w:vAlign w:val="bottom"/>
            <w:hideMark/>
          </w:tcPr>
          <w:p w14:paraId="322BB66E"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50" w:type="pct"/>
            <w:tcBorders>
              <w:bottom w:val="single" w:sz="12" w:space="0" w:color="auto"/>
            </w:tcBorders>
            <w:shd w:val="clear" w:color="auto" w:fill="auto"/>
            <w:vAlign w:val="bottom"/>
            <w:hideMark/>
          </w:tcPr>
          <w:p w14:paraId="520262F1"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6" w:type="pct"/>
            <w:tcBorders>
              <w:bottom w:val="single" w:sz="12" w:space="0" w:color="auto"/>
            </w:tcBorders>
            <w:shd w:val="clear" w:color="auto" w:fill="auto"/>
            <w:vAlign w:val="bottom"/>
            <w:hideMark/>
          </w:tcPr>
          <w:p w14:paraId="409A8E3E" w14:textId="18EFBE78"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r w:rsidR="00E860EE">
              <w:rPr>
                <w:rFonts w:ascii="Times New Roman" w:eastAsia="Times New Roman" w:hAnsi="Times New Roman" w:cs="Times New Roman"/>
                <w:sz w:val="18"/>
                <w:szCs w:val="18"/>
                <w:lang w:val="en-US"/>
              </w:rPr>
              <w:t>7,442,627</w:t>
            </w:r>
          </w:p>
        </w:tc>
        <w:tc>
          <w:tcPr>
            <w:tcW w:w="49" w:type="pct"/>
            <w:tcBorders>
              <w:bottom w:val="single" w:sz="12" w:space="0" w:color="auto"/>
            </w:tcBorders>
            <w:shd w:val="clear" w:color="auto" w:fill="auto"/>
            <w:vAlign w:val="bottom"/>
            <w:hideMark/>
          </w:tcPr>
          <w:p w14:paraId="044FC070"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c>
          <w:tcPr>
            <w:tcW w:w="49" w:type="pct"/>
            <w:tcBorders>
              <w:bottom w:val="single" w:sz="12" w:space="0" w:color="auto"/>
            </w:tcBorders>
            <w:shd w:val="clear" w:color="auto" w:fill="auto"/>
            <w:vAlign w:val="bottom"/>
            <w:hideMark/>
          </w:tcPr>
          <w:p w14:paraId="029628FC"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 </w:t>
            </w:r>
          </w:p>
        </w:tc>
        <w:tc>
          <w:tcPr>
            <w:tcW w:w="347" w:type="pct"/>
            <w:tcBorders>
              <w:bottom w:val="single" w:sz="12" w:space="0" w:color="auto"/>
            </w:tcBorders>
            <w:shd w:val="clear" w:color="auto" w:fill="auto"/>
            <w:vAlign w:val="bottom"/>
            <w:hideMark/>
          </w:tcPr>
          <w:p w14:paraId="55AF0A09" w14:textId="406AC5B4" w:rsidR="00BE0A6C" w:rsidRPr="00A50B5D" w:rsidRDefault="00BE0A6C" w:rsidP="00370578">
            <w:pPr>
              <w:spacing w:after="0" w:line="240" w:lineRule="auto"/>
              <w:jc w:val="right"/>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r w:rsidR="00E860EE">
              <w:rPr>
                <w:rFonts w:ascii="Times New Roman" w:eastAsia="Times New Roman" w:hAnsi="Times New Roman" w:cs="Times New Roman"/>
                <w:sz w:val="18"/>
                <w:szCs w:val="18"/>
                <w:lang w:val="en-US"/>
              </w:rPr>
              <w:t>7,442,627</w:t>
            </w:r>
          </w:p>
        </w:tc>
        <w:tc>
          <w:tcPr>
            <w:tcW w:w="45" w:type="pct"/>
            <w:tcBorders>
              <w:bottom w:val="single" w:sz="12" w:space="0" w:color="auto"/>
            </w:tcBorders>
            <w:shd w:val="clear" w:color="auto" w:fill="auto"/>
            <w:vAlign w:val="bottom"/>
            <w:hideMark/>
          </w:tcPr>
          <w:p w14:paraId="3720E7D8" w14:textId="77777777"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t>
            </w:r>
          </w:p>
        </w:tc>
      </w:tr>
      <w:tr w:rsidR="00D33273" w:rsidRPr="003D281F" w14:paraId="3B5C7576" w14:textId="77777777" w:rsidTr="00CD3524">
        <w:tc>
          <w:tcPr>
            <w:tcW w:w="845" w:type="pct"/>
            <w:tcBorders>
              <w:top w:val="single" w:sz="12" w:space="0" w:color="auto"/>
              <w:bottom w:val="double" w:sz="4" w:space="0" w:color="auto"/>
            </w:tcBorders>
            <w:shd w:val="clear" w:color="auto" w:fill="auto"/>
            <w:vAlign w:val="bottom"/>
            <w:hideMark/>
          </w:tcPr>
          <w:p w14:paraId="1C0B6CD3" w14:textId="44C8D5BC" w:rsidR="00BE0A6C" w:rsidRPr="00A50B5D" w:rsidRDefault="00BE0A6C" w:rsidP="00370578">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b/>
                <w:bCs/>
                <w:sz w:val="18"/>
                <w:szCs w:val="18"/>
                <w:lang w:val="en-US"/>
              </w:rPr>
              <w:t xml:space="preserve">Balance, </w:t>
            </w:r>
            <w:r w:rsidR="00F45F07">
              <w:rPr>
                <w:rFonts w:ascii="Times New Roman" w:eastAsia="Times New Roman" w:hAnsi="Times New Roman" w:cs="Times New Roman"/>
                <w:b/>
                <w:bCs/>
                <w:sz w:val="18"/>
                <w:szCs w:val="18"/>
                <w:lang w:val="en-US"/>
              </w:rPr>
              <w:t xml:space="preserve">June </w:t>
            </w:r>
            <w:r>
              <w:rPr>
                <w:rFonts w:ascii="Times New Roman" w:eastAsia="Times New Roman" w:hAnsi="Times New Roman" w:cs="Times New Roman"/>
                <w:b/>
                <w:bCs/>
                <w:sz w:val="18"/>
                <w:szCs w:val="18"/>
                <w:lang w:val="en-US"/>
              </w:rPr>
              <w:t>3</w:t>
            </w:r>
            <w:r w:rsidR="00F45F07">
              <w:rPr>
                <w:rFonts w:ascii="Times New Roman" w:eastAsia="Times New Roman" w:hAnsi="Times New Roman" w:cs="Times New Roman"/>
                <w:b/>
                <w:bCs/>
                <w:sz w:val="18"/>
                <w:szCs w:val="18"/>
                <w:lang w:val="en-US"/>
              </w:rPr>
              <w:t>0</w:t>
            </w:r>
            <w:r w:rsidRPr="00A50B5D">
              <w:rPr>
                <w:rFonts w:ascii="Times New Roman" w:eastAsia="Times New Roman" w:hAnsi="Times New Roman" w:cs="Times New Roman"/>
                <w:b/>
                <w:bCs/>
                <w:sz w:val="18"/>
                <w:szCs w:val="18"/>
                <w:lang w:val="en-US"/>
              </w:rPr>
              <w:t>, 202</w:t>
            </w:r>
            <w:r>
              <w:rPr>
                <w:rFonts w:ascii="Times New Roman" w:eastAsia="Times New Roman" w:hAnsi="Times New Roman" w:cs="Times New Roman"/>
                <w:b/>
                <w:bCs/>
                <w:sz w:val="18"/>
                <w:szCs w:val="18"/>
                <w:lang w:val="en-US"/>
              </w:rPr>
              <w:t>1</w:t>
            </w:r>
          </w:p>
        </w:tc>
        <w:tc>
          <w:tcPr>
            <w:tcW w:w="347" w:type="pct"/>
            <w:tcBorders>
              <w:top w:val="single" w:sz="12" w:space="0" w:color="auto"/>
              <w:bottom w:val="double" w:sz="4" w:space="0" w:color="auto"/>
            </w:tcBorders>
            <w:shd w:val="clear" w:color="auto" w:fill="auto"/>
            <w:vAlign w:val="bottom"/>
            <w:hideMark/>
          </w:tcPr>
          <w:p w14:paraId="16F70F0F" w14:textId="37CCED18"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15</w:t>
            </w:r>
            <w:r w:rsidR="00C41705">
              <w:rPr>
                <w:rFonts w:ascii="Times New Roman" w:eastAsia="Times New Roman" w:hAnsi="Times New Roman" w:cs="Times New Roman"/>
                <w:b/>
                <w:bCs/>
                <w:sz w:val="18"/>
                <w:szCs w:val="18"/>
                <w:lang w:val="en-US"/>
              </w:rPr>
              <w:t>5</w:t>
            </w:r>
            <w:r w:rsidRPr="00CA4239">
              <w:rPr>
                <w:rFonts w:ascii="Times New Roman" w:eastAsia="Times New Roman" w:hAnsi="Times New Roman" w:cs="Times New Roman"/>
                <w:b/>
                <w:bCs/>
                <w:sz w:val="18"/>
                <w:szCs w:val="18"/>
                <w:lang w:val="en-US"/>
              </w:rPr>
              <w:t>,1</w:t>
            </w:r>
            <w:r w:rsidR="00C41705">
              <w:rPr>
                <w:rFonts w:ascii="Times New Roman" w:eastAsia="Times New Roman" w:hAnsi="Times New Roman" w:cs="Times New Roman"/>
                <w:b/>
                <w:bCs/>
                <w:sz w:val="18"/>
                <w:szCs w:val="18"/>
                <w:lang w:val="en-US"/>
              </w:rPr>
              <w:t>02</w:t>
            </w:r>
            <w:r w:rsidRPr="00CA4239">
              <w:rPr>
                <w:rFonts w:ascii="Times New Roman" w:eastAsia="Times New Roman" w:hAnsi="Times New Roman" w:cs="Times New Roman"/>
                <w:b/>
                <w:bCs/>
                <w:sz w:val="18"/>
                <w:szCs w:val="18"/>
                <w:lang w:val="en-US"/>
              </w:rPr>
              <w:t>,</w:t>
            </w:r>
            <w:r w:rsidR="00C41705">
              <w:rPr>
                <w:rFonts w:ascii="Times New Roman" w:eastAsia="Times New Roman" w:hAnsi="Times New Roman" w:cs="Times New Roman"/>
                <w:b/>
                <w:bCs/>
                <w:sz w:val="18"/>
                <w:szCs w:val="18"/>
                <w:lang w:val="en-US"/>
              </w:rPr>
              <w:t>806</w:t>
            </w:r>
          </w:p>
        </w:tc>
        <w:tc>
          <w:tcPr>
            <w:tcW w:w="99" w:type="pct"/>
            <w:tcBorders>
              <w:top w:val="single" w:sz="12" w:space="0" w:color="auto"/>
              <w:bottom w:val="double" w:sz="4" w:space="0" w:color="auto"/>
            </w:tcBorders>
            <w:shd w:val="clear" w:color="auto" w:fill="auto"/>
            <w:vAlign w:val="bottom"/>
            <w:hideMark/>
          </w:tcPr>
          <w:p w14:paraId="1F096CD2"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49" w:type="pct"/>
            <w:tcBorders>
              <w:top w:val="single" w:sz="12" w:space="0" w:color="auto"/>
              <w:bottom w:val="double" w:sz="4" w:space="0" w:color="auto"/>
            </w:tcBorders>
            <w:shd w:val="clear" w:color="auto" w:fill="auto"/>
            <w:vAlign w:val="bottom"/>
            <w:hideMark/>
          </w:tcPr>
          <w:p w14:paraId="47A07ADF" w14:textId="5A61A03D"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203" w:type="pct"/>
            <w:tcBorders>
              <w:top w:val="single" w:sz="12" w:space="0" w:color="auto"/>
              <w:bottom w:val="double" w:sz="4" w:space="0" w:color="auto"/>
            </w:tcBorders>
            <w:shd w:val="clear" w:color="auto" w:fill="auto"/>
            <w:vAlign w:val="bottom"/>
            <w:hideMark/>
          </w:tcPr>
          <w:p w14:paraId="72969AE5" w14:textId="67BC61F7"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1,5</w:t>
            </w:r>
            <w:r w:rsidR="00F45F07">
              <w:rPr>
                <w:rFonts w:ascii="Times New Roman" w:eastAsia="Times New Roman" w:hAnsi="Times New Roman" w:cs="Times New Roman"/>
                <w:b/>
                <w:bCs/>
                <w:sz w:val="18"/>
                <w:szCs w:val="18"/>
                <w:lang w:val="en-US"/>
              </w:rPr>
              <w:t>50</w:t>
            </w:r>
          </w:p>
        </w:tc>
        <w:tc>
          <w:tcPr>
            <w:tcW w:w="49" w:type="pct"/>
            <w:tcBorders>
              <w:top w:val="single" w:sz="12" w:space="0" w:color="auto"/>
              <w:bottom w:val="double" w:sz="4" w:space="0" w:color="auto"/>
            </w:tcBorders>
            <w:shd w:val="clear" w:color="auto" w:fill="auto"/>
          </w:tcPr>
          <w:p w14:paraId="16C133E3"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99" w:type="pct"/>
            <w:tcBorders>
              <w:top w:val="single" w:sz="12" w:space="0" w:color="auto"/>
              <w:bottom w:val="double" w:sz="4" w:space="0" w:color="auto"/>
            </w:tcBorders>
            <w:shd w:val="clear" w:color="auto" w:fill="auto"/>
            <w:vAlign w:val="bottom"/>
            <w:hideMark/>
          </w:tcPr>
          <w:p w14:paraId="0CF04623" w14:textId="4FB5F94B" w:rsidR="00BE0A6C" w:rsidRPr="00CA4239" w:rsidRDefault="00402116" w:rsidP="00064A08">
            <w:pPr>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w:t>
            </w:r>
            <w:r w:rsidR="00BE0A6C" w:rsidRPr="00CA4239">
              <w:rPr>
                <w:rFonts w:ascii="Times New Roman" w:eastAsia="Times New Roman" w:hAnsi="Times New Roman" w:cs="Times New Roman"/>
                <w:b/>
                <w:bCs/>
                <w:sz w:val="18"/>
                <w:szCs w:val="18"/>
                <w:lang w:val="en-US"/>
              </w:rPr>
              <w:t> </w:t>
            </w:r>
          </w:p>
        </w:tc>
        <w:tc>
          <w:tcPr>
            <w:tcW w:w="297" w:type="pct"/>
            <w:tcBorders>
              <w:top w:val="single" w:sz="12" w:space="0" w:color="auto"/>
              <w:bottom w:val="double" w:sz="4" w:space="0" w:color="auto"/>
            </w:tcBorders>
            <w:shd w:val="clear" w:color="auto" w:fill="auto"/>
            <w:vAlign w:val="bottom"/>
            <w:hideMark/>
          </w:tcPr>
          <w:p w14:paraId="78BF68CE" w14:textId="2D9CC002" w:rsidR="00BE0A6C" w:rsidRPr="00CA4239" w:rsidRDefault="00402116" w:rsidP="00370578">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00BE0A6C" w:rsidRPr="00CA4239">
              <w:rPr>
                <w:rFonts w:ascii="Times New Roman" w:eastAsia="Times New Roman" w:hAnsi="Times New Roman" w:cs="Times New Roman"/>
                <w:b/>
                <w:bCs/>
                <w:sz w:val="18"/>
                <w:szCs w:val="18"/>
                <w:lang w:val="en-US"/>
              </w:rPr>
              <w:t>2</w:t>
            </w:r>
            <w:r w:rsidR="00E860EE">
              <w:rPr>
                <w:rFonts w:ascii="Times New Roman" w:eastAsia="Times New Roman" w:hAnsi="Times New Roman" w:cs="Times New Roman"/>
                <w:b/>
                <w:bCs/>
                <w:sz w:val="18"/>
                <w:szCs w:val="18"/>
                <w:lang w:val="en-US"/>
              </w:rPr>
              <w:t>9</w:t>
            </w:r>
            <w:r w:rsidR="00BE0A6C" w:rsidRPr="00CA4239">
              <w:rPr>
                <w:rFonts w:ascii="Times New Roman" w:eastAsia="Times New Roman" w:hAnsi="Times New Roman" w:cs="Times New Roman"/>
                <w:b/>
                <w:bCs/>
                <w:sz w:val="18"/>
                <w:szCs w:val="18"/>
                <w:lang w:val="en-US"/>
              </w:rPr>
              <w:t>,</w:t>
            </w:r>
            <w:r w:rsidR="00E860EE">
              <w:rPr>
                <w:rFonts w:ascii="Times New Roman" w:eastAsia="Times New Roman" w:hAnsi="Times New Roman" w:cs="Times New Roman"/>
                <w:b/>
                <w:bCs/>
                <w:sz w:val="18"/>
                <w:szCs w:val="18"/>
                <w:lang w:val="en-US"/>
              </w:rPr>
              <w:t>178</w:t>
            </w:r>
            <w:r w:rsidR="00BE0A6C" w:rsidRPr="00CA4239">
              <w:rPr>
                <w:rFonts w:ascii="Times New Roman" w:eastAsia="Times New Roman" w:hAnsi="Times New Roman" w:cs="Times New Roman"/>
                <w:b/>
                <w:bCs/>
                <w:sz w:val="18"/>
                <w:szCs w:val="18"/>
                <w:lang w:val="en-US"/>
              </w:rPr>
              <w:t>,</w:t>
            </w:r>
            <w:r w:rsidR="00E860EE">
              <w:rPr>
                <w:rFonts w:ascii="Times New Roman" w:eastAsia="Times New Roman" w:hAnsi="Times New Roman" w:cs="Times New Roman"/>
                <w:b/>
                <w:bCs/>
                <w:sz w:val="18"/>
                <w:szCs w:val="18"/>
                <w:lang w:val="en-US"/>
              </w:rPr>
              <w:t>248</w:t>
            </w:r>
          </w:p>
        </w:tc>
        <w:tc>
          <w:tcPr>
            <w:tcW w:w="50" w:type="pct"/>
            <w:tcBorders>
              <w:top w:val="single" w:sz="12" w:space="0" w:color="auto"/>
              <w:bottom w:val="double" w:sz="4" w:space="0" w:color="auto"/>
            </w:tcBorders>
            <w:shd w:val="clear" w:color="auto" w:fill="auto"/>
          </w:tcPr>
          <w:p w14:paraId="25E92AC3"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346" w:type="pct"/>
            <w:tcBorders>
              <w:top w:val="single" w:sz="12" w:space="0" w:color="auto"/>
              <w:bottom w:val="double" w:sz="4" w:space="0" w:color="auto"/>
            </w:tcBorders>
            <w:shd w:val="clear" w:color="auto" w:fill="auto"/>
          </w:tcPr>
          <w:p w14:paraId="543AA20C"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p w14:paraId="03EBA17B" w14:textId="29AE3963"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1,01</w:t>
            </w:r>
            <w:r w:rsidR="00E860EE">
              <w:rPr>
                <w:rFonts w:ascii="Times New Roman" w:eastAsia="Times New Roman" w:hAnsi="Times New Roman" w:cs="Times New Roman"/>
                <w:b/>
                <w:bCs/>
                <w:sz w:val="18"/>
                <w:szCs w:val="18"/>
                <w:lang w:val="en-US"/>
              </w:rPr>
              <w:t>3</w:t>
            </w:r>
            <w:r w:rsidRPr="00CA4239">
              <w:rPr>
                <w:rFonts w:ascii="Times New Roman" w:eastAsia="Times New Roman" w:hAnsi="Times New Roman" w:cs="Times New Roman"/>
                <w:b/>
                <w:bCs/>
                <w:sz w:val="18"/>
                <w:szCs w:val="18"/>
                <w:lang w:val="en-US"/>
              </w:rPr>
              <w:t>,</w:t>
            </w:r>
            <w:r w:rsidR="00E860EE">
              <w:rPr>
                <w:rFonts w:ascii="Times New Roman" w:eastAsia="Times New Roman" w:hAnsi="Times New Roman" w:cs="Times New Roman"/>
                <w:b/>
                <w:bCs/>
                <w:sz w:val="18"/>
                <w:szCs w:val="18"/>
                <w:lang w:val="en-US"/>
              </w:rPr>
              <w:t>333</w:t>
            </w:r>
          </w:p>
        </w:tc>
        <w:tc>
          <w:tcPr>
            <w:tcW w:w="49" w:type="pct"/>
            <w:tcBorders>
              <w:top w:val="single" w:sz="12" w:space="0" w:color="auto"/>
              <w:bottom w:val="double" w:sz="4" w:space="0" w:color="auto"/>
            </w:tcBorders>
            <w:shd w:val="clear" w:color="auto" w:fill="auto"/>
            <w:vAlign w:val="bottom"/>
            <w:hideMark/>
          </w:tcPr>
          <w:p w14:paraId="62249A99" w14:textId="43B14D34"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396" w:type="pct"/>
            <w:tcBorders>
              <w:top w:val="single" w:sz="12" w:space="0" w:color="auto"/>
              <w:bottom w:val="double" w:sz="4" w:space="0" w:color="auto"/>
            </w:tcBorders>
            <w:shd w:val="clear" w:color="auto" w:fill="auto"/>
          </w:tcPr>
          <w:p w14:paraId="314BD1D9"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p w14:paraId="44BE4BBF" w14:textId="48EB6EF0"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49" w:type="pct"/>
            <w:tcBorders>
              <w:top w:val="single" w:sz="12" w:space="0" w:color="auto"/>
              <w:bottom w:val="double" w:sz="4" w:space="0" w:color="auto"/>
            </w:tcBorders>
            <w:shd w:val="clear" w:color="auto" w:fill="auto"/>
          </w:tcPr>
          <w:p w14:paraId="536CB707"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49" w:type="pct"/>
            <w:tcBorders>
              <w:top w:val="single" w:sz="12" w:space="0" w:color="auto"/>
              <w:bottom w:val="double" w:sz="4" w:space="0" w:color="auto"/>
            </w:tcBorders>
            <w:shd w:val="clear" w:color="auto" w:fill="auto"/>
            <w:vAlign w:val="bottom"/>
            <w:hideMark/>
          </w:tcPr>
          <w:p w14:paraId="0CB65CD1" w14:textId="4EC67AE0"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247" w:type="pct"/>
            <w:tcBorders>
              <w:top w:val="single" w:sz="12" w:space="0" w:color="auto"/>
              <w:bottom w:val="double" w:sz="4" w:space="0" w:color="auto"/>
            </w:tcBorders>
            <w:shd w:val="clear" w:color="auto" w:fill="auto"/>
            <w:vAlign w:val="bottom"/>
            <w:hideMark/>
          </w:tcPr>
          <w:p w14:paraId="4B136629" w14:textId="247D6B22"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49" w:type="pct"/>
            <w:tcBorders>
              <w:top w:val="single" w:sz="12" w:space="0" w:color="auto"/>
              <w:bottom w:val="double" w:sz="4" w:space="0" w:color="auto"/>
            </w:tcBorders>
            <w:shd w:val="clear" w:color="auto" w:fill="auto"/>
            <w:vAlign w:val="bottom"/>
            <w:hideMark/>
          </w:tcPr>
          <w:p w14:paraId="4243217D"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297" w:type="pct"/>
            <w:tcBorders>
              <w:top w:val="single" w:sz="12" w:space="0" w:color="auto"/>
              <w:bottom w:val="double" w:sz="4" w:space="0" w:color="auto"/>
            </w:tcBorders>
            <w:shd w:val="clear" w:color="auto" w:fill="auto"/>
            <w:vAlign w:val="bottom"/>
            <w:hideMark/>
          </w:tcPr>
          <w:p w14:paraId="24689626" w14:textId="4FB7DE1A"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49" w:type="pct"/>
            <w:tcBorders>
              <w:top w:val="single" w:sz="12" w:space="0" w:color="auto"/>
              <w:bottom w:val="double" w:sz="4" w:space="0" w:color="auto"/>
            </w:tcBorders>
            <w:shd w:val="clear" w:color="auto" w:fill="auto"/>
          </w:tcPr>
          <w:p w14:paraId="5B54EC32"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99" w:type="pct"/>
            <w:tcBorders>
              <w:top w:val="single" w:sz="12" w:space="0" w:color="auto"/>
              <w:bottom w:val="double" w:sz="4" w:space="0" w:color="auto"/>
            </w:tcBorders>
            <w:shd w:val="clear" w:color="auto" w:fill="auto"/>
            <w:vAlign w:val="bottom"/>
            <w:hideMark/>
          </w:tcPr>
          <w:p w14:paraId="63F62370" w14:textId="16F4359C"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p>
        </w:tc>
        <w:tc>
          <w:tcPr>
            <w:tcW w:w="346" w:type="pct"/>
            <w:tcBorders>
              <w:top w:val="single" w:sz="12" w:space="0" w:color="auto"/>
              <w:bottom w:val="double" w:sz="4" w:space="0" w:color="auto"/>
            </w:tcBorders>
            <w:shd w:val="clear" w:color="auto" w:fill="auto"/>
            <w:vAlign w:val="bottom"/>
            <w:hideMark/>
          </w:tcPr>
          <w:p w14:paraId="74BA6164" w14:textId="1BDC5C1D"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r w:rsidR="00E860EE">
              <w:rPr>
                <w:rFonts w:ascii="Times New Roman" w:eastAsia="Times New Roman" w:hAnsi="Times New Roman" w:cs="Times New Roman"/>
                <w:b/>
                <w:bCs/>
                <w:sz w:val="18"/>
                <w:szCs w:val="18"/>
                <w:lang w:val="en-US"/>
              </w:rPr>
              <w:t>676,016</w:t>
            </w:r>
          </w:p>
        </w:tc>
        <w:tc>
          <w:tcPr>
            <w:tcW w:w="99" w:type="pct"/>
            <w:tcBorders>
              <w:top w:val="single" w:sz="12" w:space="0" w:color="auto"/>
              <w:bottom w:val="double" w:sz="4" w:space="0" w:color="auto"/>
            </w:tcBorders>
            <w:shd w:val="clear" w:color="auto" w:fill="auto"/>
            <w:vAlign w:val="bottom"/>
            <w:hideMark/>
          </w:tcPr>
          <w:p w14:paraId="2D373423"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50" w:type="pct"/>
            <w:tcBorders>
              <w:top w:val="single" w:sz="12" w:space="0" w:color="auto"/>
              <w:bottom w:val="double" w:sz="4" w:space="0" w:color="auto"/>
            </w:tcBorders>
            <w:shd w:val="clear" w:color="auto" w:fill="auto"/>
            <w:vAlign w:val="bottom"/>
            <w:hideMark/>
          </w:tcPr>
          <w:p w14:paraId="39D7F177" w14:textId="6FC69382" w:rsidR="00BE0A6C" w:rsidRPr="00CA4239" w:rsidRDefault="00BF51DE"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346" w:type="pct"/>
            <w:tcBorders>
              <w:top w:val="single" w:sz="12" w:space="0" w:color="auto"/>
              <w:bottom w:val="double" w:sz="4" w:space="0" w:color="auto"/>
            </w:tcBorders>
            <w:shd w:val="clear" w:color="auto" w:fill="auto"/>
            <w:vAlign w:val="bottom"/>
            <w:hideMark/>
          </w:tcPr>
          <w:p w14:paraId="2C573866" w14:textId="3015CD4D"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r w:rsidR="00E860EE">
              <w:rPr>
                <w:rFonts w:ascii="Times New Roman" w:eastAsia="Times New Roman" w:hAnsi="Times New Roman" w:cs="Times New Roman"/>
                <w:b/>
                <w:bCs/>
                <w:sz w:val="18"/>
                <w:szCs w:val="18"/>
                <w:lang w:val="en-US"/>
              </w:rPr>
              <w:t>41,264,751</w:t>
            </w:r>
          </w:p>
        </w:tc>
        <w:tc>
          <w:tcPr>
            <w:tcW w:w="49" w:type="pct"/>
            <w:tcBorders>
              <w:top w:val="single" w:sz="12" w:space="0" w:color="auto"/>
              <w:bottom w:val="double" w:sz="4" w:space="0" w:color="auto"/>
            </w:tcBorders>
            <w:shd w:val="clear" w:color="auto" w:fill="auto"/>
            <w:vAlign w:val="bottom"/>
            <w:hideMark/>
          </w:tcPr>
          <w:p w14:paraId="291B768D"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49" w:type="pct"/>
            <w:tcBorders>
              <w:top w:val="single" w:sz="12" w:space="0" w:color="auto"/>
              <w:bottom w:val="double" w:sz="4" w:space="0" w:color="auto"/>
            </w:tcBorders>
            <w:shd w:val="clear" w:color="auto" w:fill="auto"/>
            <w:vAlign w:val="bottom"/>
            <w:hideMark/>
          </w:tcPr>
          <w:p w14:paraId="1D9FBC5E" w14:textId="2AB9C89D"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 </w:t>
            </w:r>
            <w:r w:rsidR="00BF51DE" w:rsidRPr="00CA4239">
              <w:rPr>
                <w:rFonts w:ascii="Times New Roman" w:eastAsia="Times New Roman" w:hAnsi="Times New Roman" w:cs="Times New Roman"/>
                <w:b/>
                <w:bCs/>
                <w:sz w:val="18"/>
                <w:szCs w:val="18"/>
                <w:lang w:val="en-US"/>
              </w:rPr>
              <w:t>$</w:t>
            </w:r>
          </w:p>
        </w:tc>
        <w:tc>
          <w:tcPr>
            <w:tcW w:w="347" w:type="pct"/>
            <w:tcBorders>
              <w:top w:val="single" w:sz="12" w:space="0" w:color="auto"/>
              <w:bottom w:val="double" w:sz="4" w:space="0" w:color="auto"/>
            </w:tcBorders>
            <w:shd w:val="clear" w:color="auto" w:fill="auto"/>
            <w:vAlign w:val="bottom"/>
            <w:hideMark/>
          </w:tcPr>
          <w:p w14:paraId="140A1E05" w14:textId="7460A875"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(1</w:t>
            </w:r>
            <w:r w:rsidR="00E860EE">
              <w:rPr>
                <w:rFonts w:ascii="Times New Roman" w:eastAsia="Times New Roman" w:hAnsi="Times New Roman" w:cs="Times New Roman"/>
                <w:b/>
                <w:bCs/>
                <w:sz w:val="18"/>
                <w:szCs w:val="18"/>
                <w:lang w:val="en-US"/>
              </w:rPr>
              <w:t>1</w:t>
            </w:r>
            <w:r w:rsidRPr="00CA4239">
              <w:rPr>
                <w:rFonts w:ascii="Times New Roman" w:eastAsia="Times New Roman" w:hAnsi="Times New Roman" w:cs="Times New Roman"/>
                <w:b/>
                <w:bCs/>
                <w:sz w:val="18"/>
                <w:szCs w:val="18"/>
                <w:lang w:val="en-US"/>
              </w:rPr>
              <w:t>,</w:t>
            </w:r>
            <w:r w:rsidR="00E860EE">
              <w:rPr>
                <w:rFonts w:ascii="Times New Roman" w:eastAsia="Times New Roman" w:hAnsi="Times New Roman" w:cs="Times New Roman"/>
                <w:b/>
                <w:bCs/>
                <w:sz w:val="18"/>
                <w:szCs w:val="18"/>
                <w:lang w:val="en-US"/>
              </w:rPr>
              <w:t>747</w:t>
            </w:r>
            <w:r w:rsidRPr="00CA4239">
              <w:rPr>
                <w:rFonts w:ascii="Times New Roman" w:eastAsia="Times New Roman" w:hAnsi="Times New Roman" w:cs="Times New Roman"/>
                <w:b/>
                <w:bCs/>
                <w:sz w:val="18"/>
                <w:szCs w:val="18"/>
                <w:lang w:val="en-US"/>
              </w:rPr>
              <w:t>,</w:t>
            </w:r>
            <w:r w:rsidR="00E860EE">
              <w:rPr>
                <w:rFonts w:ascii="Times New Roman" w:eastAsia="Times New Roman" w:hAnsi="Times New Roman" w:cs="Times New Roman"/>
                <w:b/>
                <w:bCs/>
                <w:sz w:val="18"/>
                <w:szCs w:val="18"/>
                <w:lang w:val="en-US"/>
              </w:rPr>
              <w:t>636</w:t>
            </w:r>
          </w:p>
        </w:tc>
        <w:tc>
          <w:tcPr>
            <w:tcW w:w="45" w:type="pct"/>
            <w:tcBorders>
              <w:top w:val="single" w:sz="12" w:space="0" w:color="auto"/>
              <w:bottom w:val="double" w:sz="4" w:space="0" w:color="auto"/>
            </w:tcBorders>
            <w:shd w:val="clear" w:color="auto" w:fill="auto"/>
            <w:vAlign w:val="bottom"/>
            <w:hideMark/>
          </w:tcPr>
          <w:p w14:paraId="632E5E4F"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r>
      <w:tr w:rsidR="00D33273" w:rsidRPr="003D281F" w14:paraId="73838E8F" w14:textId="77777777" w:rsidTr="00CD3524">
        <w:tc>
          <w:tcPr>
            <w:tcW w:w="845" w:type="pct"/>
            <w:tcBorders>
              <w:top w:val="double" w:sz="4" w:space="0" w:color="auto"/>
            </w:tcBorders>
            <w:shd w:val="clear" w:color="auto" w:fill="auto"/>
            <w:vAlign w:val="bottom"/>
          </w:tcPr>
          <w:p w14:paraId="0104EB81" w14:textId="77777777" w:rsidR="00BE0A6C" w:rsidRDefault="00BE0A6C" w:rsidP="00370578">
            <w:pPr>
              <w:spacing w:after="0" w:line="240" w:lineRule="auto"/>
              <w:jc w:val="both"/>
              <w:rPr>
                <w:rFonts w:ascii="Times New Roman" w:eastAsia="Times New Roman" w:hAnsi="Times New Roman" w:cs="Times New Roman"/>
                <w:b/>
                <w:bCs/>
                <w:sz w:val="18"/>
                <w:szCs w:val="18"/>
                <w:lang w:val="en-US"/>
              </w:rPr>
            </w:pPr>
          </w:p>
          <w:p w14:paraId="29B5E13F" w14:textId="71E533E6" w:rsidR="00BE0A6C" w:rsidRPr="00A50B5D" w:rsidRDefault="00BE0A6C" w:rsidP="00370578">
            <w:pPr>
              <w:spacing w:after="0" w:line="240" w:lineRule="auto"/>
              <w:jc w:val="both"/>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Balance, December 31, 2021</w:t>
            </w:r>
          </w:p>
        </w:tc>
        <w:tc>
          <w:tcPr>
            <w:tcW w:w="347" w:type="pct"/>
            <w:tcBorders>
              <w:top w:val="double" w:sz="4" w:space="0" w:color="auto"/>
            </w:tcBorders>
            <w:shd w:val="clear" w:color="auto" w:fill="auto"/>
            <w:vAlign w:val="bottom"/>
          </w:tcPr>
          <w:p w14:paraId="255C50F0" w14:textId="7773C6D3" w:rsidR="00BE0A6C" w:rsidRPr="00667A0B" w:rsidRDefault="00BE0A6C" w:rsidP="00370578">
            <w:pPr>
              <w:spacing w:after="0" w:line="240" w:lineRule="auto"/>
              <w:jc w:val="right"/>
              <w:rPr>
                <w:rFonts w:ascii="Times New Roman" w:eastAsia="Times New Roman" w:hAnsi="Times New Roman" w:cs="Times New Roman"/>
                <w:b/>
                <w:bCs/>
                <w:sz w:val="18"/>
                <w:szCs w:val="18"/>
                <w:lang w:val="en-US"/>
              </w:rPr>
            </w:pPr>
            <w:r w:rsidRPr="00667A0B">
              <w:rPr>
                <w:rFonts w:ascii="Times New Roman" w:eastAsia="Times New Roman" w:hAnsi="Times New Roman" w:cs="Times New Roman"/>
                <w:b/>
                <w:bCs/>
                <w:sz w:val="18"/>
                <w:szCs w:val="18"/>
                <w:lang w:val="en-US"/>
              </w:rPr>
              <w:t>185,169,793</w:t>
            </w:r>
          </w:p>
        </w:tc>
        <w:tc>
          <w:tcPr>
            <w:tcW w:w="99" w:type="pct"/>
            <w:tcBorders>
              <w:top w:val="double" w:sz="4" w:space="0" w:color="auto"/>
            </w:tcBorders>
            <w:shd w:val="clear" w:color="auto" w:fill="auto"/>
            <w:vAlign w:val="bottom"/>
          </w:tcPr>
          <w:p w14:paraId="6199C168" w14:textId="77777777" w:rsidR="00BE0A6C" w:rsidRPr="00667A0B" w:rsidRDefault="00BE0A6C" w:rsidP="00370578">
            <w:pPr>
              <w:spacing w:after="0" w:line="240" w:lineRule="auto"/>
              <w:jc w:val="right"/>
              <w:rPr>
                <w:rFonts w:ascii="Times New Roman" w:eastAsia="Times New Roman" w:hAnsi="Times New Roman" w:cs="Times New Roman"/>
                <w:b/>
                <w:bCs/>
                <w:sz w:val="18"/>
                <w:szCs w:val="18"/>
                <w:lang w:val="en-US"/>
              </w:rPr>
            </w:pPr>
          </w:p>
        </w:tc>
        <w:tc>
          <w:tcPr>
            <w:tcW w:w="49" w:type="pct"/>
            <w:tcBorders>
              <w:top w:val="double" w:sz="4" w:space="0" w:color="auto"/>
            </w:tcBorders>
            <w:shd w:val="clear" w:color="auto" w:fill="auto"/>
            <w:vAlign w:val="bottom"/>
          </w:tcPr>
          <w:p w14:paraId="629D91CA" w14:textId="77777777" w:rsidR="00BE0A6C" w:rsidRPr="00667A0B" w:rsidRDefault="00BE0A6C" w:rsidP="00370578">
            <w:pPr>
              <w:spacing w:after="0" w:line="240" w:lineRule="auto"/>
              <w:jc w:val="right"/>
              <w:rPr>
                <w:rFonts w:ascii="Times New Roman" w:eastAsia="Times New Roman" w:hAnsi="Times New Roman" w:cs="Times New Roman"/>
                <w:b/>
                <w:bCs/>
                <w:sz w:val="18"/>
                <w:szCs w:val="18"/>
                <w:lang w:val="en-US"/>
              </w:rPr>
            </w:pPr>
          </w:p>
        </w:tc>
        <w:tc>
          <w:tcPr>
            <w:tcW w:w="203" w:type="pct"/>
            <w:tcBorders>
              <w:top w:val="double" w:sz="4" w:space="0" w:color="auto"/>
            </w:tcBorders>
            <w:shd w:val="clear" w:color="auto" w:fill="auto"/>
            <w:vAlign w:val="bottom"/>
          </w:tcPr>
          <w:p w14:paraId="51EED882" w14:textId="5438A6F2"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1,828</w:t>
            </w:r>
          </w:p>
        </w:tc>
        <w:tc>
          <w:tcPr>
            <w:tcW w:w="49" w:type="pct"/>
            <w:tcBorders>
              <w:top w:val="double" w:sz="4" w:space="0" w:color="auto"/>
            </w:tcBorders>
            <w:shd w:val="clear" w:color="auto" w:fill="auto"/>
          </w:tcPr>
          <w:p w14:paraId="52F4E32B" w14:textId="77777777"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p>
        </w:tc>
        <w:tc>
          <w:tcPr>
            <w:tcW w:w="99" w:type="pct"/>
            <w:tcBorders>
              <w:top w:val="double" w:sz="4" w:space="0" w:color="auto"/>
            </w:tcBorders>
            <w:shd w:val="clear" w:color="auto" w:fill="auto"/>
            <w:vAlign w:val="bottom"/>
          </w:tcPr>
          <w:p w14:paraId="17BBD0B3" w14:textId="77777777"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p>
        </w:tc>
        <w:tc>
          <w:tcPr>
            <w:tcW w:w="297" w:type="pct"/>
            <w:tcBorders>
              <w:top w:val="double" w:sz="4" w:space="0" w:color="auto"/>
            </w:tcBorders>
            <w:shd w:val="clear" w:color="auto" w:fill="auto"/>
            <w:vAlign w:val="bottom"/>
          </w:tcPr>
          <w:p w14:paraId="1B4221F8" w14:textId="6F51389B"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32,175,293</w:t>
            </w:r>
          </w:p>
        </w:tc>
        <w:tc>
          <w:tcPr>
            <w:tcW w:w="50" w:type="pct"/>
            <w:tcBorders>
              <w:top w:val="double" w:sz="4" w:space="0" w:color="auto"/>
            </w:tcBorders>
            <w:shd w:val="clear" w:color="auto" w:fill="auto"/>
          </w:tcPr>
          <w:p w14:paraId="531DF0BF" w14:textId="77777777"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p>
        </w:tc>
        <w:tc>
          <w:tcPr>
            <w:tcW w:w="346" w:type="pct"/>
            <w:tcBorders>
              <w:top w:val="double" w:sz="4" w:space="0" w:color="auto"/>
            </w:tcBorders>
            <w:shd w:val="clear" w:color="auto" w:fill="auto"/>
          </w:tcPr>
          <w:p w14:paraId="744A444E" w14:textId="77777777" w:rsidR="00BE0A6C" w:rsidRDefault="00BE0A6C" w:rsidP="00370578">
            <w:pPr>
              <w:spacing w:after="0" w:line="240" w:lineRule="auto"/>
              <w:jc w:val="right"/>
              <w:rPr>
                <w:rFonts w:ascii="Times New Roman" w:eastAsia="Times New Roman" w:hAnsi="Times New Roman" w:cs="Times New Roman"/>
                <w:b/>
                <w:bCs/>
                <w:sz w:val="18"/>
                <w:szCs w:val="18"/>
                <w:lang w:val="en-US"/>
              </w:rPr>
            </w:pPr>
          </w:p>
          <w:p w14:paraId="3EA9BE6E" w14:textId="042E0389"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1,040,779</w:t>
            </w:r>
          </w:p>
        </w:tc>
        <w:tc>
          <w:tcPr>
            <w:tcW w:w="49" w:type="pct"/>
            <w:tcBorders>
              <w:top w:val="double" w:sz="4" w:space="0" w:color="auto"/>
            </w:tcBorders>
            <w:shd w:val="clear" w:color="auto" w:fill="auto"/>
            <w:vAlign w:val="bottom"/>
          </w:tcPr>
          <w:p w14:paraId="10FB6325" w14:textId="77777777"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p>
        </w:tc>
        <w:tc>
          <w:tcPr>
            <w:tcW w:w="396" w:type="pct"/>
            <w:tcBorders>
              <w:top w:val="double" w:sz="4" w:space="0" w:color="auto"/>
            </w:tcBorders>
            <w:shd w:val="clear" w:color="auto" w:fill="auto"/>
          </w:tcPr>
          <w:p w14:paraId="0980701A" w14:textId="77777777" w:rsidR="00BE0A6C" w:rsidRDefault="00BE0A6C" w:rsidP="00370578">
            <w:pPr>
              <w:spacing w:after="0" w:line="240" w:lineRule="auto"/>
              <w:jc w:val="right"/>
              <w:rPr>
                <w:rFonts w:ascii="Times New Roman" w:eastAsia="Times New Roman" w:hAnsi="Times New Roman" w:cs="Times New Roman"/>
                <w:b/>
                <w:bCs/>
                <w:sz w:val="18"/>
                <w:szCs w:val="18"/>
                <w:lang w:val="en-US"/>
              </w:rPr>
            </w:pPr>
          </w:p>
          <w:p w14:paraId="17174C79" w14:textId="277475D7"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(1,1</w:t>
            </w:r>
            <w:r>
              <w:rPr>
                <w:rFonts w:ascii="Times New Roman" w:eastAsia="Times New Roman" w:hAnsi="Times New Roman" w:cs="Times New Roman"/>
                <w:b/>
                <w:bCs/>
                <w:sz w:val="18"/>
                <w:szCs w:val="18"/>
                <w:lang w:val="en-US"/>
              </w:rPr>
              <w:t>93</w:t>
            </w:r>
            <w:r w:rsidRPr="00CA4239">
              <w:rPr>
                <w:rFonts w:ascii="Times New Roman" w:eastAsia="Times New Roman" w:hAnsi="Times New Roman" w:cs="Times New Roman"/>
                <w:b/>
                <w:bCs/>
                <w:sz w:val="18"/>
                <w:szCs w:val="18"/>
                <w:lang w:val="en-US"/>
              </w:rPr>
              <w:t>,</w:t>
            </w:r>
            <w:r>
              <w:rPr>
                <w:rFonts w:ascii="Times New Roman" w:eastAsia="Times New Roman" w:hAnsi="Times New Roman" w:cs="Times New Roman"/>
                <w:b/>
                <w:bCs/>
                <w:sz w:val="18"/>
                <w:szCs w:val="18"/>
                <w:lang w:val="en-US"/>
              </w:rPr>
              <w:t>641</w:t>
            </w:r>
          </w:p>
        </w:tc>
        <w:tc>
          <w:tcPr>
            <w:tcW w:w="49" w:type="pct"/>
            <w:tcBorders>
              <w:top w:val="double" w:sz="4" w:space="0" w:color="auto"/>
            </w:tcBorders>
            <w:shd w:val="clear" w:color="auto" w:fill="auto"/>
          </w:tcPr>
          <w:p w14:paraId="7627C884" w14:textId="77777777" w:rsidR="00BE0A6C" w:rsidRDefault="00BE0A6C" w:rsidP="00370578">
            <w:pPr>
              <w:spacing w:after="0" w:line="240" w:lineRule="auto"/>
              <w:jc w:val="both"/>
              <w:rPr>
                <w:rFonts w:ascii="Times New Roman" w:eastAsia="Times New Roman" w:hAnsi="Times New Roman" w:cs="Times New Roman"/>
                <w:b/>
                <w:bCs/>
                <w:sz w:val="18"/>
                <w:szCs w:val="18"/>
                <w:lang w:val="en-US"/>
              </w:rPr>
            </w:pPr>
          </w:p>
          <w:p w14:paraId="73DD831D" w14:textId="3C3C7380"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49" w:type="pct"/>
            <w:tcBorders>
              <w:top w:val="double" w:sz="4" w:space="0" w:color="auto"/>
            </w:tcBorders>
            <w:shd w:val="clear" w:color="auto" w:fill="auto"/>
            <w:vAlign w:val="bottom"/>
          </w:tcPr>
          <w:p w14:paraId="13FBE27A"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247" w:type="pct"/>
            <w:tcBorders>
              <w:top w:val="double" w:sz="4" w:space="0" w:color="auto"/>
            </w:tcBorders>
            <w:shd w:val="clear" w:color="auto" w:fill="auto"/>
            <w:vAlign w:val="bottom"/>
          </w:tcPr>
          <w:p w14:paraId="412C2E5F" w14:textId="3068003A" w:rsidR="00BE0A6C" w:rsidRPr="00BF51DE" w:rsidRDefault="00BE0A6C" w:rsidP="00370578">
            <w:pPr>
              <w:spacing w:after="0" w:line="240" w:lineRule="auto"/>
              <w:jc w:val="right"/>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7,450</w:t>
            </w:r>
          </w:p>
        </w:tc>
        <w:tc>
          <w:tcPr>
            <w:tcW w:w="49" w:type="pct"/>
            <w:tcBorders>
              <w:top w:val="double" w:sz="4" w:space="0" w:color="auto"/>
            </w:tcBorders>
            <w:shd w:val="clear" w:color="auto" w:fill="auto"/>
            <w:vAlign w:val="bottom"/>
          </w:tcPr>
          <w:p w14:paraId="56FBDA5C" w14:textId="77777777" w:rsidR="00BE0A6C" w:rsidRPr="00BF51DE" w:rsidRDefault="00BE0A6C" w:rsidP="00370578">
            <w:pPr>
              <w:spacing w:after="0" w:line="240" w:lineRule="auto"/>
              <w:jc w:val="both"/>
              <w:rPr>
                <w:rFonts w:ascii="Times New Roman" w:eastAsia="Times New Roman" w:hAnsi="Times New Roman" w:cs="Times New Roman"/>
                <w:b/>
                <w:bCs/>
                <w:sz w:val="18"/>
                <w:szCs w:val="18"/>
                <w:lang w:val="en-US"/>
              </w:rPr>
            </w:pPr>
          </w:p>
        </w:tc>
        <w:tc>
          <w:tcPr>
            <w:tcW w:w="297" w:type="pct"/>
            <w:tcBorders>
              <w:top w:val="double" w:sz="4" w:space="0" w:color="auto"/>
            </w:tcBorders>
            <w:shd w:val="clear" w:color="auto" w:fill="auto"/>
            <w:vAlign w:val="bottom"/>
          </w:tcPr>
          <w:p w14:paraId="16F4F230" w14:textId="2A50421D" w:rsidR="00BE0A6C" w:rsidRPr="00BF51DE" w:rsidRDefault="00BE0A6C" w:rsidP="00370578">
            <w:pPr>
              <w:spacing w:after="0" w:line="240" w:lineRule="auto"/>
              <w:jc w:val="right"/>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5,323</w:t>
            </w:r>
          </w:p>
        </w:tc>
        <w:tc>
          <w:tcPr>
            <w:tcW w:w="49" w:type="pct"/>
            <w:tcBorders>
              <w:top w:val="double" w:sz="4" w:space="0" w:color="auto"/>
            </w:tcBorders>
            <w:shd w:val="clear" w:color="auto" w:fill="auto"/>
          </w:tcPr>
          <w:p w14:paraId="4DFBCB17"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99" w:type="pct"/>
            <w:tcBorders>
              <w:top w:val="double" w:sz="4" w:space="0" w:color="auto"/>
            </w:tcBorders>
            <w:shd w:val="clear" w:color="auto" w:fill="auto"/>
            <w:vAlign w:val="bottom"/>
          </w:tcPr>
          <w:p w14:paraId="4FAB1F46"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346" w:type="pct"/>
            <w:tcBorders>
              <w:top w:val="double" w:sz="4" w:space="0" w:color="auto"/>
            </w:tcBorders>
            <w:shd w:val="clear" w:color="auto" w:fill="auto"/>
            <w:vAlign w:val="bottom"/>
          </w:tcPr>
          <w:p w14:paraId="72DBAC2C" w14:textId="4F6DCF3F"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(847,412</w:t>
            </w:r>
          </w:p>
        </w:tc>
        <w:tc>
          <w:tcPr>
            <w:tcW w:w="99" w:type="pct"/>
            <w:tcBorders>
              <w:top w:val="double" w:sz="4" w:space="0" w:color="auto"/>
            </w:tcBorders>
            <w:shd w:val="clear" w:color="auto" w:fill="auto"/>
            <w:vAlign w:val="bottom"/>
          </w:tcPr>
          <w:p w14:paraId="70691BD4" w14:textId="04047E0D"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50" w:type="pct"/>
            <w:tcBorders>
              <w:top w:val="double" w:sz="4" w:space="0" w:color="auto"/>
            </w:tcBorders>
            <w:shd w:val="clear" w:color="auto" w:fill="auto"/>
            <w:vAlign w:val="bottom"/>
          </w:tcPr>
          <w:p w14:paraId="0B5D79FF"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346" w:type="pct"/>
            <w:tcBorders>
              <w:top w:val="double" w:sz="4" w:space="0" w:color="auto"/>
            </w:tcBorders>
            <w:shd w:val="clear" w:color="auto" w:fill="auto"/>
            <w:vAlign w:val="bottom"/>
          </w:tcPr>
          <w:p w14:paraId="1C1DE75B" w14:textId="79667BC1"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(35,</w:t>
            </w:r>
            <w:r>
              <w:rPr>
                <w:rFonts w:ascii="Times New Roman" w:eastAsia="Times New Roman" w:hAnsi="Times New Roman" w:cs="Times New Roman"/>
                <w:b/>
                <w:bCs/>
                <w:sz w:val="18"/>
                <w:szCs w:val="18"/>
                <w:lang w:val="en-US"/>
              </w:rPr>
              <w:t>650,850</w:t>
            </w:r>
          </w:p>
        </w:tc>
        <w:tc>
          <w:tcPr>
            <w:tcW w:w="49" w:type="pct"/>
            <w:tcBorders>
              <w:top w:val="double" w:sz="4" w:space="0" w:color="auto"/>
            </w:tcBorders>
            <w:shd w:val="clear" w:color="auto" w:fill="auto"/>
            <w:vAlign w:val="bottom"/>
          </w:tcPr>
          <w:p w14:paraId="42415EFB" w14:textId="513B603C"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c>
          <w:tcPr>
            <w:tcW w:w="49" w:type="pct"/>
            <w:tcBorders>
              <w:top w:val="double" w:sz="4" w:space="0" w:color="auto"/>
            </w:tcBorders>
            <w:shd w:val="clear" w:color="auto" w:fill="auto"/>
            <w:vAlign w:val="bottom"/>
          </w:tcPr>
          <w:p w14:paraId="60E5A39D" w14:textId="77777777"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p>
        </w:tc>
        <w:tc>
          <w:tcPr>
            <w:tcW w:w="347" w:type="pct"/>
            <w:tcBorders>
              <w:top w:val="double" w:sz="4" w:space="0" w:color="auto"/>
            </w:tcBorders>
            <w:shd w:val="clear" w:color="auto" w:fill="auto"/>
            <w:vAlign w:val="bottom"/>
          </w:tcPr>
          <w:p w14:paraId="64C2B578" w14:textId="6BA69FE2" w:rsidR="00BE0A6C" w:rsidRPr="00CA4239" w:rsidRDefault="00BE0A6C" w:rsidP="00370578">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(4,</w:t>
            </w:r>
            <w:r>
              <w:rPr>
                <w:rFonts w:ascii="Times New Roman" w:eastAsia="Times New Roman" w:hAnsi="Times New Roman" w:cs="Times New Roman"/>
                <w:b/>
                <w:bCs/>
                <w:sz w:val="18"/>
                <w:szCs w:val="18"/>
                <w:lang w:val="en-US"/>
              </w:rPr>
              <w:t>461,230</w:t>
            </w:r>
          </w:p>
        </w:tc>
        <w:tc>
          <w:tcPr>
            <w:tcW w:w="45" w:type="pct"/>
            <w:tcBorders>
              <w:top w:val="double" w:sz="4" w:space="0" w:color="auto"/>
            </w:tcBorders>
            <w:shd w:val="clear" w:color="auto" w:fill="auto"/>
            <w:vAlign w:val="bottom"/>
          </w:tcPr>
          <w:p w14:paraId="1CB8AAF7" w14:textId="2F7EBA0A" w:rsidR="00BE0A6C" w:rsidRPr="00CA4239" w:rsidRDefault="00BE0A6C" w:rsidP="00370578">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
        </w:tc>
      </w:tr>
      <w:tr w:rsidR="00BF51DE" w:rsidRPr="003D281F" w14:paraId="7996C074" w14:textId="77777777" w:rsidTr="00BE0A6C">
        <w:tc>
          <w:tcPr>
            <w:tcW w:w="845" w:type="pct"/>
            <w:shd w:val="clear" w:color="auto" w:fill="auto"/>
            <w:vAlign w:val="bottom"/>
          </w:tcPr>
          <w:p w14:paraId="22139835" w14:textId="0C306637" w:rsidR="00BF51DE" w:rsidRPr="00CA4239" w:rsidRDefault="00BF51DE" w:rsidP="00BF51DE">
            <w:pPr>
              <w:spacing w:after="0" w:line="240" w:lineRule="auto"/>
              <w:jc w:val="both"/>
              <w:rPr>
                <w:rFonts w:ascii="Times New Roman" w:eastAsia="Times New Roman" w:hAnsi="Times New Roman" w:cs="Times New Roman"/>
                <w:sz w:val="18"/>
                <w:szCs w:val="18"/>
                <w:lang w:val="en-US"/>
              </w:rPr>
            </w:pPr>
            <w:r w:rsidRPr="00CA4239">
              <w:rPr>
                <w:rFonts w:ascii="Times New Roman" w:eastAsia="Times New Roman" w:hAnsi="Times New Roman" w:cs="Times New Roman"/>
                <w:sz w:val="18"/>
                <w:szCs w:val="18"/>
                <w:lang w:val="en-US"/>
              </w:rPr>
              <w:t>Impact of change in functional currency</w:t>
            </w:r>
          </w:p>
        </w:tc>
        <w:tc>
          <w:tcPr>
            <w:tcW w:w="347" w:type="pct"/>
            <w:shd w:val="clear" w:color="auto" w:fill="auto"/>
            <w:vAlign w:val="bottom"/>
          </w:tcPr>
          <w:p w14:paraId="25B6FFC9" w14:textId="47A95212"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w:t>
            </w:r>
          </w:p>
        </w:tc>
        <w:tc>
          <w:tcPr>
            <w:tcW w:w="99" w:type="pct"/>
            <w:shd w:val="clear" w:color="auto" w:fill="auto"/>
            <w:vAlign w:val="bottom"/>
          </w:tcPr>
          <w:p w14:paraId="787F7E69"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4E216B6B"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203" w:type="pct"/>
            <w:shd w:val="clear" w:color="auto" w:fill="auto"/>
            <w:vAlign w:val="bottom"/>
          </w:tcPr>
          <w:p w14:paraId="7322C9A6" w14:textId="77777777" w:rsidR="00BF51DE" w:rsidRPr="00A50B5D" w:rsidRDefault="00BF51DE" w:rsidP="00BF51DE">
            <w:pPr>
              <w:spacing w:after="0" w:line="240" w:lineRule="auto"/>
              <w:jc w:val="right"/>
              <w:rPr>
                <w:rFonts w:ascii="Times New Roman" w:eastAsia="Times New Roman" w:hAnsi="Times New Roman" w:cs="Times New Roman"/>
                <w:sz w:val="18"/>
                <w:szCs w:val="18"/>
                <w:lang w:val="en-US"/>
              </w:rPr>
            </w:pPr>
          </w:p>
        </w:tc>
        <w:tc>
          <w:tcPr>
            <w:tcW w:w="49" w:type="pct"/>
            <w:shd w:val="clear" w:color="auto" w:fill="auto"/>
          </w:tcPr>
          <w:p w14:paraId="0C565402" w14:textId="77777777" w:rsidR="00BF51DE" w:rsidRDefault="00BF51DE" w:rsidP="00BF51DE">
            <w:pPr>
              <w:spacing w:after="0" w:line="240" w:lineRule="auto"/>
              <w:jc w:val="both"/>
              <w:rPr>
                <w:rFonts w:ascii="Times New Roman" w:eastAsia="Times New Roman" w:hAnsi="Times New Roman" w:cs="Times New Roman"/>
                <w:sz w:val="18"/>
                <w:szCs w:val="18"/>
                <w:lang w:val="en-US"/>
              </w:rPr>
            </w:pPr>
          </w:p>
          <w:p w14:paraId="189EE715" w14:textId="3AC4008F" w:rsidR="00BF51DE" w:rsidRPr="003D281F" w:rsidRDefault="00BF51DE" w:rsidP="00BF51DE">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99" w:type="pct"/>
            <w:shd w:val="clear" w:color="auto" w:fill="auto"/>
            <w:vAlign w:val="bottom"/>
          </w:tcPr>
          <w:p w14:paraId="2313DB2F" w14:textId="77777777" w:rsidR="00BF51DE" w:rsidRPr="00A50B5D"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4BCC69A6" w14:textId="12E9D9A0" w:rsidR="00BF51DE" w:rsidRPr="00A50B5D" w:rsidRDefault="00BF51DE" w:rsidP="00BF51DE">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50" w:type="pct"/>
            <w:shd w:val="clear" w:color="auto" w:fill="auto"/>
          </w:tcPr>
          <w:p w14:paraId="7BFDDB65" w14:textId="77777777" w:rsidR="00BF51DE" w:rsidRPr="00A50B5D" w:rsidRDefault="00BF51DE" w:rsidP="00BF51DE">
            <w:pPr>
              <w:spacing w:after="0" w:line="240" w:lineRule="auto"/>
              <w:jc w:val="right"/>
              <w:rPr>
                <w:rFonts w:ascii="Times New Roman" w:eastAsia="Times New Roman" w:hAnsi="Times New Roman" w:cs="Times New Roman"/>
                <w:sz w:val="18"/>
                <w:szCs w:val="18"/>
                <w:lang w:val="en-US"/>
              </w:rPr>
            </w:pPr>
          </w:p>
        </w:tc>
        <w:tc>
          <w:tcPr>
            <w:tcW w:w="346" w:type="pct"/>
            <w:shd w:val="clear" w:color="auto" w:fill="auto"/>
          </w:tcPr>
          <w:p w14:paraId="07B25646" w14:textId="77777777"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p>
          <w:p w14:paraId="54D6A694" w14:textId="2243376F"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309,737</w:t>
            </w:r>
          </w:p>
        </w:tc>
        <w:tc>
          <w:tcPr>
            <w:tcW w:w="49" w:type="pct"/>
            <w:shd w:val="clear" w:color="auto" w:fill="auto"/>
            <w:vAlign w:val="bottom"/>
          </w:tcPr>
          <w:p w14:paraId="49C16364"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77C51A19" w14:textId="77777777"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p>
          <w:p w14:paraId="1B0ED530" w14:textId="5F873A0D"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23154E75" w14:textId="3B2B7EA6"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036FA4F1"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6D175B22" w14:textId="02364A0C"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34102049"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69B370F3" w14:textId="45E990D7"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240111B7" w14:textId="77777777" w:rsidR="00BF51DE" w:rsidRPr="005E231C"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5811617C" w14:textId="77777777" w:rsidR="00BF51DE" w:rsidRPr="00A50B5D"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2DD5C13E" w14:textId="15E775DC"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99" w:type="pct"/>
            <w:shd w:val="clear" w:color="auto" w:fill="auto"/>
            <w:vAlign w:val="bottom"/>
          </w:tcPr>
          <w:p w14:paraId="7C633047" w14:textId="0EA680BF"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043FFBF3" w14:textId="77777777" w:rsidR="00BF51DE" w:rsidRPr="00A50B5D"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25B138F9" w14:textId="6BDC97DC"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1AE37BEE"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4161A47"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7EFACDD6" w14:textId="2E802298"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13678C">
              <w:rPr>
                <w:rFonts w:ascii="Times New Roman" w:eastAsia="Times New Roman" w:hAnsi="Times New Roman" w:cs="Times New Roman"/>
                <w:sz w:val="18"/>
                <w:szCs w:val="18"/>
                <w:lang w:val="en-US"/>
              </w:rPr>
              <w:t>309,737</w:t>
            </w:r>
          </w:p>
        </w:tc>
        <w:tc>
          <w:tcPr>
            <w:tcW w:w="45" w:type="pct"/>
            <w:shd w:val="clear" w:color="auto" w:fill="auto"/>
            <w:vAlign w:val="bottom"/>
          </w:tcPr>
          <w:p w14:paraId="76B785D9"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p>
        </w:tc>
      </w:tr>
      <w:tr w:rsidR="00BF51DE" w:rsidRPr="00872008" w14:paraId="3680927D" w14:textId="77777777" w:rsidTr="00BE0A6C">
        <w:tc>
          <w:tcPr>
            <w:tcW w:w="845" w:type="pct"/>
            <w:shd w:val="clear" w:color="auto" w:fill="auto"/>
            <w:vAlign w:val="bottom"/>
            <w:hideMark/>
          </w:tcPr>
          <w:p w14:paraId="5F87BE6F" w14:textId="77777777" w:rsidR="00BF51DE" w:rsidRPr="00A50B5D" w:rsidRDefault="00BF51DE" w:rsidP="00BF51DE">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Issuance of common stock</w:t>
            </w:r>
          </w:p>
        </w:tc>
        <w:tc>
          <w:tcPr>
            <w:tcW w:w="347" w:type="pct"/>
            <w:shd w:val="clear" w:color="auto" w:fill="auto"/>
            <w:vAlign w:val="bottom"/>
          </w:tcPr>
          <w:p w14:paraId="75A18FA6" w14:textId="24A5DC15"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179,194,841</w:t>
            </w:r>
          </w:p>
        </w:tc>
        <w:tc>
          <w:tcPr>
            <w:tcW w:w="99" w:type="pct"/>
            <w:shd w:val="clear" w:color="auto" w:fill="auto"/>
            <w:vAlign w:val="bottom"/>
          </w:tcPr>
          <w:p w14:paraId="5210BFA6" w14:textId="6F8A8960"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67953651" w14:textId="77180526"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203" w:type="pct"/>
            <w:shd w:val="clear" w:color="auto" w:fill="auto"/>
            <w:vAlign w:val="bottom"/>
          </w:tcPr>
          <w:p w14:paraId="6251BAA8" w14:textId="09F8CA0E"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1,405</w:t>
            </w:r>
          </w:p>
        </w:tc>
        <w:tc>
          <w:tcPr>
            <w:tcW w:w="49" w:type="pct"/>
            <w:shd w:val="clear" w:color="auto" w:fill="auto"/>
          </w:tcPr>
          <w:p w14:paraId="7472BB2F"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7083F973" w14:textId="314FEC68"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1205A8E4" w14:textId="286C25F2"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29,096,180</w:t>
            </w:r>
          </w:p>
        </w:tc>
        <w:tc>
          <w:tcPr>
            <w:tcW w:w="50" w:type="pct"/>
            <w:shd w:val="clear" w:color="auto" w:fill="auto"/>
          </w:tcPr>
          <w:p w14:paraId="74FEB697"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3C8C223B" w14:textId="6085ABA1"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2,253,535</w:t>
            </w:r>
          </w:p>
        </w:tc>
        <w:tc>
          <w:tcPr>
            <w:tcW w:w="49" w:type="pct"/>
            <w:shd w:val="clear" w:color="auto" w:fill="auto"/>
            <w:vAlign w:val="bottom"/>
          </w:tcPr>
          <w:p w14:paraId="7E2CECE5" w14:textId="57F88ADB"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1C8904A1" w14:textId="61CAE00F"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tcPr>
          <w:p w14:paraId="4F835CA5" w14:textId="74F3DA82"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7D85FCB4" w14:textId="2BD80E3E"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183C92A2" w14:textId="60E4376B"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66D21376" w14:textId="42C73602"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24418211" w14:textId="562B43D3"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002784BF"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99" w:type="pct"/>
            <w:shd w:val="clear" w:color="auto" w:fill="auto"/>
            <w:vAlign w:val="bottom"/>
          </w:tcPr>
          <w:p w14:paraId="071C3A34" w14:textId="38A88F02"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60F193D0" w14:textId="4A129D18"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99" w:type="pct"/>
            <w:shd w:val="clear" w:color="auto" w:fill="auto"/>
            <w:vAlign w:val="bottom"/>
          </w:tcPr>
          <w:p w14:paraId="2EC08040" w14:textId="472182E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2A04DECF" w14:textId="060E273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17E47096" w14:textId="37C424CE"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31BFE59D" w14:textId="44036CE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9D87793" w14:textId="2C4DE97F"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70701D70" w14:textId="6BA7A1F2" w:rsidR="00BF51DE" w:rsidRPr="0013678C" w:rsidRDefault="0013678C" w:rsidP="00BF51DE">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31,351,120</w:t>
            </w:r>
          </w:p>
        </w:tc>
        <w:tc>
          <w:tcPr>
            <w:tcW w:w="45" w:type="pct"/>
            <w:shd w:val="clear" w:color="auto" w:fill="auto"/>
            <w:vAlign w:val="bottom"/>
            <w:hideMark/>
          </w:tcPr>
          <w:p w14:paraId="18264621"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r w:rsidRPr="00CC7271">
              <w:rPr>
                <w:rFonts w:ascii="Times New Roman" w:eastAsia="Times New Roman" w:hAnsi="Times New Roman" w:cs="Times New Roman"/>
                <w:sz w:val="18"/>
                <w:szCs w:val="18"/>
                <w:lang w:val="en-US"/>
              </w:rPr>
              <w:t> </w:t>
            </w:r>
          </w:p>
        </w:tc>
      </w:tr>
      <w:tr w:rsidR="00BF51DE" w:rsidRPr="00872008" w14:paraId="2DD47A12" w14:textId="77777777" w:rsidTr="00BE0A6C">
        <w:tc>
          <w:tcPr>
            <w:tcW w:w="845" w:type="pct"/>
            <w:shd w:val="clear" w:color="auto" w:fill="auto"/>
            <w:vAlign w:val="bottom"/>
          </w:tcPr>
          <w:p w14:paraId="3B3E9D37" w14:textId="02A6AE0D" w:rsidR="00BF51DE" w:rsidRPr="00A50B5D" w:rsidRDefault="00BF51DE" w:rsidP="00BF51DE">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Stock issuance costs</w:t>
            </w:r>
          </w:p>
        </w:tc>
        <w:tc>
          <w:tcPr>
            <w:tcW w:w="347" w:type="pct"/>
            <w:shd w:val="clear" w:color="auto" w:fill="auto"/>
            <w:vAlign w:val="bottom"/>
          </w:tcPr>
          <w:p w14:paraId="6C222CA8" w14:textId="40D7F348"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w:t>
            </w:r>
          </w:p>
        </w:tc>
        <w:tc>
          <w:tcPr>
            <w:tcW w:w="99" w:type="pct"/>
            <w:shd w:val="clear" w:color="auto" w:fill="auto"/>
            <w:vAlign w:val="bottom"/>
          </w:tcPr>
          <w:p w14:paraId="76181586"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14FEB67C"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203" w:type="pct"/>
            <w:shd w:val="clear" w:color="auto" w:fill="auto"/>
            <w:vAlign w:val="bottom"/>
          </w:tcPr>
          <w:p w14:paraId="0AAB6FD1" w14:textId="1EFFDE03"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p>
        </w:tc>
        <w:tc>
          <w:tcPr>
            <w:tcW w:w="49" w:type="pct"/>
            <w:shd w:val="clear" w:color="auto" w:fill="auto"/>
          </w:tcPr>
          <w:p w14:paraId="6DED6450"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472E4487"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5507C56F" w14:textId="18FCAC70"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r w:rsidRPr="00064A08">
              <w:rPr>
                <w:rFonts w:ascii="Times New Roman" w:eastAsia="Times New Roman" w:hAnsi="Times New Roman" w:cs="Times New Roman"/>
                <w:sz w:val="18"/>
                <w:szCs w:val="18"/>
                <w:lang w:val="en-US"/>
              </w:rPr>
              <w:t>2,</w:t>
            </w:r>
            <w:r w:rsidR="00A46F0C">
              <w:rPr>
                <w:rFonts w:ascii="Times New Roman" w:eastAsia="Times New Roman" w:hAnsi="Times New Roman" w:cs="Times New Roman"/>
                <w:sz w:val="18"/>
                <w:szCs w:val="18"/>
                <w:lang w:val="en-US"/>
              </w:rPr>
              <w:t>658,065</w:t>
            </w:r>
          </w:p>
        </w:tc>
        <w:tc>
          <w:tcPr>
            <w:tcW w:w="50" w:type="pct"/>
            <w:shd w:val="clear" w:color="auto" w:fill="auto"/>
          </w:tcPr>
          <w:p w14:paraId="262E1DB9" w14:textId="32E7398E"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p>
        </w:tc>
        <w:tc>
          <w:tcPr>
            <w:tcW w:w="346" w:type="pct"/>
            <w:shd w:val="clear" w:color="auto" w:fill="auto"/>
          </w:tcPr>
          <w:p w14:paraId="52371959" w14:textId="318AE293" w:rsidR="00BF51DE" w:rsidRPr="00402116" w:rsidRDefault="00A46F0C" w:rsidP="00064A0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26D44EB0"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39DB8A3C" w14:textId="7B095EBD" w:rsidR="00BF51DE" w:rsidRPr="00BF51DE" w:rsidRDefault="00A46F0C" w:rsidP="00064A0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tcPr>
          <w:p w14:paraId="3652E089"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47CBF36"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60C0537B" w14:textId="55C5D59D" w:rsidR="00BF51DE" w:rsidRPr="00BF51DE" w:rsidRDefault="00A46F0C" w:rsidP="00BF51DE">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4D4F7FDB"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7DE8DD28" w14:textId="299E73A4" w:rsidR="00BF51DE" w:rsidRPr="00BF51DE" w:rsidRDefault="00A46F0C" w:rsidP="00BF51DE">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tcPr>
          <w:p w14:paraId="6979373F"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99" w:type="pct"/>
            <w:shd w:val="clear" w:color="auto" w:fill="auto"/>
            <w:vAlign w:val="bottom"/>
          </w:tcPr>
          <w:p w14:paraId="6A49657E"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1CC78B69" w14:textId="4B0373BC" w:rsidR="00BF51DE" w:rsidRPr="00BF51DE" w:rsidRDefault="00A46F0C" w:rsidP="00BF51DE">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99" w:type="pct"/>
            <w:shd w:val="clear" w:color="auto" w:fill="auto"/>
            <w:vAlign w:val="bottom"/>
          </w:tcPr>
          <w:p w14:paraId="2E3BFF8E"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4EC7BE35"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5FD8C600" w14:textId="2FD88E42" w:rsidR="00BF51DE" w:rsidRPr="00BF51DE" w:rsidRDefault="00A46F0C" w:rsidP="00BF51DE">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1A30EA89"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61A238E6"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276DB310" w14:textId="30701157"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13678C">
              <w:rPr>
                <w:rFonts w:ascii="Times New Roman" w:eastAsia="Times New Roman" w:hAnsi="Times New Roman" w:cs="Times New Roman"/>
                <w:sz w:val="18"/>
                <w:szCs w:val="18"/>
                <w:lang w:val="en-US"/>
              </w:rPr>
              <w:t>(</w:t>
            </w:r>
            <w:r w:rsidRPr="00064A08">
              <w:rPr>
                <w:rFonts w:ascii="Times New Roman" w:eastAsia="Times New Roman" w:hAnsi="Times New Roman" w:cs="Times New Roman"/>
                <w:sz w:val="18"/>
                <w:szCs w:val="18"/>
                <w:lang w:val="en-US"/>
              </w:rPr>
              <w:t>2,</w:t>
            </w:r>
            <w:r w:rsidR="00A46F0C">
              <w:rPr>
                <w:rFonts w:ascii="Times New Roman" w:eastAsia="Times New Roman" w:hAnsi="Times New Roman" w:cs="Times New Roman"/>
                <w:sz w:val="18"/>
                <w:szCs w:val="18"/>
                <w:lang w:val="en-US"/>
              </w:rPr>
              <w:t>658</w:t>
            </w:r>
            <w:r w:rsidRPr="00064A08">
              <w:rPr>
                <w:rFonts w:ascii="Times New Roman" w:eastAsia="Times New Roman" w:hAnsi="Times New Roman" w:cs="Times New Roman"/>
                <w:sz w:val="18"/>
                <w:szCs w:val="18"/>
                <w:lang w:val="en-US"/>
              </w:rPr>
              <w:t>,</w:t>
            </w:r>
            <w:r w:rsidR="00A46F0C">
              <w:rPr>
                <w:rFonts w:ascii="Times New Roman" w:eastAsia="Times New Roman" w:hAnsi="Times New Roman" w:cs="Times New Roman"/>
                <w:sz w:val="18"/>
                <w:szCs w:val="18"/>
                <w:lang w:val="en-US"/>
              </w:rPr>
              <w:t>065</w:t>
            </w:r>
          </w:p>
        </w:tc>
        <w:tc>
          <w:tcPr>
            <w:tcW w:w="45" w:type="pct"/>
            <w:shd w:val="clear" w:color="auto" w:fill="auto"/>
            <w:vAlign w:val="bottom"/>
          </w:tcPr>
          <w:p w14:paraId="367B28AE" w14:textId="0B3B90B8" w:rsidR="00BF51DE" w:rsidRPr="00CC7271" w:rsidRDefault="00BF51DE" w:rsidP="00BF51DE">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BF51DE" w:rsidRPr="003D281F" w14:paraId="68CE3759" w14:textId="77777777" w:rsidTr="00BE0A6C">
        <w:tc>
          <w:tcPr>
            <w:tcW w:w="845" w:type="pct"/>
            <w:shd w:val="clear" w:color="auto" w:fill="auto"/>
            <w:vAlign w:val="bottom"/>
            <w:hideMark/>
          </w:tcPr>
          <w:p w14:paraId="0252FBCD" w14:textId="77777777" w:rsidR="00BF51DE" w:rsidRPr="00A50B5D" w:rsidRDefault="00BF51DE" w:rsidP="00BF51DE">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Stock issued for debt settlement</w:t>
            </w:r>
          </w:p>
        </w:tc>
        <w:tc>
          <w:tcPr>
            <w:tcW w:w="347" w:type="pct"/>
            <w:shd w:val="clear" w:color="auto" w:fill="auto"/>
            <w:vAlign w:val="bottom"/>
          </w:tcPr>
          <w:p w14:paraId="44929900" w14:textId="0F89BFF1"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3,000,000</w:t>
            </w:r>
          </w:p>
        </w:tc>
        <w:tc>
          <w:tcPr>
            <w:tcW w:w="99" w:type="pct"/>
            <w:shd w:val="clear" w:color="auto" w:fill="auto"/>
            <w:vAlign w:val="bottom"/>
          </w:tcPr>
          <w:p w14:paraId="47047150" w14:textId="5340B786"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107BF284" w14:textId="6177FD63"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203" w:type="pct"/>
            <w:shd w:val="clear" w:color="auto" w:fill="auto"/>
            <w:vAlign w:val="bottom"/>
          </w:tcPr>
          <w:p w14:paraId="7E136D5E" w14:textId="7B3D5A9D"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24</w:t>
            </w:r>
          </w:p>
        </w:tc>
        <w:tc>
          <w:tcPr>
            <w:tcW w:w="49" w:type="pct"/>
            <w:shd w:val="clear" w:color="auto" w:fill="auto"/>
          </w:tcPr>
          <w:p w14:paraId="4A57B0ED"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212B3EA7" w14:textId="029B8315"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130F5C3F" w14:textId="07FB2814"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390,997</w:t>
            </w:r>
          </w:p>
        </w:tc>
        <w:tc>
          <w:tcPr>
            <w:tcW w:w="50" w:type="pct"/>
            <w:shd w:val="clear" w:color="auto" w:fill="auto"/>
          </w:tcPr>
          <w:p w14:paraId="6FA99D94"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08706D49" w14:textId="13FBFA5E"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4F528C9E" w14:textId="5656097A"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2CE957ED" w14:textId="74BC444F"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(18,168</w:t>
            </w:r>
          </w:p>
        </w:tc>
        <w:tc>
          <w:tcPr>
            <w:tcW w:w="49" w:type="pct"/>
            <w:shd w:val="clear" w:color="auto" w:fill="auto"/>
          </w:tcPr>
          <w:p w14:paraId="0EDEE05D" w14:textId="3DB6631D"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vAlign w:val="bottom"/>
          </w:tcPr>
          <w:p w14:paraId="17520B48" w14:textId="621570B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4187852D" w14:textId="7859A616"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070CD5C9" w14:textId="7A36AC96"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1272299C" w14:textId="2245946D"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40B2F1E1"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99" w:type="pct"/>
            <w:shd w:val="clear" w:color="auto" w:fill="auto"/>
            <w:vAlign w:val="bottom"/>
          </w:tcPr>
          <w:p w14:paraId="2BF62506" w14:textId="587077E0"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1CF71A51" w14:textId="1905288D"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99" w:type="pct"/>
            <w:shd w:val="clear" w:color="auto" w:fill="auto"/>
            <w:vAlign w:val="bottom"/>
          </w:tcPr>
          <w:p w14:paraId="4EB965AC" w14:textId="75F17AF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397E65EE" w14:textId="275A17F1"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41192B43" w14:textId="2FCF02BF"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7D9D6DF9" w14:textId="1E0CFD9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1B90D1FC" w14:textId="653ADBBE"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1DD47303" w14:textId="4C075C73"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372,853</w:t>
            </w:r>
          </w:p>
        </w:tc>
        <w:tc>
          <w:tcPr>
            <w:tcW w:w="45" w:type="pct"/>
            <w:shd w:val="clear" w:color="auto" w:fill="auto"/>
            <w:vAlign w:val="bottom"/>
            <w:hideMark/>
          </w:tcPr>
          <w:p w14:paraId="7A4CF1FC"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r w:rsidRPr="00CC7271">
              <w:rPr>
                <w:rFonts w:ascii="Times New Roman" w:eastAsia="Times New Roman" w:hAnsi="Times New Roman" w:cs="Times New Roman"/>
                <w:sz w:val="18"/>
                <w:szCs w:val="18"/>
                <w:lang w:val="en-US"/>
              </w:rPr>
              <w:t> </w:t>
            </w:r>
          </w:p>
        </w:tc>
      </w:tr>
      <w:tr w:rsidR="00BF51DE" w:rsidRPr="00872008" w14:paraId="3C55243F" w14:textId="77777777" w:rsidTr="00BE0A6C">
        <w:tc>
          <w:tcPr>
            <w:tcW w:w="845" w:type="pct"/>
            <w:shd w:val="clear" w:color="auto" w:fill="auto"/>
            <w:vAlign w:val="bottom"/>
          </w:tcPr>
          <w:p w14:paraId="26088859" w14:textId="01361EF8" w:rsidR="00BF51DE" w:rsidRPr="00A50B5D" w:rsidRDefault="00BF51DE" w:rsidP="00BF51DE">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Stock issued for prepaid services</w:t>
            </w:r>
          </w:p>
        </w:tc>
        <w:tc>
          <w:tcPr>
            <w:tcW w:w="347" w:type="pct"/>
            <w:shd w:val="clear" w:color="auto" w:fill="auto"/>
            <w:vAlign w:val="bottom"/>
          </w:tcPr>
          <w:p w14:paraId="30638358" w14:textId="3C61F615"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909,090</w:t>
            </w:r>
          </w:p>
        </w:tc>
        <w:tc>
          <w:tcPr>
            <w:tcW w:w="99" w:type="pct"/>
            <w:shd w:val="clear" w:color="auto" w:fill="auto"/>
            <w:vAlign w:val="bottom"/>
          </w:tcPr>
          <w:p w14:paraId="74B2859B"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7FBC85D0"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203" w:type="pct"/>
            <w:shd w:val="clear" w:color="auto" w:fill="auto"/>
            <w:vAlign w:val="bottom"/>
          </w:tcPr>
          <w:p w14:paraId="7E667C29" w14:textId="3EE8CF24"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7</w:t>
            </w:r>
          </w:p>
        </w:tc>
        <w:tc>
          <w:tcPr>
            <w:tcW w:w="49" w:type="pct"/>
            <w:shd w:val="clear" w:color="auto" w:fill="auto"/>
          </w:tcPr>
          <w:p w14:paraId="3CB63DFC"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3674C796"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39199391" w14:textId="219BC813"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118,484</w:t>
            </w:r>
          </w:p>
        </w:tc>
        <w:tc>
          <w:tcPr>
            <w:tcW w:w="50" w:type="pct"/>
            <w:shd w:val="clear" w:color="auto" w:fill="auto"/>
          </w:tcPr>
          <w:p w14:paraId="351ED80D"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66473080" w14:textId="46FBA236"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253F05DB" w14:textId="51729865"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7DD076C6" w14:textId="5F5DE1BF"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tcPr>
          <w:p w14:paraId="4169906D" w14:textId="344D34C2"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09D6813D"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0528BA42" w14:textId="7B86DC1A"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067E3931"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3364BDA8" w14:textId="7FB6DAEF"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3ACC99FE"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99" w:type="pct"/>
            <w:shd w:val="clear" w:color="auto" w:fill="auto"/>
            <w:vAlign w:val="bottom"/>
          </w:tcPr>
          <w:p w14:paraId="563C7572"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68727DE3" w14:textId="10EDB6B1"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99" w:type="pct"/>
            <w:shd w:val="clear" w:color="auto" w:fill="auto"/>
            <w:vAlign w:val="bottom"/>
          </w:tcPr>
          <w:p w14:paraId="0B5467C0" w14:textId="0A867155"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401CF503"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31F039C6" w14:textId="439B26BF"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67E537EB"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5F9F2E27"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78BA6AB4" w14:textId="62B672DD"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118,491</w:t>
            </w:r>
          </w:p>
        </w:tc>
        <w:tc>
          <w:tcPr>
            <w:tcW w:w="45" w:type="pct"/>
            <w:shd w:val="clear" w:color="auto" w:fill="auto"/>
            <w:vAlign w:val="bottom"/>
          </w:tcPr>
          <w:p w14:paraId="229C61BF"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p>
        </w:tc>
      </w:tr>
      <w:tr w:rsidR="00BF51DE" w:rsidRPr="00872008" w14:paraId="40C3CF38" w14:textId="77777777" w:rsidTr="00BE0A6C">
        <w:tc>
          <w:tcPr>
            <w:tcW w:w="845" w:type="pct"/>
            <w:shd w:val="clear" w:color="auto" w:fill="auto"/>
            <w:vAlign w:val="bottom"/>
            <w:hideMark/>
          </w:tcPr>
          <w:p w14:paraId="3E39E3D2" w14:textId="77777777" w:rsidR="00BF51DE" w:rsidRPr="00A50B5D" w:rsidRDefault="00BF51DE" w:rsidP="00BF51DE">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Restricted stock unit grants and vesting</w:t>
            </w:r>
          </w:p>
        </w:tc>
        <w:tc>
          <w:tcPr>
            <w:tcW w:w="347" w:type="pct"/>
            <w:shd w:val="clear" w:color="auto" w:fill="auto"/>
            <w:vAlign w:val="bottom"/>
            <w:hideMark/>
          </w:tcPr>
          <w:p w14:paraId="4DE5BABE" w14:textId="6A5C8022"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700,000</w:t>
            </w:r>
          </w:p>
        </w:tc>
        <w:tc>
          <w:tcPr>
            <w:tcW w:w="99" w:type="pct"/>
            <w:shd w:val="clear" w:color="auto" w:fill="auto"/>
            <w:vAlign w:val="bottom"/>
            <w:hideMark/>
          </w:tcPr>
          <w:p w14:paraId="0139E17F"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49" w:type="pct"/>
            <w:shd w:val="clear" w:color="auto" w:fill="auto"/>
            <w:vAlign w:val="bottom"/>
            <w:hideMark/>
          </w:tcPr>
          <w:p w14:paraId="248C69C7"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203" w:type="pct"/>
            <w:shd w:val="clear" w:color="auto" w:fill="auto"/>
            <w:vAlign w:val="bottom"/>
            <w:hideMark/>
          </w:tcPr>
          <w:p w14:paraId="39C2CA51" w14:textId="7B66525B"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6</w:t>
            </w:r>
          </w:p>
        </w:tc>
        <w:tc>
          <w:tcPr>
            <w:tcW w:w="49" w:type="pct"/>
            <w:shd w:val="clear" w:color="auto" w:fill="auto"/>
          </w:tcPr>
          <w:p w14:paraId="00D84E4C"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hideMark/>
          </w:tcPr>
          <w:p w14:paraId="054072B5"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297" w:type="pct"/>
            <w:shd w:val="clear" w:color="auto" w:fill="auto"/>
            <w:vAlign w:val="bottom"/>
            <w:hideMark/>
          </w:tcPr>
          <w:p w14:paraId="147D4CF8" w14:textId="277BD9D8"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92,165</w:t>
            </w:r>
          </w:p>
        </w:tc>
        <w:tc>
          <w:tcPr>
            <w:tcW w:w="50" w:type="pct"/>
            <w:shd w:val="clear" w:color="auto" w:fill="auto"/>
          </w:tcPr>
          <w:p w14:paraId="7991A201"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2A75B77A" w14:textId="1411E559"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hideMark/>
          </w:tcPr>
          <w:p w14:paraId="25FE8272" w14:textId="0C616FD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396" w:type="pct"/>
            <w:shd w:val="clear" w:color="auto" w:fill="auto"/>
          </w:tcPr>
          <w:p w14:paraId="2FAA5878" w14:textId="77777777" w:rsidR="00BF51DE" w:rsidRPr="00064A08" w:rsidRDefault="00BF51DE" w:rsidP="00064A08">
            <w:pPr>
              <w:spacing w:after="0" w:line="240" w:lineRule="auto"/>
              <w:jc w:val="right"/>
              <w:rPr>
                <w:rFonts w:ascii="Times New Roman" w:eastAsia="Times New Roman" w:hAnsi="Times New Roman" w:cs="Times New Roman"/>
                <w:sz w:val="18"/>
                <w:szCs w:val="18"/>
                <w:lang w:val="en-US"/>
              </w:rPr>
            </w:pPr>
          </w:p>
          <w:p w14:paraId="2FDF1A66" w14:textId="3510C5A4"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tcPr>
          <w:p w14:paraId="1D0495F2" w14:textId="110C3FA2"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hideMark/>
          </w:tcPr>
          <w:p w14:paraId="53F9250D"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247" w:type="pct"/>
            <w:shd w:val="clear" w:color="auto" w:fill="auto"/>
            <w:vAlign w:val="bottom"/>
          </w:tcPr>
          <w:p w14:paraId="180F5026" w14:textId="68B0638E"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(7,450</w:t>
            </w:r>
          </w:p>
        </w:tc>
        <w:tc>
          <w:tcPr>
            <w:tcW w:w="49" w:type="pct"/>
            <w:shd w:val="clear" w:color="auto" w:fill="auto"/>
            <w:vAlign w:val="bottom"/>
          </w:tcPr>
          <w:p w14:paraId="1E826EEA" w14:textId="1C1E283E"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297" w:type="pct"/>
            <w:shd w:val="clear" w:color="auto" w:fill="auto"/>
            <w:vAlign w:val="bottom"/>
          </w:tcPr>
          <w:p w14:paraId="0CE5C7D3" w14:textId="65C8653F"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662FA1B2"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99" w:type="pct"/>
            <w:shd w:val="clear" w:color="auto" w:fill="auto"/>
            <w:vAlign w:val="bottom"/>
          </w:tcPr>
          <w:p w14:paraId="4C5B24C5" w14:textId="0B1F196D"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5F9E841D" w14:textId="4C5D5F4E"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99" w:type="pct"/>
            <w:shd w:val="clear" w:color="auto" w:fill="auto"/>
            <w:vAlign w:val="bottom"/>
          </w:tcPr>
          <w:p w14:paraId="5F3F319D" w14:textId="1DF1E9FE"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165F2F27" w14:textId="69448859"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5CA099D9" w14:textId="0B9C3C4A" w:rsidR="00BF51DE" w:rsidRPr="00BF51DE" w:rsidRDefault="00BF51DE" w:rsidP="00BF51DE">
            <w:pPr>
              <w:spacing w:after="0" w:line="240" w:lineRule="auto"/>
              <w:jc w:val="center"/>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xml:space="preserve">                    -</w:t>
            </w:r>
          </w:p>
        </w:tc>
        <w:tc>
          <w:tcPr>
            <w:tcW w:w="49" w:type="pct"/>
            <w:shd w:val="clear" w:color="auto" w:fill="auto"/>
            <w:vAlign w:val="bottom"/>
          </w:tcPr>
          <w:p w14:paraId="183AF9E5" w14:textId="4F6FEC9B"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991746D" w14:textId="16C0ADFE"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4C2C2FD8" w14:textId="4C41A206"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13678C">
              <w:rPr>
                <w:rFonts w:ascii="Times New Roman" w:eastAsia="Times New Roman" w:hAnsi="Times New Roman" w:cs="Times New Roman"/>
                <w:sz w:val="18"/>
                <w:szCs w:val="18"/>
                <w:lang w:val="en-US"/>
              </w:rPr>
              <w:t>84,721</w:t>
            </w:r>
          </w:p>
        </w:tc>
        <w:tc>
          <w:tcPr>
            <w:tcW w:w="45" w:type="pct"/>
            <w:shd w:val="clear" w:color="auto" w:fill="auto"/>
            <w:vAlign w:val="bottom"/>
            <w:hideMark/>
          </w:tcPr>
          <w:p w14:paraId="56345ECA"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r w:rsidRPr="00CC7271">
              <w:rPr>
                <w:rFonts w:ascii="Times New Roman" w:eastAsia="Times New Roman" w:hAnsi="Times New Roman" w:cs="Times New Roman"/>
                <w:sz w:val="18"/>
                <w:szCs w:val="18"/>
                <w:lang w:val="en-US"/>
              </w:rPr>
              <w:t> </w:t>
            </w:r>
          </w:p>
        </w:tc>
      </w:tr>
      <w:tr w:rsidR="00BF51DE" w:rsidRPr="003D281F" w14:paraId="6B28005A" w14:textId="77777777" w:rsidTr="00BE0A6C">
        <w:tc>
          <w:tcPr>
            <w:tcW w:w="845" w:type="pct"/>
            <w:shd w:val="clear" w:color="auto" w:fill="auto"/>
            <w:vAlign w:val="bottom"/>
            <w:hideMark/>
          </w:tcPr>
          <w:p w14:paraId="5AF18C79" w14:textId="13D4E5E2" w:rsidR="00BF51DE" w:rsidRPr="00A50B5D" w:rsidRDefault="00BF51DE" w:rsidP="00BF51DE">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Warrants exercised</w:t>
            </w:r>
          </w:p>
        </w:tc>
        <w:tc>
          <w:tcPr>
            <w:tcW w:w="347" w:type="pct"/>
            <w:shd w:val="clear" w:color="auto" w:fill="auto"/>
            <w:vAlign w:val="bottom"/>
          </w:tcPr>
          <w:p w14:paraId="7FA6E0DC" w14:textId="64AA7B54"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451,250</w:t>
            </w:r>
          </w:p>
        </w:tc>
        <w:tc>
          <w:tcPr>
            <w:tcW w:w="99" w:type="pct"/>
            <w:shd w:val="clear" w:color="auto" w:fill="auto"/>
            <w:vAlign w:val="bottom"/>
          </w:tcPr>
          <w:p w14:paraId="400D4F22" w14:textId="5A09ED3B"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49" w:type="pct"/>
            <w:shd w:val="clear" w:color="auto" w:fill="auto"/>
            <w:vAlign w:val="bottom"/>
          </w:tcPr>
          <w:p w14:paraId="59A1A4E4" w14:textId="49DEE2D9"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203" w:type="pct"/>
            <w:shd w:val="clear" w:color="auto" w:fill="auto"/>
            <w:vAlign w:val="bottom"/>
          </w:tcPr>
          <w:p w14:paraId="293F9AFE" w14:textId="7B4A3F59"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4</w:t>
            </w:r>
          </w:p>
        </w:tc>
        <w:tc>
          <w:tcPr>
            <w:tcW w:w="49" w:type="pct"/>
            <w:shd w:val="clear" w:color="auto" w:fill="auto"/>
          </w:tcPr>
          <w:p w14:paraId="0829C5CA"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45957CBF" w14:textId="6388B7F8"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297" w:type="pct"/>
            <w:shd w:val="clear" w:color="auto" w:fill="auto"/>
            <w:vAlign w:val="bottom"/>
          </w:tcPr>
          <w:p w14:paraId="12DF853B" w14:textId="6A6D2082"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86,384</w:t>
            </w:r>
          </w:p>
        </w:tc>
        <w:tc>
          <w:tcPr>
            <w:tcW w:w="50" w:type="pct"/>
            <w:shd w:val="clear" w:color="auto" w:fill="auto"/>
          </w:tcPr>
          <w:p w14:paraId="3657A541"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594F9E16" w14:textId="7784F9B5"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r w:rsidRPr="00064A08">
              <w:rPr>
                <w:rFonts w:ascii="Times New Roman" w:eastAsia="Times New Roman" w:hAnsi="Times New Roman" w:cs="Times New Roman"/>
                <w:sz w:val="18"/>
                <w:szCs w:val="18"/>
                <w:lang w:val="en-US"/>
              </w:rPr>
              <w:t>50,575</w:t>
            </w:r>
          </w:p>
        </w:tc>
        <w:tc>
          <w:tcPr>
            <w:tcW w:w="49" w:type="pct"/>
            <w:shd w:val="clear" w:color="auto" w:fill="auto"/>
            <w:vAlign w:val="bottom"/>
          </w:tcPr>
          <w:p w14:paraId="2406D3BF" w14:textId="17042B1C"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p>
        </w:tc>
        <w:tc>
          <w:tcPr>
            <w:tcW w:w="396" w:type="pct"/>
            <w:shd w:val="clear" w:color="auto" w:fill="auto"/>
          </w:tcPr>
          <w:p w14:paraId="34F5F96A" w14:textId="5F7AFA72"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tcPr>
          <w:p w14:paraId="5B6E25BB" w14:textId="436C96D4"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BAA690D" w14:textId="580B5799"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438CE3B3" w14:textId="37E32972"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vAlign w:val="bottom"/>
          </w:tcPr>
          <w:p w14:paraId="0F082AEA" w14:textId="52916715"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4763012A" w14:textId="640A6325"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3C307DE7" w14:textId="3E9FBBE5"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99" w:type="pct"/>
            <w:shd w:val="clear" w:color="auto" w:fill="auto"/>
            <w:vAlign w:val="bottom"/>
          </w:tcPr>
          <w:p w14:paraId="2B5AD1FF" w14:textId="1E3EC529"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5636FDA0" w14:textId="20B9B982"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99" w:type="pct"/>
            <w:shd w:val="clear" w:color="auto" w:fill="auto"/>
            <w:vAlign w:val="bottom"/>
          </w:tcPr>
          <w:p w14:paraId="16ACC2BD" w14:textId="100E6175"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7CB77771" w14:textId="7B18D85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256E1F64" w14:textId="03308BA1"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0CB70431" w14:textId="29149BC9"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64287C81" w14:textId="6069753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003D3D41" w14:textId="12BD85F2"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35,813</w:t>
            </w:r>
          </w:p>
        </w:tc>
        <w:tc>
          <w:tcPr>
            <w:tcW w:w="45" w:type="pct"/>
            <w:shd w:val="clear" w:color="auto" w:fill="auto"/>
            <w:vAlign w:val="bottom"/>
          </w:tcPr>
          <w:p w14:paraId="486398AA" w14:textId="1AFA4A7B" w:rsidR="00BF51DE" w:rsidRPr="00CC7271" w:rsidRDefault="00BF51DE" w:rsidP="00BF51DE">
            <w:pPr>
              <w:spacing w:after="0" w:line="240" w:lineRule="auto"/>
              <w:jc w:val="both"/>
              <w:rPr>
                <w:rFonts w:ascii="Times New Roman" w:eastAsia="Times New Roman" w:hAnsi="Times New Roman" w:cs="Times New Roman"/>
                <w:sz w:val="18"/>
                <w:szCs w:val="18"/>
                <w:lang w:val="en-US"/>
              </w:rPr>
            </w:pPr>
          </w:p>
        </w:tc>
      </w:tr>
      <w:tr w:rsidR="00BF51DE" w:rsidRPr="003D281F" w14:paraId="71B5CBC0" w14:textId="77777777" w:rsidTr="00064A08">
        <w:tc>
          <w:tcPr>
            <w:tcW w:w="845" w:type="pct"/>
            <w:shd w:val="clear" w:color="auto" w:fill="auto"/>
            <w:vAlign w:val="bottom"/>
          </w:tcPr>
          <w:p w14:paraId="2D966957" w14:textId="4C3D89B3" w:rsidR="00BF51DE" w:rsidRPr="00A50B5D" w:rsidRDefault="00BF51DE" w:rsidP="00BF51DE">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Options exercised</w:t>
            </w:r>
          </w:p>
        </w:tc>
        <w:tc>
          <w:tcPr>
            <w:tcW w:w="347" w:type="pct"/>
            <w:shd w:val="clear" w:color="auto" w:fill="auto"/>
            <w:vAlign w:val="bottom"/>
          </w:tcPr>
          <w:p w14:paraId="7E5408AB" w14:textId="0BC8507C" w:rsidR="00BF51DE" w:rsidRPr="00667A0B" w:rsidRDefault="00BF51DE" w:rsidP="00BF51DE">
            <w:pPr>
              <w:spacing w:after="0" w:line="240" w:lineRule="auto"/>
              <w:jc w:val="center"/>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xml:space="preserve">         </w:t>
            </w:r>
            <w:r w:rsidRPr="00064A08">
              <w:rPr>
                <w:rFonts w:ascii="Times New Roman" w:eastAsia="Times New Roman" w:hAnsi="Times New Roman" w:cs="Times New Roman"/>
                <w:sz w:val="18"/>
                <w:szCs w:val="18"/>
                <w:lang w:val="en-US"/>
              </w:rPr>
              <w:t>250,000</w:t>
            </w:r>
            <w:r w:rsidRPr="00667A0B">
              <w:rPr>
                <w:rFonts w:ascii="Times New Roman" w:eastAsia="Times New Roman" w:hAnsi="Times New Roman" w:cs="Times New Roman"/>
                <w:sz w:val="18"/>
                <w:szCs w:val="18"/>
                <w:lang w:val="en-US"/>
              </w:rPr>
              <w:t xml:space="preserve">          </w:t>
            </w:r>
          </w:p>
        </w:tc>
        <w:tc>
          <w:tcPr>
            <w:tcW w:w="99" w:type="pct"/>
            <w:shd w:val="clear" w:color="auto" w:fill="auto"/>
            <w:vAlign w:val="bottom"/>
          </w:tcPr>
          <w:p w14:paraId="78DD7D15"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64147D4C"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p>
        </w:tc>
        <w:tc>
          <w:tcPr>
            <w:tcW w:w="203" w:type="pct"/>
            <w:shd w:val="clear" w:color="auto" w:fill="auto"/>
            <w:vAlign w:val="bottom"/>
          </w:tcPr>
          <w:p w14:paraId="0117B164" w14:textId="1EC46809"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xml:space="preserve">       </w:t>
            </w:r>
            <w:r w:rsidRPr="00064A08">
              <w:rPr>
                <w:rFonts w:ascii="Times New Roman" w:eastAsia="Times New Roman" w:hAnsi="Times New Roman" w:cs="Times New Roman"/>
                <w:sz w:val="18"/>
                <w:szCs w:val="18"/>
                <w:lang w:val="en-US"/>
              </w:rPr>
              <w:t xml:space="preserve"> </w:t>
            </w:r>
            <w:r w:rsidRPr="00402116">
              <w:rPr>
                <w:rFonts w:ascii="Times New Roman" w:eastAsia="Times New Roman" w:hAnsi="Times New Roman" w:cs="Times New Roman"/>
                <w:sz w:val="18"/>
                <w:szCs w:val="18"/>
                <w:lang w:val="en-US"/>
              </w:rPr>
              <w:t xml:space="preserve">  </w:t>
            </w:r>
            <w:r w:rsidRPr="00064A08">
              <w:rPr>
                <w:rFonts w:ascii="Times New Roman" w:eastAsia="Times New Roman" w:hAnsi="Times New Roman" w:cs="Times New Roman"/>
                <w:sz w:val="18"/>
                <w:szCs w:val="18"/>
                <w:lang w:val="en-US"/>
              </w:rPr>
              <w:t>2</w:t>
            </w:r>
          </w:p>
        </w:tc>
        <w:tc>
          <w:tcPr>
            <w:tcW w:w="49" w:type="pct"/>
            <w:shd w:val="clear" w:color="auto" w:fill="auto"/>
          </w:tcPr>
          <w:p w14:paraId="04FD0892" w14:textId="1706A16F"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7A3E8834"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4BFC1CF2" w14:textId="6FD7E394"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36,095</w:t>
            </w:r>
            <w:r w:rsidRPr="00402116">
              <w:rPr>
                <w:rFonts w:ascii="Times New Roman" w:eastAsia="Times New Roman" w:hAnsi="Times New Roman" w:cs="Times New Roman"/>
                <w:sz w:val="18"/>
                <w:szCs w:val="18"/>
                <w:lang w:val="en-US"/>
              </w:rPr>
              <w:t xml:space="preserve">   </w:t>
            </w:r>
          </w:p>
        </w:tc>
        <w:tc>
          <w:tcPr>
            <w:tcW w:w="50" w:type="pct"/>
            <w:shd w:val="clear" w:color="auto" w:fill="auto"/>
          </w:tcPr>
          <w:p w14:paraId="21EF59A4"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764EA75D" w14:textId="1AA7699A"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r w:rsidRPr="00064A08">
              <w:rPr>
                <w:rFonts w:ascii="Times New Roman" w:eastAsia="Times New Roman" w:hAnsi="Times New Roman" w:cs="Times New Roman"/>
                <w:sz w:val="18"/>
                <w:szCs w:val="18"/>
                <w:lang w:val="en-US"/>
              </w:rPr>
              <w:t>1</w:t>
            </w:r>
            <w:r w:rsidR="003B32D3">
              <w:rPr>
                <w:rFonts w:ascii="Times New Roman" w:eastAsia="Times New Roman" w:hAnsi="Times New Roman" w:cs="Times New Roman"/>
                <w:sz w:val="18"/>
                <w:szCs w:val="18"/>
                <w:lang w:val="en-US"/>
              </w:rPr>
              <w:t>8</w:t>
            </w:r>
            <w:r w:rsidRPr="00064A08">
              <w:rPr>
                <w:rFonts w:ascii="Times New Roman" w:eastAsia="Times New Roman" w:hAnsi="Times New Roman" w:cs="Times New Roman"/>
                <w:sz w:val="18"/>
                <w:szCs w:val="18"/>
                <w:lang w:val="en-US"/>
              </w:rPr>
              <w:t>,</w:t>
            </w:r>
            <w:r w:rsidR="003B32D3">
              <w:rPr>
                <w:rFonts w:ascii="Times New Roman" w:eastAsia="Times New Roman" w:hAnsi="Times New Roman" w:cs="Times New Roman"/>
                <w:sz w:val="18"/>
                <w:szCs w:val="18"/>
                <w:lang w:val="en-US"/>
              </w:rPr>
              <w:t>864</w:t>
            </w:r>
          </w:p>
        </w:tc>
        <w:tc>
          <w:tcPr>
            <w:tcW w:w="49" w:type="pct"/>
            <w:shd w:val="clear" w:color="auto" w:fill="auto"/>
            <w:vAlign w:val="bottom"/>
          </w:tcPr>
          <w:p w14:paraId="4277A33B" w14:textId="34F3AA75"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p>
        </w:tc>
        <w:tc>
          <w:tcPr>
            <w:tcW w:w="396" w:type="pct"/>
            <w:shd w:val="clear" w:color="auto" w:fill="auto"/>
          </w:tcPr>
          <w:p w14:paraId="02BDDF6F" w14:textId="3E528031"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tcPr>
          <w:p w14:paraId="4931665D" w14:textId="7E0CA37A"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0730CABE"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75DE940A" w14:textId="45E86AB1"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vAlign w:val="bottom"/>
          </w:tcPr>
          <w:p w14:paraId="76E24C99"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62A18B48" w14:textId="0051ED62"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2,338</w:t>
            </w:r>
          </w:p>
        </w:tc>
        <w:tc>
          <w:tcPr>
            <w:tcW w:w="49" w:type="pct"/>
            <w:shd w:val="clear" w:color="auto" w:fill="auto"/>
          </w:tcPr>
          <w:p w14:paraId="6A69332D" w14:textId="37CBBD08"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99" w:type="pct"/>
            <w:shd w:val="clear" w:color="auto" w:fill="auto"/>
            <w:vAlign w:val="bottom"/>
          </w:tcPr>
          <w:p w14:paraId="60DD465F"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23E1A279" w14:textId="7736915A"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99" w:type="pct"/>
            <w:shd w:val="clear" w:color="auto" w:fill="auto"/>
            <w:vAlign w:val="bottom"/>
          </w:tcPr>
          <w:p w14:paraId="2222CE61" w14:textId="620C7D59"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2C543196"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34FF12DF" w14:textId="09647F75"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3883C483"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3216A4B7"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29B9D321" w14:textId="36A069CA" w:rsidR="00BF51DE" w:rsidRPr="0013678C" w:rsidRDefault="003B32D3" w:rsidP="00BF51DE">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19,571</w:t>
            </w:r>
          </w:p>
        </w:tc>
        <w:tc>
          <w:tcPr>
            <w:tcW w:w="45" w:type="pct"/>
            <w:shd w:val="clear" w:color="auto" w:fill="auto"/>
            <w:vAlign w:val="bottom"/>
          </w:tcPr>
          <w:p w14:paraId="58E559E0"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p>
        </w:tc>
      </w:tr>
      <w:tr w:rsidR="00BF51DE" w:rsidRPr="003D281F" w14:paraId="6CD9FDBF" w14:textId="77777777" w:rsidTr="00BE0A6C">
        <w:tc>
          <w:tcPr>
            <w:tcW w:w="845" w:type="pct"/>
            <w:shd w:val="clear" w:color="auto" w:fill="auto"/>
            <w:vAlign w:val="bottom"/>
            <w:hideMark/>
          </w:tcPr>
          <w:p w14:paraId="6FBAB665" w14:textId="41EBC4C6" w:rsidR="00BF51DE" w:rsidRPr="00A50B5D" w:rsidRDefault="00BF51DE" w:rsidP="00BF51DE">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Finder’s warrants issued</w:t>
            </w:r>
          </w:p>
        </w:tc>
        <w:tc>
          <w:tcPr>
            <w:tcW w:w="347" w:type="pct"/>
            <w:shd w:val="clear" w:color="auto" w:fill="auto"/>
            <w:vAlign w:val="bottom"/>
          </w:tcPr>
          <w:p w14:paraId="68F4295D" w14:textId="6A074A94"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 </w:t>
            </w:r>
          </w:p>
        </w:tc>
        <w:tc>
          <w:tcPr>
            <w:tcW w:w="99" w:type="pct"/>
            <w:shd w:val="clear" w:color="auto" w:fill="auto"/>
            <w:vAlign w:val="bottom"/>
          </w:tcPr>
          <w:p w14:paraId="79E3CB8B" w14:textId="34C4F18C"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49" w:type="pct"/>
            <w:shd w:val="clear" w:color="auto" w:fill="auto"/>
            <w:vAlign w:val="bottom"/>
          </w:tcPr>
          <w:p w14:paraId="33048FE1" w14:textId="0273634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203" w:type="pct"/>
            <w:shd w:val="clear" w:color="auto" w:fill="auto"/>
            <w:vAlign w:val="bottom"/>
          </w:tcPr>
          <w:p w14:paraId="5110724B" w14:textId="1FB43EFC"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49" w:type="pct"/>
            <w:shd w:val="clear" w:color="auto" w:fill="auto"/>
          </w:tcPr>
          <w:p w14:paraId="7EFD92FD"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60FCFBC1" w14:textId="1F337D50"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64530117" w14:textId="52D5D31B"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r w:rsidRPr="00064A08">
              <w:rPr>
                <w:rFonts w:ascii="Times New Roman" w:eastAsia="Times New Roman" w:hAnsi="Times New Roman" w:cs="Times New Roman"/>
                <w:sz w:val="18"/>
                <w:szCs w:val="18"/>
                <w:lang w:val="en-US"/>
              </w:rPr>
              <w:t>1,782,560</w:t>
            </w:r>
          </w:p>
        </w:tc>
        <w:tc>
          <w:tcPr>
            <w:tcW w:w="50" w:type="pct"/>
            <w:shd w:val="clear" w:color="auto" w:fill="auto"/>
          </w:tcPr>
          <w:p w14:paraId="4630C964" w14:textId="6C66944C"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w:t>
            </w:r>
          </w:p>
        </w:tc>
        <w:tc>
          <w:tcPr>
            <w:tcW w:w="346" w:type="pct"/>
            <w:shd w:val="clear" w:color="auto" w:fill="auto"/>
          </w:tcPr>
          <w:p w14:paraId="20A57104" w14:textId="7010829B"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1,782,560</w:t>
            </w:r>
          </w:p>
        </w:tc>
        <w:tc>
          <w:tcPr>
            <w:tcW w:w="49" w:type="pct"/>
            <w:shd w:val="clear" w:color="auto" w:fill="auto"/>
            <w:vAlign w:val="bottom"/>
          </w:tcPr>
          <w:p w14:paraId="5F5DB15C" w14:textId="5E7098DE"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286A06BE" w14:textId="51BC30F1"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tcPr>
          <w:p w14:paraId="06916538" w14:textId="446F5F4E"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12E4BFAE" w14:textId="13469BF0"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6C9A41BC" w14:textId="5246601C"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74D8CD18" w14:textId="642537F9"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3C40FF0A" w14:textId="70E20137"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2484FD13"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99" w:type="pct"/>
            <w:shd w:val="clear" w:color="auto" w:fill="auto"/>
            <w:vAlign w:val="bottom"/>
          </w:tcPr>
          <w:p w14:paraId="1CED7E99" w14:textId="5F3A25CB"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5E1E6C00" w14:textId="7FA81BDB"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99" w:type="pct"/>
            <w:shd w:val="clear" w:color="auto" w:fill="auto"/>
            <w:vAlign w:val="bottom"/>
          </w:tcPr>
          <w:p w14:paraId="50223396" w14:textId="6F41AFAB"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4B21D76F" w14:textId="39FB85E9"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6C52A446" w14:textId="5AD1B8E9"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3975014C" w14:textId="1ADB8022"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58BFA1CA" w14:textId="730B7D86"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4AAEB2C6" w14:textId="200E662C"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13678C">
              <w:rPr>
                <w:rFonts w:ascii="Times New Roman" w:eastAsia="Times New Roman" w:hAnsi="Times New Roman" w:cs="Times New Roman"/>
                <w:sz w:val="18"/>
                <w:szCs w:val="18"/>
                <w:lang w:val="en-US"/>
              </w:rPr>
              <w:t>-</w:t>
            </w:r>
          </w:p>
        </w:tc>
        <w:tc>
          <w:tcPr>
            <w:tcW w:w="45" w:type="pct"/>
            <w:shd w:val="clear" w:color="auto" w:fill="auto"/>
            <w:vAlign w:val="bottom"/>
          </w:tcPr>
          <w:p w14:paraId="2B0D4174"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p>
        </w:tc>
      </w:tr>
      <w:tr w:rsidR="00BF51DE" w:rsidRPr="003D281F" w14:paraId="7473001F" w14:textId="77777777" w:rsidTr="00BE0A6C">
        <w:tc>
          <w:tcPr>
            <w:tcW w:w="845" w:type="pct"/>
            <w:shd w:val="clear" w:color="auto" w:fill="auto"/>
            <w:vAlign w:val="bottom"/>
          </w:tcPr>
          <w:p w14:paraId="05581DC0" w14:textId="45110EE5" w:rsidR="00BF51DE" w:rsidRPr="00A50B5D" w:rsidRDefault="00BF51DE" w:rsidP="00BF51DE">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Stock to be issued for services</w:t>
            </w:r>
          </w:p>
        </w:tc>
        <w:tc>
          <w:tcPr>
            <w:tcW w:w="347" w:type="pct"/>
            <w:shd w:val="clear" w:color="auto" w:fill="auto"/>
            <w:vAlign w:val="bottom"/>
          </w:tcPr>
          <w:p w14:paraId="207A024E" w14:textId="77E64AE4"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 </w:t>
            </w:r>
          </w:p>
        </w:tc>
        <w:tc>
          <w:tcPr>
            <w:tcW w:w="99" w:type="pct"/>
            <w:shd w:val="clear" w:color="auto" w:fill="auto"/>
            <w:vAlign w:val="bottom"/>
          </w:tcPr>
          <w:p w14:paraId="03B71C9E" w14:textId="58D40EE4"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49" w:type="pct"/>
            <w:shd w:val="clear" w:color="auto" w:fill="auto"/>
            <w:vAlign w:val="bottom"/>
          </w:tcPr>
          <w:p w14:paraId="22D1884E" w14:textId="5A4C276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203" w:type="pct"/>
            <w:shd w:val="clear" w:color="auto" w:fill="auto"/>
            <w:vAlign w:val="bottom"/>
          </w:tcPr>
          <w:p w14:paraId="5B66E6EF" w14:textId="36908DCF"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49" w:type="pct"/>
            <w:shd w:val="clear" w:color="auto" w:fill="auto"/>
          </w:tcPr>
          <w:p w14:paraId="15B64D6C"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0DC4DF9C" w14:textId="629D0D8C"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297" w:type="pct"/>
            <w:shd w:val="clear" w:color="auto" w:fill="auto"/>
            <w:vAlign w:val="bottom"/>
          </w:tcPr>
          <w:p w14:paraId="54C32010" w14:textId="3E1D9B69"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50" w:type="pct"/>
            <w:shd w:val="clear" w:color="auto" w:fill="auto"/>
          </w:tcPr>
          <w:p w14:paraId="2F30A094"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7E212B4F" w14:textId="7073CA54"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5CB1EF16" w14:textId="45FD30ED"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312E00B3" w14:textId="3BAE7A7F"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tcPr>
          <w:p w14:paraId="4CDDA779" w14:textId="1D4ACD0A"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6E6E9BA1"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2455650E" w14:textId="1FC1FEEE"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51,208</w:t>
            </w:r>
          </w:p>
        </w:tc>
        <w:tc>
          <w:tcPr>
            <w:tcW w:w="49" w:type="pct"/>
            <w:shd w:val="clear" w:color="auto" w:fill="auto"/>
            <w:vAlign w:val="bottom"/>
          </w:tcPr>
          <w:p w14:paraId="7B127D69"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97" w:type="pct"/>
            <w:shd w:val="clear" w:color="auto" w:fill="auto"/>
            <w:vAlign w:val="bottom"/>
          </w:tcPr>
          <w:p w14:paraId="0F620F3F" w14:textId="65601812"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tcPr>
          <w:p w14:paraId="3FEF9F28"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66B98F01"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77B01285" w14:textId="59A8C369"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99" w:type="pct"/>
            <w:shd w:val="clear" w:color="auto" w:fill="auto"/>
            <w:vAlign w:val="bottom"/>
          </w:tcPr>
          <w:p w14:paraId="38C36D81" w14:textId="3A5D77A0"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50" w:type="pct"/>
            <w:shd w:val="clear" w:color="auto" w:fill="auto"/>
            <w:vAlign w:val="bottom"/>
          </w:tcPr>
          <w:p w14:paraId="3C4CCB00" w14:textId="77777777" w:rsidR="00BF51DE" w:rsidRPr="00064A08" w:rsidRDefault="00BF51DE" w:rsidP="00BF51DE">
            <w:pPr>
              <w:spacing w:after="0" w:line="240" w:lineRule="auto"/>
              <w:jc w:val="both"/>
              <w:rPr>
                <w:rFonts w:ascii="Times New Roman" w:eastAsia="Times New Roman" w:hAnsi="Times New Roman" w:cs="Times New Roman"/>
                <w:sz w:val="18"/>
                <w:szCs w:val="18"/>
                <w:highlight w:val="yellow"/>
                <w:lang w:val="en-US"/>
              </w:rPr>
            </w:pPr>
          </w:p>
        </w:tc>
        <w:tc>
          <w:tcPr>
            <w:tcW w:w="346" w:type="pct"/>
            <w:shd w:val="clear" w:color="auto" w:fill="auto"/>
            <w:vAlign w:val="bottom"/>
          </w:tcPr>
          <w:p w14:paraId="6914905F" w14:textId="2BE7CD36"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54F37064"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1A2B8B0A"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1381C8E4" w14:textId="0B06F1D9"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13678C">
              <w:rPr>
                <w:rFonts w:ascii="Times New Roman" w:eastAsia="Times New Roman" w:hAnsi="Times New Roman" w:cs="Times New Roman"/>
                <w:sz w:val="18"/>
                <w:szCs w:val="18"/>
                <w:lang w:val="en-US"/>
              </w:rPr>
              <w:t>51,208</w:t>
            </w:r>
          </w:p>
        </w:tc>
        <w:tc>
          <w:tcPr>
            <w:tcW w:w="45" w:type="pct"/>
            <w:shd w:val="clear" w:color="auto" w:fill="auto"/>
            <w:vAlign w:val="bottom"/>
          </w:tcPr>
          <w:p w14:paraId="75048687"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p>
        </w:tc>
      </w:tr>
      <w:tr w:rsidR="00BF51DE" w:rsidRPr="003D281F" w14:paraId="1F35FA02" w14:textId="77777777" w:rsidTr="00BE0A6C">
        <w:tc>
          <w:tcPr>
            <w:tcW w:w="845" w:type="pct"/>
            <w:shd w:val="clear" w:color="auto" w:fill="auto"/>
            <w:vAlign w:val="bottom"/>
            <w:hideMark/>
          </w:tcPr>
          <w:p w14:paraId="5C1F638C" w14:textId="77777777" w:rsidR="00BF51DE" w:rsidRPr="004A3BC1" w:rsidRDefault="00BF51DE" w:rsidP="00BF51DE">
            <w:pPr>
              <w:spacing w:after="0" w:line="240" w:lineRule="auto"/>
              <w:rPr>
                <w:rFonts w:ascii="Times New Roman" w:eastAsia="Times New Roman" w:hAnsi="Times New Roman" w:cs="Times New Roman"/>
                <w:sz w:val="18"/>
                <w:szCs w:val="18"/>
                <w:lang w:val="en-US"/>
              </w:rPr>
            </w:pPr>
            <w:r w:rsidRPr="004A3BC1">
              <w:rPr>
                <w:rFonts w:ascii="Times New Roman" w:eastAsia="Times New Roman" w:hAnsi="Times New Roman" w:cs="Times New Roman"/>
                <w:sz w:val="18"/>
                <w:szCs w:val="18"/>
                <w:lang w:val="en-US"/>
              </w:rPr>
              <w:t>Currency translation adjustment</w:t>
            </w:r>
          </w:p>
        </w:tc>
        <w:tc>
          <w:tcPr>
            <w:tcW w:w="347" w:type="pct"/>
            <w:shd w:val="clear" w:color="auto" w:fill="auto"/>
            <w:vAlign w:val="bottom"/>
          </w:tcPr>
          <w:p w14:paraId="3B3ACB40" w14:textId="0A06CD77"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 </w:t>
            </w:r>
          </w:p>
        </w:tc>
        <w:tc>
          <w:tcPr>
            <w:tcW w:w="99" w:type="pct"/>
            <w:shd w:val="clear" w:color="auto" w:fill="auto"/>
            <w:vAlign w:val="bottom"/>
          </w:tcPr>
          <w:p w14:paraId="59942479" w14:textId="4204F904"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49" w:type="pct"/>
            <w:shd w:val="clear" w:color="auto" w:fill="auto"/>
            <w:vAlign w:val="bottom"/>
          </w:tcPr>
          <w:p w14:paraId="23482813" w14:textId="53D1DD6D"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203" w:type="pct"/>
            <w:shd w:val="clear" w:color="auto" w:fill="auto"/>
            <w:vAlign w:val="bottom"/>
          </w:tcPr>
          <w:p w14:paraId="22362CE2" w14:textId="352889AC"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49" w:type="pct"/>
            <w:shd w:val="clear" w:color="auto" w:fill="auto"/>
          </w:tcPr>
          <w:p w14:paraId="136494A0"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14A66C49" w14:textId="6F36549D"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297" w:type="pct"/>
            <w:shd w:val="clear" w:color="auto" w:fill="auto"/>
            <w:vAlign w:val="bottom"/>
          </w:tcPr>
          <w:p w14:paraId="4F94DBCC" w14:textId="1258EFAB"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50" w:type="pct"/>
            <w:shd w:val="clear" w:color="auto" w:fill="auto"/>
          </w:tcPr>
          <w:p w14:paraId="0D731DF2"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tcPr>
          <w:p w14:paraId="4C6D94E9" w14:textId="35213F3B"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shd w:val="clear" w:color="auto" w:fill="auto"/>
            <w:vAlign w:val="bottom"/>
          </w:tcPr>
          <w:p w14:paraId="1CC1128E" w14:textId="2EC2FEDB"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96" w:type="pct"/>
            <w:shd w:val="clear" w:color="auto" w:fill="auto"/>
          </w:tcPr>
          <w:p w14:paraId="35F18536" w14:textId="2F9E3806"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shd w:val="clear" w:color="auto" w:fill="auto"/>
          </w:tcPr>
          <w:p w14:paraId="0D90483B" w14:textId="09B7E736"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732FAA37" w14:textId="5AACDA93"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247" w:type="pct"/>
            <w:shd w:val="clear" w:color="auto" w:fill="auto"/>
            <w:vAlign w:val="bottom"/>
          </w:tcPr>
          <w:p w14:paraId="06A1F552" w14:textId="495E65F6"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49" w:type="pct"/>
            <w:shd w:val="clear" w:color="auto" w:fill="auto"/>
            <w:vAlign w:val="bottom"/>
          </w:tcPr>
          <w:p w14:paraId="0E4D0FA7" w14:textId="457A78B1"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297" w:type="pct"/>
            <w:shd w:val="clear" w:color="auto" w:fill="auto"/>
            <w:vAlign w:val="bottom"/>
          </w:tcPr>
          <w:p w14:paraId="3D5E2A5F" w14:textId="0674EE7A"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49" w:type="pct"/>
            <w:shd w:val="clear" w:color="auto" w:fill="auto"/>
          </w:tcPr>
          <w:p w14:paraId="608C5AE6"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shd w:val="clear" w:color="auto" w:fill="auto"/>
            <w:vAlign w:val="bottom"/>
          </w:tcPr>
          <w:p w14:paraId="038801F9" w14:textId="4EED7F6F"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346" w:type="pct"/>
            <w:shd w:val="clear" w:color="auto" w:fill="auto"/>
            <w:vAlign w:val="bottom"/>
          </w:tcPr>
          <w:p w14:paraId="13C06DD3" w14:textId="27E2B003"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(7</w:t>
            </w:r>
            <w:r w:rsidR="00A46F0C">
              <w:rPr>
                <w:rFonts w:ascii="Times New Roman" w:eastAsia="Times New Roman" w:hAnsi="Times New Roman" w:cs="Times New Roman"/>
                <w:sz w:val="18"/>
                <w:szCs w:val="18"/>
                <w:lang w:val="en-US"/>
              </w:rPr>
              <w:t>2</w:t>
            </w:r>
            <w:r w:rsidR="003B32D3">
              <w:rPr>
                <w:rFonts w:ascii="Times New Roman" w:eastAsia="Times New Roman" w:hAnsi="Times New Roman" w:cs="Times New Roman"/>
                <w:sz w:val="18"/>
                <w:szCs w:val="18"/>
                <w:lang w:val="en-US"/>
              </w:rPr>
              <w:t>4</w:t>
            </w:r>
            <w:r w:rsidR="005779F6">
              <w:rPr>
                <w:rFonts w:ascii="Times New Roman" w:eastAsia="Times New Roman" w:hAnsi="Times New Roman" w:cs="Times New Roman"/>
                <w:sz w:val="18"/>
                <w:szCs w:val="18"/>
                <w:lang w:val="en-US"/>
              </w:rPr>
              <w:t>,</w:t>
            </w:r>
            <w:r w:rsidR="003B32D3">
              <w:rPr>
                <w:rFonts w:ascii="Times New Roman" w:eastAsia="Times New Roman" w:hAnsi="Times New Roman" w:cs="Times New Roman"/>
                <w:sz w:val="18"/>
                <w:szCs w:val="18"/>
                <w:lang w:val="en-US"/>
              </w:rPr>
              <w:t>886</w:t>
            </w:r>
          </w:p>
        </w:tc>
        <w:tc>
          <w:tcPr>
            <w:tcW w:w="99" w:type="pct"/>
            <w:shd w:val="clear" w:color="auto" w:fill="auto"/>
            <w:vAlign w:val="bottom"/>
          </w:tcPr>
          <w:p w14:paraId="5841EC40" w14:textId="164B339E"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50" w:type="pct"/>
            <w:shd w:val="clear" w:color="auto" w:fill="auto"/>
            <w:vAlign w:val="bottom"/>
          </w:tcPr>
          <w:p w14:paraId="741140B8" w14:textId="5CA84F81"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shd w:val="clear" w:color="auto" w:fill="auto"/>
            <w:vAlign w:val="bottom"/>
          </w:tcPr>
          <w:p w14:paraId="54ECBB25" w14:textId="338A9742"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shd w:val="clear" w:color="auto" w:fill="auto"/>
            <w:vAlign w:val="bottom"/>
          </w:tcPr>
          <w:p w14:paraId="18D44E4A" w14:textId="7BC10974"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shd w:val="clear" w:color="auto" w:fill="auto"/>
            <w:vAlign w:val="bottom"/>
          </w:tcPr>
          <w:p w14:paraId="23CC2A2D" w14:textId="43D5CA5C"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347" w:type="pct"/>
            <w:shd w:val="clear" w:color="auto" w:fill="auto"/>
            <w:vAlign w:val="bottom"/>
          </w:tcPr>
          <w:p w14:paraId="6A7ACA26" w14:textId="395DAF53" w:rsidR="00BF51DE" w:rsidRPr="0013678C" w:rsidRDefault="0013678C" w:rsidP="00BF51DE">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r w:rsidR="005779F6">
              <w:rPr>
                <w:rFonts w:ascii="Times New Roman" w:eastAsia="Times New Roman" w:hAnsi="Times New Roman" w:cs="Times New Roman"/>
                <w:sz w:val="18"/>
                <w:szCs w:val="18"/>
                <w:lang w:val="en-US"/>
              </w:rPr>
              <w:t>7</w:t>
            </w:r>
            <w:r w:rsidR="00A46F0C">
              <w:rPr>
                <w:rFonts w:ascii="Times New Roman" w:eastAsia="Times New Roman" w:hAnsi="Times New Roman" w:cs="Times New Roman"/>
                <w:sz w:val="18"/>
                <w:szCs w:val="18"/>
                <w:lang w:val="en-US"/>
              </w:rPr>
              <w:t>2</w:t>
            </w:r>
            <w:r w:rsidR="003B32D3">
              <w:rPr>
                <w:rFonts w:ascii="Times New Roman" w:eastAsia="Times New Roman" w:hAnsi="Times New Roman" w:cs="Times New Roman"/>
                <w:sz w:val="18"/>
                <w:szCs w:val="18"/>
                <w:lang w:val="en-US"/>
              </w:rPr>
              <w:t>4</w:t>
            </w:r>
            <w:r w:rsidR="005779F6">
              <w:rPr>
                <w:rFonts w:ascii="Times New Roman" w:eastAsia="Times New Roman" w:hAnsi="Times New Roman" w:cs="Times New Roman"/>
                <w:sz w:val="18"/>
                <w:szCs w:val="18"/>
                <w:lang w:val="en-US"/>
              </w:rPr>
              <w:t>,</w:t>
            </w:r>
            <w:r w:rsidR="003B32D3">
              <w:rPr>
                <w:rFonts w:ascii="Times New Roman" w:eastAsia="Times New Roman" w:hAnsi="Times New Roman" w:cs="Times New Roman"/>
                <w:sz w:val="18"/>
                <w:szCs w:val="18"/>
                <w:lang w:val="en-US"/>
              </w:rPr>
              <w:t>886</w:t>
            </w:r>
          </w:p>
        </w:tc>
        <w:tc>
          <w:tcPr>
            <w:tcW w:w="45" w:type="pct"/>
            <w:shd w:val="clear" w:color="auto" w:fill="auto"/>
            <w:vAlign w:val="bottom"/>
          </w:tcPr>
          <w:p w14:paraId="03AA10CA" w14:textId="7A988BD7" w:rsidR="00BF51DE" w:rsidRPr="004A3BC1" w:rsidRDefault="0013678C" w:rsidP="00BF51DE">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r>
      <w:tr w:rsidR="00BF51DE" w:rsidRPr="00872008" w14:paraId="0F1D414A" w14:textId="77777777" w:rsidTr="00BE0A6C">
        <w:tc>
          <w:tcPr>
            <w:tcW w:w="845" w:type="pct"/>
            <w:tcBorders>
              <w:bottom w:val="single" w:sz="12" w:space="0" w:color="auto"/>
            </w:tcBorders>
            <w:shd w:val="clear" w:color="auto" w:fill="auto"/>
            <w:vAlign w:val="bottom"/>
            <w:hideMark/>
          </w:tcPr>
          <w:p w14:paraId="38CDF325" w14:textId="77777777" w:rsidR="00BF51DE" w:rsidRPr="00A50B5D" w:rsidRDefault="00BF51DE" w:rsidP="00BF51DE">
            <w:pPr>
              <w:spacing w:after="0" w:line="240" w:lineRule="auto"/>
              <w:rPr>
                <w:rFonts w:ascii="Times New Roman" w:eastAsia="Times New Roman" w:hAnsi="Times New Roman" w:cs="Times New Roman"/>
                <w:sz w:val="18"/>
                <w:szCs w:val="18"/>
                <w:lang w:val="en-US"/>
              </w:rPr>
            </w:pPr>
            <w:r w:rsidRPr="00A50B5D">
              <w:rPr>
                <w:rFonts w:ascii="Times New Roman" w:eastAsia="Times New Roman" w:hAnsi="Times New Roman" w:cs="Times New Roman"/>
                <w:sz w:val="18"/>
                <w:szCs w:val="18"/>
                <w:lang w:val="en-US"/>
              </w:rPr>
              <w:t>Net loss</w:t>
            </w:r>
          </w:p>
        </w:tc>
        <w:tc>
          <w:tcPr>
            <w:tcW w:w="347" w:type="pct"/>
            <w:tcBorders>
              <w:bottom w:val="single" w:sz="12" w:space="0" w:color="auto"/>
            </w:tcBorders>
            <w:shd w:val="clear" w:color="auto" w:fill="auto"/>
            <w:vAlign w:val="bottom"/>
            <w:hideMark/>
          </w:tcPr>
          <w:p w14:paraId="4FF5B6EB" w14:textId="0856C802" w:rsidR="00BF51DE" w:rsidRPr="00667A0B" w:rsidRDefault="00BF51DE" w:rsidP="00BF51DE">
            <w:pPr>
              <w:spacing w:after="0" w:line="240" w:lineRule="auto"/>
              <w:jc w:val="right"/>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 </w:t>
            </w:r>
          </w:p>
        </w:tc>
        <w:tc>
          <w:tcPr>
            <w:tcW w:w="99" w:type="pct"/>
            <w:tcBorders>
              <w:bottom w:val="single" w:sz="12" w:space="0" w:color="auto"/>
            </w:tcBorders>
            <w:shd w:val="clear" w:color="auto" w:fill="auto"/>
            <w:vAlign w:val="bottom"/>
            <w:hideMark/>
          </w:tcPr>
          <w:p w14:paraId="20774577"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49" w:type="pct"/>
            <w:tcBorders>
              <w:bottom w:val="single" w:sz="12" w:space="0" w:color="auto"/>
            </w:tcBorders>
            <w:shd w:val="clear" w:color="auto" w:fill="auto"/>
            <w:vAlign w:val="bottom"/>
            <w:hideMark/>
          </w:tcPr>
          <w:p w14:paraId="1AB0B5E2" w14:textId="77777777" w:rsidR="00BF51DE" w:rsidRPr="00667A0B" w:rsidRDefault="00BF51DE" w:rsidP="00BF51DE">
            <w:pPr>
              <w:spacing w:after="0" w:line="240" w:lineRule="auto"/>
              <w:jc w:val="both"/>
              <w:rPr>
                <w:rFonts w:ascii="Times New Roman" w:eastAsia="Times New Roman" w:hAnsi="Times New Roman" w:cs="Times New Roman"/>
                <w:sz w:val="18"/>
                <w:szCs w:val="18"/>
                <w:lang w:val="en-US"/>
              </w:rPr>
            </w:pPr>
            <w:r w:rsidRPr="00667A0B">
              <w:rPr>
                <w:rFonts w:ascii="Times New Roman" w:eastAsia="Times New Roman" w:hAnsi="Times New Roman" w:cs="Times New Roman"/>
                <w:sz w:val="18"/>
                <w:szCs w:val="18"/>
                <w:lang w:val="en-US"/>
              </w:rPr>
              <w:t> </w:t>
            </w:r>
          </w:p>
        </w:tc>
        <w:tc>
          <w:tcPr>
            <w:tcW w:w="203" w:type="pct"/>
            <w:tcBorders>
              <w:bottom w:val="single" w:sz="12" w:space="0" w:color="auto"/>
            </w:tcBorders>
            <w:shd w:val="clear" w:color="auto" w:fill="auto"/>
            <w:vAlign w:val="bottom"/>
            <w:hideMark/>
          </w:tcPr>
          <w:p w14:paraId="083E55CE" w14:textId="77777777"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49" w:type="pct"/>
            <w:tcBorders>
              <w:bottom w:val="single" w:sz="12" w:space="0" w:color="auto"/>
            </w:tcBorders>
            <w:shd w:val="clear" w:color="auto" w:fill="auto"/>
          </w:tcPr>
          <w:p w14:paraId="5A6E63E0"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tcBorders>
              <w:bottom w:val="single" w:sz="12" w:space="0" w:color="auto"/>
            </w:tcBorders>
            <w:shd w:val="clear" w:color="auto" w:fill="auto"/>
            <w:vAlign w:val="bottom"/>
            <w:hideMark/>
          </w:tcPr>
          <w:p w14:paraId="57FA7060"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297" w:type="pct"/>
            <w:tcBorders>
              <w:bottom w:val="single" w:sz="12" w:space="0" w:color="auto"/>
            </w:tcBorders>
            <w:shd w:val="clear" w:color="auto" w:fill="auto"/>
            <w:vAlign w:val="bottom"/>
            <w:hideMark/>
          </w:tcPr>
          <w:p w14:paraId="3DB5F136" w14:textId="77777777" w:rsidR="00BF51DE" w:rsidRPr="00402116" w:rsidRDefault="00BF51DE" w:rsidP="00BF51DE">
            <w:pPr>
              <w:spacing w:after="0" w:line="240" w:lineRule="auto"/>
              <w:jc w:val="right"/>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50" w:type="pct"/>
            <w:tcBorders>
              <w:bottom w:val="single" w:sz="12" w:space="0" w:color="auto"/>
            </w:tcBorders>
            <w:shd w:val="clear" w:color="auto" w:fill="auto"/>
          </w:tcPr>
          <w:p w14:paraId="6F0CB17D" w14:textId="7777777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p>
        </w:tc>
        <w:tc>
          <w:tcPr>
            <w:tcW w:w="346" w:type="pct"/>
            <w:tcBorders>
              <w:bottom w:val="single" w:sz="12" w:space="0" w:color="auto"/>
            </w:tcBorders>
            <w:shd w:val="clear" w:color="auto" w:fill="auto"/>
          </w:tcPr>
          <w:p w14:paraId="692C1434" w14:textId="67B43DBA" w:rsidR="00BF51DE" w:rsidRPr="00402116" w:rsidRDefault="00BF51DE" w:rsidP="00064A08">
            <w:pPr>
              <w:spacing w:after="0" w:line="240" w:lineRule="auto"/>
              <w:jc w:val="right"/>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w:t>
            </w:r>
          </w:p>
        </w:tc>
        <w:tc>
          <w:tcPr>
            <w:tcW w:w="49" w:type="pct"/>
            <w:tcBorders>
              <w:bottom w:val="single" w:sz="12" w:space="0" w:color="auto"/>
            </w:tcBorders>
            <w:shd w:val="clear" w:color="auto" w:fill="auto"/>
            <w:vAlign w:val="bottom"/>
            <w:hideMark/>
          </w:tcPr>
          <w:p w14:paraId="07F37266" w14:textId="39E40717" w:rsidR="00BF51DE" w:rsidRPr="00402116" w:rsidRDefault="00BF51DE" w:rsidP="00BF51DE">
            <w:pPr>
              <w:spacing w:after="0" w:line="240" w:lineRule="auto"/>
              <w:jc w:val="both"/>
              <w:rPr>
                <w:rFonts w:ascii="Times New Roman" w:eastAsia="Times New Roman" w:hAnsi="Times New Roman" w:cs="Times New Roman"/>
                <w:sz w:val="18"/>
                <w:szCs w:val="18"/>
                <w:lang w:val="en-US"/>
              </w:rPr>
            </w:pPr>
            <w:r w:rsidRPr="00402116">
              <w:rPr>
                <w:rFonts w:ascii="Times New Roman" w:eastAsia="Times New Roman" w:hAnsi="Times New Roman" w:cs="Times New Roman"/>
                <w:sz w:val="18"/>
                <w:szCs w:val="18"/>
                <w:lang w:val="en-US"/>
              </w:rPr>
              <w:t> </w:t>
            </w:r>
          </w:p>
        </w:tc>
        <w:tc>
          <w:tcPr>
            <w:tcW w:w="396" w:type="pct"/>
            <w:tcBorders>
              <w:bottom w:val="single" w:sz="12" w:space="0" w:color="auto"/>
            </w:tcBorders>
            <w:shd w:val="clear" w:color="auto" w:fill="auto"/>
          </w:tcPr>
          <w:p w14:paraId="21785500" w14:textId="63D80882" w:rsidR="00BF51DE" w:rsidRPr="00BF51DE" w:rsidRDefault="00BF51DE" w:rsidP="00064A08">
            <w:pPr>
              <w:spacing w:after="0" w:line="240" w:lineRule="auto"/>
              <w:jc w:val="right"/>
              <w:rPr>
                <w:rFonts w:ascii="Times New Roman" w:eastAsia="Times New Roman" w:hAnsi="Times New Roman" w:cs="Times New Roman"/>
                <w:sz w:val="18"/>
                <w:szCs w:val="18"/>
                <w:lang w:val="en-US"/>
              </w:rPr>
            </w:pPr>
            <w:r w:rsidRPr="00064A08">
              <w:rPr>
                <w:rFonts w:ascii="Times New Roman" w:eastAsia="Times New Roman" w:hAnsi="Times New Roman" w:cs="Times New Roman"/>
                <w:sz w:val="18"/>
                <w:szCs w:val="18"/>
                <w:lang w:val="en-US"/>
              </w:rPr>
              <w:t>-</w:t>
            </w:r>
          </w:p>
        </w:tc>
        <w:tc>
          <w:tcPr>
            <w:tcW w:w="49" w:type="pct"/>
            <w:tcBorders>
              <w:bottom w:val="single" w:sz="12" w:space="0" w:color="auto"/>
            </w:tcBorders>
            <w:shd w:val="clear" w:color="auto" w:fill="auto"/>
          </w:tcPr>
          <w:p w14:paraId="20619F58" w14:textId="7BF0E2A8"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49" w:type="pct"/>
            <w:tcBorders>
              <w:bottom w:val="single" w:sz="12" w:space="0" w:color="auto"/>
            </w:tcBorders>
            <w:shd w:val="clear" w:color="auto" w:fill="auto"/>
            <w:vAlign w:val="bottom"/>
            <w:hideMark/>
          </w:tcPr>
          <w:p w14:paraId="5C2AAB3D"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247" w:type="pct"/>
            <w:tcBorders>
              <w:bottom w:val="single" w:sz="12" w:space="0" w:color="auto"/>
            </w:tcBorders>
            <w:shd w:val="clear" w:color="auto" w:fill="auto"/>
            <w:vAlign w:val="bottom"/>
            <w:hideMark/>
          </w:tcPr>
          <w:p w14:paraId="6BF82CCF" w14:textId="77777777"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49" w:type="pct"/>
            <w:tcBorders>
              <w:bottom w:val="single" w:sz="12" w:space="0" w:color="auto"/>
            </w:tcBorders>
            <w:shd w:val="clear" w:color="auto" w:fill="auto"/>
            <w:vAlign w:val="bottom"/>
            <w:hideMark/>
          </w:tcPr>
          <w:p w14:paraId="2ADBDF63"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297" w:type="pct"/>
            <w:tcBorders>
              <w:bottom w:val="single" w:sz="12" w:space="0" w:color="auto"/>
            </w:tcBorders>
            <w:shd w:val="clear" w:color="auto" w:fill="auto"/>
            <w:vAlign w:val="bottom"/>
            <w:hideMark/>
          </w:tcPr>
          <w:p w14:paraId="501598E1" w14:textId="77777777"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49" w:type="pct"/>
            <w:tcBorders>
              <w:bottom w:val="single" w:sz="12" w:space="0" w:color="auto"/>
            </w:tcBorders>
            <w:shd w:val="clear" w:color="auto" w:fill="auto"/>
          </w:tcPr>
          <w:p w14:paraId="6796C741"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p>
        </w:tc>
        <w:tc>
          <w:tcPr>
            <w:tcW w:w="99" w:type="pct"/>
            <w:tcBorders>
              <w:bottom w:val="single" w:sz="12" w:space="0" w:color="auto"/>
            </w:tcBorders>
            <w:shd w:val="clear" w:color="auto" w:fill="auto"/>
            <w:vAlign w:val="bottom"/>
            <w:hideMark/>
          </w:tcPr>
          <w:p w14:paraId="1E66E873"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346" w:type="pct"/>
            <w:tcBorders>
              <w:bottom w:val="single" w:sz="12" w:space="0" w:color="auto"/>
            </w:tcBorders>
            <w:shd w:val="clear" w:color="auto" w:fill="auto"/>
            <w:vAlign w:val="bottom"/>
            <w:hideMark/>
          </w:tcPr>
          <w:p w14:paraId="6CF04377" w14:textId="2AE85A60"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99" w:type="pct"/>
            <w:tcBorders>
              <w:bottom w:val="single" w:sz="12" w:space="0" w:color="auto"/>
            </w:tcBorders>
            <w:shd w:val="clear" w:color="auto" w:fill="auto"/>
            <w:vAlign w:val="bottom"/>
            <w:hideMark/>
          </w:tcPr>
          <w:p w14:paraId="58591534"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50" w:type="pct"/>
            <w:tcBorders>
              <w:bottom w:val="single" w:sz="12" w:space="0" w:color="auto"/>
            </w:tcBorders>
            <w:shd w:val="clear" w:color="auto" w:fill="auto"/>
            <w:vAlign w:val="bottom"/>
            <w:hideMark/>
          </w:tcPr>
          <w:p w14:paraId="6C8F5829"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346" w:type="pct"/>
            <w:tcBorders>
              <w:bottom w:val="single" w:sz="12" w:space="0" w:color="auto"/>
            </w:tcBorders>
            <w:shd w:val="clear" w:color="auto" w:fill="auto"/>
            <w:vAlign w:val="bottom"/>
            <w:hideMark/>
          </w:tcPr>
          <w:p w14:paraId="523608CA" w14:textId="6334370C" w:rsidR="00BF51DE" w:rsidRPr="00BF51DE" w:rsidRDefault="00BF51DE" w:rsidP="00BF51DE">
            <w:pPr>
              <w:spacing w:after="0" w:line="240" w:lineRule="auto"/>
              <w:jc w:val="right"/>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r w:rsidR="00A46F0C">
              <w:rPr>
                <w:rFonts w:ascii="Times New Roman" w:eastAsia="Times New Roman" w:hAnsi="Times New Roman" w:cs="Times New Roman"/>
                <w:sz w:val="18"/>
                <w:szCs w:val="18"/>
                <w:lang w:val="en-US"/>
              </w:rPr>
              <w:t>1</w:t>
            </w:r>
            <w:r w:rsidR="005779F6">
              <w:rPr>
                <w:rFonts w:ascii="Times New Roman" w:eastAsia="Times New Roman" w:hAnsi="Times New Roman" w:cs="Times New Roman"/>
                <w:sz w:val="18"/>
                <w:szCs w:val="18"/>
                <w:lang w:val="en-US"/>
              </w:rPr>
              <w:t>,</w:t>
            </w:r>
            <w:r w:rsidR="00A46F0C">
              <w:rPr>
                <w:rFonts w:ascii="Times New Roman" w:eastAsia="Times New Roman" w:hAnsi="Times New Roman" w:cs="Times New Roman"/>
                <w:sz w:val="18"/>
                <w:szCs w:val="18"/>
                <w:lang w:val="en-US"/>
              </w:rPr>
              <w:t>88</w:t>
            </w:r>
            <w:r w:rsidR="004B65C6">
              <w:rPr>
                <w:rFonts w:ascii="Times New Roman" w:eastAsia="Times New Roman" w:hAnsi="Times New Roman" w:cs="Times New Roman"/>
                <w:sz w:val="18"/>
                <w:szCs w:val="18"/>
                <w:lang w:val="en-US"/>
              </w:rPr>
              <w:t>4</w:t>
            </w:r>
            <w:r w:rsidR="005779F6">
              <w:rPr>
                <w:rFonts w:ascii="Times New Roman" w:eastAsia="Times New Roman" w:hAnsi="Times New Roman" w:cs="Times New Roman"/>
                <w:sz w:val="18"/>
                <w:szCs w:val="18"/>
                <w:lang w:val="en-US"/>
              </w:rPr>
              <w:t>,</w:t>
            </w:r>
            <w:r w:rsidR="004B65C6">
              <w:rPr>
                <w:rFonts w:ascii="Times New Roman" w:eastAsia="Times New Roman" w:hAnsi="Times New Roman" w:cs="Times New Roman"/>
                <w:sz w:val="18"/>
                <w:szCs w:val="18"/>
                <w:lang w:val="en-US"/>
              </w:rPr>
              <w:t>929</w:t>
            </w:r>
          </w:p>
        </w:tc>
        <w:tc>
          <w:tcPr>
            <w:tcW w:w="49" w:type="pct"/>
            <w:tcBorders>
              <w:bottom w:val="single" w:sz="12" w:space="0" w:color="auto"/>
            </w:tcBorders>
            <w:shd w:val="clear" w:color="auto" w:fill="auto"/>
            <w:vAlign w:val="bottom"/>
            <w:hideMark/>
          </w:tcPr>
          <w:p w14:paraId="7DFC1CCC"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w:t>
            </w:r>
          </w:p>
        </w:tc>
        <w:tc>
          <w:tcPr>
            <w:tcW w:w="49" w:type="pct"/>
            <w:tcBorders>
              <w:bottom w:val="single" w:sz="12" w:space="0" w:color="auto"/>
            </w:tcBorders>
            <w:shd w:val="clear" w:color="auto" w:fill="auto"/>
            <w:vAlign w:val="bottom"/>
            <w:hideMark/>
          </w:tcPr>
          <w:p w14:paraId="4BE9C222" w14:textId="77777777" w:rsidR="00BF51DE" w:rsidRPr="00BF51DE" w:rsidRDefault="00BF51DE" w:rsidP="00BF51DE">
            <w:pPr>
              <w:spacing w:after="0" w:line="240" w:lineRule="auto"/>
              <w:jc w:val="both"/>
              <w:rPr>
                <w:rFonts w:ascii="Times New Roman" w:eastAsia="Times New Roman" w:hAnsi="Times New Roman" w:cs="Times New Roman"/>
                <w:sz w:val="18"/>
                <w:szCs w:val="18"/>
                <w:lang w:val="en-US"/>
              </w:rPr>
            </w:pPr>
            <w:r w:rsidRPr="00BF51DE">
              <w:rPr>
                <w:rFonts w:ascii="Times New Roman" w:eastAsia="Times New Roman" w:hAnsi="Times New Roman" w:cs="Times New Roman"/>
                <w:sz w:val="18"/>
                <w:szCs w:val="18"/>
                <w:lang w:val="en-US"/>
              </w:rPr>
              <w:t> </w:t>
            </w:r>
          </w:p>
        </w:tc>
        <w:tc>
          <w:tcPr>
            <w:tcW w:w="347" w:type="pct"/>
            <w:tcBorders>
              <w:bottom w:val="single" w:sz="12" w:space="0" w:color="auto"/>
            </w:tcBorders>
            <w:shd w:val="clear" w:color="auto" w:fill="auto"/>
            <w:vAlign w:val="bottom"/>
            <w:hideMark/>
          </w:tcPr>
          <w:p w14:paraId="61C96E49" w14:textId="6530B67A" w:rsidR="00BF51DE" w:rsidRPr="0013678C" w:rsidRDefault="00BF51DE" w:rsidP="00BF51DE">
            <w:pPr>
              <w:spacing w:after="0" w:line="240" w:lineRule="auto"/>
              <w:jc w:val="right"/>
              <w:rPr>
                <w:rFonts w:ascii="Times New Roman" w:eastAsia="Times New Roman" w:hAnsi="Times New Roman" w:cs="Times New Roman"/>
                <w:sz w:val="18"/>
                <w:szCs w:val="18"/>
                <w:lang w:val="en-US"/>
              </w:rPr>
            </w:pPr>
            <w:r w:rsidRPr="0013678C">
              <w:rPr>
                <w:rFonts w:ascii="Times New Roman" w:eastAsia="Times New Roman" w:hAnsi="Times New Roman" w:cs="Times New Roman"/>
                <w:sz w:val="18"/>
                <w:szCs w:val="18"/>
                <w:lang w:val="en-US"/>
              </w:rPr>
              <w:t>(</w:t>
            </w:r>
            <w:r w:rsidR="00A46F0C">
              <w:rPr>
                <w:rFonts w:ascii="Times New Roman" w:eastAsia="Times New Roman" w:hAnsi="Times New Roman" w:cs="Times New Roman"/>
                <w:sz w:val="18"/>
                <w:szCs w:val="18"/>
                <w:lang w:val="en-US"/>
              </w:rPr>
              <w:t>1</w:t>
            </w:r>
            <w:r w:rsidR="0013678C" w:rsidRPr="00064A08">
              <w:rPr>
                <w:rFonts w:ascii="Times New Roman" w:eastAsia="Times New Roman" w:hAnsi="Times New Roman" w:cs="Times New Roman"/>
                <w:sz w:val="18"/>
                <w:szCs w:val="18"/>
                <w:lang w:val="en-US"/>
              </w:rPr>
              <w:t>,</w:t>
            </w:r>
            <w:r w:rsidR="00A46F0C">
              <w:rPr>
                <w:rFonts w:ascii="Times New Roman" w:eastAsia="Times New Roman" w:hAnsi="Times New Roman" w:cs="Times New Roman"/>
                <w:sz w:val="18"/>
                <w:szCs w:val="18"/>
                <w:lang w:val="en-US"/>
              </w:rPr>
              <w:t>88</w:t>
            </w:r>
            <w:r w:rsidR="004B65C6">
              <w:rPr>
                <w:rFonts w:ascii="Times New Roman" w:eastAsia="Times New Roman" w:hAnsi="Times New Roman" w:cs="Times New Roman"/>
                <w:sz w:val="18"/>
                <w:szCs w:val="18"/>
                <w:lang w:val="en-US"/>
              </w:rPr>
              <w:t>4</w:t>
            </w:r>
            <w:r w:rsidR="005779F6">
              <w:rPr>
                <w:rFonts w:ascii="Times New Roman" w:eastAsia="Times New Roman" w:hAnsi="Times New Roman" w:cs="Times New Roman"/>
                <w:sz w:val="18"/>
                <w:szCs w:val="18"/>
                <w:lang w:val="en-US"/>
              </w:rPr>
              <w:t>,</w:t>
            </w:r>
            <w:r w:rsidR="004B65C6">
              <w:rPr>
                <w:rFonts w:ascii="Times New Roman" w:eastAsia="Times New Roman" w:hAnsi="Times New Roman" w:cs="Times New Roman"/>
                <w:sz w:val="18"/>
                <w:szCs w:val="18"/>
                <w:lang w:val="en-US"/>
              </w:rPr>
              <w:t>929</w:t>
            </w:r>
          </w:p>
        </w:tc>
        <w:tc>
          <w:tcPr>
            <w:tcW w:w="45" w:type="pct"/>
            <w:tcBorders>
              <w:bottom w:val="single" w:sz="12" w:space="0" w:color="auto"/>
            </w:tcBorders>
            <w:shd w:val="clear" w:color="auto" w:fill="auto"/>
            <w:vAlign w:val="bottom"/>
            <w:hideMark/>
          </w:tcPr>
          <w:p w14:paraId="0798E1DB" w14:textId="77777777" w:rsidR="00BF51DE" w:rsidRPr="00CC7271" w:rsidRDefault="00BF51DE" w:rsidP="00BF51DE">
            <w:pPr>
              <w:spacing w:after="0" w:line="240" w:lineRule="auto"/>
              <w:jc w:val="both"/>
              <w:rPr>
                <w:rFonts w:ascii="Times New Roman" w:eastAsia="Times New Roman" w:hAnsi="Times New Roman" w:cs="Times New Roman"/>
                <w:sz w:val="18"/>
                <w:szCs w:val="18"/>
                <w:lang w:val="en-US"/>
              </w:rPr>
            </w:pPr>
            <w:r w:rsidRPr="00CC7271">
              <w:rPr>
                <w:rFonts w:ascii="Times New Roman" w:eastAsia="Times New Roman" w:hAnsi="Times New Roman" w:cs="Times New Roman"/>
                <w:sz w:val="18"/>
                <w:szCs w:val="18"/>
                <w:lang w:val="en-US"/>
              </w:rPr>
              <w:t>)</w:t>
            </w:r>
          </w:p>
        </w:tc>
      </w:tr>
      <w:tr w:rsidR="00BF51DE" w:rsidRPr="003D281F" w14:paraId="6185F8CB" w14:textId="77777777" w:rsidTr="00BE0A6C">
        <w:tc>
          <w:tcPr>
            <w:tcW w:w="845" w:type="pct"/>
            <w:tcBorders>
              <w:top w:val="single" w:sz="12" w:space="0" w:color="auto"/>
              <w:bottom w:val="double" w:sz="4" w:space="0" w:color="auto"/>
            </w:tcBorders>
            <w:shd w:val="clear" w:color="auto" w:fill="auto"/>
            <w:vAlign w:val="bottom"/>
            <w:hideMark/>
          </w:tcPr>
          <w:p w14:paraId="705E663B" w14:textId="4A303DDD" w:rsidR="00BF51DE" w:rsidRPr="00A50B5D" w:rsidRDefault="00BF51DE" w:rsidP="00BF51DE">
            <w:pPr>
              <w:spacing w:after="0" w:line="240" w:lineRule="auto"/>
              <w:jc w:val="both"/>
              <w:rPr>
                <w:rFonts w:ascii="Times New Roman" w:eastAsia="Times New Roman" w:hAnsi="Times New Roman" w:cs="Times New Roman"/>
                <w:sz w:val="18"/>
                <w:szCs w:val="18"/>
                <w:lang w:val="en-US"/>
              </w:rPr>
            </w:pPr>
            <w:r w:rsidRPr="00A50B5D">
              <w:rPr>
                <w:rFonts w:ascii="Times New Roman" w:eastAsia="Times New Roman" w:hAnsi="Times New Roman" w:cs="Times New Roman"/>
                <w:b/>
                <w:bCs/>
                <w:sz w:val="18"/>
                <w:szCs w:val="18"/>
                <w:lang w:val="en-US"/>
              </w:rPr>
              <w:t xml:space="preserve">Balance, </w:t>
            </w:r>
            <w:r w:rsidR="0013678C">
              <w:rPr>
                <w:rFonts w:ascii="Times New Roman" w:eastAsia="Times New Roman" w:hAnsi="Times New Roman" w:cs="Times New Roman"/>
                <w:b/>
                <w:bCs/>
                <w:sz w:val="18"/>
                <w:szCs w:val="18"/>
                <w:lang w:val="en-US"/>
              </w:rPr>
              <w:t>June 30</w:t>
            </w:r>
            <w:r w:rsidRPr="00A50B5D">
              <w:rPr>
                <w:rFonts w:ascii="Times New Roman" w:eastAsia="Times New Roman" w:hAnsi="Times New Roman" w:cs="Times New Roman"/>
                <w:b/>
                <w:bCs/>
                <w:sz w:val="18"/>
                <w:szCs w:val="18"/>
                <w:lang w:val="en-US"/>
              </w:rPr>
              <w:t>, 202</w:t>
            </w:r>
            <w:r>
              <w:rPr>
                <w:rFonts w:ascii="Times New Roman" w:eastAsia="Times New Roman" w:hAnsi="Times New Roman" w:cs="Times New Roman"/>
                <w:b/>
                <w:bCs/>
                <w:sz w:val="18"/>
                <w:szCs w:val="18"/>
                <w:lang w:val="en-US"/>
              </w:rPr>
              <w:t>2</w:t>
            </w:r>
          </w:p>
        </w:tc>
        <w:tc>
          <w:tcPr>
            <w:tcW w:w="347" w:type="pct"/>
            <w:tcBorders>
              <w:top w:val="single" w:sz="12" w:space="0" w:color="auto"/>
              <w:bottom w:val="double" w:sz="4" w:space="0" w:color="auto"/>
            </w:tcBorders>
            <w:shd w:val="clear" w:color="auto" w:fill="auto"/>
            <w:vAlign w:val="bottom"/>
            <w:hideMark/>
          </w:tcPr>
          <w:p w14:paraId="7084E808" w14:textId="318790DA" w:rsidR="00BF51DE" w:rsidRPr="00667A0B" w:rsidRDefault="00BF51DE" w:rsidP="00BF51DE">
            <w:pPr>
              <w:spacing w:after="0" w:line="240" w:lineRule="auto"/>
              <w:jc w:val="both"/>
              <w:rPr>
                <w:rFonts w:ascii="Times New Roman" w:eastAsia="Times New Roman" w:hAnsi="Times New Roman" w:cs="Times New Roman"/>
                <w:b/>
                <w:bCs/>
                <w:sz w:val="18"/>
                <w:szCs w:val="18"/>
                <w:lang w:val="en-US"/>
              </w:rPr>
            </w:pPr>
            <w:r w:rsidRPr="00667A0B">
              <w:rPr>
                <w:rFonts w:ascii="Times New Roman" w:eastAsia="Times New Roman" w:hAnsi="Times New Roman" w:cs="Times New Roman"/>
                <w:b/>
                <w:bCs/>
                <w:sz w:val="18"/>
                <w:szCs w:val="18"/>
                <w:lang w:val="en-US"/>
              </w:rPr>
              <w:t> </w:t>
            </w:r>
          </w:p>
          <w:p w14:paraId="35C66BD3" w14:textId="37C2332F" w:rsidR="00BF51DE" w:rsidRPr="00667A0B" w:rsidRDefault="00BF51DE" w:rsidP="00BF51DE">
            <w:pPr>
              <w:spacing w:after="0" w:line="240" w:lineRule="auto"/>
              <w:jc w:val="right"/>
              <w:rPr>
                <w:rFonts w:ascii="Times New Roman" w:eastAsia="Times New Roman" w:hAnsi="Times New Roman" w:cs="Times New Roman"/>
                <w:b/>
                <w:bCs/>
                <w:sz w:val="18"/>
                <w:szCs w:val="18"/>
                <w:lang w:val="en-US"/>
              </w:rPr>
            </w:pPr>
            <w:r w:rsidRPr="00064A08">
              <w:rPr>
                <w:rFonts w:ascii="Times New Roman" w:eastAsia="Times New Roman" w:hAnsi="Times New Roman" w:cs="Times New Roman"/>
                <w:b/>
                <w:bCs/>
                <w:sz w:val="18"/>
                <w:szCs w:val="18"/>
                <w:lang w:val="en-US"/>
              </w:rPr>
              <w:t>369,674,974</w:t>
            </w:r>
          </w:p>
        </w:tc>
        <w:tc>
          <w:tcPr>
            <w:tcW w:w="99" w:type="pct"/>
            <w:tcBorders>
              <w:top w:val="single" w:sz="12" w:space="0" w:color="auto"/>
              <w:bottom w:val="double" w:sz="4" w:space="0" w:color="auto"/>
            </w:tcBorders>
            <w:shd w:val="clear" w:color="auto" w:fill="auto"/>
            <w:vAlign w:val="bottom"/>
            <w:hideMark/>
          </w:tcPr>
          <w:p w14:paraId="18234D4E" w14:textId="77777777" w:rsidR="00BF51DE" w:rsidRPr="00667A0B" w:rsidRDefault="00BF51DE" w:rsidP="00BF51DE">
            <w:pPr>
              <w:spacing w:after="0" w:line="240" w:lineRule="auto"/>
              <w:jc w:val="both"/>
              <w:rPr>
                <w:rFonts w:ascii="Times New Roman" w:eastAsia="Times New Roman" w:hAnsi="Times New Roman" w:cs="Times New Roman"/>
                <w:b/>
                <w:bCs/>
                <w:sz w:val="18"/>
                <w:szCs w:val="18"/>
                <w:lang w:val="en-US"/>
              </w:rPr>
            </w:pPr>
            <w:r w:rsidRPr="00667A0B">
              <w:rPr>
                <w:rFonts w:ascii="Times New Roman" w:eastAsia="Times New Roman" w:hAnsi="Times New Roman" w:cs="Times New Roman"/>
                <w:b/>
                <w:bCs/>
                <w:sz w:val="18"/>
                <w:szCs w:val="18"/>
                <w:lang w:val="en-US"/>
              </w:rPr>
              <w:t> </w:t>
            </w:r>
          </w:p>
        </w:tc>
        <w:tc>
          <w:tcPr>
            <w:tcW w:w="49" w:type="pct"/>
            <w:tcBorders>
              <w:top w:val="single" w:sz="12" w:space="0" w:color="auto"/>
              <w:bottom w:val="double" w:sz="4" w:space="0" w:color="auto"/>
            </w:tcBorders>
            <w:shd w:val="clear" w:color="auto" w:fill="auto"/>
            <w:vAlign w:val="bottom"/>
            <w:hideMark/>
          </w:tcPr>
          <w:p w14:paraId="1D596009" w14:textId="66D17DBA" w:rsidR="00BF51DE" w:rsidRPr="00667A0B" w:rsidRDefault="00BF51DE" w:rsidP="00BF51DE">
            <w:pPr>
              <w:spacing w:after="0" w:line="240" w:lineRule="auto"/>
              <w:jc w:val="both"/>
              <w:rPr>
                <w:rFonts w:ascii="Times New Roman" w:eastAsia="Times New Roman" w:hAnsi="Times New Roman" w:cs="Times New Roman"/>
                <w:b/>
                <w:bCs/>
                <w:sz w:val="18"/>
                <w:szCs w:val="18"/>
                <w:lang w:val="en-US"/>
              </w:rPr>
            </w:pPr>
            <w:r w:rsidRPr="00667A0B">
              <w:rPr>
                <w:rFonts w:ascii="Times New Roman" w:eastAsia="Times New Roman" w:hAnsi="Times New Roman" w:cs="Times New Roman"/>
                <w:b/>
                <w:bCs/>
                <w:sz w:val="18"/>
                <w:szCs w:val="18"/>
                <w:lang w:val="en-US"/>
              </w:rPr>
              <w:t> </w:t>
            </w:r>
            <w:r w:rsidRPr="00CA4239">
              <w:rPr>
                <w:rFonts w:ascii="Times New Roman" w:eastAsia="Times New Roman" w:hAnsi="Times New Roman" w:cs="Times New Roman"/>
                <w:b/>
                <w:bCs/>
                <w:sz w:val="18"/>
                <w:szCs w:val="18"/>
                <w:lang w:val="en-US"/>
              </w:rPr>
              <w:t>$</w:t>
            </w:r>
          </w:p>
        </w:tc>
        <w:tc>
          <w:tcPr>
            <w:tcW w:w="203" w:type="pct"/>
            <w:tcBorders>
              <w:top w:val="single" w:sz="12" w:space="0" w:color="auto"/>
              <w:bottom w:val="double" w:sz="4" w:space="0" w:color="auto"/>
            </w:tcBorders>
            <w:shd w:val="clear" w:color="auto" w:fill="auto"/>
            <w:vAlign w:val="bottom"/>
            <w:hideMark/>
          </w:tcPr>
          <w:p w14:paraId="08C603AD" w14:textId="30325B21" w:rsidR="00BF51DE" w:rsidRPr="00402116" w:rsidRDefault="00BF51DE" w:rsidP="00BF51DE">
            <w:pPr>
              <w:spacing w:after="0" w:line="240" w:lineRule="auto"/>
              <w:jc w:val="right"/>
              <w:rPr>
                <w:rFonts w:ascii="Times New Roman" w:eastAsia="Times New Roman" w:hAnsi="Times New Roman" w:cs="Times New Roman"/>
                <w:b/>
                <w:bCs/>
                <w:sz w:val="18"/>
                <w:szCs w:val="18"/>
                <w:lang w:val="en-US"/>
              </w:rPr>
            </w:pPr>
            <w:r w:rsidRPr="00402116">
              <w:rPr>
                <w:rFonts w:ascii="Times New Roman" w:eastAsia="Times New Roman" w:hAnsi="Times New Roman" w:cs="Times New Roman"/>
                <w:b/>
                <w:bCs/>
                <w:sz w:val="18"/>
                <w:szCs w:val="18"/>
                <w:lang w:val="en-US"/>
              </w:rPr>
              <w:t>3,276</w:t>
            </w:r>
          </w:p>
        </w:tc>
        <w:tc>
          <w:tcPr>
            <w:tcW w:w="49" w:type="pct"/>
            <w:tcBorders>
              <w:top w:val="single" w:sz="12" w:space="0" w:color="auto"/>
              <w:bottom w:val="double" w:sz="4" w:space="0" w:color="auto"/>
            </w:tcBorders>
            <w:shd w:val="clear" w:color="auto" w:fill="auto"/>
          </w:tcPr>
          <w:p w14:paraId="2F87C57C" w14:textId="77777777" w:rsidR="00BF51DE" w:rsidRPr="00402116" w:rsidRDefault="00BF51DE" w:rsidP="00BF51DE">
            <w:pPr>
              <w:spacing w:after="0" w:line="240" w:lineRule="auto"/>
              <w:jc w:val="both"/>
              <w:rPr>
                <w:rFonts w:ascii="Times New Roman" w:eastAsia="Times New Roman" w:hAnsi="Times New Roman" w:cs="Times New Roman"/>
                <w:b/>
                <w:bCs/>
                <w:sz w:val="18"/>
                <w:szCs w:val="18"/>
                <w:lang w:val="en-US"/>
              </w:rPr>
            </w:pPr>
          </w:p>
        </w:tc>
        <w:tc>
          <w:tcPr>
            <w:tcW w:w="99" w:type="pct"/>
            <w:tcBorders>
              <w:top w:val="single" w:sz="12" w:space="0" w:color="auto"/>
              <w:bottom w:val="double" w:sz="4" w:space="0" w:color="auto"/>
            </w:tcBorders>
            <w:shd w:val="clear" w:color="auto" w:fill="auto"/>
            <w:vAlign w:val="bottom"/>
            <w:hideMark/>
          </w:tcPr>
          <w:p w14:paraId="06B00463" w14:textId="16DEDEA7" w:rsidR="00BF51DE" w:rsidRPr="00402116" w:rsidRDefault="00BF51DE" w:rsidP="00BF51DE">
            <w:pPr>
              <w:spacing w:after="0" w:line="240" w:lineRule="auto"/>
              <w:jc w:val="both"/>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w:t>
            </w:r>
          </w:p>
        </w:tc>
        <w:tc>
          <w:tcPr>
            <w:tcW w:w="297" w:type="pct"/>
            <w:tcBorders>
              <w:top w:val="single" w:sz="12" w:space="0" w:color="auto"/>
              <w:bottom w:val="double" w:sz="4" w:space="0" w:color="auto"/>
            </w:tcBorders>
            <w:shd w:val="clear" w:color="auto" w:fill="auto"/>
            <w:vAlign w:val="bottom"/>
            <w:hideMark/>
          </w:tcPr>
          <w:p w14:paraId="29A4F161" w14:textId="7F106217" w:rsidR="00BF51DE" w:rsidRPr="00402116" w:rsidRDefault="00BF51DE" w:rsidP="00BF51DE">
            <w:pPr>
              <w:spacing w:after="0" w:line="240" w:lineRule="auto"/>
              <w:jc w:val="right"/>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57,</w:t>
            </w:r>
            <w:r w:rsidR="00A46F0C">
              <w:rPr>
                <w:rFonts w:ascii="Times New Roman" w:eastAsia="Times New Roman" w:hAnsi="Times New Roman" w:cs="Times New Roman"/>
                <w:b/>
                <w:bCs/>
                <w:sz w:val="18"/>
                <w:szCs w:val="18"/>
                <w:lang w:val="en-US"/>
              </w:rPr>
              <w:t>554</w:t>
            </w:r>
            <w:r>
              <w:rPr>
                <w:rFonts w:ascii="Times New Roman" w:eastAsia="Times New Roman" w:hAnsi="Times New Roman" w:cs="Times New Roman"/>
                <w:b/>
                <w:bCs/>
                <w:sz w:val="18"/>
                <w:szCs w:val="18"/>
                <w:lang w:val="en-US"/>
              </w:rPr>
              <w:t>,</w:t>
            </w:r>
            <w:r w:rsidR="00A46F0C">
              <w:rPr>
                <w:rFonts w:ascii="Times New Roman" w:eastAsia="Times New Roman" w:hAnsi="Times New Roman" w:cs="Times New Roman"/>
                <w:b/>
                <w:bCs/>
                <w:sz w:val="18"/>
                <w:szCs w:val="18"/>
                <w:lang w:val="en-US"/>
              </w:rPr>
              <w:t>973</w:t>
            </w:r>
          </w:p>
        </w:tc>
        <w:tc>
          <w:tcPr>
            <w:tcW w:w="50" w:type="pct"/>
            <w:tcBorders>
              <w:top w:val="single" w:sz="12" w:space="0" w:color="auto"/>
              <w:bottom w:val="double" w:sz="4" w:space="0" w:color="auto"/>
            </w:tcBorders>
            <w:shd w:val="clear" w:color="auto" w:fill="auto"/>
          </w:tcPr>
          <w:p w14:paraId="496D683A" w14:textId="77777777" w:rsidR="00BF51DE" w:rsidRPr="00402116" w:rsidRDefault="00BF51DE" w:rsidP="00BF51DE">
            <w:pPr>
              <w:spacing w:after="0" w:line="240" w:lineRule="auto"/>
              <w:jc w:val="both"/>
              <w:rPr>
                <w:rFonts w:ascii="Times New Roman" w:eastAsia="Times New Roman" w:hAnsi="Times New Roman" w:cs="Times New Roman"/>
                <w:b/>
                <w:bCs/>
                <w:sz w:val="18"/>
                <w:szCs w:val="18"/>
                <w:lang w:val="en-US"/>
              </w:rPr>
            </w:pPr>
          </w:p>
        </w:tc>
        <w:tc>
          <w:tcPr>
            <w:tcW w:w="346" w:type="pct"/>
            <w:tcBorders>
              <w:top w:val="single" w:sz="12" w:space="0" w:color="auto"/>
              <w:bottom w:val="double" w:sz="4" w:space="0" w:color="auto"/>
            </w:tcBorders>
            <w:shd w:val="clear" w:color="auto" w:fill="auto"/>
          </w:tcPr>
          <w:p w14:paraId="42D79C9D" w14:textId="77777777"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p>
          <w:p w14:paraId="11EEFF98" w14:textId="2290CB36" w:rsidR="00BF51DE" w:rsidRPr="00BF51DE" w:rsidRDefault="00BF51DE" w:rsidP="00BF51DE">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r>
              <w:rPr>
                <w:rFonts w:ascii="Times New Roman" w:eastAsia="Times New Roman" w:hAnsi="Times New Roman" w:cs="Times New Roman"/>
                <w:b/>
                <w:bCs/>
                <w:sz w:val="18"/>
                <w:szCs w:val="18"/>
                <w:lang w:val="en-US"/>
              </w:rPr>
              <w:t xml:space="preserve">   </w:t>
            </w:r>
            <w:r w:rsidRPr="00064A08">
              <w:rPr>
                <w:rFonts w:ascii="Times New Roman" w:eastAsia="Times New Roman" w:hAnsi="Times New Roman" w:cs="Times New Roman"/>
                <w:b/>
                <w:bCs/>
                <w:sz w:val="18"/>
                <w:szCs w:val="18"/>
                <w:lang w:val="en-US"/>
              </w:rPr>
              <w:t>5,31</w:t>
            </w:r>
            <w:r w:rsidR="003B32D3">
              <w:rPr>
                <w:rFonts w:ascii="Times New Roman" w:eastAsia="Times New Roman" w:hAnsi="Times New Roman" w:cs="Times New Roman"/>
                <w:b/>
                <w:bCs/>
                <w:sz w:val="18"/>
                <w:szCs w:val="18"/>
                <w:lang w:val="en-US"/>
              </w:rPr>
              <w:t>7</w:t>
            </w:r>
            <w:r w:rsidRPr="00064A08">
              <w:rPr>
                <w:rFonts w:ascii="Times New Roman" w:eastAsia="Times New Roman" w:hAnsi="Times New Roman" w:cs="Times New Roman"/>
                <w:b/>
                <w:bCs/>
                <w:sz w:val="18"/>
                <w:szCs w:val="18"/>
                <w:lang w:val="en-US"/>
              </w:rPr>
              <w:t>,</w:t>
            </w:r>
            <w:r w:rsidR="003B32D3">
              <w:rPr>
                <w:rFonts w:ascii="Times New Roman" w:eastAsia="Times New Roman" w:hAnsi="Times New Roman" w:cs="Times New Roman"/>
                <w:b/>
                <w:bCs/>
                <w:sz w:val="18"/>
                <w:szCs w:val="18"/>
                <w:lang w:val="en-US"/>
              </w:rPr>
              <w:t>172</w:t>
            </w:r>
          </w:p>
        </w:tc>
        <w:tc>
          <w:tcPr>
            <w:tcW w:w="49" w:type="pct"/>
            <w:tcBorders>
              <w:top w:val="single" w:sz="12" w:space="0" w:color="auto"/>
              <w:bottom w:val="double" w:sz="4" w:space="0" w:color="auto"/>
            </w:tcBorders>
            <w:shd w:val="clear" w:color="auto" w:fill="auto"/>
            <w:vAlign w:val="bottom"/>
            <w:hideMark/>
          </w:tcPr>
          <w:p w14:paraId="37CCDE8B" w14:textId="5B100DD1"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 </w:t>
            </w:r>
          </w:p>
        </w:tc>
        <w:tc>
          <w:tcPr>
            <w:tcW w:w="396" w:type="pct"/>
            <w:tcBorders>
              <w:top w:val="single" w:sz="12" w:space="0" w:color="auto"/>
              <w:bottom w:val="double" w:sz="4" w:space="0" w:color="auto"/>
            </w:tcBorders>
            <w:shd w:val="clear" w:color="auto" w:fill="auto"/>
          </w:tcPr>
          <w:p w14:paraId="49825F33" w14:textId="77777777"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p>
          <w:p w14:paraId="298B062A" w14:textId="6CDB2998" w:rsidR="00BF51DE" w:rsidRPr="00BF51DE" w:rsidRDefault="00BF51DE" w:rsidP="00BF51DE">
            <w:pPr>
              <w:spacing w:after="0" w:line="240" w:lineRule="auto"/>
              <w:jc w:val="right"/>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proofErr w:type="gramStart"/>
            <w:r w:rsidRPr="00CA4239">
              <w:rPr>
                <w:rFonts w:ascii="Times New Roman" w:eastAsia="Times New Roman" w:hAnsi="Times New Roman" w:cs="Times New Roman"/>
                <w:b/>
                <w:bCs/>
                <w:sz w:val="18"/>
                <w:szCs w:val="18"/>
                <w:lang w:val="en-US"/>
              </w:rPr>
              <w:t xml:space="preserve">   </w:t>
            </w:r>
            <w:r w:rsidRPr="00BF51DE">
              <w:rPr>
                <w:rFonts w:ascii="Times New Roman" w:eastAsia="Times New Roman" w:hAnsi="Times New Roman" w:cs="Times New Roman"/>
                <w:b/>
                <w:bCs/>
                <w:sz w:val="18"/>
                <w:szCs w:val="18"/>
                <w:lang w:val="en-US"/>
              </w:rPr>
              <w:t>(</w:t>
            </w:r>
            <w:proofErr w:type="gramEnd"/>
            <w:r w:rsidRPr="00BF51DE">
              <w:rPr>
                <w:rFonts w:ascii="Times New Roman" w:eastAsia="Times New Roman" w:hAnsi="Times New Roman" w:cs="Times New Roman"/>
                <w:b/>
                <w:bCs/>
                <w:sz w:val="18"/>
                <w:szCs w:val="18"/>
                <w:lang w:val="en-US"/>
              </w:rPr>
              <w:t>1,</w:t>
            </w:r>
            <w:r>
              <w:rPr>
                <w:rFonts w:ascii="Times New Roman" w:eastAsia="Times New Roman" w:hAnsi="Times New Roman" w:cs="Times New Roman"/>
                <w:b/>
                <w:bCs/>
                <w:sz w:val="18"/>
                <w:szCs w:val="18"/>
                <w:lang w:val="en-US"/>
              </w:rPr>
              <w:t>211</w:t>
            </w:r>
            <w:r w:rsidRPr="00BF51DE">
              <w:rPr>
                <w:rFonts w:ascii="Times New Roman" w:eastAsia="Times New Roman" w:hAnsi="Times New Roman" w:cs="Times New Roman"/>
                <w:b/>
                <w:bCs/>
                <w:sz w:val="18"/>
                <w:szCs w:val="18"/>
                <w:lang w:val="en-US"/>
              </w:rPr>
              <w:t>,</w:t>
            </w:r>
            <w:r>
              <w:rPr>
                <w:rFonts w:ascii="Times New Roman" w:eastAsia="Times New Roman" w:hAnsi="Times New Roman" w:cs="Times New Roman"/>
                <w:b/>
                <w:bCs/>
                <w:sz w:val="18"/>
                <w:szCs w:val="18"/>
                <w:lang w:val="en-US"/>
              </w:rPr>
              <w:t>809</w:t>
            </w:r>
          </w:p>
        </w:tc>
        <w:tc>
          <w:tcPr>
            <w:tcW w:w="49" w:type="pct"/>
            <w:tcBorders>
              <w:top w:val="single" w:sz="12" w:space="0" w:color="auto"/>
              <w:bottom w:val="double" w:sz="4" w:space="0" w:color="auto"/>
            </w:tcBorders>
            <w:shd w:val="clear" w:color="auto" w:fill="auto"/>
          </w:tcPr>
          <w:p w14:paraId="55783C8B" w14:textId="77777777"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p>
          <w:p w14:paraId="00B77EAF" w14:textId="77777777"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w:t>
            </w:r>
          </w:p>
        </w:tc>
        <w:tc>
          <w:tcPr>
            <w:tcW w:w="49" w:type="pct"/>
            <w:tcBorders>
              <w:top w:val="single" w:sz="12" w:space="0" w:color="auto"/>
              <w:bottom w:val="double" w:sz="4" w:space="0" w:color="auto"/>
            </w:tcBorders>
            <w:shd w:val="clear" w:color="auto" w:fill="auto"/>
            <w:vAlign w:val="bottom"/>
            <w:hideMark/>
          </w:tcPr>
          <w:p w14:paraId="1A83BF6A" w14:textId="1F3E759C"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 </w:t>
            </w:r>
            <w:r w:rsidRPr="00CA4239">
              <w:rPr>
                <w:rFonts w:ascii="Times New Roman" w:eastAsia="Times New Roman" w:hAnsi="Times New Roman" w:cs="Times New Roman"/>
                <w:b/>
                <w:bCs/>
                <w:sz w:val="18"/>
                <w:szCs w:val="18"/>
                <w:lang w:val="en-US"/>
              </w:rPr>
              <w:t>$</w:t>
            </w:r>
          </w:p>
        </w:tc>
        <w:tc>
          <w:tcPr>
            <w:tcW w:w="247" w:type="pct"/>
            <w:tcBorders>
              <w:top w:val="single" w:sz="12" w:space="0" w:color="auto"/>
              <w:bottom w:val="double" w:sz="4" w:space="0" w:color="auto"/>
            </w:tcBorders>
            <w:shd w:val="clear" w:color="auto" w:fill="auto"/>
            <w:vAlign w:val="bottom"/>
            <w:hideMark/>
          </w:tcPr>
          <w:p w14:paraId="4B53160E" w14:textId="2ED78F80" w:rsidR="00BF51DE" w:rsidRPr="00BF51DE" w:rsidRDefault="00BF51DE" w:rsidP="00BF51DE">
            <w:pPr>
              <w:spacing w:after="0" w:line="240" w:lineRule="auto"/>
              <w:jc w:val="right"/>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51,208</w:t>
            </w:r>
          </w:p>
        </w:tc>
        <w:tc>
          <w:tcPr>
            <w:tcW w:w="49" w:type="pct"/>
            <w:tcBorders>
              <w:top w:val="single" w:sz="12" w:space="0" w:color="auto"/>
              <w:bottom w:val="double" w:sz="4" w:space="0" w:color="auto"/>
            </w:tcBorders>
            <w:shd w:val="clear" w:color="auto" w:fill="auto"/>
            <w:vAlign w:val="bottom"/>
            <w:hideMark/>
          </w:tcPr>
          <w:p w14:paraId="4D82068B" w14:textId="77777777"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 </w:t>
            </w:r>
          </w:p>
        </w:tc>
        <w:tc>
          <w:tcPr>
            <w:tcW w:w="297" w:type="pct"/>
            <w:tcBorders>
              <w:top w:val="single" w:sz="12" w:space="0" w:color="auto"/>
              <w:bottom w:val="double" w:sz="4" w:space="0" w:color="auto"/>
            </w:tcBorders>
            <w:shd w:val="clear" w:color="auto" w:fill="auto"/>
            <w:vAlign w:val="bottom"/>
            <w:hideMark/>
          </w:tcPr>
          <w:p w14:paraId="1041D06D" w14:textId="1EA8EEE7" w:rsidR="00BF51DE" w:rsidRPr="00BF51DE" w:rsidRDefault="00BF51DE" w:rsidP="00BF51DE">
            <w:pPr>
              <w:spacing w:after="0" w:line="240" w:lineRule="auto"/>
              <w:jc w:val="right"/>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       7,661</w:t>
            </w:r>
          </w:p>
        </w:tc>
        <w:tc>
          <w:tcPr>
            <w:tcW w:w="49" w:type="pct"/>
            <w:tcBorders>
              <w:top w:val="single" w:sz="12" w:space="0" w:color="auto"/>
              <w:bottom w:val="double" w:sz="4" w:space="0" w:color="auto"/>
            </w:tcBorders>
            <w:shd w:val="clear" w:color="auto" w:fill="auto"/>
          </w:tcPr>
          <w:p w14:paraId="47E5957A" w14:textId="77777777"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p>
        </w:tc>
        <w:tc>
          <w:tcPr>
            <w:tcW w:w="99" w:type="pct"/>
            <w:tcBorders>
              <w:top w:val="single" w:sz="12" w:space="0" w:color="auto"/>
              <w:bottom w:val="double" w:sz="4" w:space="0" w:color="auto"/>
            </w:tcBorders>
            <w:shd w:val="clear" w:color="auto" w:fill="auto"/>
            <w:vAlign w:val="bottom"/>
            <w:hideMark/>
          </w:tcPr>
          <w:p w14:paraId="4DA445C8" w14:textId="51E1DFBF"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r w:rsidRPr="00CA4239">
              <w:rPr>
                <w:rFonts w:ascii="Times New Roman" w:eastAsia="Times New Roman" w:hAnsi="Times New Roman" w:cs="Times New Roman"/>
                <w:b/>
                <w:bCs/>
                <w:sz w:val="18"/>
                <w:szCs w:val="18"/>
                <w:lang w:val="en-US"/>
              </w:rPr>
              <w:t>$</w:t>
            </w:r>
          </w:p>
        </w:tc>
        <w:tc>
          <w:tcPr>
            <w:tcW w:w="346" w:type="pct"/>
            <w:tcBorders>
              <w:top w:val="single" w:sz="12" w:space="0" w:color="auto"/>
              <w:bottom w:val="double" w:sz="4" w:space="0" w:color="auto"/>
            </w:tcBorders>
            <w:shd w:val="clear" w:color="auto" w:fill="auto"/>
            <w:vAlign w:val="bottom"/>
            <w:hideMark/>
          </w:tcPr>
          <w:p w14:paraId="3215E90B" w14:textId="558792E3" w:rsidR="00BF51DE" w:rsidRPr="00BF51DE" w:rsidRDefault="00BF51DE" w:rsidP="00BF51DE">
            <w:pPr>
              <w:spacing w:after="0" w:line="240" w:lineRule="auto"/>
              <w:jc w:val="right"/>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(1,</w:t>
            </w:r>
            <w:r w:rsidR="005779F6">
              <w:rPr>
                <w:rFonts w:ascii="Times New Roman" w:eastAsia="Times New Roman" w:hAnsi="Times New Roman" w:cs="Times New Roman"/>
                <w:b/>
                <w:bCs/>
                <w:sz w:val="18"/>
                <w:szCs w:val="18"/>
                <w:lang w:val="en-US"/>
              </w:rPr>
              <w:t>5</w:t>
            </w:r>
            <w:r w:rsidR="00A46F0C">
              <w:rPr>
                <w:rFonts w:ascii="Times New Roman" w:eastAsia="Times New Roman" w:hAnsi="Times New Roman" w:cs="Times New Roman"/>
                <w:b/>
                <w:bCs/>
                <w:sz w:val="18"/>
                <w:szCs w:val="18"/>
                <w:lang w:val="en-US"/>
              </w:rPr>
              <w:t>7</w:t>
            </w:r>
            <w:r w:rsidR="003B32D3">
              <w:rPr>
                <w:rFonts w:ascii="Times New Roman" w:eastAsia="Times New Roman" w:hAnsi="Times New Roman" w:cs="Times New Roman"/>
                <w:b/>
                <w:bCs/>
                <w:sz w:val="18"/>
                <w:szCs w:val="18"/>
                <w:lang w:val="en-US"/>
              </w:rPr>
              <w:t>2</w:t>
            </w:r>
            <w:r w:rsidR="005779F6">
              <w:rPr>
                <w:rFonts w:ascii="Times New Roman" w:eastAsia="Times New Roman" w:hAnsi="Times New Roman" w:cs="Times New Roman"/>
                <w:b/>
                <w:bCs/>
                <w:sz w:val="18"/>
                <w:szCs w:val="18"/>
                <w:lang w:val="en-US"/>
              </w:rPr>
              <w:t>,</w:t>
            </w:r>
            <w:r w:rsidR="003B32D3">
              <w:rPr>
                <w:rFonts w:ascii="Times New Roman" w:eastAsia="Times New Roman" w:hAnsi="Times New Roman" w:cs="Times New Roman"/>
                <w:b/>
                <w:bCs/>
                <w:sz w:val="18"/>
                <w:szCs w:val="18"/>
                <w:lang w:val="en-US"/>
              </w:rPr>
              <w:t>298</w:t>
            </w:r>
          </w:p>
        </w:tc>
        <w:tc>
          <w:tcPr>
            <w:tcW w:w="99" w:type="pct"/>
            <w:tcBorders>
              <w:top w:val="single" w:sz="12" w:space="0" w:color="auto"/>
              <w:bottom w:val="double" w:sz="4" w:space="0" w:color="auto"/>
            </w:tcBorders>
            <w:shd w:val="clear" w:color="auto" w:fill="auto"/>
            <w:vAlign w:val="bottom"/>
            <w:hideMark/>
          </w:tcPr>
          <w:p w14:paraId="0D9A073E" w14:textId="77777777"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w:t>
            </w:r>
          </w:p>
        </w:tc>
        <w:tc>
          <w:tcPr>
            <w:tcW w:w="50" w:type="pct"/>
            <w:tcBorders>
              <w:top w:val="single" w:sz="12" w:space="0" w:color="auto"/>
              <w:bottom w:val="double" w:sz="4" w:space="0" w:color="auto"/>
            </w:tcBorders>
            <w:shd w:val="clear" w:color="auto" w:fill="auto"/>
            <w:vAlign w:val="bottom"/>
            <w:hideMark/>
          </w:tcPr>
          <w:p w14:paraId="69148A7F" w14:textId="036BBF43"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sidRPr="00CA4239">
              <w:rPr>
                <w:rFonts w:ascii="Times New Roman" w:eastAsia="Times New Roman" w:hAnsi="Times New Roman" w:cs="Times New Roman"/>
                <w:b/>
                <w:bCs/>
                <w:sz w:val="18"/>
                <w:szCs w:val="18"/>
                <w:lang w:val="en-US"/>
              </w:rPr>
              <w:t>$</w:t>
            </w:r>
            <w:r w:rsidRPr="00BF51DE">
              <w:rPr>
                <w:rFonts w:ascii="Times New Roman" w:eastAsia="Times New Roman" w:hAnsi="Times New Roman" w:cs="Times New Roman"/>
                <w:b/>
                <w:bCs/>
                <w:sz w:val="18"/>
                <w:szCs w:val="18"/>
                <w:lang w:val="en-US"/>
              </w:rPr>
              <w:t> </w:t>
            </w:r>
          </w:p>
        </w:tc>
        <w:tc>
          <w:tcPr>
            <w:tcW w:w="346" w:type="pct"/>
            <w:tcBorders>
              <w:top w:val="single" w:sz="12" w:space="0" w:color="auto"/>
              <w:bottom w:val="double" w:sz="4" w:space="0" w:color="auto"/>
            </w:tcBorders>
            <w:shd w:val="clear" w:color="auto" w:fill="auto"/>
            <w:vAlign w:val="bottom"/>
            <w:hideMark/>
          </w:tcPr>
          <w:p w14:paraId="54121416" w14:textId="0D0F1AA5" w:rsidR="00BF51DE" w:rsidRPr="00BF51DE" w:rsidRDefault="00BF51DE" w:rsidP="00BF51DE">
            <w:pPr>
              <w:spacing w:after="0" w:line="240" w:lineRule="auto"/>
              <w:jc w:val="right"/>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w:t>
            </w:r>
            <w:r w:rsidRPr="00064A08">
              <w:rPr>
                <w:rFonts w:ascii="Times New Roman" w:eastAsia="Times New Roman" w:hAnsi="Times New Roman" w:cs="Times New Roman"/>
                <w:b/>
                <w:bCs/>
                <w:sz w:val="18"/>
                <w:szCs w:val="18"/>
                <w:lang w:val="en-US"/>
              </w:rPr>
              <w:t>37,</w:t>
            </w:r>
            <w:r w:rsidR="00A46F0C">
              <w:rPr>
                <w:rFonts w:ascii="Times New Roman" w:eastAsia="Times New Roman" w:hAnsi="Times New Roman" w:cs="Times New Roman"/>
                <w:b/>
                <w:bCs/>
                <w:sz w:val="18"/>
                <w:szCs w:val="18"/>
                <w:lang w:val="en-US"/>
              </w:rPr>
              <w:t>53</w:t>
            </w:r>
            <w:r w:rsidR="004B65C6">
              <w:rPr>
                <w:rFonts w:ascii="Times New Roman" w:eastAsia="Times New Roman" w:hAnsi="Times New Roman" w:cs="Times New Roman"/>
                <w:b/>
                <w:bCs/>
                <w:sz w:val="18"/>
                <w:szCs w:val="18"/>
                <w:lang w:val="en-US"/>
              </w:rPr>
              <w:t>5</w:t>
            </w:r>
            <w:r w:rsidRPr="00064A08">
              <w:rPr>
                <w:rFonts w:ascii="Times New Roman" w:eastAsia="Times New Roman" w:hAnsi="Times New Roman" w:cs="Times New Roman"/>
                <w:b/>
                <w:bCs/>
                <w:sz w:val="18"/>
                <w:szCs w:val="18"/>
                <w:lang w:val="en-US"/>
              </w:rPr>
              <w:t>,</w:t>
            </w:r>
            <w:r w:rsidR="004B65C6">
              <w:rPr>
                <w:rFonts w:ascii="Times New Roman" w:eastAsia="Times New Roman" w:hAnsi="Times New Roman" w:cs="Times New Roman"/>
                <w:b/>
                <w:bCs/>
                <w:sz w:val="18"/>
                <w:szCs w:val="18"/>
                <w:lang w:val="en-US"/>
              </w:rPr>
              <w:t>779</w:t>
            </w:r>
          </w:p>
        </w:tc>
        <w:tc>
          <w:tcPr>
            <w:tcW w:w="49" w:type="pct"/>
            <w:tcBorders>
              <w:top w:val="single" w:sz="12" w:space="0" w:color="auto"/>
              <w:bottom w:val="double" w:sz="4" w:space="0" w:color="auto"/>
            </w:tcBorders>
            <w:shd w:val="clear" w:color="auto" w:fill="auto"/>
            <w:vAlign w:val="bottom"/>
            <w:hideMark/>
          </w:tcPr>
          <w:p w14:paraId="549963B0" w14:textId="77777777"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w:t>
            </w:r>
          </w:p>
        </w:tc>
        <w:tc>
          <w:tcPr>
            <w:tcW w:w="49" w:type="pct"/>
            <w:tcBorders>
              <w:top w:val="single" w:sz="12" w:space="0" w:color="auto"/>
              <w:bottom w:val="double" w:sz="4" w:space="0" w:color="auto"/>
            </w:tcBorders>
            <w:shd w:val="clear" w:color="auto" w:fill="auto"/>
            <w:vAlign w:val="bottom"/>
            <w:hideMark/>
          </w:tcPr>
          <w:p w14:paraId="1B922CA8" w14:textId="4FC802F5" w:rsidR="00BF51DE" w:rsidRPr="00BF51DE" w:rsidRDefault="00BF51DE" w:rsidP="00BF51DE">
            <w:pPr>
              <w:spacing w:after="0" w:line="240" w:lineRule="auto"/>
              <w:jc w:val="both"/>
              <w:rPr>
                <w:rFonts w:ascii="Times New Roman" w:eastAsia="Times New Roman" w:hAnsi="Times New Roman" w:cs="Times New Roman"/>
                <w:b/>
                <w:bCs/>
                <w:sz w:val="18"/>
                <w:szCs w:val="18"/>
                <w:lang w:val="en-US"/>
              </w:rPr>
            </w:pPr>
            <w:r w:rsidRPr="00BF51DE">
              <w:rPr>
                <w:rFonts w:ascii="Times New Roman" w:eastAsia="Times New Roman" w:hAnsi="Times New Roman" w:cs="Times New Roman"/>
                <w:b/>
                <w:bCs/>
                <w:sz w:val="18"/>
                <w:szCs w:val="18"/>
                <w:lang w:val="en-US"/>
              </w:rPr>
              <w:t> </w:t>
            </w:r>
            <w:r w:rsidRPr="00CA4239">
              <w:rPr>
                <w:rFonts w:ascii="Times New Roman" w:eastAsia="Times New Roman" w:hAnsi="Times New Roman" w:cs="Times New Roman"/>
                <w:b/>
                <w:bCs/>
                <w:sz w:val="18"/>
                <w:szCs w:val="18"/>
                <w:lang w:val="en-US"/>
              </w:rPr>
              <w:t>$</w:t>
            </w:r>
          </w:p>
        </w:tc>
        <w:tc>
          <w:tcPr>
            <w:tcW w:w="347" w:type="pct"/>
            <w:tcBorders>
              <w:top w:val="single" w:sz="12" w:space="0" w:color="auto"/>
              <w:bottom w:val="double" w:sz="4" w:space="0" w:color="auto"/>
            </w:tcBorders>
            <w:shd w:val="clear" w:color="auto" w:fill="auto"/>
            <w:vAlign w:val="bottom"/>
            <w:hideMark/>
          </w:tcPr>
          <w:p w14:paraId="51C7FB14" w14:textId="177DDA7A" w:rsidR="00BF51DE" w:rsidRPr="0013678C" w:rsidRDefault="0013678C" w:rsidP="00BF51DE">
            <w:pPr>
              <w:spacing w:after="0" w:line="240" w:lineRule="auto"/>
              <w:jc w:val="right"/>
              <w:rPr>
                <w:rFonts w:ascii="Times New Roman" w:eastAsia="Times New Roman" w:hAnsi="Times New Roman" w:cs="Times New Roman"/>
                <w:b/>
                <w:bCs/>
                <w:sz w:val="18"/>
                <w:szCs w:val="18"/>
                <w:lang w:val="en-US"/>
              </w:rPr>
            </w:pPr>
            <w:r w:rsidRPr="00064A08">
              <w:rPr>
                <w:rFonts w:ascii="Times New Roman" w:eastAsia="Times New Roman" w:hAnsi="Times New Roman" w:cs="Times New Roman"/>
                <w:b/>
                <w:bCs/>
                <w:sz w:val="18"/>
                <w:szCs w:val="18"/>
                <w:lang w:val="en-US"/>
              </w:rPr>
              <w:t>22,</w:t>
            </w:r>
            <w:r w:rsidR="005779F6">
              <w:rPr>
                <w:rFonts w:ascii="Times New Roman" w:eastAsia="Times New Roman" w:hAnsi="Times New Roman" w:cs="Times New Roman"/>
                <w:b/>
                <w:bCs/>
                <w:sz w:val="18"/>
                <w:szCs w:val="18"/>
                <w:lang w:val="en-US"/>
              </w:rPr>
              <w:t>61</w:t>
            </w:r>
            <w:r w:rsidR="00A46F0C">
              <w:rPr>
                <w:rFonts w:ascii="Times New Roman" w:eastAsia="Times New Roman" w:hAnsi="Times New Roman" w:cs="Times New Roman"/>
                <w:b/>
                <w:bCs/>
                <w:sz w:val="18"/>
                <w:szCs w:val="18"/>
                <w:lang w:val="en-US"/>
              </w:rPr>
              <w:t>4</w:t>
            </w:r>
            <w:r w:rsidR="00DA3F73">
              <w:rPr>
                <w:rFonts w:ascii="Times New Roman" w:eastAsia="Times New Roman" w:hAnsi="Times New Roman" w:cs="Times New Roman"/>
                <w:b/>
                <w:bCs/>
                <w:sz w:val="18"/>
                <w:szCs w:val="18"/>
                <w:lang w:val="en-US"/>
              </w:rPr>
              <w:t>,</w:t>
            </w:r>
            <w:r w:rsidR="000C0E1A">
              <w:rPr>
                <w:rFonts w:ascii="Times New Roman" w:eastAsia="Times New Roman" w:hAnsi="Times New Roman" w:cs="Times New Roman"/>
                <w:b/>
                <w:bCs/>
                <w:sz w:val="18"/>
                <w:szCs w:val="18"/>
                <w:lang w:val="en-US"/>
              </w:rPr>
              <w:t>40</w:t>
            </w:r>
            <w:r w:rsidR="00A46F0C">
              <w:rPr>
                <w:rFonts w:ascii="Times New Roman" w:eastAsia="Times New Roman" w:hAnsi="Times New Roman" w:cs="Times New Roman"/>
                <w:b/>
                <w:bCs/>
                <w:sz w:val="18"/>
                <w:szCs w:val="18"/>
                <w:lang w:val="en-US"/>
              </w:rPr>
              <w:t>4</w:t>
            </w:r>
          </w:p>
        </w:tc>
        <w:tc>
          <w:tcPr>
            <w:tcW w:w="45" w:type="pct"/>
            <w:tcBorders>
              <w:top w:val="single" w:sz="12" w:space="0" w:color="auto"/>
              <w:bottom w:val="double" w:sz="4" w:space="0" w:color="auto"/>
            </w:tcBorders>
            <w:shd w:val="clear" w:color="auto" w:fill="auto"/>
            <w:vAlign w:val="bottom"/>
            <w:hideMark/>
          </w:tcPr>
          <w:p w14:paraId="7FF80421" w14:textId="77777777" w:rsidR="00BF51DE" w:rsidRPr="0013678C" w:rsidRDefault="00BF51DE" w:rsidP="00BF51DE">
            <w:pPr>
              <w:spacing w:after="0" w:line="240" w:lineRule="auto"/>
              <w:jc w:val="both"/>
              <w:rPr>
                <w:rFonts w:ascii="Times New Roman" w:eastAsia="Times New Roman" w:hAnsi="Times New Roman" w:cs="Times New Roman"/>
                <w:sz w:val="18"/>
                <w:szCs w:val="18"/>
                <w:lang w:val="en-US"/>
              </w:rPr>
            </w:pPr>
          </w:p>
        </w:tc>
      </w:tr>
    </w:tbl>
    <w:p w14:paraId="7B6D8DDB" w14:textId="3419F712" w:rsidR="006A2A5E" w:rsidRPr="006A2A5E" w:rsidRDefault="006A2A5E" w:rsidP="006A2A5E">
      <w:pPr>
        <w:pStyle w:val="NormalWeb"/>
        <w:spacing w:before="0" w:beforeAutospacing="0" w:after="0" w:afterAutospacing="0"/>
        <w:jc w:val="center"/>
        <w:rPr>
          <w:sz w:val="20"/>
          <w:szCs w:val="20"/>
        </w:rPr>
        <w:sectPr w:rsidR="006A2A5E" w:rsidRPr="006A2A5E" w:rsidSect="006A2A5E">
          <w:headerReference w:type="default" r:id="rId14"/>
          <w:pgSz w:w="15840" w:h="12240" w:orient="landscape"/>
          <w:pgMar w:top="1440" w:right="1440" w:bottom="1440" w:left="1440" w:header="708" w:footer="708" w:gutter="0"/>
          <w:cols w:space="708"/>
          <w:docGrid w:linePitch="360"/>
        </w:sectPr>
      </w:pPr>
      <w:r>
        <w:rPr>
          <w:sz w:val="20"/>
          <w:szCs w:val="20"/>
        </w:rPr>
        <w:t xml:space="preserve">See accompanying notes to </w:t>
      </w:r>
      <w:r w:rsidR="00432BC1">
        <w:rPr>
          <w:sz w:val="20"/>
          <w:szCs w:val="20"/>
        </w:rPr>
        <w:t xml:space="preserve">unaudited </w:t>
      </w:r>
      <w:r>
        <w:rPr>
          <w:sz w:val="20"/>
          <w:szCs w:val="20"/>
        </w:rPr>
        <w:t xml:space="preserve">consolidated </w:t>
      </w:r>
      <w:r w:rsidR="00432BC1">
        <w:rPr>
          <w:sz w:val="20"/>
          <w:szCs w:val="20"/>
        </w:rPr>
        <w:t xml:space="preserve">interim </w:t>
      </w:r>
      <w:r>
        <w:rPr>
          <w:sz w:val="20"/>
          <w:szCs w:val="20"/>
        </w:rPr>
        <w:t>financial statements</w:t>
      </w:r>
      <w:r w:rsidR="00405C0E">
        <w:rPr>
          <w:sz w:val="20"/>
          <w:szCs w:val="20"/>
        </w:rPr>
        <w:t>.</w:t>
      </w:r>
    </w:p>
    <w:p w14:paraId="5C65A27D" w14:textId="77777777" w:rsidR="0013678C" w:rsidRDefault="0013678C"/>
    <w:p w14:paraId="0D5A0DE6" w14:textId="77777777" w:rsidR="00785E2A" w:rsidRDefault="00785E2A"/>
    <w:p w14:paraId="032E2705" w14:textId="77777777" w:rsidR="00785E2A" w:rsidRDefault="00785E2A"/>
    <w:tbl>
      <w:tblPr>
        <w:tblW w:w="5480" w:type="pct"/>
        <w:tblCellMar>
          <w:left w:w="0" w:type="dxa"/>
          <w:right w:w="0" w:type="dxa"/>
        </w:tblCellMar>
        <w:tblLook w:val="04A0" w:firstRow="1" w:lastRow="0" w:firstColumn="1" w:lastColumn="0" w:noHBand="0" w:noVBand="1"/>
      </w:tblPr>
      <w:tblGrid>
        <w:gridCol w:w="5416"/>
        <w:gridCol w:w="101"/>
        <w:gridCol w:w="579"/>
        <w:gridCol w:w="101"/>
        <w:gridCol w:w="1551"/>
        <w:gridCol w:w="347"/>
        <w:gridCol w:w="119"/>
        <w:gridCol w:w="88"/>
        <w:gridCol w:w="1605"/>
        <w:gridCol w:w="18"/>
        <w:gridCol w:w="334"/>
      </w:tblGrid>
      <w:tr w:rsidR="00806371" w:rsidRPr="00A8334A" w14:paraId="4BF7CBA9" w14:textId="77777777" w:rsidTr="007F1412">
        <w:tc>
          <w:tcPr>
            <w:tcW w:w="2640" w:type="pct"/>
            <w:tcBorders>
              <w:top w:val="single" w:sz="12" w:space="0" w:color="auto"/>
            </w:tcBorders>
            <w:shd w:val="clear" w:color="auto" w:fill="auto"/>
            <w:vAlign w:val="bottom"/>
            <w:hideMark/>
          </w:tcPr>
          <w:p w14:paraId="10C3FA6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9" w:type="pct"/>
            <w:tcBorders>
              <w:top w:val="single" w:sz="12" w:space="0" w:color="auto"/>
            </w:tcBorders>
          </w:tcPr>
          <w:p w14:paraId="49693B99"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tcBorders>
              <w:top w:val="single" w:sz="12" w:space="0" w:color="auto"/>
            </w:tcBorders>
            <w:shd w:val="clear" w:color="auto" w:fill="auto"/>
            <w:tcMar>
              <w:top w:w="0" w:type="dxa"/>
              <w:left w:w="0" w:type="dxa"/>
              <w:bottom w:w="30" w:type="dxa"/>
              <w:right w:w="0" w:type="dxa"/>
            </w:tcMar>
            <w:vAlign w:val="bottom"/>
            <w:hideMark/>
          </w:tcPr>
          <w:p w14:paraId="65203DB0"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1857" w:type="pct"/>
            <w:gridSpan w:val="6"/>
            <w:tcBorders>
              <w:top w:val="single" w:sz="12" w:space="0" w:color="auto"/>
              <w:bottom w:val="single" w:sz="12" w:space="0" w:color="000000"/>
            </w:tcBorders>
            <w:shd w:val="clear" w:color="auto" w:fill="auto"/>
            <w:vAlign w:val="bottom"/>
            <w:hideMark/>
          </w:tcPr>
          <w:p w14:paraId="20EB725D" w14:textId="77777777" w:rsidR="00785E2A" w:rsidRPr="007F73B3" w:rsidRDefault="00785E2A" w:rsidP="007F1412">
            <w:pPr>
              <w:spacing w:after="0" w:line="240" w:lineRule="auto"/>
              <w:jc w:val="center"/>
              <w:rPr>
                <w:rFonts w:ascii="Times New Roman" w:eastAsia="Times New Roman" w:hAnsi="Times New Roman" w:cs="Times New Roman"/>
                <w:b/>
                <w:bCs/>
                <w:sz w:val="20"/>
                <w:szCs w:val="20"/>
                <w:lang w:val="en-US"/>
              </w:rPr>
            </w:pPr>
          </w:p>
          <w:p w14:paraId="038F2312" w14:textId="77777777" w:rsidR="00785E2A" w:rsidRPr="00A8334A"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t>Six</w:t>
            </w:r>
            <w:r w:rsidRPr="00A8334A">
              <w:rPr>
                <w:rFonts w:ascii="Times New Roman" w:eastAsia="Times New Roman" w:hAnsi="Times New Roman" w:cs="Times New Roman"/>
                <w:b/>
                <w:bCs/>
                <w:sz w:val="20"/>
                <w:szCs w:val="20"/>
                <w:lang w:val="en-US"/>
              </w:rPr>
              <w:t xml:space="preserve"> Months Ended </w:t>
            </w:r>
            <w:r>
              <w:rPr>
                <w:rFonts w:ascii="Times New Roman" w:eastAsia="Times New Roman" w:hAnsi="Times New Roman" w:cs="Times New Roman"/>
                <w:b/>
                <w:bCs/>
                <w:sz w:val="20"/>
                <w:szCs w:val="20"/>
                <w:lang w:val="en-US"/>
              </w:rPr>
              <w:t>June</w:t>
            </w:r>
            <w:r w:rsidRPr="00A8334A">
              <w:rPr>
                <w:rFonts w:ascii="Times New Roman" w:eastAsia="Times New Roman" w:hAnsi="Times New Roman" w:cs="Times New Roman"/>
                <w:b/>
                <w:bCs/>
                <w:sz w:val="20"/>
                <w:szCs w:val="20"/>
                <w:lang w:val="en-US"/>
              </w:rPr>
              <w:t xml:space="preserve"> 3</w:t>
            </w:r>
            <w:r>
              <w:rPr>
                <w:rFonts w:ascii="Times New Roman" w:eastAsia="Times New Roman" w:hAnsi="Times New Roman" w:cs="Times New Roman"/>
                <w:b/>
                <w:bCs/>
                <w:sz w:val="20"/>
                <w:szCs w:val="20"/>
                <w:lang w:val="en-US"/>
              </w:rPr>
              <w:t>0</w:t>
            </w:r>
            <w:r w:rsidRPr="00A8334A">
              <w:rPr>
                <w:rFonts w:ascii="Times New Roman" w:eastAsia="Times New Roman" w:hAnsi="Times New Roman" w:cs="Times New Roman"/>
                <w:b/>
                <w:bCs/>
                <w:sz w:val="20"/>
                <w:szCs w:val="20"/>
                <w:lang w:val="en-US"/>
              </w:rPr>
              <w:t>,</w:t>
            </w:r>
          </w:p>
        </w:tc>
        <w:tc>
          <w:tcPr>
            <w:tcW w:w="172" w:type="pct"/>
            <w:gridSpan w:val="2"/>
            <w:shd w:val="clear" w:color="auto" w:fill="auto"/>
            <w:tcMar>
              <w:top w:w="0" w:type="dxa"/>
              <w:left w:w="0" w:type="dxa"/>
              <w:bottom w:w="30" w:type="dxa"/>
              <w:right w:w="0" w:type="dxa"/>
            </w:tcMar>
            <w:vAlign w:val="bottom"/>
            <w:hideMark/>
          </w:tcPr>
          <w:p w14:paraId="25410F6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243786E0" w14:textId="77777777" w:rsidTr="007F1412">
        <w:tc>
          <w:tcPr>
            <w:tcW w:w="2640" w:type="pct"/>
            <w:tcBorders>
              <w:bottom w:val="single" w:sz="12" w:space="0" w:color="auto"/>
            </w:tcBorders>
            <w:shd w:val="clear" w:color="auto" w:fill="auto"/>
            <w:vAlign w:val="bottom"/>
            <w:hideMark/>
          </w:tcPr>
          <w:p w14:paraId="7C4D00E9"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9" w:type="pct"/>
            <w:tcBorders>
              <w:bottom w:val="single" w:sz="12" w:space="0" w:color="auto"/>
            </w:tcBorders>
          </w:tcPr>
          <w:p w14:paraId="3128E7C7"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tcBorders>
              <w:bottom w:val="single" w:sz="12" w:space="0" w:color="auto"/>
            </w:tcBorders>
            <w:shd w:val="clear" w:color="auto" w:fill="auto"/>
            <w:tcMar>
              <w:top w:w="0" w:type="dxa"/>
              <w:left w:w="0" w:type="dxa"/>
              <w:bottom w:w="30" w:type="dxa"/>
              <w:right w:w="0" w:type="dxa"/>
            </w:tcMar>
            <w:vAlign w:val="bottom"/>
            <w:hideMark/>
          </w:tcPr>
          <w:p w14:paraId="09507DF6" w14:textId="77777777" w:rsidR="00785E2A" w:rsidRPr="00D33273" w:rsidRDefault="00785E2A" w:rsidP="007F1412">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Note </w:t>
            </w:r>
          </w:p>
        </w:tc>
        <w:tc>
          <w:tcPr>
            <w:tcW w:w="805" w:type="pct"/>
            <w:gridSpan w:val="2"/>
            <w:tcBorders>
              <w:bottom w:val="single" w:sz="12" w:space="0" w:color="auto"/>
            </w:tcBorders>
            <w:shd w:val="clear" w:color="auto" w:fill="auto"/>
            <w:vAlign w:val="bottom"/>
            <w:hideMark/>
          </w:tcPr>
          <w:p w14:paraId="6FFCF079"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sidRPr="007F73B3">
              <w:rPr>
                <w:rFonts w:ascii="Times New Roman" w:eastAsia="Times New Roman" w:hAnsi="Times New Roman" w:cs="Times New Roman"/>
                <w:b/>
                <w:bCs/>
                <w:sz w:val="20"/>
                <w:szCs w:val="20"/>
                <w:lang w:val="en-US"/>
              </w:rPr>
              <w:t>2022</w:t>
            </w:r>
          </w:p>
        </w:tc>
        <w:tc>
          <w:tcPr>
            <w:tcW w:w="169" w:type="pct"/>
            <w:tcBorders>
              <w:bottom w:val="single" w:sz="12" w:space="0" w:color="auto"/>
            </w:tcBorders>
            <w:shd w:val="clear" w:color="auto" w:fill="auto"/>
            <w:tcMar>
              <w:top w:w="0" w:type="dxa"/>
              <w:left w:w="0" w:type="dxa"/>
              <w:bottom w:w="30" w:type="dxa"/>
              <w:right w:w="0" w:type="dxa"/>
            </w:tcMar>
            <w:vAlign w:val="bottom"/>
            <w:hideMark/>
          </w:tcPr>
          <w:p w14:paraId="55A2554E"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58" w:type="pct"/>
            <w:tcBorders>
              <w:bottom w:val="single" w:sz="12" w:space="0" w:color="auto"/>
            </w:tcBorders>
            <w:shd w:val="clear" w:color="auto" w:fill="auto"/>
            <w:tcMar>
              <w:top w:w="0" w:type="dxa"/>
              <w:left w:w="0" w:type="dxa"/>
              <w:bottom w:w="30" w:type="dxa"/>
              <w:right w:w="0" w:type="dxa"/>
            </w:tcMar>
            <w:vAlign w:val="bottom"/>
            <w:hideMark/>
          </w:tcPr>
          <w:p w14:paraId="4FAF7B35"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834" w:type="pct"/>
            <w:gridSpan w:val="3"/>
            <w:tcBorders>
              <w:bottom w:val="single" w:sz="12" w:space="0" w:color="auto"/>
            </w:tcBorders>
            <w:shd w:val="clear" w:color="auto" w:fill="auto"/>
            <w:vAlign w:val="bottom"/>
            <w:hideMark/>
          </w:tcPr>
          <w:p w14:paraId="1A169359"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sidRPr="00A8334A">
              <w:rPr>
                <w:rFonts w:ascii="Times New Roman" w:eastAsia="Times New Roman" w:hAnsi="Times New Roman" w:cs="Times New Roman"/>
                <w:b/>
                <w:bCs/>
                <w:sz w:val="20"/>
                <w:szCs w:val="20"/>
                <w:lang w:val="en-US"/>
              </w:rPr>
              <w:t>2021</w:t>
            </w:r>
          </w:p>
        </w:tc>
        <w:tc>
          <w:tcPr>
            <w:tcW w:w="163" w:type="pct"/>
            <w:shd w:val="clear" w:color="auto" w:fill="auto"/>
            <w:tcMar>
              <w:top w:w="0" w:type="dxa"/>
              <w:left w:w="0" w:type="dxa"/>
              <w:bottom w:w="30" w:type="dxa"/>
              <w:right w:w="0" w:type="dxa"/>
            </w:tcMar>
            <w:vAlign w:val="bottom"/>
            <w:hideMark/>
          </w:tcPr>
          <w:p w14:paraId="6F1F70CE"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7391C975" w14:textId="77777777" w:rsidTr="007F1412">
        <w:tc>
          <w:tcPr>
            <w:tcW w:w="2640" w:type="pct"/>
            <w:tcBorders>
              <w:top w:val="single" w:sz="12" w:space="0" w:color="auto"/>
            </w:tcBorders>
            <w:shd w:val="clear" w:color="auto" w:fill="auto"/>
            <w:vAlign w:val="bottom"/>
            <w:hideMark/>
          </w:tcPr>
          <w:p w14:paraId="013DF28E"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b/>
                <w:bCs/>
                <w:sz w:val="20"/>
                <w:szCs w:val="20"/>
                <w:lang w:val="en-US"/>
              </w:rPr>
              <w:t>Operating activities:</w:t>
            </w:r>
          </w:p>
        </w:tc>
        <w:tc>
          <w:tcPr>
            <w:tcW w:w="49" w:type="pct"/>
            <w:tcBorders>
              <w:top w:val="single" w:sz="12" w:space="0" w:color="auto"/>
            </w:tcBorders>
          </w:tcPr>
          <w:p w14:paraId="408EE76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tcBorders>
              <w:top w:val="single" w:sz="12" w:space="0" w:color="auto"/>
            </w:tcBorders>
            <w:shd w:val="clear" w:color="auto" w:fill="auto"/>
            <w:vAlign w:val="bottom"/>
            <w:hideMark/>
          </w:tcPr>
          <w:p w14:paraId="454F847A"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9" w:type="pct"/>
            <w:tcBorders>
              <w:top w:val="single" w:sz="12" w:space="0" w:color="auto"/>
            </w:tcBorders>
            <w:shd w:val="clear" w:color="auto" w:fill="auto"/>
            <w:vAlign w:val="bottom"/>
            <w:hideMark/>
          </w:tcPr>
          <w:p w14:paraId="169A1484" w14:textId="77777777" w:rsidR="00785E2A" w:rsidRPr="007F73B3"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top w:val="single" w:sz="12" w:space="0" w:color="auto"/>
            </w:tcBorders>
            <w:shd w:val="clear" w:color="auto" w:fill="auto"/>
            <w:vAlign w:val="bottom"/>
            <w:hideMark/>
          </w:tcPr>
          <w:p w14:paraId="3011B76A"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169" w:type="pct"/>
            <w:tcBorders>
              <w:top w:val="single" w:sz="12" w:space="0" w:color="auto"/>
            </w:tcBorders>
            <w:shd w:val="clear" w:color="auto" w:fill="auto"/>
            <w:vAlign w:val="bottom"/>
            <w:hideMark/>
          </w:tcPr>
          <w:p w14:paraId="32B61E79"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58" w:type="pct"/>
            <w:tcBorders>
              <w:top w:val="single" w:sz="12" w:space="0" w:color="auto"/>
            </w:tcBorders>
            <w:shd w:val="clear" w:color="auto" w:fill="auto"/>
            <w:vAlign w:val="bottom"/>
            <w:hideMark/>
          </w:tcPr>
          <w:p w14:paraId="0FBBCDF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43" w:type="pct"/>
            <w:tcBorders>
              <w:top w:val="single" w:sz="12" w:space="0" w:color="auto"/>
            </w:tcBorders>
            <w:shd w:val="clear" w:color="auto" w:fill="auto"/>
            <w:vAlign w:val="bottom"/>
            <w:hideMark/>
          </w:tcPr>
          <w:p w14:paraId="32D8630E"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791" w:type="pct"/>
            <w:gridSpan w:val="2"/>
            <w:tcBorders>
              <w:top w:val="single" w:sz="12" w:space="0" w:color="auto"/>
            </w:tcBorders>
            <w:shd w:val="clear" w:color="auto" w:fill="auto"/>
            <w:vAlign w:val="bottom"/>
            <w:hideMark/>
          </w:tcPr>
          <w:p w14:paraId="325CD505"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163" w:type="pct"/>
            <w:shd w:val="clear" w:color="auto" w:fill="auto"/>
            <w:vAlign w:val="bottom"/>
            <w:hideMark/>
          </w:tcPr>
          <w:p w14:paraId="2E64FEDA"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2F4037D3" w14:textId="77777777" w:rsidTr="007F1412">
        <w:tc>
          <w:tcPr>
            <w:tcW w:w="2640" w:type="pct"/>
            <w:shd w:val="clear" w:color="auto" w:fill="auto"/>
            <w:tcMar>
              <w:top w:w="0" w:type="dxa"/>
              <w:left w:w="200" w:type="dxa"/>
              <w:bottom w:w="0" w:type="dxa"/>
              <w:right w:w="0" w:type="dxa"/>
            </w:tcMar>
            <w:vAlign w:val="bottom"/>
            <w:hideMark/>
          </w:tcPr>
          <w:p w14:paraId="3AEA8CA8"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Net loss for the period</w:t>
            </w:r>
          </w:p>
        </w:tc>
        <w:tc>
          <w:tcPr>
            <w:tcW w:w="49" w:type="pct"/>
          </w:tcPr>
          <w:p w14:paraId="5322EC4F"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hideMark/>
          </w:tcPr>
          <w:p w14:paraId="7DD08663"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9" w:type="pct"/>
            <w:shd w:val="clear" w:color="auto" w:fill="auto"/>
            <w:vAlign w:val="bottom"/>
            <w:hideMark/>
          </w:tcPr>
          <w:p w14:paraId="43C06F3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w:t>
            </w:r>
          </w:p>
        </w:tc>
        <w:tc>
          <w:tcPr>
            <w:tcW w:w="756" w:type="pct"/>
            <w:shd w:val="clear" w:color="auto" w:fill="auto"/>
            <w:vAlign w:val="bottom"/>
          </w:tcPr>
          <w:p w14:paraId="48765B94"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1,884,929</w:t>
            </w:r>
          </w:p>
        </w:tc>
        <w:tc>
          <w:tcPr>
            <w:tcW w:w="169" w:type="pct"/>
            <w:shd w:val="clear" w:color="auto" w:fill="auto"/>
            <w:vAlign w:val="bottom"/>
          </w:tcPr>
          <w:p w14:paraId="7FA4201E" w14:textId="77777777" w:rsidR="00785E2A" w:rsidRPr="00FE38CA" w:rsidRDefault="00785E2A" w:rsidP="007F1412">
            <w:pPr>
              <w:spacing w:after="0" w:line="240" w:lineRule="auto"/>
              <w:rPr>
                <w:rFonts w:ascii="Times New Roman" w:eastAsia="Times New Roman" w:hAnsi="Times New Roman" w:cs="Times New Roman"/>
                <w:b/>
                <w:bCs/>
                <w:sz w:val="20"/>
                <w:szCs w:val="20"/>
                <w:lang w:val="en-US"/>
              </w:rPr>
            </w:pPr>
            <w:r w:rsidRPr="00FE38CA">
              <w:rPr>
                <w:rFonts w:ascii="Times New Roman" w:eastAsia="Times New Roman" w:hAnsi="Times New Roman" w:cs="Times New Roman"/>
                <w:b/>
                <w:bCs/>
                <w:sz w:val="20"/>
                <w:szCs w:val="20"/>
                <w:lang w:val="en-US"/>
              </w:rPr>
              <w:t>)</w:t>
            </w:r>
          </w:p>
        </w:tc>
        <w:tc>
          <w:tcPr>
            <w:tcW w:w="58" w:type="pct"/>
            <w:shd w:val="clear" w:color="auto" w:fill="auto"/>
            <w:vAlign w:val="bottom"/>
          </w:tcPr>
          <w:p w14:paraId="5671198E"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c>
          <w:tcPr>
            <w:tcW w:w="43" w:type="pct"/>
            <w:shd w:val="clear" w:color="auto" w:fill="auto"/>
            <w:vAlign w:val="bottom"/>
          </w:tcPr>
          <w:p w14:paraId="4BEE43C3"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0EAA6E41"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sidRPr="005328E1">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r w:rsidRPr="005328E1">
              <w:rPr>
                <w:rFonts w:ascii="Times New Roman" w:eastAsia="Times New Roman" w:hAnsi="Times New Roman" w:cs="Times New Roman"/>
                <w:sz w:val="20"/>
                <w:szCs w:val="20"/>
              </w:rPr>
              <w:t>,</w:t>
            </w:r>
            <w:r>
              <w:rPr>
                <w:rFonts w:ascii="Times New Roman" w:eastAsia="Times New Roman" w:hAnsi="Times New Roman" w:cs="Times New Roman"/>
                <w:sz w:val="20"/>
                <w:szCs w:val="20"/>
              </w:rPr>
              <w:t>442</w:t>
            </w:r>
            <w:r w:rsidRPr="005328E1">
              <w:rPr>
                <w:rFonts w:ascii="Times New Roman" w:eastAsia="Times New Roman" w:hAnsi="Times New Roman" w:cs="Times New Roman"/>
                <w:sz w:val="20"/>
                <w:szCs w:val="20"/>
              </w:rPr>
              <w:t>,</w:t>
            </w:r>
            <w:r>
              <w:rPr>
                <w:rFonts w:ascii="Times New Roman" w:eastAsia="Times New Roman" w:hAnsi="Times New Roman" w:cs="Times New Roman"/>
                <w:sz w:val="20"/>
                <w:szCs w:val="20"/>
              </w:rPr>
              <w:t>627</w:t>
            </w:r>
          </w:p>
        </w:tc>
        <w:tc>
          <w:tcPr>
            <w:tcW w:w="163" w:type="pct"/>
            <w:shd w:val="clear" w:color="auto" w:fill="auto"/>
            <w:vAlign w:val="bottom"/>
            <w:hideMark/>
          </w:tcPr>
          <w:p w14:paraId="3B5461FF"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r>
      <w:tr w:rsidR="00785E2A" w:rsidRPr="006A2A5E" w14:paraId="01C7AA34" w14:textId="77777777" w:rsidTr="007F1412">
        <w:tc>
          <w:tcPr>
            <w:tcW w:w="2640" w:type="pct"/>
            <w:shd w:val="clear" w:color="auto" w:fill="auto"/>
            <w:tcMar>
              <w:top w:w="0" w:type="dxa"/>
              <w:left w:w="200" w:type="dxa"/>
              <w:bottom w:w="0" w:type="dxa"/>
              <w:right w:w="0" w:type="dxa"/>
            </w:tcMar>
            <w:vAlign w:val="bottom"/>
            <w:hideMark/>
          </w:tcPr>
          <w:p w14:paraId="4DAA585E"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Adjustments to reconcile net loss to net cash used in operating activities:</w:t>
            </w:r>
            <w:r w:rsidRPr="006A2A5E">
              <w:rPr>
                <w:rFonts w:ascii="Times New Roman" w:eastAsia="Times New Roman" w:hAnsi="Times New Roman" w:cs="Times New Roman"/>
                <w:sz w:val="16"/>
                <w:szCs w:val="16"/>
                <w:lang w:val="en-US"/>
              </w:rPr>
              <w:t> </w:t>
            </w:r>
          </w:p>
        </w:tc>
        <w:tc>
          <w:tcPr>
            <w:tcW w:w="49" w:type="pct"/>
          </w:tcPr>
          <w:p w14:paraId="1B0CE944"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hideMark/>
          </w:tcPr>
          <w:p w14:paraId="595D846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9" w:type="pct"/>
            <w:shd w:val="clear" w:color="auto" w:fill="auto"/>
            <w:vAlign w:val="bottom"/>
            <w:hideMark/>
          </w:tcPr>
          <w:p w14:paraId="73AC83A8"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3C43BEFD" w14:textId="77777777" w:rsidR="00785E2A" w:rsidRPr="00B0377E" w:rsidRDefault="00785E2A" w:rsidP="007F1412">
            <w:pPr>
              <w:spacing w:after="0" w:line="240" w:lineRule="auto"/>
              <w:jc w:val="right"/>
              <w:rPr>
                <w:rFonts w:ascii="Times New Roman" w:eastAsia="Times New Roman" w:hAnsi="Times New Roman" w:cs="Times New Roman"/>
                <w:b/>
                <w:bCs/>
                <w:sz w:val="20"/>
                <w:szCs w:val="20"/>
                <w:highlight w:val="yellow"/>
                <w:lang w:val="en-US"/>
              </w:rPr>
            </w:pPr>
          </w:p>
        </w:tc>
        <w:tc>
          <w:tcPr>
            <w:tcW w:w="169" w:type="pct"/>
            <w:shd w:val="clear" w:color="auto" w:fill="auto"/>
            <w:vAlign w:val="bottom"/>
          </w:tcPr>
          <w:p w14:paraId="0E02CC9A"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1C6FD783"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09AB6C79"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106D140F"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p>
        </w:tc>
        <w:tc>
          <w:tcPr>
            <w:tcW w:w="163" w:type="pct"/>
            <w:shd w:val="clear" w:color="auto" w:fill="auto"/>
            <w:vAlign w:val="bottom"/>
            <w:hideMark/>
          </w:tcPr>
          <w:p w14:paraId="43A73C78"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3A128A73" w14:textId="77777777" w:rsidTr="007F1412">
        <w:tc>
          <w:tcPr>
            <w:tcW w:w="2640" w:type="pct"/>
            <w:shd w:val="clear" w:color="auto" w:fill="auto"/>
            <w:tcMar>
              <w:top w:w="0" w:type="dxa"/>
              <w:left w:w="400" w:type="dxa"/>
              <w:bottom w:w="0" w:type="dxa"/>
              <w:right w:w="0" w:type="dxa"/>
            </w:tcMar>
            <w:vAlign w:val="bottom"/>
            <w:hideMark/>
          </w:tcPr>
          <w:p w14:paraId="63D941DD"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Stock-based compensation</w:t>
            </w:r>
          </w:p>
        </w:tc>
        <w:tc>
          <w:tcPr>
            <w:tcW w:w="49" w:type="pct"/>
          </w:tcPr>
          <w:p w14:paraId="20C0A53D"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hideMark/>
          </w:tcPr>
          <w:p w14:paraId="198FD97F"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49" w:type="pct"/>
            <w:shd w:val="clear" w:color="auto" w:fill="auto"/>
            <w:vAlign w:val="bottom"/>
            <w:hideMark/>
          </w:tcPr>
          <w:p w14:paraId="3E97A9CA"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5B597D41"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84,721</w:t>
            </w:r>
          </w:p>
        </w:tc>
        <w:tc>
          <w:tcPr>
            <w:tcW w:w="169" w:type="pct"/>
            <w:shd w:val="clear" w:color="auto" w:fill="auto"/>
            <w:vAlign w:val="bottom"/>
          </w:tcPr>
          <w:p w14:paraId="1326FC69"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59ADFACB"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027B35D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4BCDF2EA"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161,291</w:t>
            </w:r>
          </w:p>
        </w:tc>
        <w:tc>
          <w:tcPr>
            <w:tcW w:w="163" w:type="pct"/>
            <w:shd w:val="clear" w:color="auto" w:fill="auto"/>
            <w:vAlign w:val="bottom"/>
            <w:hideMark/>
          </w:tcPr>
          <w:p w14:paraId="36ECEB7A"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53DC4291" w14:textId="77777777" w:rsidTr="007F1412">
        <w:tc>
          <w:tcPr>
            <w:tcW w:w="2640" w:type="pct"/>
            <w:shd w:val="clear" w:color="auto" w:fill="auto"/>
            <w:tcMar>
              <w:top w:w="0" w:type="dxa"/>
              <w:left w:w="400" w:type="dxa"/>
              <w:bottom w:w="0" w:type="dxa"/>
              <w:right w:w="0" w:type="dxa"/>
            </w:tcMar>
            <w:vAlign w:val="bottom"/>
          </w:tcPr>
          <w:p w14:paraId="74564387" w14:textId="77777777" w:rsidR="00785E2A" w:rsidRPr="006A2A5E" w:rsidRDefault="00785E2A" w:rsidP="007F141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Stock issued for services</w:t>
            </w:r>
          </w:p>
        </w:tc>
        <w:tc>
          <w:tcPr>
            <w:tcW w:w="49" w:type="pct"/>
          </w:tcPr>
          <w:p w14:paraId="2C698582" w14:textId="77777777" w:rsidR="00785E2A" w:rsidRPr="006A2A5E" w:rsidDel="00FC3B99"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6733A29E"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49" w:type="pct"/>
            <w:shd w:val="clear" w:color="auto" w:fill="auto"/>
            <w:vAlign w:val="bottom"/>
          </w:tcPr>
          <w:p w14:paraId="42F271C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56" w:type="pct"/>
            <w:shd w:val="clear" w:color="auto" w:fill="auto"/>
            <w:vAlign w:val="bottom"/>
          </w:tcPr>
          <w:p w14:paraId="6A047640"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98,820</w:t>
            </w:r>
          </w:p>
        </w:tc>
        <w:tc>
          <w:tcPr>
            <w:tcW w:w="169" w:type="pct"/>
            <w:shd w:val="clear" w:color="auto" w:fill="auto"/>
            <w:vAlign w:val="bottom"/>
          </w:tcPr>
          <w:p w14:paraId="4839589B"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5B09069A"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044F290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6BE688CC"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w:t>
            </w:r>
          </w:p>
        </w:tc>
        <w:tc>
          <w:tcPr>
            <w:tcW w:w="163" w:type="pct"/>
            <w:shd w:val="clear" w:color="auto" w:fill="auto"/>
            <w:vAlign w:val="bottom"/>
            <w:hideMark/>
          </w:tcPr>
          <w:p w14:paraId="061AF957"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31E73130" w14:textId="77777777" w:rsidTr="007F1412">
        <w:tc>
          <w:tcPr>
            <w:tcW w:w="2640" w:type="pct"/>
            <w:shd w:val="clear" w:color="auto" w:fill="auto"/>
            <w:tcMar>
              <w:top w:w="0" w:type="dxa"/>
              <w:left w:w="400" w:type="dxa"/>
              <w:bottom w:w="0" w:type="dxa"/>
              <w:right w:w="0" w:type="dxa"/>
            </w:tcMar>
            <w:vAlign w:val="bottom"/>
          </w:tcPr>
          <w:p w14:paraId="43F284D9"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Stock </w:t>
            </w:r>
            <w:r>
              <w:rPr>
                <w:rFonts w:ascii="Times New Roman" w:eastAsia="Times New Roman" w:hAnsi="Times New Roman" w:cs="Times New Roman"/>
                <w:sz w:val="20"/>
                <w:szCs w:val="20"/>
                <w:lang w:val="en-US"/>
              </w:rPr>
              <w:t xml:space="preserve">to be </w:t>
            </w:r>
            <w:r w:rsidRPr="006A2A5E">
              <w:rPr>
                <w:rFonts w:ascii="Times New Roman" w:eastAsia="Times New Roman" w:hAnsi="Times New Roman" w:cs="Times New Roman"/>
                <w:sz w:val="20"/>
                <w:szCs w:val="20"/>
                <w:lang w:val="en-US"/>
              </w:rPr>
              <w:t>issued for services</w:t>
            </w:r>
          </w:p>
        </w:tc>
        <w:tc>
          <w:tcPr>
            <w:tcW w:w="49" w:type="pct"/>
          </w:tcPr>
          <w:p w14:paraId="49DF604F"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197E8A9F"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49" w:type="pct"/>
            <w:shd w:val="clear" w:color="auto" w:fill="auto"/>
            <w:vAlign w:val="bottom"/>
          </w:tcPr>
          <w:p w14:paraId="2698BA0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4C253DDD"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51,208</w:t>
            </w:r>
          </w:p>
        </w:tc>
        <w:tc>
          <w:tcPr>
            <w:tcW w:w="169" w:type="pct"/>
            <w:shd w:val="clear" w:color="auto" w:fill="auto"/>
            <w:vAlign w:val="bottom"/>
          </w:tcPr>
          <w:p w14:paraId="4BC31E47"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176D5F37"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59EA7727"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12E9F986"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hAnsi="Times New Roman" w:cs="Times New Roman"/>
                <w:sz w:val="20"/>
                <w:szCs w:val="20"/>
              </w:rPr>
              <w:t>670,576</w:t>
            </w:r>
          </w:p>
        </w:tc>
        <w:tc>
          <w:tcPr>
            <w:tcW w:w="163" w:type="pct"/>
            <w:shd w:val="clear" w:color="auto" w:fill="auto"/>
            <w:vAlign w:val="bottom"/>
            <w:hideMark/>
          </w:tcPr>
          <w:p w14:paraId="351641C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42B5CAD8" w14:textId="77777777" w:rsidTr="007F1412">
        <w:tc>
          <w:tcPr>
            <w:tcW w:w="2640" w:type="pct"/>
            <w:shd w:val="clear" w:color="auto" w:fill="auto"/>
            <w:tcMar>
              <w:top w:w="0" w:type="dxa"/>
              <w:left w:w="400" w:type="dxa"/>
              <w:bottom w:w="0" w:type="dxa"/>
              <w:right w:w="0" w:type="dxa"/>
            </w:tcMar>
            <w:vAlign w:val="bottom"/>
          </w:tcPr>
          <w:p w14:paraId="0D56BE81"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Depletion</w:t>
            </w:r>
          </w:p>
        </w:tc>
        <w:tc>
          <w:tcPr>
            <w:tcW w:w="49" w:type="pct"/>
          </w:tcPr>
          <w:p w14:paraId="53D719F4"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7E0B7D3A"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9" w:type="pct"/>
            <w:shd w:val="clear" w:color="auto" w:fill="auto"/>
            <w:vAlign w:val="bottom"/>
          </w:tcPr>
          <w:p w14:paraId="19D0273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617E0ABA"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148,873</w:t>
            </w:r>
          </w:p>
        </w:tc>
        <w:tc>
          <w:tcPr>
            <w:tcW w:w="169" w:type="pct"/>
            <w:shd w:val="clear" w:color="auto" w:fill="auto"/>
            <w:vAlign w:val="bottom"/>
          </w:tcPr>
          <w:p w14:paraId="3B6E6AEC"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1608A20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643D76AE"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24FEE6A0"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233,713</w:t>
            </w:r>
          </w:p>
        </w:tc>
        <w:tc>
          <w:tcPr>
            <w:tcW w:w="163" w:type="pct"/>
            <w:shd w:val="clear" w:color="auto" w:fill="auto"/>
            <w:vAlign w:val="bottom"/>
            <w:hideMark/>
          </w:tcPr>
          <w:p w14:paraId="61E253C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7AA3324B" w14:textId="77777777" w:rsidTr="007F1412">
        <w:tc>
          <w:tcPr>
            <w:tcW w:w="2640" w:type="pct"/>
            <w:shd w:val="clear" w:color="auto" w:fill="auto"/>
            <w:tcMar>
              <w:top w:w="0" w:type="dxa"/>
              <w:left w:w="400" w:type="dxa"/>
              <w:bottom w:w="0" w:type="dxa"/>
              <w:right w:w="0" w:type="dxa"/>
            </w:tcMar>
            <w:vAlign w:val="bottom"/>
          </w:tcPr>
          <w:p w14:paraId="5333A579"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Depreciation</w:t>
            </w:r>
          </w:p>
        </w:tc>
        <w:tc>
          <w:tcPr>
            <w:tcW w:w="49" w:type="pct"/>
          </w:tcPr>
          <w:p w14:paraId="7F5FE719"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1D31A99D"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49" w:type="pct"/>
            <w:shd w:val="clear" w:color="auto" w:fill="auto"/>
            <w:vAlign w:val="bottom"/>
          </w:tcPr>
          <w:p w14:paraId="1544A582"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058E2BEB"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4</w:t>
            </w:r>
            <w:r>
              <w:rPr>
                <w:rFonts w:ascii="Times New Roman" w:eastAsia="Times New Roman" w:hAnsi="Times New Roman" w:cs="Times New Roman"/>
                <w:b/>
                <w:bCs/>
                <w:sz w:val="20"/>
                <w:szCs w:val="20"/>
                <w:lang w:val="en-US"/>
              </w:rPr>
              <w:t>3</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976</w:t>
            </w:r>
          </w:p>
        </w:tc>
        <w:tc>
          <w:tcPr>
            <w:tcW w:w="169" w:type="pct"/>
            <w:shd w:val="clear" w:color="auto" w:fill="auto"/>
            <w:vAlign w:val="bottom"/>
          </w:tcPr>
          <w:p w14:paraId="3A3798FC"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01F4C162"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25AB8B2B"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4106BDCD"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13,808</w:t>
            </w:r>
          </w:p>
        </w:tc>
        <w:tc>
          <w:tcPr>
            <w:tcW w:w="163" w:type="pct"/>
            <w:shd w:val="clear" w:color="auto" w:fill="auto"/>
            <w:vAlign w:val="bottom"/>
            <w:hideMark/>
          </w:tcPr>
          <w:p w14:paraId="3AAC2F6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3EBA7D8A" w14:textId="77777777" w:rsidTr="007F1412">
        <w:tc>
          <w:tcPr>
            <w:tcW w:w="2640" w:type="pct"/>
            <w:shd w:val="clear" w:color="auto" w:fill="auto"/>
            <w:tcMar>
              <w:top w:w="0" w:type="dxa"/>
              <w:left w:w="400" w:type="dxa"/>
              <w:bottom w:w="0" w:type="dxa"/>
              <w:right w:w="0" w:type="dxa"/>
            </w:tcMar>
            <w:vAlign w:val="bottom"/>
          </w:tcPr>
          <w:p w14:paraId="61CD6A1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Accretion of asset retirement obligation</w:t>
            </w:r>
          </w:p>
        </w:tc>
        <w:tc>
          <w:tcPr>
            <w:tcW w:w="49" w:type="pct"/>
          </w:tcPr>
          <w:p w14:paraId="206B1413"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46EDE715"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49" w:type="pct"/>
            <w:shd w:val="clear" w:color="auto" w:fill="auto"/>
            <w:vAlign w:val="bottom"/>
          </w:tcPr>
          <w:p w14:paraId="2FC6E3BA"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7C1B1AE7"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82,90</w:t>
            </w:r>
            <w:r>
              <w:rPr>
                <w:rFonts w:ascii="Times New Roman" w:eastAsia="Times New Roman" w:hAnsi="Times New Roman" w:cs="Times New Roman"/>
                <w:b/>
                <w:bCs/>
                <w:sz w:val="20"/>
                <w:szCs w:val="20"/>
                <w:lang w:val="en-US"/>
              </w:rPr>
              <w:t>5</w:t>
            </w:r>
          </w:p>
        </w:tc>
        <w:tc>
          <w:tcPr>
            <w:tcW w:w="169" w:type="pct"/>
            <w:shd w:val="clear" w:color="auto" w:fill="auto"/>
            <w:vAlign w:val="bottom"/>
          </w:tcPr>
          <w:p w14:paraId="36E402EF"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64515DC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20872B54"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7C960A68"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45,827</w:t>
            </w:r>
          </w:p>
        </w:tc>
        <w:tc>
          <w:tcPr>
            <w:tcW w:w="163" w:type="pct"/>
            <w:shd w:val="clear" w:color="auto" w:fill="auto"/>
            <w:vAlign w:val="bottom"/>
            <w:hideMark/>
          </w:tcPr>
          <w:p w14:paraId="231A304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59289EDF" w14:textId="77777777" w:rsidTr="007F1412">
        <w:tc>
          <w:tcPr>
            <w:tcW w:w="2640" w:type="pct"/>
            <w:shd w:val="clear" w:color="auto" w:fill="auto"/>
            <w:tcMar>
              <w:top w:w="0" w:type="dxa"/>
              <w:left w:w="400" w:type="dxa"/>
              <w:bottom w:w="0" w:type="dxa"/>
              <w:right w:w="0" w:type="dxa"/>
            </w:tcMar>
            <w:vAlign w:val="bottom"/>
          </w:tcPr>
          <w:p w14:paraId="136EF2FF"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xml:space="preserve">Accretion </w:t>
            </w:r>
            <w:r>
              <w:rPr>
                <w:rFonts w:ascii="Times New Roman" w:eastAsia="Times New Roman" w:hAnsi="Times New Roman" w:cs="Times New Roman"/>
                <w:sz w:val="20"/>
                <w:szCs w:val="20"/>
                <w:lang w:val="en-US"/>
              </w:rPr>
              <w:t xml:space="preserve">and accrued interest </w:t>
            </w:r>
            <w:r w:rsidRPr="006A2A5E">
              <w:rPr>
                <w:rFonts w:ascii="Times New Roman" w:eastAsia="Times New Roman" w:hAnsi="Times New Roman" w:cs="Times New Roman"/>
                <w:sz w:val="20"/>
                <w:szCs w:val="20"/>
                <w:lang w:val="en-US"/>
              </w:rPr>
              <w:t>expense</w:t>
            </w:r>
          </w:p>
        </w:tc>
        <w:tc>
          <w:tcPr>
            <w:tcW w:w="49" w:type="pct"/>
          </w:tcPr>
          <w:p w14:paraId="226CEEA4"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480BC06D"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8, 9</w:t>
            </w:r>
          </w:p>
        </w:tc>
        <w:tc>
          <w:tcPr>
            <w:tcW w:w="49" w:type="pct"/>
            <w:shd w:val="clear" w:color="auto" w:fill="auto"/>
            <w:vAlign w:val="bottom"/>
          </w:tcPr>
          <w:p w14:paraId="05E1EDF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4771EFF2"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w:t>
            </w:r>
            <w:r>
              <w:rPr>
                <w:rFonts w:ascii="Times New Roman" w:eastAsia="Times New Roman" w:hAnsi="Times New Roman" w:cs="Times New Roman"/>
                <w:b/>
                <w:bCs/>
                <w:sz w:val="20"/>
                <w:szCs w:val="20"/>
                <w:lang w:val="en-US"/>
              </w:rPr>
              <w:t>7</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188</w:t>
            </w:r>
          </w:p>
        </w:tc>
        <w:tc>
          <w:tcPr>
            <w:tcW w:w="169" w:type="pct"/>
            <w:shd w:val="clear" w:color="auto" w:fill="auto"/>
            <w:vAlign w:val="bottom"/>
          </w:tcPr>
          <w:p w14:paraId="790EF5FF"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4E0024BB"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768E05C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417FA590"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98,712</w:t>
            </w:r>
          </w:p>
        </w:tc>
        <w:tc>
          <w:tcPr>
            <w:tcW w:w="163" w:type="pct"/>
            <w:shd w:val="clear" w:color="auto" w:fill="auto"/>
            <w:vAlign w:val="bottom"/>
            <w:hideMark/>
          </w:tcPr>
          <w:p w14:paraId="58FF673E"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294DF3FB" w14:textId="77777777" w:rsidTr="007F1412">
        <w:tc>
          <w:tcPr>
            <w:tcW w:w="2640" w:type="pct"/>
            <w:shd w:val="clear" w:color="auto" w:fill="auto"/>
            <w:tcMar>
              <w:top w:w="0" w:type="dxa"/>
              <w:left w:w="400" w:type="dxa"/>
              <w:bottom w:w="0" w:type="dxa"/>
              <w:right w:w="0" w:type="dxa"/>
            </w:tcMar>
            <w:vAlign w:val="bottom"/>
          </w:tcPr>
          <w:p w14:paraId="0663B9B1"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Change in fair value of derivative liability</w:t>
            </w:r>
          </w:p>
        </w:tc>
        <w:tc>
          <w:tcPr>
            <w:tcW w:w="49" w:type="pct"/>
          </w:tcPr>
          <w:p w14:paraId="3AD76543"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74548A63"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49" w:type="pct"/>
            <w:shd w:val="clear" w:color="auto" w:fill="auto"/>
            <w:vAlign w:val="bottom"/>
          </w:tcPr>
          <w:p w14:paraId="6A4DEA0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4A1713E3"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3</w:t>
            </w:r>
            <w:r>
              <w:rPr>
                <w:rFonts w:ascii="Times New Roman" w:eastAsia="Times New Roman" w:hAnsi="Times New Roman" w:cs="Times New Roman"/>
                <w:b/>
                <w:bCs/>
                <w:sz w:val="20"/>
                <w:szCs w:val="20"/>
                <w:lang w:val="en-US"/>
              </w:rPr>
              <w:t>61</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170</w:t>
            </w:r>
          </w:p>
        </w:tc>
        <w:tc>
          <w:tcPr>
            <w:tcW w:w="169" w:type="pct"/>
            <w:shd w:val="clear" w:color="auto" w:fill="auto"/>
            <w:vAlign w:val="bottom"/>
          </w:tcPr>
          <w:p w14:paraId="7262B80A"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503B49E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0D8ED68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3BC9721B"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5,698,468</w:t>
            </w:r>
          </w:p>
        </w:tc>
        <w:tc>
          <w:tcPr>
            <w:tcW w:w="163" w:type="pct"/>
            <w:shd w:val="clear" w:color="auto" w:fill="auto"/>
            <w:vAlign w:val="bottom"/>
            <w:hideMark/>
          </w:tcPr>
          <w:p w14:paraId="3A2B46F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072F7065" w14:textId="77777777" w:rsidTr="007F1412">
        <w:tc>
          <w:tcPr>
            <w:tcW w:w="2640" w:type="pct"/>
            <w:shd w:val="clear" w:color="auto" w:fill="auto"/>
            <w:tcMar>
              <w:top w:w="0" w:type="dxa"/>
              <w:left w:w="400" w:type="dxa"/>
              <w:bottom w:w="0" w:type="dxa"/>
              <w:right w:w="0" w:type="dxa"/>
            </w:tcMar>
            <w:vAlign w:val="bottom"/>
          </w:tcPr>
          <w:p w14:paraId="2E95A8E5"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Interest income</w:t>
            </w:r>
          </w:p>
        </w:tc>
        <w:tc>
          <w:tcPr>
            <w:tcW w:w="49" w:type="pct"/>
          </w:tcPr>
          <w:p w14:paraId="3E7D2252" w14:textId="77777777" w:rsidR="00785E2A" w:rsidRPr="006A2A5E" w:rsidDel="00FC3B99"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619A886B"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49" w:type="pct"/>
            <w:shd w:val="clear" w:color="auto" w:fill="auto"/>
            <w:vAlign w:val="bottom"/>
          </w:tcPr>
          <w:p w14:paraId="0070488B"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56" w:type="pct"/>
            <w:shd w:val="clear" w:color="auto" w:fill="auto"/>
            <w:vAlign w:val="bottom"/>
          </w:tcPr>
          <w:p w14:paraId="6E9B9D89"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w:t>
            </w:r>
            <w:r>
              <w:rPr>
                <w:rFonts w:ascii="Times New Roman" w:eastAsia="Times New Roman" w:hAnsi="Times New Roman" w:cs="Times New Roman"/>
                <w:b/>
                <w:bCs/>
                <w:sz w:val="20"/>
                <w:szCs w:val="20"/>
                <w:lang w:val="en-US"/>
              </w:rPr>
              <w:t>8</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347</w:t>
            </w:r>
          </w:p>
        </w:tc>
        <w:tc>
          <w:tcPr>
            <w:tcW w:w="169" w:type="pct"/>
            <w:shd w:val="clear" w:color="auto" w:fill="auto"/>
            <w:vAlign w:val="bottom"/>
          </w:tcPr>
          <w:p w14:paraId="62F794F1" w14:textId="77777777" w:rsidR="00785E2A" w:rsidRPr="00FE38CA" w:rsidRDefault="00785E2A" w:rsidP="007F1412">
            <w:pPr>
              <w:spacing w:after="0" w:line="240" w:lineRule="auto"/>
              <w:jc w:val="both"/>
              <w:rPr>
                <w:rFonts w:ascii="Times New Roman" w:eastAsia="Times New Roman" w:hAnsi="Times New Roman" w:cs="Times New Roman"/>
                <w:b/>
                <w:bCs/>
                <w:sz w:val="20"/>
                <w:szCs w:val="20"/>
                <w:lang w:val="en-US"/>
              </w:rPr>
            </w:pPr>
            <w:r w:rsidRPr="00FE38CA">
              <w:rPr>
                <w:rFonts w:ascii="Times New Roman" w:eastAsia="Times New Roman" w:hAnsi="Times New Roman" w:cs="Times New Roman"/>
                <w:b/>
                <w:bCs/>
                <w:sz w:val="20"/>
                <w:szCs w:val="20"/>
                <w:lang w:val="en-US"/>
              </w:rPr>
              <w:t>)</w:t>
            </w:r>
          </w:p>
        </w:tc>
        <w:tc>
          <w:tcPr>
            <w:tcW w:w="58" w:type="pct"/>
            <w:shd w:val="clear" w:color="auto" w:fill="auto"/>
            <w:vAlign w:val="bottom"/>
          </w:tcPr>
          <w:p w14:paraId="4F19D6D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2D52CDAB"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5CA8E65F"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w:t>
            </w:r>
          </w:p>
        </w:tc>
        <w:tc>
          <w:tcPr>
            <w:tcW w:w="163" w:type="pct"/>
            <w:shd w:val="clear" w:color="auto" w:fill="auto"/>
            <w:vAlign w:val="bottom"/>
            <w:hideMark/>
          </w:tcPr>
          <w:p w14:paraId="569AAEC4"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36DD38A7" w14:textId="77777777" w:rsidTr="007F1412">
        <w:tc>
          <w:tcPr>
            <w:tcW w:w="2640" w:type="pct"/>
            <w:shd w:val="clear" w:color="auto" w:fill="auto"/>
            <w:tcMar>
              <w:top w:w="0" w:type="dxa"/>
              <w:left w:w="400" w:type="dxa"/>
              <w:bottom w:w="0" w:type="dxa"/>
              <w:right w:w="0" w:type="dxa"/>
            </w:tcMar>
            <w:vAlign w:val="bottom"/>
          </w:tcPr>
          <w:p w14:paraId="41F78857"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Foreign exchange loss</w:t>
            </w:r>
          </w:p>
        </w:tc>
        <w:tc>
          <w:tcPr>
            <w:tcW w:w="49" w:type="pct"/>
          </w:tcPr>
          <w:p w14:paraId="50364D8B" w14:textId="77777777" w:rsidR="00785E2A" w:rsidRPr="006A2A5E" w:rsidDel="00FC3B99"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4E49A277" w14:textId="77777777" w:rsidR="00785E2A"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79EA885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56" w:type="pct"/>
            <w:shd w:val="clear" w:color="auto" w:fill="auto"/>
            <w:vAlign w:val="bottom"/>
          </w:tcPr>
          <w:p w14:paraId="357C8A81"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w:t>
            </w:r>
            <w:r>
              <w:rPr>
                <w:rFonts w:ascii="Times New Roman" w:eastAsia="Times New Roman" w:hAnsi="Times New Roman" w:cs="Times New Roman"/>
                <w:b/>
                <w:bCs/>
                <w:sz w:val="20"/>
                <w:szCs w:val="20"/>
                <w:lang w:val="en-US"/>
              </w:rPr>
              <w:t>5</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476</w:t>
            </w:r>
          </w:p>
        </w:tc>
        <w:tc>
          <w:tcPr>
            <w:tcW w:w="169" w:type="pct"/>
            <w:shd w:val="clear" w:color="auto" w:fill="auto"/>
            <w:vAlign w:val="bottom"/>
          </w:tcPr>
          <w:p w14:paraId="05DA531B"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58" w:type="pct"/>
            <w:shd w:val="clear" w:color="auto" w:fill="auto"/>
            <w:vAlign w:val="bottom"/>
          </w:tcPr>
          <w:p w14:paraId="23B2D6E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1EEC0AB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6063759A" w14:textId="63C58DA4" w:rsidR="00785E2A" w:rsidRPr="005328E1" w:rsidRDefault="00806371" w:rsidP="007F141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248,313</w:t>
            </w:r>
          </w:p>
        </w:tc>
        <w:tc>
          <w:tcPr>
            <w:tcW w:w="163" w:type="pct"/>
            <w:shd w:val="clear" w:color="auto" w:fill="auto"/>
            <w:vAlign w:val="bottom"/>
          </w:tcPr>
          <w:p w14:paraId="62A38975" w14:textId="48BD91F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r>
      <w:tr w:rsidR="00785E2A" w:rsidRPr="006A2A5E" w14:paraId="3C05AB5C" w14:textId="77777777" w:rsidTr="007F1412">
        <w:tc>
          <w:tcPr>
            <w:tcW w:w="2640" w:type="pct"/>
            <w:shd w:val="clear" w:color="auto" w:fill="auto"/>
            <w:tcMar>
              <w:top w:w="0" w:type="dxa"/>
              <w:left w:w="400" w:type="dxa"/>
              <w:bottom w:w="0" w:type="dxa"/>
              <w:right w:w="0" w:type="dxa"/>
            </w:tcMar>
            <w:vAlign w:val="bottom"/>
          </w:tcPr>
          <w:p w14:paraId="5FD32EC4"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Gain (l</w:t>
            </w:r>
            <w:r w:rsidRPr="006A2A5E">
              <w:rPr>
                <w:rFonts w:ascii="Times New Roman" w:eastAsia="Times New Roman" w:hAnsi="Times New Roman" w:cs="Times New Roman"/>
                <w:sz w:val="20"/>
                <w:szCs w:val="20"/>
                <w:lang w:val="en-US"/>
              </w:rPr>
              <w:t>oss</w:t>
            </w:r>
            <w:r>
              <w:rPr>
                <w:rFonts w:ascii="Times New Roman" w:eastAsia="Times New Roman" w:hAnsi="Times New Roman" w:cs="Times New Roman"/>
                <w:sz w:val="20"/>
                <w:szCs w:val="20"/>
                <w:lang w:val="en-US"/>
              </w:rPr>
              <w:t>)</w:t>
            </w:r>
            <w:r w:rsidRPr="006A2A5E">
              <w:rPr>
                <w:rFonts w:ascii="Times New Roman" w:eastAsia="Times New Roman" w:hAnsi="Times New Roman" w:cs="Times New Roman"/>
                <w:sz w:val="20"/>
                <w:szCs w:val="20"/>
                <w:lang w:val="en-US"/>
              </w:rPr>
              <w:t xml:space="preserve"> on </w:t>
            </w:r>
            <w:r>
              <w:rPr>
                <w:rFonts w:ascii="Times New Roman" w:eastAsia="Times New Roman" w:hAnsi="Times New Roman" w:cs="Times New Roman"/>
                <w:sz w:val="20"/>
                <w:szCs w:val="20"/>
                <w:lang w:val="en-US"/>
              </w:rPr>
              <w:t>debt settlement</w:t>
            </w:r>
          </w:p>
        </w:tc>
        <w:tc>
          <w:tcPr>
            <w:tcW w:w="49" w:type="pct"/>
          </w:tcPr>
          <w:p w14:paraId="43B5F5B6"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36A01F29"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37D82BC8" w14:textId="77777777" w:rsidR="00785E2A" w:rsidRPr="007F73B3"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7B1460DC"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 xml:space="preserve"> (71,</w:t>
            </w:r>
            <w:r>
              <w:rPr>
                <w:rFonts w:ascii="Times New Roman" w:eastAsia="Times New Roman" w:hAnsi="Times New Roman" w:cs="Times New Roman"/>
                <w:b/>
                <w:bCs/>
                <w:sz w:val="20"/>
                <w:szCs w:val="20"/>
                <w:lang w:val="en-US"/>
              </w:rPr>
              <w:t>236</w:t>
            </w:r>
          </w:p>
        </w:tc>
        <w:tc>
          <w:tcPr>
            <w:tcW w:w="169" w:type="pct"/>
            <w:shd w:val="clear" w:color="auto" w:fill="auto"/>
            <w:vAlign w:val="bottom"/>
          </w:tcPr>
          <w:p w14:paraId="57D4C385"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8" w:type="pct"/>
            <w:shd w:val="clear" w:color="auto" w:fill="auto"/>
            <w:vAlign w:val="bottom"/>
          </w:tcPr>
          <w:p w14:paraId="185D98D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59BE1E1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6D944C76" w14:textId="511A4B00"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(145,665</w:t>
            </w:r>
          </w:p>
        </w:tc>
        <w:tc>
          <w:tcPr>
            <w:tcW w:w="163" w:type="pct"/>
            <w:shd w:val="clear" w:color="auto" w:fill="auto"/>
            <w:vAlign w:val="bottom"/>
          </w:tcPr>
          <w:p w14:paraId="6D464659" w14:textId="40FBA155"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785E2A" w:rsidRPr="006A2A5E" w14:paraId="07AAB777" w14:textId="77777777" w:rsidTr="007F1412">
        <w:tc>
          <w:tcPr>
            <w:tcW w:w="2640" w:type="pct"/>
            <w:shd w:val="clear" w:color="auto" w:fill="auto"/>
            <w:tcMar>
              <w:top w:w="0" w:type="dxa"/>
              <w:left w:w="400" w:type="dxa"/>
              <w:bottom w:w="0" w:type="dxa"/>
              <w:right w:w="0" w:type="dxa"/>
            </w:tcMar>
            <w:vAlign w:val="bottom"/>
          </w:tcPr>
          <w:p w14:paraId="408BB8F8"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tcPr>
          <w:p w14:paraId="4B43E60C"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06DD400A"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70EE85C3" w14:textId="77777777" w:rsidR="00785E2A" w:rsidRPr="007F73B3"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098E8AA5"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p>
        </w:tc>
        <w:tc>
          <w:tcPr>
            <w:tcW w:w="169" w:type="pct"/>
            <w:shd w:val="clear" w:color="auto" w:fill="auto"/>
            <w:vAlign w:val="bottom"/>
          </w:tcPr>
          <w:p w14:paraId="3C6998B5"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3A143D82"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35887154"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4E7079D5"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p>
        </w:tc>
        <w:tc>
          <w:tcPr>
            <w:tcW w:w="163" w:type="pct"/>
            <w:shd w:val="clear" w:color="auto" w:fill="auto"/>
            <w:vAlign w:val="bottom"/>
          </w:tcPr>
          <w:p w14:paraId="4BFEC3CF"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r>
      <w:tr w:rsidR="00785E2A" w:rsidRPr="006A2A5E" w14:paraId="0EAF09D4" w14:textId="77777777" w:rsidTr="007F1412">
        <w:tc>
          <w:tcPr>
            <w:tcW w:w="2640" w:type="pct"/>
            <w:shd w:val="clear" w:color="auto" w:fill="auto"/>
            <w:tcMar>
              <w:top w:w="0" w:type="dxa"/>
              <w:left w:w="200" w:type="dxa"/>
              <w:bottom w:w="0" w:type="dxa"/>
              <w:right w:w="0" w:type="dxa"/>
            </w:tcMar>
            <w:vAlign w:val="bottom"/>
            <w:hideMark/>
          </w:tcPr>
          <w:p w14:paraId="3B4D0CD9"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Changes in operating assets and liabilities:</w:t>
            </w:r>
          </w:p>
        </w:tc>
        <w:tc>
          <w:tcPr>
            <w:tcW w:w="49" w:type="pct"/>
          </w:tcPr>
          <w:p w14:paraId="15F2B8A7"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hideMark/>
          </w:tcPr>
          <w:p w14:paraId="1BA28DA7"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hideMark/>
          </w:tcPr>
          <w:p w14:paraId="4620EEDF"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7878CB7B"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p>
        </w:tc>
        <w:tc>
          <w:tcPr>
            <w:tcW w:w="169" w:type="pct"/>
            <w:shd w:val="clear" w:color="auto" w:fill="auto"/>
            <w:vAlign w:val="bottom"/>
          </w:tcPr>
          <w:p w14:paraId="4D233228"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5A4807C4"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185EBEE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05CD5498" w14:textId="77777777" w:rsidR="00785E2A" w:rsidRPr="00A8334A" w:rsidRDefault="00785E2A" w:rsidP="007F1412">
            <w:pPr>
              <w:spacing w:after="0" w:line="240" w:lineRule="auto"/>
              <w:jc w:val="right"/>
              <w:rPr>
                <w:rFonts w:ascii="Times New Roman" w:eastAsia="Times New Roman" w:hAnsi="Times New Roman" w:cs="Times New Roman"/>
                <w:sz w:val="20"/>
                <w:szCs w:val="20"/>
                <w:lang w:val="en-US"/>
              </w:rPr>
            </w:pPr>
          </w:p>
        </w:tc>
        <w:tc>
          <w:tcPr>
            <w:tcW w:w="163" w:type="pct"/>
            <w:shd w:val="clear" w:color="auto" w:fill="auto"/>
            <w:vAlign w:val="bottom"/>
            <w:hideMark/>
          </w:tcPr>
          <w:p w14:paraId="31330E0E"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785E2A" w:rsidRPr="006A2A5E" w14:paraId="416B9A36" w14:textId="77777777" w:rsidTr="007F1412">
        <w:tc>
          <w:tcPr>
            <w:tcW w:w="2640" w:type="pct"/>
            <w:shd w:val="clear" w:color="auto" w:fill="auto"/>
            <w:tcMar>
              <w:top w:w="0" w:type="dxa"/>
              <w:left w:w="200" w:type="dxa"/>
              <w:bottom w:w="0" w:type="dxa"/>
              <w:right w:w="0" w:type="dxa"/>
            </w:tcMar>
            <w:vAlign w:val="bottom"/>
          </w:tcPr>
          <w:p w14:paraId="6C18BC37"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Restricted cash</w:t>
            </w:r>
          </w:p>
        </w:tc>
        <w:tc>
          <w:tcPr>
            <w:tcW w:w="49" w:type="pct"/>
          </w:tcPr>
          <w:p w14:paraId="0BF97EA6"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7D7C52BC"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257EEB7D" w14:textId="77777777" w:rsidR="00785E2A" w:rsidRPr="007F73B3" w:rsidRDefault="00785E2A" w:rsidP="007F1412">
            <w:pPr>
              <w:spacing w:after="0" w:line="240" w:lineRule="auto"/>
              <w:jc w:val="both"/>
              <w:rPr>
                <w:rFonts w:ascii="Times New Roman" w:eastAsia="Times New Roman" w:hAnsi="Times New Roman" w:cs="Times New Roman"/>
                <w:sz w:val="20"/>
                <w:szCs w:val="20"/>
                <w:lang w:val="en-US"/>
              </w:rPr>
            </w:pPr>
          </w:p>
        </w:tc>
        <w:tc>
          <w:tcPr>
            <w:tcW w:w="756" w:type="pct"/>
            <w:shd w:val="clear" w:color="auto" w:fill="auto"/>
            <w:vAlign w:val="bottom"/>
          </w:tcPr>
          <w:p w14:paraId="111CD130"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1,085</w:t>
            </w:r>
          </w:p>
        </w:tc>
        <w:tc>
          <w:tcPr>
            <w:tcW w:w="169" w:type="pct"/>
            <w:shd w:val="clear" w:color="auto" w:fill="auto"/>
            <w:vAlign w:val="bottom"/>
          </w:tcPr>
          <w:p w14:paraId="1991C973"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08E9FE4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13CD61F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4933BE42"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423</w:t>
            </w:r>
          </w:p>
        </w:tc>
        <w:tc>
          <w:tcPr>
            <w:tcW w:w="163" w:type="pct"/>
            <w:shd w:val="clear" w:color="auto" w:fill="auto"/>
            <w:vAlign w:val="bottom"/>
          </w:tcPr>
          <w:p w14:paraId="6116C40A"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p>
        </w:tc>
      </w:tr>
      <w:tr w:rsidR="00785E2A" w:rsidRPr="006A2A5E" w14:paraId="75F330D9" w14:textId="77777777" w:rsidTr="007F1412">
        <w:tc>
          <w:tcPr>
            <w:tcW w:w="2640" w:type="pct"/>
            <w:shd w:val="clear" w:color="auto" w:fill="auto"/>
            <w:tcMar>
              <w:top w:w="0" w:type="dxa"/>
              <w:left w:w="400" w:type="dxa"/>
              <w:bottom w:w="0" w:type="dxa"/>
              <w:right w:w="0" w:type="dxa"/>
            </w:tcMar>
            <w:vAlign w:val="bottom"/>
            <w:hideMark/>
          </w:tcPr>
          <w:p w14:paraId="5807D6A4"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Accounts receivable</w:t>
            </w:r>
          </w:p>
        </w:tc>
        <w:tc>
          <w:tcPr>
            <w:tcW w:w="49" w:type="pct"/>
          </w:tcPr>
          <w:p w14:paraId="3FC2474A"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hideMark/>
          </w:tcPr>
          <w:p w14:paraId="1B35C970"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hideMark/>
          </w:tcPr>
          <w:p w14:paraId="797D823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5EF9381E"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999,166</w:t>
            </w:r>
          </w:p>
        </w:tc>
        <w:tc>
          <w:tcPr>
            <w:tcW w:w="169" w:type="pct"/>
            <w:shd w:val="clear" w:color="auto" w:fill="auto"/>
            <w:vAlign w:val="bottom"/>
          </w:tcPr>
          <w:p w14:paraId="19EAC353"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8" w:type="pct"/>
            <w:shd w:val="clear" w:color="auto" w:fill="auto"/>
            <w:vAlign w:val="bottom"/>
          </w:tcPr>
          <w:p w14:paraId="5E53F442"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55CE6F27"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6B8B0993"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r>
              <w:rPr>
                <w:rFonts w:ascii="Times New Roman" w:eastAsia="Times New Roman" w:hAnsi="Times New Roman" w:cs="Times New Roman"/>
                <w:sz w:val="20"/>
                <w:szCs w:val="20"/>
              </w:rPr>
              <w:t>472,868</w:t>
            </w:r>
          </w:p>
        </w:tc>
        <w:tc>
          <w:tcPr>
            <w:tcW w:w="163" w:type="pct"/>
            <w:shd w:val="clear" w:color="auto" w:fill="auto"/>
            <w:vAlign w:val="bottom"/>
            <w:hideMark/>
          </w:tcPr>
          <w:p w14:paraId="4FFB4782"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w:t>
            </w:r>
          </w:p>
        </w:tc>
      </w:tr>
      <w:tr w:rsidR="00785E2A" w:rsidRPr="006A2A5E" w14:paraId="006768D5" w14:textId="77777777" w:rsidTr="007F1412">
        <w:tc>
          <w:tcPr>
            <w:tcW w:w="2640" w:type="pct"/>
            <w:shd w:val="clear" w:color="auto" w:fill="auto"/>
            <w:tcMar>
              <w:top w:w="0" w:type="dxa"/>
              <w:left w:w="400" w:type="dxa"/>
              <w:bottom w:w="0" w:type="dxa"/>
              <w:right w:w="0" w:type="dxa"/>
            </w:tcMar>
            <w:vAlign w:val="bottom"/>
            <w:hideMark/>
          </w:tcPr>
          <w:p w14:paraId="0DA5E0E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Prepaid expenses and deposits</w:t>
            </w:r>
          </w:p>
        </w:tc>
        <w:tc>
          <w:tcPr>
            <w:tcW w:w="49" w:type="pct"/>
          </w:tcPr>
          <w:p w14:paraId="2FB0EEE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hideMark/>
          </w:tcPr>
          <w:p w14:paraId="31C91118"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hideMark/>
          </w:tcPr>
          <w:p w14:paraId="09A19A04"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179E4C32"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(4,838,732</w:t>
            </w:r>
          </w:p>
        </w:tc>
        <w:tc>
          <w:tcPr>
            <w:tcW w:w="169" w:type="pct"/>
            <w:shd w:val="clear" w:color="auto" w:fill="auto"/>
            <w:vAlign w:val="bottom"/>
          </w:tcPr>
          <w:p w14:paraId="2EDDCB3E"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58" w:type="pct"/>
            <w:shd w:val="clear" w:color="auto" w:fill="auto"/>
            <w:vAlign w:val="bottom"/>
          </w:tcPr>
          <w:p w14:paraId="0DCAE264"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3B5BDA24"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4DCC5950"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r>
              <w:rPr>
                <w:rFonts w:ascii="Times New Roman" w:eastAsia="Times New Roman" w:hAnsi="Times New Roman" w:cs="Times New Roman"/>
                <w:sz w:val="20"/>
                <w:szCs w:val="20"/>
              </w:rPr>
              <w:t>224,506</w:t>
            </w:r>
          </w:p>
        </w:tc>
        <w:tc>
          <w:tcPr>
            <w:tcW w:w="163" w:type="pct"/>
            <w:shd w:val="clear" w:color="auto" w:fill="auto"/>
            <w:vAlign w:val="bottom"/>
            <w:hideMark/>
          </w:tcPr>
          <w:p w14:paraId="338B41C8"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 </w:t>
            </w:r>
          </w:p>
        </w:tc>
      </w:tr>
      <w:tr w:rsidR="00785E2A" w:rsidRPr="006A2A5E" w14:paraId="0E5BF370" w14:textId="77777777" w:rsidTr="007F1412">
        <w:tc>
          <w:tcPr>
            <w:tcW w:w="2640" w:type="pct"/>
            <w:shd w:val="clear" w:color="auto" w:fill="auto"/>
            <w:tcMar>
              <w:top w:w="0" w:type="dxa"/>
              <w:left w:w="400" w:type="dxa"/>
              <w:bottom w:w="30" w:type="dxa"/>
              <w:right w:w="0" w:type="dxa"/>
            </w:tcMar>
            <w:vAlign w:val="bottom"/>
            <w:hideMark/>
          </w:tcPr>
          <w:p w14:paraId="1A2D585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Accounts payable and accrued liabilities</w:t>
            </w:r>
          </w:p>
        </w:tc>
        <w:tc>
          <w:tcPr>
            <w:tcW w:w="49" w:type="pct"/>
          </w:tcPr>
          <w:p w14:paraId="58A20A5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30" w:type="dxa"/>
              <w:right w:w="0" w:type="dxa"/>
            </w:tcMar>
            <w:vAlign w:val="bottom"/>
            <w:hideMark/>
          </w:tcPr>
          <w:p w14:paraId="5B72CD67"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tcBorders>
              <w:bottom w:val="single" w:sz="12" w:space="0" w:color="000000"/>
            </w:tcBorders>
            <w:shd w:val="clear" w:color="auto" w:fill="auto"/>
            <w:vAlign w:val="bottom"/>
            <w:hideMark/>
          </w:tcPr>
          <w:p w14:paraId="5E3EBDC3"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bottom w:val="single" w:sz="12" w:space="0" w:color="000000"/>
            </w:tcBorders>
            <w:shd w:val="clear" w:color="auto" w:fill="auto"/>
            <w:vAlign w:val="bottom"/>
          </w:tcPr>
          <w:p w14:paraId="2802B769"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1,149,</w:t>
            </w:r>
            <w:r>
              <w:rPr>
                <w:rFonts w:ascii="Times New Roman" w:eastAsia="Times New Roman" w:hAnsi="Times New Roman" w:cs="Times New Roman"/>
                <w:b/>
                <w:bCs/>
                <w:sz w:val="20"/>
                <w:szCs w:val="20"/>
                <w:lang w:val="en-US"/>
              </w:rPr>
              <w:t>525</w:t>
            </w:r>
          </w:p>
        </w:tc>
        <w:tc>
          <w:tcPr>
            <w:tcW w:w="169" w:type="pct"/>
            <w:shd w:val="clear" w:color="auto" w:fill="auto"/>
            <w:tcMar>
              <w:top w:w="0" w:type="dxa"/>
              <w:left w:w="0" w:type="dxa"/>
              <w:bottom w:w="30" w:type="dxa"/>
              <w:right w:w="0" w:type="dxa"/>
            </w:tcMar>
            <w:vAlign w:val="bottom"/>
          </w:tcPr>
          <w:p w14:paraId="0B42FB42"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tcMar>
              <w:top w:w="0" w:type="dxa"/>
              <w:left w:w="0" w:type="dxa"/>
              <w:bottom w:w="30" w:type="dxa"/>
              <w:right w:w="0" w:type="dxa"/>
            </w:tcMar>
            <w:vAlign w:val="bottom"/>
          </w:tcPr>
          <w:p w14:paraId="23ADCABA"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bottom w:val="single" w:sz="12" w:space="0" w:color="000000"/>
            </w:tcBorders>
            <w:shd w:val="clear" w:color="auto" w:fill="auto"/>
            <w:vAlign w:val="bottom"/>
          </w:tcPr>
          <w:p w14:paraId="5D46FA7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bottom w:val="single" w:sz="12" w:space="0" w:color="000000"/>
            </w:tcBorders>
            <w:shd w:val="clear" w:color="auto" w:fill="auto"/>
            <w:vAlign w:val="bottom"/>
          </w:tcPr>
          <w:p w14:paraId="070295B9"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470,166</w:t>
            </w:r>
          </w:p>
        </w:tc>
        <w:tc>
          <w:tcPr>
            <w:tcW w:w="163" w:type="pct"/>
            <w:shd w:val="clear" w:color="auto" w:fill="auto"/>
            <w:tcMar>
              <w:top w:w="0" w:type="dxa"/>
              <w:left w:w="0" w:type="dxa"/>
              <w:bottom w:w="30" w:type="dxa"/>
              <w:right w:w="0" w:type="dxa"/>
            </w:tcMar>
            <w:vAlign w:val="bottom"/>
            <w:hideMark/>
          </w:tcPr>
          <w:p w14:paraId="0936976D"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 </w:t>
            </w:r>
          </w:p>
        </w:tc>
      </w:tr>
      <w:tr w:rsidR="00785E2A" w:rsidRPr="006A2A5E" w14:paraId="0F3AFA3F" w14:textId="77777777" w:rsidTr="007F1412">
        <w:tc>
          <w:tcPr>
            <w:tcW w:w="2640" w:type="pct"/>
            <w:shd w:val="clear" w:color="auto" w:fill="auto"/>
            <w:tcMar>
              <w:top w:w="0" w:type="dxa"/>
              <w:left w:w="0" w:type="dxa"/>
              <w:bottom w:w="30" w:type="dxa"/>
              <w:right w:w="0" w:type="dxa"/>
            </w:tcMar>
            <w:vAlign w:val="bottom"/>
            <w:hideMark/>
          </w:tcPr>
          <w:p w14:paraId="7896C40F"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Net cash used in operating activities</w:t>
            </w:r>
          </w:p>
        </w:tc>
        <w:tc>
          <w:tcPr>
            <w:tcW w:w="49" w:type="pct"/>
          </w:tcPr>
          <w:p w14:paraId="4AEC7261"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30" w:type="dxa"/>
              <w:right w:w="0" w:type="dxa"/>
            </w:tcMar>
            <w:vAlign w:val="bottom"/>
            <w:hideMark/>
          </w:tcPr>
          <w:p w14:paraId="6BECC1B0"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tcBorders>
              <w:bottom w:val="single" w:sz="12" w:space="0" w:color="000000"/>
            </w:tcBorders>
            <w:shd w:val="clear" w:color="auto" w:fill="auto"/>
            <w:vAlign w:val="bottom"/>
            <w:hideMark/>
          </w:tcPr>
          <w:p w14:paraId="74CF5D98"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bottom w:val="single" w:sz="12" w:space="0" w:color="000000"/>
            </w:tcBorders>
            <w:shd w:val="clear" w:color="auto" w:fill="auto"/>
            <w:vAlign w:val="bottom"/>
          </w:tcPr>
          <w:p w14:paraId="52467658"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5,798,415</w:t>
            </w:r>
          </w:p>
        </w:tc>
        <w:tc>
          <w:tcPr>
            <w:tcW w:w="169" w:type="pct"/>
            <w:shd w:val="clear" w:color="auto" w:fill="auto"/>
            <w:tcMar>
              <w:top w:w="0" w:type="dxa"/>
              <w:left w:w="0" w:type="dxa"/>
              <w:bottom w:w="30" w:type="dxa"/>
              <w:right w:w="0" w:type="dxa"/>
            </w:tcMar>
            <w:vAlign w:val="bottom"/>
          </w:tcPr>
          <w:p w14:paraId="7436FDFC"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8" w:type="pct"/>
            <w:shd w:val="clear" w:color="auto" w:fill="auto"/>
            <w:tcMar>
              <w:top w:w="0" w:type="dxa"/>
              <w:left w:w="0" w:type="dxa"/>
              <w:bottom w:w="30" w:type="dxa"/>
              <w:right w:w="0" w:type="dxa"/>
            </w:tcMar>
            <w:vAlign w:val="bottom"/>
          </w:tcPr>
          <w:p w14:paraId="7CBA9B9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bottom w:val="single" w:sz="12" w:space="0" w:color="000000"/>
            </w:tcBorders>
            <w:shd w:val="clear" w:color="auto" w:fill="auto"/>
            <w:vAlign w:val="bottom"/>
          </w:tcPr>
          <w:p w14:paraId="1DEFD13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bottom w:val="single" w:sz="12" w:space="0" w:color="000000"/>
            </w:tcBorders>
            <w:shd w:val="clear" w:color="auto" w:fill="auto"/>
            <w:vAlign w:val="bottom"/>
          </w:tcPr>
          <w:p w14:paraId="1438F67B"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r>
              <w:rPr>
                <w:rFonts w:ascii="Times New Roman" w:eastAsia="Times New Roman" w:hAnsi="Times New Roman" w:cs="Times New Roman"/>
                <w:sz w:val="20"/>
                <w:szCs w:val="20"/>
              </w:rPr>
              <w:t>643,369</w:t>
            </w:r>
          </w:p>
        </w:tc>
        <w:tc>
          <w:tcPr>
            <w:tcW w:w="163" w:type="pct"/>
            <w:shd w:val="clear" w:color="auto" w:fill="auto"/>
            <w:tcMar>
              <w:top w:w="0" w:type="dxa"/>
              <w:left w:w="0" w:type="dxa"/>
              <w:bottom w:w="30" w:type="dxa"/>
              <w:right w:w="0" w:type="dxa"/>
            </w:tcMar>
            <w:vAlign w:val="bottom"/>
            <w:hideMark/>
          </w:tcPr>
          <w:p w14:paraId="68549091"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p>
        </w:tc>
      </w:tr>
      <w:tr w:rsidR="00785E2A" w:rsidRPr="006A2A5E" w14:paraId="12720471" w14:textId="77777777" w:rsidTr="007F1412">
        <w:tc>
          <w:tcPr>
            <w:tcW w:w="2640" w:type="pct"/>
            <w:shd w:val="clear" w:color="auto" w:fill="auto"/>
            <w:vAlign w:val="bottom"/>
            <w:hideMark/>
          </w:tcPr>
          <w:p w14:paraId="649F081E"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b/>
                <w:bCs/>
                <w:sz w:val="20"/>
                <w:szCs w:val="20"/>
                <w:lang w:val="en-US"/>
              </w:rPr>
              <w:t>Investing activities:</w:t>
            </w:r>
          </w:p>
        </w:tc>
        <w:tc>
          <w:tcPr>
            <w:tcW w:w="49" w:type="pct"/>
          </w:tcPr>
          <w:p w14:paraId="440760CF"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hideMark/>
          </w:tcPr>
          <w:p w14:paraId="6A19ACFA"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hideMark/>
          </w:tcPr>
          <w:p w14:paraId="760DF378"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10423E14" w14:textId="77777777" w:rsidR="00785E2A" w:rsidRPr="00B0377E" w:rsidRDefault="00785E2A" w:rsidP="007F1412">
            <w:pPr>
              <w:spacing w:after="0" w:line="240" w:lineRule="auto"/>
              <w:jc w:val="right"/>
              <w:rPr>
                <w:rFonts w:ascii="Times New Roman" w:eastAsia="Times New Roman" w:hAnsi="Times New Roman" w:cs="Times New Roman"/>
                <w:b/>
                <w:bCs/>
                <w:sz w:val="20"/>
                <w:szCs w:val="20"/>
                <w:highlight w:val="yellow"/>
                <w:lang w:val="en-US"/>
              </w:rPr>
            </w:pPr>
          </w:p>
        </w:tc>
        <w:tc>
          <w:tcPr>
            <w:tcW w:w="169" w:type="pct"/>
            <w:shd w:val="clear" w:color="auto" w:fill="auto"/>
            <w:vAlign w:val="bottom"/>
          </w:tcPr>
          <w:p w14:paraId="585445ED"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340B8BEF"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3A042CD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4D37EAFF"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p>
        </w:tc>
        <w:tc>
          <w:tcPr>
            <w:tcW w:w="163" w:type="pct"/>
            <w:shd w:val="clear" w:color="auto" w:fill="auto"/>
            <w:vAlign w:val="bottom"/>
            <w:hideMark/>
          </w:tcPr>
          <w:p w14:paraId="753F24C1"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 </w:t>
            </w:r>
          </w:p>
        </w:tc>
      </w:tr>
      <w:tr w:rsidR="00785E2A" w:rsidRPr="006A2A5E" w14:paraId="0B586972" w14:textId="77777777" w:rsidTr="007F1412">
        <w:tc>
          <w:tcPr>
            <w:tcW w:w="2640" w:type="pct"/>
            <w:shd w:val="clear" w:color="auto" w:fill="auto"/>
            <w:tcMar>
              <w:top w:w="0" w:type="dxa"/>
              <w:left w:w="200" w:type="dxa"/>
              <w:bottom w:w="0" w:type="dxa"/>
              <w:right w:w="0" w:type="dxa"/>
            </w:tcMar>
            <w:vAlign w:val="bottom"/>
            <w:hideMark/>
          </w:tcPr>
          <w:p w14:paraId="3B210E23"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Property and equipment expenditures</w:t>
            </w:r>
          </w:p>
        </w:tc>
        <w:tc>
          <w:tcPr>
            <w:tcW w:w="49" w:type="pct"/>
          </w:tcPr>
          <w:p w14:paraId="7E28193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hideMark/>
          </w:tcPr>
          <w:p w14:paraId="635B941D"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hideMark/>
          </w:tcPr>
          <w:p w14:paraId="4B4E0D9A"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0C6CAA76"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160,003</w:t>
            </w:r>
          </w:p>
        </w:tc>
        <w:tc>
          <w:tcPr>
            <w:tcW w:w="169" w:type="pct"/>
            <w:shd w:val="clear" w:color="auto" w:fill="auto"/>
            <w:vAlign w:val="bottom"/>
          </w:tcPr>
          <w:p w14:paraId="3FD4185B"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8" w:type="pct"/>
            <w:shd w:val="clear" w:color="auto" w:fill="auto"/>
            <w:vAlign w:val="bottom"/>
          </w:tcPr>
          <w:p w14:paraId="46B72A5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7BDFDF7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568C90E0"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(3</w:t>
            </w:r>
            <w:r>
              <w:rPr>
                <w:rFonts w:ascii="Times New Roman" w:eastAsia="Times New Roman" w:hAnsi="Times New Roman" w:cs="Times New Roman"/>
                <w:sz w:val="20"/>
                <w:szCs w:val="20"/>
              </w:rPr>
              <w:t>22</w:t>
            </w:r>
          </w:p>
        </w:tc>
        <w:tc>
          <w:tcPr>
            <w:tcW w:w="163" w:type="pct"/>
            <w:shd w:val="clear" w:color="auto" w:fill="auto"/>
            <w:vAlign w:val="bottom"/>
            <w:hideMark/>
          </w:tcPr>
          <w:p w14:paraId="699EC780"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p>
        </w:tc>
      </w:tr>
      <w:tr w:rsidR="00785E2A" w:rsidRPr="006A2A5E" w14:paraId="00D8C388" w14:textId="77777777" w:rsidTr="007F1412">
        <w:tc>
          <w:tcPr>
            <w:tcW w:w="2640" w:type="pct"/>
            <w:shd w:val="clear" w:color="auto" w:fill="auto"/>
            <w:tcMar>
              <w:top w:w="0" w:type="dxa"/>
              <w:left w:w="200" w:type="dxa"/>
              <w:bottom w:w="0" w:type="dxa"/>
              <w:right w:w="0" w:type="dxa"/>
            </w:tcMar>
            <w:vAlign w:val="bottom"/>
          </w:tcPr>
          <w:p w14:paraId="59D1FC20"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Oil and gas properties expenditures</w:t>
            </w:r>
          </w:p>
        </w:tc>
        <w:tc>
          <w:tcPr>
            <w:tcW w:w="49" w:type="pct"/>
          </w:tcPr>
          <w:p w14:paraId="67C23CED"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21A8401E"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tcBorders>
              <w:bottom w:val="single" w:sz="12" w:space="0" w:color="auto"/>
            </w:tcBorders>
            <w:shd w:val="clear" w:color="auto" w:fill="auto"/>
            <w:vAlign w:val="bottom"/>
          </w:tcPr>
          <w:p w14:paraId="4EB08794" w14:textId="77777777" w:rsidR="00785E2A" w:rsidRPr="007F73B3"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bottom w:val="single" w:sz="12" w:space="0" w:color="auto"/>
            </w:tcBorders>
            <w:shd w:val="clear" w:color="auto" w:fill="auto"/>
            <w:vAlign w:val="bottom"/>
          </w:tcPr>
          <w:p w14:paraId="654E19F2"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169" w:type="pct"/>
            <w:shd w:val="clear" w:color="auto" w:fill="auto"/>
            <w:vAlign w:val="bottom"/>
          </w:tcPr>
          <w:p w14:paraId="00464950"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237720D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bottom w:val="single" w:sz="12" w:space="0" w:color="auto"/>
            </w:tcBorders>
            <w:shd w:val="clear" w:color="auto" w:fill="auto"/>
            <w:vAlign w:val="bottom"/>
          </w:tcPr>
          <w:p w14:paraId="2C34648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bottom w:val="single" w:sz="12" w:space="0" w:color="auto"/>
            </w:tcBorders>
            <w:shd w:val="clear" w:color="auto" w:fill="auto"/>
            <w:vAlign w:val="bottom"/>
          </w:tcPr>
          <w:p w14:paraId="71005CC9"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r>
              <w:rPr>
                <w:rFonts w:ascii="Times New Roman" w:eastAsia="Times New Roman" w:hAnsi="Times New Roman" w:cs="Times New Roman"/>
                <w:sz w:val="20"/>
                <w:szCs w:val="20"/>
              </w:rPr>
              <w:t>6,800</w:t>
            </w:r>
            <w:r w:rsidRPr="002A5155" w:rsidDel="005270E9">
              <w:rPr>
                <w:rFonts w:ascii="Times New Roman" w:eastAsia="Times New Roman" w:hAnsi="Times New Roman" w:cs="Times New Roman"/>
                <w:sz w:val="20"/>
                <w:szCs w:val="20"/>
                <w:lang w:val="en-US"/>
              </w:rPr>
              <w:t xml:space="preserve"> </w:t>
            </w:r>
          </w:p>
        </w:tc>
        <w:tc>
          <w:tcPr>
            <w:tcW w:w="163" w:type="pct"/>
            <w:shd w:val="clear" w:color="auto" w:fill="auto"/>
            <w:vAlign w:val="bottom"/>
          </w:tcPr>
          <w:p w14:paraId="35F48681"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w:t>
            </w:r>
          </w:p>
        </w:tc>
      </w:tr>
      <w:tr w:rsidR="00785E2A" w:rsidRPr="006A2A5E" w14:paraId="4D0044CF" w14:textId="77777777" w:rsidTr="007F1412">
        <w:tc>
          <w:tcPr>
            <w:tcW w:w="2640" w:type="pct"/>
            <w:shd w:val="clear" w:color="auto" w:fill="auto"/>
            <w:tcMar>
              <w:top w:w="0" w:type="dxa"/>
              <w:left w:w="200" w:type="dxa"/>
              <w:bottom w:w="30" w:type="dxa"/>
              <w:right w:w="0" w:type="dxa"/>
            </w:tcMar>
            <w:vAlign w:val="bottom"/>
          </w:tcPr>
          <w:p w14:paraId="16D1E285"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Net cash used in investing activities</w:t>
            </w:r>
          </w:p>
        </w:tc>
        <w:tc>
          <w:tcPr>
            <w:tcW w:w="49" w:type="pct"/>
          </w:tcPr>
          <w:p w14:paraId="0CEBBEF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30" w:type="dxa"/>
              <w:right w:w="0" w:type="dxa"/>
            </w:tcMar>
            <w:vAlign w:val="bottom"/>
          </w:tcPr>
          <w:p w14:paraId="4B08F27D"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tcBorders>
              <w:top w:val="single" w:sz="12" w:space="0" w:color="auto"/>
              <w:bottom w:val="single" w:sz="12" w:space="0" w:color="auto"/>
            </w:tcBorders>
            <w:shd w:val="clear" w:color="auto" w:fill="auto"/>
            <w:vAlign w:val="bottom"/>
          </w:tcPr>
          <w:p w14:paraId="314B79D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top w:val="single" w:sz="12" w:space="0" w:color="auto"/>
              <w:bottom w:val="single" w:sz="12" w:space="0" w:color="auto"/>
            </w:tcBorders>
            <w:shd w:val="clear" w:color="auto" w:fill="auto"/>
            <w:vAlign w:val="bottom"/>
          </w:tcPr>
          <w:p w14:paraId="378D2556"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160,003</w:t>
            </w:r>
          </w:p>
        </w:tc>
        <w:tc>
          <w:tcPr>
            <w:tcW w:w="169" w:type="pct"/>
            <w:shd w:val="clear" w:color="auto" w:fill="auto"/>
            <w:tcMar>
              <w:top w:w="0" w:type="dxa"/>
              <w:left w:w="0" w:type="dxa"/>
              <w:bottom w:w="30" w:type="dxa"/>
              <w:right w:w="0" w:type="dxa"/>
            </w:tcMar>
            <w:vAlign w:val="bottom"/>
          </w:tcPr>
          <w:p w14:paraId="3CDE28FD"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8" w:type="pct"/>
            <w:shd w:val="clear" w:color="auto" w:fill="auto"/>
            <w:tcMar>
              <w:top w:w="0" w:type="dxa"/>
              <w:left w:w="0" w:type="dxa"/>
              <w:bottom w:w="30" w:type="dxa"/>
              <w:right w:w="0" w:type="dxa"/>
            </w:tcMar>
            <w:vAlign w:val="bottom"/>
          </w:tcPr>
          <w:p w14:paraId="31D73619"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top w:val="single" w:sz="12" w:space="0" w:color="auto"/>
              <w:bottom w:val="single" w:sz="12" w:space="0" w:color="auto"/>
            </w:tcBorders>
            <w:shd w:val="clear" w:color="auto" w:fill="auto"/>
            <w:vAlign w:val="bottom"/>
          </w:tcPr>
          <w:p w14:paraId="28431BC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top w:val="single" w:sz="12" w:space="0" w:color="auto"/>
              <w:bottom w:val="single" w:sz="12" w:space="0" w:color="auto"/>
            </w:tcBorders>
            <w:shd w:val="clear" w:color="auto" w:fill="auto"/>
            <w:vAlign w:val="bottom"/>
          </w:tcPr>
          <w:p w14:paraId="318E3C39"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r>
              <w:rPr>
                <w:rFonts w:ascii="Times New Roman" w:eastAsia="Times New Roman" w:hAnsi="Times New Roman" w:cs="Times New Roman"/>
                <w:sz w:val="20"/>
                <w:szCs w:val="20"/>
              </w:rPr>
              <w:t>7,122</w:t>
            </w:r>
          </w:p>
        </w:tc>
        <w:tc>
          <w:tcPr>
            <w:tcW w:w="163" w:type="pct"/>
            <w:shd w:val="clear" w:color="auto" w:fill="auto"/>
            <w:tcMar>
              <w:top w:w="0" w:type="dxa"/>
              <w:left w:w="0" w:type="dxa"/>
              <w:bottom w:w="30" w:type="dxa"/>
              <w:right w:w="0" w:type="dxa"/>
            </w:tcMar>
            <w:vAlign w:val="bottom"/>
          </w:tcPr>
          <w:p w14:paraId="38A92BC0"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w:t>
            </w:r>
          </w:p>
        </w:tc>
      </w:tr>
      <w:tr w:rsidR="00785E2A" w:rsidRPr="006A2A5E" w14:paraId="5EF607CA" w14:textId="77777777" w:rsidTr="007F1412">
        <w:tc>
          <w:tcPr>
            <w:tcW w:w="2640" w:type="pct"/>
            <w:shd w:val="clear" w:color="auto" w:fill="auto"/>
            <w:tcMar>
              <w:top w:w="0" w:type="dxa"/>
              <w:left w:w="0" w:type="dxa"/>
              <w:bottom w:w="30" w:type="dxa"/>
              <w:right w:w="0" w:type="dxa"/>
            </w:tcMar>
            <w:vAlign w:val="bottom"/>
          </w:tcPr>
          <w:p w14:paraId="1E5C8DCC"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b/>
                <w:bCs/>
                <w:sz w:val="20"/>
                <w:szCs w:val="20"/>
                <w:lang w:val="en-US"/>
              </w:rPr>
              <w:t>Financing activities:</w:t>
            </w:r>
          </w:p>
        </w:tc>
        <w:tc>
          <w:tcPr>
            <w:tcW w:w="49" w:type="pct"/>
          </w:tcPr>
          <w:p w14:paraId="5FB8815B"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30" w:type="dxa"/>
              <w:right w:w="0" w:type="dxa"/>
            </w:tcMar>
            <w:vAlign w:val="bottom"/>
          </w:tcPr>
          <w:p w14:paraId="44476D61"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tcBorders>
              <w:top w:val="single" w:sz="12" w:space="0" w:color="auto"/>
            </w:tcBorders>
            <w:shd w:val="clear" w:color="auto" w:fill="auto"/>
            <w:vAlign w:val="bottom"/>
          </w:tcPr>
          <w:p w14:paraId="033BFC9B"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top w:val="single" w:sz="12" w:space="0" w:color="auto"/>
            </w:tcBorders>
            <w:shd w:val="clear" w:color="auto" w:fill="auto"/>
            <w:vAlign w:val="bottom"/>
          </w:tcPr>
          <w:p w14:paraId="2F567C09" w14:textId="77777777" w:rsidR="00785E2A" w:rsidRPr="00B0377E" w:rsidRDefault="00785E2A" w:rsidP="007F1412">
            <w:pPr>
              <w:spacing w:after="0" w:line="240" w:lineRule="auto"/>
              <w:jc w:val="right"/>
              <w:rPr>
                <w:rFonts w:ascii="Times New Roman" w:eastAsia="Times New Roman" w:hAnsi="Times New Roman" w:cs="Times New Roman"/>
                <w:b/>
                <w:bCs/>
                <w:sz w:val="20"/>
                <w:szCs w:val="20"/>
                <w:highlight w:val="yellow"/>
                <w:lang w:val="en-US"/>
              </w:rPr>
            </w:pPr>
          </w:p>
        </w:tc>
        <w:tc>
          <w:tcPr>
            <w:tcW w:w="169" w:type="pct"/>
            <w:shd w:val="clear" w:color="auto" w:fill="auto"/>
            <w:tcMar>
              <w:top w:w="0" w:type="dxa"/>
              <w:left w:w="0" w:type="dxa"/>
              <w:bottom w:w="30" w:type="dxa"/>
              <w:right w:w="0" w:type="dxa"/>
            </w:tcMar>
            <w:vAlign w:val="bottom"/>
          </w:tcPr>
          <w:p w14:paraId="23E121D1"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tcMar>
              <w:top w:w="0" w:type="dxa"/>
              <w:left w:w="0" w:type="dxa"/>
              <w:bottom w:w="30" w:type="dxa"/>
              <w:right w:w="0" w:type="dxa"/>
            </w:tcMar>
            <w:vAlign w:val="bottom"/>
          </w:tcPr>
          <w:p w14:paraId="0EDB106B"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top w:val="single" w:sz="12" w:space="0" w:color="auto"/>
            </w:tcBorders>
            <w:shd w:val="clear" w:color="auto" w:fill="auto"/>
            <w:vAlign w:val="bottom"/>
          </w:tcPr>
          <w:p w14:paraId="051182E9"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top w:val="single" w:sz="12" w:space="0" w:color="auto"/>
            </w:tcBorders>
            <w:shd w:val="clear" w:color="auto" w:fill="auto"/>
            <w:vAlign w:val="bottom"/>
          </w:tcPr>
          <w:p w14:paraId="0BD7D44D"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p>
        </w:tc>
        <w:tc>
          <w:tcPr>
            <w:tcW w:w="163" w:type="pct"/>
            <w:shd w:val="clear" w:color="auto" w:fill="auto"/>
            <w:tcMar>
              <w:top w:w="0" w:type="dxa"/>
              <w:left w:w="0" w:type="dxa"/>
              <w:bottom w:w="30" w:type="dxa"/>
              <w:right w:w="0" w:type="dxa"/>
            </w:tcMar>
            <w:vAlign w:val="bottom"/>
          </w:tcPr>
          <w:p w14:paraId="71F85587"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 </w:t>
            </w:r>
          </w:p>
        </w:tc>
      </w:tr>
      <w:tr w:rsidR="00785E2A" w:rsidRPr="006A2A5E" w14:paraId="1F4E5FDB" w14:textId="77777777" w:rsidTr="007F1412">
        <w:tc>
          <w:tcPr>
            <w:tcW w:w="2640" w:type="pct"/>
            <w:shd w:val="clear" w:color="auto" w:fill="auto"/>
            <w:vAlign w:val="bottom"/>
          </w:tcPr>
          <w:p w14:paraId="1F95B204"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6A2A5E">
              <w:rPr>
                <w:rFonts w:ascii="Times New Roman" w:eastAsia="Times New Roman" w:hAnsi="Times New Roman" w:cs="Times New Roman"/>
                <w:sz w:val="20"/>
                <w:szCs w:val="20"/>
                <w:lang w:val="en-US"/>
              </w:rPr>
              <w:t>Proceeds from stock subscriptions received</w:t>
            </w:r>
          </w:p>
        </w:tc>
        <w:tc>
          <w:tcPr>
            <w:tcW w:w="49" w:type="pct"/>
          </w:tcPr>
          <w:p w14:paraId="4CDB10EE"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0B254D43"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3111ABC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0DF8B49D"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31,351,120</w:t>
            </w:r>
          </w:p>
        </w:tc>
        <w:tc>
          <w:tcPr>
            <w:tcW w:w="169" w:type="pct"/>
            <w:shd w:val="clear" w:color="auto" w:fill="auto"/>
            <w:vAlign w:val="bottom"/>
          </w:tcPr>
          <w:p w14:paraId="1935960C"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37CA07E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5C9CFB1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0D594540"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642,096</w:t>
            </w:r>
          </w:p>
        </w:tc>
        <w:tc>
          <w:tcPr>
            <w:tcW w:w="163" w:type="pct"/>
            <w:shd w:val="clear" w:color="auto" w:fill="auto"/>
            <w:vAlign w:val="bottom"/>
          </w:tcPr>
          <w:p w14:paraId="34C25BF4"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 </w:t>
            </w:r>
          </w:p>
        </w:tc>
      </w:tr>
      <w:tr w:rsidR="00785E2A" w:rsidRPr="006A2A5E" w14:paraId="5AC4B09F" w14:textId="77777777" w:rsidTr="007F1412">
        <w:tc>
          <w:tcPr>
            <w:tcW w:w="2640" w:type="pct"/>
            <w:shd w:val="clear" w:color="auto" w:fill="auto"/>
            <w:vAlign w:val="bottom"/>
          </w:tcPr>
          <w:p w14:paraId="1CC02196" w14:textId="77777777" w:rsidR="00785E2A" w:rsidRDefault="00785E2A" w:rsidP="007F1412">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Stock issuance costs on subscriptions received</w:t>
            </w:r>
          </w:p>
        </w:tc>
        <w:tc>
          <w:tcPr>
            <w:tcW w:w="49" w:type="pct"/>
          </w:tcPr>
          <w:p w14:paraId="11D546D8"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3E0B8DA8"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5C4640EB" w14:textId="77777777" w:rsidR="00785E2A" w:rsidRPr="007F73B3" w:rsidRDefault="00785E2A" w:rsidP="007F1412">
            <w:pPr>
              <w:spacing w:after="0" w:line="240" w:lineRule="auto"/>
              <w:jc w:val="both"/>
              <w:rPr>
                <w:rFonts w:ascii="Times New Roman" w:eastAsia="Times New Roman" w:hAnsi="Times New Roman" w:cs="Times New Roman"/>
                <w:sz w:val="20"/>
                <w:szCs w:val="20"/>
                <w:lang w:val="en-US"/>
              </w:rPr>
            </w:pPr>
          </w:p>
        </w:tc>
        <w:tc>
          <w:tcPr>
            <w:tcW w:w="756" w:type="pct"/>
            <w:shd w:val="clear" w:color="auto" w:fill="auto"/>
            <w:vAlign w:val="bottom"/>
          </w:tcPr>
          <w:p w14:paraId="0E355DE0"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w:t>
            </w:r>
            <w:r>
              <w:rPr>
                <w:rFonts w:ascii="Times New Roman" w:eastAsia="Times New Roman" w:hAnsi="Times New Roman" w:cs="Times New Roman"/>
                <w:b/>
                <w:bCs/>
                <w:sz w:val="20"/>
                <w:szCs w:val="20"/>
                <w:lang w:val="en-US"/>
              </w:rPr>
              <w:t>658</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065</w:t>
            </w:r>
          </w:p>
        </w:tc>
        <w:tc>
          <w:tcPr>
            <w:tcW w:w="169" w:type="pct"/>
            <w:shd w:val="clear" w:color="auto" w:fill="auto"/>
            <w:vAlign w:val="bottom"/>
          </w:tcPr>
          <w:p w14:paraId="305F206F"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58" w:type="pct"/>
            <w:shd w:val="clear" w:color="auto" w:fill="auto"/>
            <w:vAlign w:val="bottom"/>
          </w:tcPr>
          <w:p w14:paraId="4C6C15CB"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698CF3E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5F768324" w14:textId="77777777" w:rsidR="00785E2A" w:rsidRPr="002A5155" w:rsidRDefault="00785E2A" w:rsidP="007F141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3" w:type="pct"/>
            <w:shd w:val="clear" w:color="auto" w:fill="auto"/>
            <w:vAlign w:val="bottom"/>
          </w:tcPr>
          <w:p w14:paraId="6091F72F"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p>
        </w:tc>
      </w:tr>
      <w:tr w:rsidR="00785E2A" w:rsidRPr="006A2A5E" w14:paraId="0C826C96" w14:textId="77777777" w:rsidTr="007F1412">
        <w:tc>
          <w:tcPr>
            <w:tcW w:w="2640" w:type="pct"/>
            <w:shd w:val="clear" w:color="auto" w:fill="auto"/>
            <w:tcMar>
              <w:top w:w="0" w:type="dxa"/>
              <w:left w:w="200" w:type="dxa"/>
              <w:bottom w:w="0" w:type="dxa"/>
              <w:right w:w="0" w:type="dxa"/>
            </w:tcMar>
            <w:vAlign w:val="bottom"/>
          </w:tcPr>
          <w:p w14:paraId="46B8A8D7"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Proceeds from exercise of options</w:t>
            </w:r>
          </w:p>
        </w:tc>
        <w:tc>
          <w:tcPr>
            <w:tcW w:w="49" w:type="pct"/>
          </w:tcPr>
          <w:p w14:paraId="35321B38" w14:textId="77777777" w:rsidR="00785E2A" w:rsidRPr="006A2A5E" w:rsidDel="00D32FDD"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5E4B0863"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7F8D9E0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56" w:type="pct"/>
            <w:shd w:val="clear" w:color="auto" w:fill="auto"/>
            <w:vAlign w:val="bottom"/>
          </w:tcPr>
          <w:p w14:paraId="76F420C5"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19</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571</w:t>
            </w:r>
          </w:p>
        </w:tc>
        <w:tc>
          <w:tcPr>
            <w:tcW w:w="169" w:type="pct"/>
            <w:shd w:val="clear" w:color="auto" w:fill="auto"/>
            <w:vAlign w:val="bottom"/>
          </w:tcPr>
          <w:p w14:paraId="0E9A289F"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4B15036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00303D4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55AB320B"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29,761</w:t>
            </w:r>
          </w:p>
        </w:tc>
        <w:tc>
          <w:tcPr>
            <w:tcW w:w="163" w:type="pct"/>
            <w:shd w:val="clear" w:color="auto" w:fill="auto"/>
            <w:vAlign w:val="bottom"/>
          </w:tcPr>
          <w:p w14:paraId="23ABAFC2"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p>
        </w:tc>
      </w:tr>
      <w:tr w:rsidR="00785E2A" w:rsidRPr="006A2A5E" w14:paraId="7593A321" w14:textId="77777777" w:rsidTr="007F1412">
        <w:tc>
          <w:tcPr>
            <w:tcW w:w="2640" w:type="pct"/>
            <w:shd w:val="clear" w:color="auto" w:fill="auto"/>
            <w:tcMar>
              <w:top w:w="0" w:type="dxa"/>
              <w:left w:w="200" w:type="dxa"/>
              <w:bottom w:w="0" w:type="dxa"/>
              <w:right w:w="0" w:type="dxa"/>
            </w:tcMar>
            <w:vAlign w:val="bottom"/>
          </w:tcPr>
          <w:p w14:paraId="028C786F"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Proceeds from exercise of warrants</w:t>
            </w:r>
          </w:p>
        </w:tc>
        <w:tc>
          <w:tcPr>
            <w:tcW w:w="49" w:type="pct"/>
          </w:tcPr>
          <w:p w14:paraId="61F4E7CE" w14:textId="77777777" w:rsidR="00785E2A" w:rsidRPr="006A2A5E" w:rsidDel="00662A73"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0B6DAD7F"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09A59B9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56" w:type="pct"/>
            <w:shd w:val="clear" w:color="auto" w:fill="auto"/>
            <w:vAlign w:val="bottom"/>
          </w:tcPr>
          <w:p w14:paraId="314E70AE"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35,813</w:t>
            </w:r>
          </w:p>
        </w:tc>
        <w:tc>
          <w:tcPr>
            <w:tcW w:w="169" w:type="pct"/>
            <w:shd w:val="clear" w:color="auto" w:fill="auto"/>
            <w:vAlign w:val="bottom"/>
          </w:tcPr>
          <w:p w14:paraId="29459CFA"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6EA3ED8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21DC0B3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11A624A8"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574,527</w:t>
            </w:r>
          </w:p>
        </w:tc>
        <w:tc>
          <w:tcPr>
            <w:tcW w:w="163" w:type="pct"/>
            <w:shd w:val="clear" w:color="auto" w:fill="auto"/>
            <w:vAlign w:val="bottom"/>
          </w:tcPr>
          <w:p w14:paraId="2DD8E9F2"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 </w:t>
            </w:r>
          </w:p>
        </w:tc>
      </w:tr>
      <w:tr w:rsidR="00785E2A" w:rsidRPr="006A2A5E" w14:paraId="7412B05B" w14:textId="77777777" w:rsidTr="007F1412">
        <w:tc>
          <w:tcPr>
            <w:tcW w:w="2640" w:type="pct"/>
            <w:shd w:val="clear" w:color="auto" w:fill="auto"/>
            <w:tcMar>
              <w:top w:w="0" w:type="dxa"/>
              <w:left w:w="200" w:type="dxa"/>
              <w:bottom w:w="0" w:type="dxa"/>
              <w:right w:w="0" w:type="dxa"/>
            </w:tcMar>
            <w:vAlign w:val="bottom"/>
          </w:tcPr>
          <w:p w14:paraId="3BE62E5C"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5328E1">
              <w:rPr>
                <w:rFonts w:ascii="Times New Roman" w:eastAsia="Times New Roman" w:hAnsi="Times New Roman" w:cs="Times New Roman"/>
                <w:sz w:val="20"/>
                <w:szCs w:val="20"/>
              </w:rPr>
              <w:t>Proceeds from loans payable</w:t>
            </w:r>
          </w:p>
        </w:tc>
        <w:tc>
          <w:tcPr>
            <w:tcW w:w="49" w:type="pct"/>
          </w:tcPr>
          <w:p w14:paraId="088D658E"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337D9BCE"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74CEEF8C" w14:textId="77777777" w:rsidR="00785E2A" w:rsidRPr="007F73B3"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shd w:val="clear" w:color="auto" w:fill="auto"/>
            <w:vAlign w:val="bottom"/>
          </w:tcPr>
          <w:p w14:paraId="41C8B32A"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91,651</w:t>
            </w:r>
          </w:p>
        </w:tc>
        <w:tc>
          <w:tcPr>
            <w:tcW w:w="169" w:type="pct"/>
            <w:shd w:val="clear" w:color="auto" w:fill="auto"/>
            <w:vAlign w:val="bottom"/>
          </w:tcPr>
          <w:p w14:paraId="4B8E1BE9"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vAlign w:val="bottom"/>
          </w:tcPr>
          <w:p w14:paraId="25D1A8B1"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7741491E"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1E9EF44B"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496,035</w:t>
            </w:r>
          </w:p>
        </w:tc>
        <w:tc>
          <w:tcPr>
            <w:tcW w:w="163" w:type="pct"/>
            <w:shd w:val="clear" w:color="auto" w:fill="auto"/>
            <w:vAlign w:val="bottom"/>
          </w:tcPr>
          <w:p w14:paraId="530EA667"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 </w:t>
            </w:r>
          </w:p>
        </w:tc>
      </w:tr>
      <w:tr w:rsidR="00785E2A" w:rsidRPr="006A2A5E" w14:paraId="1FA16BA7" w14:textId="77777777" w:rsidTr="007F1412">
        <w:tc>
          <w:tcPr>
            <w:tcW w:w="2640" w:type="pct"/>
            <w:shd w:val="clear" w:color="auto" w:fill="auto"/>
            <w:tcMar>
              <w:top w:w="0" w:type="dxa"/>
              <w:left w:w="200" w:type="dxa"/>
              <w:bottom w:w="0" w:type="dxa"/>
              <w:right w:w="0" w:type="dxa"/>
            </w:tcMar>
            <w:vAlign w:val="bottom"/>
          </w:tcPr>
          <w:p w14:paraId="0C048554" w14:textId="77777777" w:rsidR="00785E2A" w:rsidRPr="001E7A31" w:rsidRDefault="00785E2A" w:rsidP="007F1412">
            <w:pPr>
              <w:spacing w:after="0" w:line="240" w:lineRule="auto"/>
              <w:jc w:val="both"/>
              <w:rPr>
                <w:rFonts w:ascii="Times New Roman" w:eastAsia="Times New Roman" w:hAnsi="Times New Roman" w:cs="Times New Roman"/>
                <w:sz w:val="20"/>
                <w:szCs w:val="20"/>
                <w:lang w:val="en-US"/>
              </w:rPr>
            </w:pPr>
            <w:r w:rsidRPr="005328E1">
              <w:rPr>
                <w:rFonts w:ascii="Times New Roman" w:eastAsia="Times New Roman" w:hAnsi="Times New Roman" w:cs="Times New Roman"/>
                <w:sz w:val="20"/>
                <w:szCs w:val="20"/>
              </w:rPr>
              <w:t>Repayments of loans payable</w:t>
            </w:r>
          </w:p>
        </w:tc>
        <w:tc>
          <w:tcPr>
            <w:tcW w:w="49" w:type="pct"/>
          </w:tcPr>
          <w:p w14:paraId="247B9B25" w14:textId="77777777" w:rsidR="00785E2A" w:rsidRPr="006A2A5E" w:rsidDel="00D32FDD"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34FB93B0"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325D981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56" w:type="pct"/>
            <w:shd w:val="clear" w:color="auto" w:fill="auto"/>
            <w:vAlign w:val="bottom"/>
          </w:tcPr>
          <w:p w14:paraId="4BA052F7"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(631,866</w:t>
            </w:r>
          </w:p>
        </w:tc>
        <w:tc>
          <w:tcPr>
            <w:tcW w:w="169" w:type="pct"/>
            <w:shd w:val="clear" w:color="auto" w:fill="auto"/>
            <w:vAlign w:val="bottom"/>
          </w:tcPr>
          <w:p w14:paraId="609BB8CD"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8" w:type="pct"/>
            <w:shd w:val="clear" w:color="auto" w:fill="auto"/>
            <w:vAlign w:val="bottom"/>
          </w:tcPr>
          <w:p w14:paraId="510D7FF7"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shd w:val="clear" w:color="auto" w:fill="auto"/>
            <w:vAlign w:val="bottom"/>
          </w:tcPr>
          <w:p w14:paraId="0DF30B5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shd w:val="clear" w:color="auto" w:fill="auto"/>
            <w:vAlign w:val="bottom"/>
          </w:tcPr>
          <w:p w14:paraId="4007A017"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(10</w:t>
            </w:r>
            <w:r>
              <w:rPr>
                <w:rFonts w:ascii="Times New Roman" w:eastAsia="Times New Roman" w:hAnsi="Times New Roman" w:cs="Times New Roman"/>
                <w:sz w:val="20"/>
                <w:szCs w:val="20"/>
              </w:rPr>
              <w:t>6,294</w:t>
            </w:r>
          </w:p>
        </w:tc>
        <w:tc>
          <w:tcPr>
            <w:tcW w:w="163" w:type="pct"/>
            <w:shd w:val="clear" w:color="auto" w:fill="auto"/>
            <w:vAlign w:val="bottom"/>
          </w:tcPr>
          <w:p w14:paraId="7F9559C2"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p>
        </w:tc>
      </w:tr>
      <w:tr w:rsidR="00785E2A" w:rsidRPr="006A2A5E" w14:paraId="1C9A2B6E" w14:textId="77777777" w:rsidTr="007F1412">
        <w:tc>
          <w:tcPr>
            <w:tcW w:w="2640" w:type="pct"/>
            <w:shd w:val="clear" w:color="auto" w:fill="auto"/>
            <w:tcMar>
              <w:top w:w="0" w:type="dxa"/>
              <w:left w:w="200" w:type="dxa"/>
              <w:bottom w:w="0" w:type="dxa"/>
              <w:right w:w="0" w:type="dxa"/>
            </w:tcMar>
            <w:vAlign w:val="bottom"/>
          </w:tcPr>
          <w:p w14:paraId="0EABA908" w14:textId="77777777" w:rsidR="00785E2A" w:rsidRPr="001E7A31" w:rsidRDefault="00785E2A" w:rsidP="007F1412">
            <w:pPr>
              <w:spacing w:after="0" w:line="240" w:lineRule="auto"/>
              <w:rPr>
                <w:rFonts w:ascii="Times New Roman" w:eastAsia="Times New Roman" w:hAnsi="Times New Roman" w:cs="Times New Roman"/>
                <w:sz w:val="20"/>
                <w:szCs w:val="20"/>
                <w:lang w:val="en-US"/>
              </w:rPr>
            </w:pPr>
            <w:r w:rsidRPr="005328E1">
              <w:rPr>
                <w:rFonts w:ascii="Times New Roman" w:eastAsia="Times New Roman" w:hAnsi="Times New Roman" w:cs="Times New Roman"/>
                <w:sz w:val="20"/>
                <w:szCs w:val="20"/>
              </w:rPr>
              <w:t>Lease payments</w:t>
            </w:r>
          </w:p>
        </w:tc>
        <w:tc>
          <w:tcPr>
            <w:tcW w:w="49" w:type="pct"/>
          </w:tcPr>
          <w:p w14:paraId="6A8056B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vAlign w:val="bottom"/>
          </w:tcPr>
          <w:p w14:paraId="588ACCBE"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tcPr>
          <w:p w14:paraId="5FDD8C4F" w14:textId="77777777" w:rsidR="00785E2A" w:rsidRPr="007F73B3"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bottom w:val="single" w:sz="12" w:space="0" w:color="auto"/>
            </w:tcBorders>
            <w:shd w:val="clear" w:color="auto" w:fill="auto"/>
            <w:vAlign w:val="bottom"/>
          </w:tcPr>
          <w:p w14:paraId="515C9322"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3,041</w:t>
            </w:r>
          </w:p>
        </w:tc>
        <w:tc>
          <w:tcPr>
            <w:tcW w:w="169" w:type="pct"/>
            <w:shd w:val="clear" w:color="auto" w:fill="auto"/>
            <w:vAlign w:val="bottom"/>
          </w:tcPr>
          <w:p w14:paraId="6785506C"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8" w:type="pct"/>
            <w:shd w:val="clear" w:color="auto" w:fill="auto"/>
            <w:vAlign w:val="bottom"/>
          </w:tcPr>
          <w:p w14:paraId="006B2D9C"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bottom w:val="single" w:sz="12" w:space="0" w:color="auto"/>
            </w:tcBorders>
            <w:shd w:val="clear" w:color="auto" w:fill="auto"/>
            <w:vAlign w:val="bottom"/>
          </w:tcPr>
          <w:p w14:paraId="2AC15C24"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bottom w:val="single" w:sz="12" w:space="0" w:color="auto"/>
            </w:tcBorders>
            <w:shd w:val="clear" w:color="auto" w:fill="auto"/>
            <w:vAlign w:val="bottom"/>
          </w:tcPr>
          <w:p w14:paraId="56F899D5"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r>
              <w:rPr>
                <w:rFonts w:ascii="Times New Roman" w:eastAsia="Times New Roman" w:hAnsi="Times New Roman" w:cs="Times New Roman"/>
                <w:sz w:val="20"/>
                <w:szCs w:val="20"/>
              </w:rPr>
              <w:t>5,724</w:t>
            </w:r>
          </w:p>
        </w:tc>
        <w:tc>
          <w:tcPr>
            <w:tcW w:w="163" w:type="pct"/>
            <w:shd w:val="clear" w:color="auto" w:fill="auto"/>
            <w:vAlign w:val="bottom"/>
          </w:tcPr>
          <w:p w14:paraId="1A327409"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p>
        </w:tc>
      </w:tr>
      <w:tr w:rsidR="00785E2A" w:rsidRPr="006A2A5E" w14:paraId="2DB0CE95" w14:textId="77777777" w:rsidTr="007F1412">
        <w:tc>
          <w:tcPr>
            <w:tcW w:w="2640" w:type="pct"/>
            <w:shd w:val="clear" w:color="auto" w:fill="auto"/>
            <w:tcMar>
              <w:top w:w="0" w:type="dxa"/>
              <w:left w:w="0" w:type="dxa"/>
              <w:bottom w:w="30" w:type="dxa"/>
              <w:right w:w="0" w:type="dxa"/>
            </w:tcMar>
            <w:vAlign w:val="bottom"/>
            <w:hideMark/>
          </w:tcPr>
          <w:p w14:paraId="6180CA3D" w14:textId="77777777" w:rsidR="00785E2A" w:rsidRPr="006A2A5E" w:rsidRDefault="00785E2A" w:rsidP="007F1412">
            <w:pPr>
              <w:spacing w:after="0" w:line="240" w:lineRule="auto"/>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Net cash provided by financing activities</w:t>
            </w:r>
          </w:p>
        </w:tc>
        <w:tc>
          <w:tcPr>
            <w:tcW w:w="49" w:type="pct"/>
          </w:tcPr>
          <w:p w14:paraId="24DB779B"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30" w:type="dxa"/>
              <w:right w:w="0" w:type="dxa"/>
            </w:tcMar>
            <w:vAlign w:val="bottom"/>
            <w:hideMark/>
          </w:tcPr>
          <w:p w14:paraId="128828F0"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shd w:val="clear" w:color="auto" w:fill="auto"/>
            <w:vAlign w:val="bottom"/>
            <w:hideMark/>
          </w:tcPr>
          <w:p w14:paraId="0C97387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top w:val="single" w:sz="12" w:space="0" w:color="auto"/>
              <w:bottom w:val="single" w:sz="12" w:space="0" w:color="000000"/>
            </w:tcBorders>
            <w:shd w:val="clear" w:color="auto" w:fill="auto"/>
            <w:vAlign w:val="bottom"/>
          </w:tcPr>
          <w:p w14:paraId="205CCB79"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28,</w:t>
            </w:r>
            <w:r>
              <w:rPr>
                <w:rFonts w:ascii="Times New Roman" w:eastAsia="Times New Roman" w:hAnsi="Times New Roman" w:cs="Times New Roman"/>
                <w:b/>
                <w:bCs/>
                <w:sz w:val="20"/>
                <w:szCs w:val="20"/>
                <w:lang w:val="en-US"/>
              </w:rPr>
              <w:t>205</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183</w:t>
            </w:r>
          </w:p>
        </w:tc>
        <w:tc>
          <w:tcPr>
            <w:tcW w:w="169" w:type="pct"/>
            <w:shd w:val="clear" w:color="auto" w:fill="auto"/>
            <w:tcMar>
              <w:top w:w="0" w:type="dxa"/>
              <w:left w:w="0" w:type="dxa"/>
              <w:bottom w:w="30" w:type="dxa"/>
              <w:right w:w="0" w:type="dxa"/>
            </w:tcMar>
            <w:vAlign w:val="bottom"/>
          </w:tcPr>
          <w:p w14:paraId="22F6AFEF"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tcMar>
              <w:top w:w="0" w:type="dxa"/>
              <w:left w:w="0" w:type="dxa"/>
              <w:bottom w:w="30" w:type="dxa"/>
              <w:right w:w="0" w:type="dxa"/>
            </w:tcMar>
            <w:vAlign w:val="bottom"/>
          </w:tcPr>
          <w:p w14:paraId="6CC82888"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top w:val="single" w:sz="12" w:space="0" w:color="auto"/>
              <w:bottom w:val="single" w:sz="12" w:space="0" w:color="000000"/>
            </w:tcBorders>
            <w:shd w:val="clear" w:color="auto" w:fill="auto"/>
            <w:vAlign w:val="bottom"/>
          </w:tcPr>
          <w:p w14:paraId="55C7D8E6"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top w:val="single" w:sz="12" w:space="0" w:color="auto"/>
              <w:bottom w:val="single" w:sz="12" w:space="0" w:color="000000"/>
            </w:tcBorders>
            <w:shd w:val="clear" w:color="auto" w:fill="auto"/>
            <w:vAlign w:val="bottom"/>
          </w:tcPr>
          <w:p w14:paraId="6ED8D42E"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1,</w:t>
            </w:r>
            <w:r>
              <w:rPr>
                <w:rFonts w:ascii="Times New Roman" w:eastAsia="Times New Roman" w:hAnsi="Times New Roman" w:cs="Times New Roman"/>
                <w:sz w:val="20"/>
                <w:szCs w:val="20"/>
              </w:rPr>
              <w:t>630</w:t>
            </w:r>
            <w:r w:rsidRPr="002A5155">
              <w:rPr>
                <w:rFonts w:ascii="Times New Roman" w:eastAsia="Times New Roman" w:hAnsi="Times New Roman" w:cs="Times New Roman"/>
                <w:sz w:val="20"/>
                <w:szCs w:val="20"/>
              </w:rPr>
              <w:t>,4</w:t>
            </w:r>
            <w:r>
              <w:rPr>
                <w:rFonts w:ascii="Times New Roman" w:eastAsia="Times New Roman" w:hAnsi="Times New Roman" w:cs="Times New Roman"/>
                <w:sz w:val="20"/>
                <w:szCs w:val="20"/>
              </w:rPr>
              <w:t>01</w:t>
            </w:r>
          </w:p>
        </w:tc>
        <w:tc>
          <w:tcPr>
            <w:tcW w:w="163" w:type="pct"/>
            <w:shd w:val="clear" w:color="auto" w:fill="auto"/>
            <w:tcMar>
              <w:top w:w="0" w:type="dxa"/>
              <w:left w:w="0" w:type="dxa"/>
              <w:bottom w:w="30" w:type="dxa"/>
              <w:right w:w="0" w:type="dxa"/>
            </w:tcMar>
            <w:vAlign w:val="bottom"/>
            <w:hideMark/>
          </w:tcPr>
          <w:p w14:paraId="0F50E6BE"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 </w:t>
            </w:r>
          </w:p>
        </w:tc>
      </w:tr>
      <w:tr w:rsidR="00785E2A" w:rsidRPr="006A2A5E" w14:paraId="285AB782" w14:textId="77777777" w:rsidTr="007F1412">
        <w:tc>
          <w:tcPr>
            <w:tcW w:w="2640" w:type="pct"/>
            <w:shd w:val="clear" w:color="auto" w:fill="auto"/>
            <w:tcMar>
              <w:top w:w="0" w:type="dxa"/>
              <w:left w:w="0" w:type="dxa"/>
              <w:bottom w:w="30" w:type="dxa"/>
              <w:right w:w="0" w:type="dxa"/>
            </w:tcMar>
            <w:vAlign w:val="bottom"/>
            <w:hideMark/>
          </w:tcPr>
          <w:p w14:paraId="72F1EF8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Effect of exchange rate changes on cash and cash equivalents</w:t>
            </w:r>
          </w:p>
        </w:tc>
        <w:tc>
          <w:tcPr>
            <w:tcW w:w="49" w:type="pct"/>
          </w:tcPr>
          <w:p w14:paraId="467E5612"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30" w:type="dxa"/>
              <w:right w:w="0" w:type="dxa"/>
            </w:tcMar>
            <w:vAlign w:val="bottom"/>
            <w:hideMark/>
          </w:tcPr>
          <w:p w14:paraId="77B8D683" w14:textId="77777777" w:rsidR="00785E2A" w:rsidRPr="006A2A5E" w:rsidRDefault="00785E2A" w:rsidP="007F1412">
            <w:pPr>
              <w:spacing w:after="0" w:line="240" w:lineRule="auto"/>
              <w:jc w:val="center"/>
              <w:rPr>
                <w:rFonts w:ascii="Times New Roman" w:eastAsia="Times New Roman" w:hAnsi="Times New Roman" w:cs="Times New Roman"/>
                <w:sz w:val="20"/>
                <w:szCs w:val="20"/>
                <w:lang w:val="en-US"/>
              </w:rPr>
            </w:pPr>
          </w:p>
        </w:tc>
        <w:tc>
          <w:tcPr>
            <w:tcW w:w="49" w:type="pct"/>
            <w:tcBorders>
              <w:bottom w:val="single" w:sz="12" w:space="0" w:color="000000"/>
            </w:tcBorders>
            <w:shd w:val="clear" w:color="auto" w:fill="auto"/>
            <w:vAlign w:val="bottom"/>
            <w:hideMark/>
          </w:tcPr>
          <w:p w14:paraId="090A67F7"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bottom w:val="single" w:sz="12" w:space="0" w:color="000000"/>
            </w:tcBorders>
            <w:shd w:val="clear" w:color="auto" w:fill="auto"/>
            <w:vAlign w:val="bottom"/>
          </w:tcPr>
          <w:p w14:paraId="6F431252"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228,764</w:t>
            </w:r>
          </w:p>
        </w:tc>
        <w:tc>
          <w:tcPr>
            <w:tcW w:w="169" w:type="pct"/>
            <w:shd w:val="clear" w:color="auto" w:fill="auto"/>
            <w:tcMar>
              <w:top w:w="0" w:type="dxa"/>
              <w:left w:w="0" w:type="dxa"/>
              <w:bottom w:w="30" w:type="dxa"/>
              <w:right w:w="0" w:type="dxa"/>
            </w:tcMar>
            <w:vAlign w:val="bottom"/>
          </w:tcPr>
          <w:p w14:paraId="7B22B857"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tcMar>
              <w:top w:w="0" w:type="dxa"/>
              <w:left w:w="0" w:type="dxa"/>
              <w:bottom w:w="30" w:type="dxa"/>
              <w:right w:w="0" w:type="dxa"/>
            </w:tcMar>
            <w:vAlign w:val="bottom"/>
          </w:tcPr>
          <w:p w14:paraId="7E06D8D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bottom w:val="single" w:sz="12" w:space="0" w:color="000000"/>
            </w:tcBorders>
            <w:shd w:val="clear" w:color="auto" w:fill="auto"/>
            <w:vAlign w:val="bottom"/>
          </w:tcPr>
          <w:p w14:paraId="67B8A377"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bottom w:val="single" w:sz="12" w:space="0" w:color="000000"/>
            </w:tcBorders>
            <w:shd w:val="clear" w:color="auto" w:fill="auto"/>
            <w:vAlign w:val="bottom"/>
          </w:tcPr>
          <w:p w14:paraId="3163E878"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r>
              <w:rPr>
                <w:rFonts w:ascii="Times New Roman" w:eastAsia="Times New Roman" w:hAnsi="Times New Roman" w:cs="Times New Roman"/>
                <w:sz w:val="20"/>
                <w:szCs w:val="20"/>
              </w:rPr>
              <w:t>97,921</w:t>
            </w:r>
          </w:p>
        </w:tc>
        <w:tc>
          <w:tcPr>
            <w:tcW w:w="163" w:type="pct"/>
            <w:shd w:val="clear" w:color="auto" w:fill="auto"/>
            <w:tcMar>
              <w:top w:w="0" w:type="dxa"/>
              <w:left w:w="0" w:type="dxa"/>
              <w:bottom w:w="30" w:type="dxa"/>
              <w:right w:w="0" w:type="dxa"/>
            </w:tcMar>
            <w:vAlign w:val="bottom"/>
            <w:hideMark/>
          </w:tcPr>
          <w:p w14:paraId="60DA0E12"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w:t>
            </w:r>
          </w:p>
        </w:tc>
      </w:tr>
      <w:tr w:rsidR="00785E2A" w:rsidRPr="006A2A5E" w14:paraId="05E048A4" w14:textId="77777777" w:rsidTr="007F1412">
        <w:tc>
          <w:tcPr>
            <w:tcW w:w="2640" w:type="pct"/>
            <w:shd w:val="clear" w:color="auto" w:fill="auto"/>
            <w:tcMar>
              <w:top w:w="0" w:type="dxa"/>
              <w:left w:w="0" w:type="dxa"/>
              <w:bottom w:w="30" w:type="dxa"/>
              <w:right w:w="0" w:type="dxa"/>
            </w:tcMar>
            <w:vAlign w:val="bottom"/>
            <w:hideMark/>
          </w:tcPr>
          <w:p w14:paraId="3B3ED071"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Net increase in cash</w:t>
            </w:r>
            <w:r>
              <w:rPr>
                <w:rFonts w:ascii="Times New Roman" w:eastAsia="Times New Roman" w:hAnsi="Times New Roman" w:cs="Times New Roman"/>
                <w:sz w:val="20"/>
                <w:szCs w:val="20"/>
                <w:lang w:val="en-US"/>
              </w:rPr>
              <w:t xml:space="preserve"> and </w:t>
            </w:r>
            <w:r w:rsidRPr="006A2A5E">
              <w:rPr>
                <w:rFonts w:ascii="Times New Roman" w:eastAsia="Times New Roman" w:hAnsi="Times New Roman" w:cs="Times New Roman"/>
                <w:sz w:val="20"/>
                <w:szCs w:val="20"/>
                <w:lang w:val="en-US"/>
              </w:rPr>
              <w:t>cash equivalents</w:t>
            </w:r>
          </w:p>
        </w:tc>
        <w:tc>
          <w:tcPr>
            <w:tcW w:w="49" w:type="pct"/>
          </w:tcPr>
          <w:p w14:paraId="73CF4D33"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30" w:type="dxa"/>
              <w:right w:w="0" w:type="dxa"/>
            </w:tcMar>
            <w:vAlign w:val="bottom"/>
            <w:hideMark/>
          </w:tcPr>
          <w:p w14:paraId="72D188AC"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9" w:type="pct"/>
            <w:tcBorders>
              <w:bottom w:val="single" w:sz="12" w:space="0" w:color="000000"/>
            </w:tcBorders>
            <w:shd w:val="clear" w:color="auto" w:fill="auto"/>
            <w:vAlign w:val="bottom"/>
            <w:hideMark/>
          </w:tcPr>
          <w:p w14:paraId="6B752518"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bottom w:val="single" w:sz="12" w:space="0" w:color="000000"/>
            </w:tcBorders>
            <w:shd w:val="clear" w:color="auto" w:fill="auto"/>
            <w:vAlign w:val="bottom"/>
          </w:tcPr>
          <w:p w14:paraId="081CF83E"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22,</w:t>
            </w:r>
            <w:r>
              <w:rPr>
                <w:rFonts w:ascii="Times New Roman" w:eastAsia="Times New Roman" w:hAnsi="Times New Roman" w:cs="Times New Roman"/>
                <w:b/>
                <w:bCs/>
                <w:sz w:val="20"/>
                <w:szCs w:val="20"/>
                <w:lang w:val="en-US"/>
              </w:rPr>
              <w:t>475</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529</w:t>
            </w:r>
          </w:p>
        </w:tc>
        <w:tc>
          <w:tcPr>
            <w:tcW w:w="169" w:type="pct"/>
            <w:shd w:val="clear" w:color="auto" w:fill="auto"/>
            <w:tcMar>
              <w:top w:w="0" w:type="dxa"/>
              <w:left w:w="0" w:type="dxa"/>
              <w:bottom w:w="30" w:type="dxa"/>
              <w:right w:w="0" w:type="dxa"/>
            </w:tcMar>
            <w:vAlign w:val="bottom"/>
          </w:tcPr>
          <w:p w14:paraId="5A6C1300"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tcMar>
              <w:top w:w="0" w:type="dxa"/>
              <w:left w:w="0" w:type="dxa"/>
              <w:bottom w:w="30" w:type="dxa"/>
              <w:right w:w="0" w:type="dxa"/>
            </w:tcMar>
            <w:vAlign w:val="bottom"/>
          </w:tcPr>
          <w:p w14:paraId="7F21D4D7"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bottom w:val="single" w:sz="12" w:space="0" w:color="000000"/>
            </w:tcBorders>
            <w:shd w:val="clear" w:color="auto" w:fill="auto"/>
            <w:vAlign w:val="bottom"/>
          </w:tcPr>
          <w:p w14:paraId="4FEF473F"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bottom w:val="single" w:sz="12" w:space="0" w:color="000000"/>
            </w:tcBorders>
            <w:shd w:val="clear" w:color="auto" w:fill="auto"/>
            <w:vAlign w:val="bottom"/>
          </w:tcPr>
          <w:p w14:paraId="298D2191"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881,989</w:t>
            </w:r>
          </w:p>
        </w:tc>
        <w:tc>
          <w:tcPr>
            <w:tcW w:w="163" w:type="pct"/>
            <w:shd w:val="clear" w:color="auto" w:fill="auto"/>
            <w:tcMar>
              <w:top w:w="0" w:type="dxa"/>
              <w:left w:w="0" w:type="dxa"/>
              <w:bottom w:w="30" w:type="dxa"/>
              <w:right w:w="0" w:type="dxa"/>
            </w:tcMar>
            <w:vAlign w:val="bottom"/>
            <w:hideMark/>
          </w:tcPr>
          <w:p w14:paraId="264D7DD0"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 </w:t>
            </w:r>
          </w:p>
        </w:tc>
      </w:tr>
      <w:tr w:rsidR="00785E2A" w:rsidRPr="006A2A5E" w14:paraId="77105DA1" w14:textId="77777777" w:rsidTr="007F1412">
        <w:tc>
          <w:tcPr>
            <w:tcW w:w="2640" w:type="pct"/>
            <w:shd w:val="clear" w:color="auto" w:fill="auto"/>
            <w:tcMar>
              <w:top w:w="0" w:type="dxa"/>
              <w:left w:w="0" w:type="dxa"/>
              <w:bottom w:w="30" w:type="dxa"/>
              <w:right w:w="0" w:type="dxa"/>
            </w:tcMar>
            <w:vAlign w:val="bottom"/>
            <w:hideMark/>
          </w:tcPr>
          <w:p w14:paraId="084F7846"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Cash</w:t>
            </w:r>
            <w:r>
              <w:rPr>
                <w:rFonts w:ascii="Times New Roman" w:eastAsia="Times New Roman" w:hAnsi="Times New Roman" w:cs="Times New Roman"/>
                <w:sz w:val="20"/>
                <w:szCs w:val="20"/>
                <w:lang w:val="en-US"/>
              </w:rPr>
              <w:t xml:space="preserve"> and </w:t>
            </w:r>
            <w:r w:rsidRPr="006A2A5E">
              <w:rPr>
                <w:rFonts w:ascii="Times New Roman" w:eastAsia="Times New Roman" w:hAnsi="Times New Roman" w:cs="Times New Roman"/>
                <w:sz w:val="20"/>
                <w:szCs w:val="20"/>
                <w:lang w:val="en-US"/>
              </w:rPr>
              <w:t xml:space="preserve">cash equivalents, beginning of </w:t>
            </w:r>
            <w:r>
              <w:rPr>
                <w:rFonts w:ascii="Times New Roman" w:eastAsia="Times New Roman" w:hAnsi="Times New Roman" w:cs="Times New Roman"/>
                <w:sz w:val="20"/>
                <w:szCs w:val="20"/>
                <w:lang w:val="en-US"/>
              </w:rPr>
              <w:t>period</w:t>
            </w:r>
          </w:p>
        </w:tc>
        <w:tc>
          <w:tcPr>
            <w:tcW w:w="49" w:type="pct"/>
          </w:tcPr>
          <w:p w14:paraId="6BC5CDD9"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30" w:type="dxa"/>
              <w:right w:w="0" w:type="dxa"/>
            </w:tcMar>
            <w:vAlign w:val="bottom"/>
            <w:hideMark/>
          </w:tcPr>
          <w:p w14:paraId="1E76F56C"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9" w:type="pct"/>
            <w:tcBorders>
              <w:bottom w:val="single" w:sz="12" w:space="0" w:color="000000"/>
            </w:tcBorders>
            <w:shd w:val="clear" w:color="auto" w:fill="auto"/>
            <w:vAlign w:val="bottom"/>
            <w:hideMark/>
          </w:tcPr>
          <w:p w14:paraId="54B1DFD0"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 </w:t>
            </w:r>
          </w:p>
        </w:tc>
        <w:tc>
          <w:tcPr>
            <w:tcW w:w="756" w:type="pct"/>
            <w:tcBorders>
              <w:bottom w:val="single" w:sz="12" w:space="0" w:color="000000"/>
            </w:tcBorders>
            <w:shd w:val="clear" w:color="auto" w:fill="auto"/>
            <w:vAlign w:val="bottom"/>
          </w:tcPr>
          <w:p w14:paraId="46E41584"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1,026,990</w:t>
            </w:r>
          </w:p>
        </w:tc>
        <w:tc>
          <w:tcPr>
            <w:tcW w:w="169" w:type="pct"/>
            <w:shd w:val="clear" w:color="auto" w:fill="auto"/>
            <w:tcMar>
              <w:top w:w="0" w:type="dxa"/>
              <w:left w:w="0" w:type="dxa"/>
              <w:bottom w:w="30" w:type="dxa"/>
              <w:right w:w="0" w:type="dxa"/>
            </w:tcMar>
            <w:vAlign w:val="bottom"/>
          </w:tcPr>
          <w:p w14:paraId="371A3275"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tcMar>
              <w:top w:w="0" w:type="dxa"/>
              <w:left w:w="0" w:type="dxa"/>
              <w:bottom w:w="30" w:type="dxa"/>
              <w:right w:w="0" w:type="dxa"/>
            </w:tcMar>
            <w:vAlign w:val="bottom"/>
          </w:tcPr>
          <w:p w14:paraId="030E939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bottom w:val="single" w:sz="12" w:space="0" w:color="000000"/>
            </w:tcBorders>
            <w:shd w:val="clear" w:color="auto" w:fill="auto"/>
            <w:vAlign w:val="bottom"/>
          </w:tcPr>
          <w:p w14:paraId="6141B118"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bottom w:val="single" w:sz="12" w:space="0" w:color="000000"/>
            </w:tcBorders>
            <w:shd w:val="clear" w:color="auto" w:fill="auto"/>
            <w:vAlign w:val="bottom"/>
          </w:tcPr>
          <w:p w14:paraId="3033D55E"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202,712</w:t>
            </w:r>
          </w:p>
        </w:tc>
        <w:tc>
          <w:tcPr>
            <w:tcW w:w="163" w:type="pct"/>
            <w:shd w:val="clear" w:color="auto" w:fill="auto"/>
            <w:tcMar>
              <w:top w:w="0" w:type="dxa"/>
              <w:left w:w="0" w:type="dxa"/>
              <w:bottom w:w="30" w:type="dxa"/>
              <w:right w:w="0" w:type="dxa"/>
            </w:tcMar>
            <w:vAlign w:val="bottom"/>
            <w:hideMark/>
          </w:tcPr>
          <w:p w14:paraId="4F8D33FD"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 </w:t>
            </w:r>
          </w:p>
        </w:tc>
      </w:tr>
      <w:tr w:rsidR="00785E2A" w:rsidRPr="006A2A5E" w14:paraId="3E8D0625" w14:textId="77777777" w:rsidTr="007F1412">
        <w:tc>
          <w:tcPr>
            <w:tcW w:w="2640" w:type="pct"/>
            <w:shd w:val="clear" w:color="auto" w:fill="auto"/>
            <w:tcMar>
              <w:top w:w="0" w:type="dxa"/>
              <w:left w:w="0" w:type="dxa"/>
              <w:bottom w:w="50" w:type="dxa"/>
              <w:right w:w="0" w:type="dxa"/>
            </w:tcMar>
            <w:vAlign w:val="bottom"/>
            <w:hideMark/>
          </w:tcPr>
          <w:p w14:paraId="49E4D8D5"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Cash</w:t>
            </w:r>
            <w:r>
              <w:rPr>
                <w:rFonts w:ascii="Times New Roman" w:eastAsia="Times New Roman" w:hAnsi="Times New Roman" w:cs="Times New Roman"/>
                <w:sz w:val="20"/>
                <w:szCs w:val="20"/>
                <w:lang w:val="en-US"/>
              </w:rPr>
              <w:t xml:space="preserve"> and </w:t>
            </w:r>
            <w:r w:rsidRPr="006A2A5E">
              <w:rPr>
                <w:rFonts w:ascii="Times New Roman" w:eastAsia="Times New Roman" w:hAnsi="Times New Roman" w:cs="Times New Roman"/>
                <w:sz w:val="20"/>
                <w:szCs w:val="20"/>
                <w:lang w:val="en-US"/>
              </w:rPr>
              <w:t xml:space="preserve">cash equivalents, end of </w:t>
            </w:r>
            <w:r>
              <w:rPr>
                <w:rFonts w:ascii="Times New Roman" w:eastAsia="Times New Roman" w:hAnsi="Times New Roman" w:cs="Times New Roman"/>
                <w:sz w:val="20"/>
                <w:szCs w:val="20"/>
                <w:lang w:val="en-US"/>
              </w:rPr>
              <w:t>period</w:t>
            </w:r>
          </w:p>
        </w:tc>
        <w:tc>
          <w:tcPr>
            <w:tcW w:w="49" w:type="pct"/>
          </w:tcPr>
          <w:p w14:paraId="6B5F3A38"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p>
        </w:tc>
        <w:tc>
          <w:tcPr>
            <w:tcW w:w="282" w:type="pct"/>
            <w:shd w:val="clear" w:color="auto" w:fill="auto"/>
            <w:tcMar>
              <w:top w:w="0" w:type="dxa"/>
              <w:left w:w="0" w:type="dxa"/>
              <w:bottom w:w="50" w:type="dxa"/>
              <w:right w:w="0" w:type="dxa"/>
            </w:tcMar>
            <w:vAlign w:val="bottom"/>
            <w:hideMark/>
          </w:tcPr>
          <w:p w14:paraId="3F496430" w14:textId="77777777" w:rsidR="00785E2A" w:rsidRPr="006A2A5E" w:rsidRDefault="00785E2A" w:rsidP="007F1412">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49" w:type="pct"/>
            <w:tcBorders>
              <w:bottom w:val="double" w:sz="6" w:space="0" w:color="000000"/>
            </w:tcBorders>
            <w:shd w:val="clear" w:color="auto" w:fill="auto"/>
            <w:vAlign w:val="bottom"/>
            <w:hideMark/>
          </w:tcPr>
          <w:p w14:paraId="7D956A5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r w:rsidRPr="007F73B3">
              <w:rPr>
                <w:rFonts w:ascii="Times New Roman" w:eastAsia="Times New Roman" w:hAnsi="Times New Roman" w:cs="Times New Roman"/>
                <w:sz w:val="20"/>
                <w:szCs w:val="20"/>
                <w:lang w:val="en-US"/>
              </w:rPr>
              <w:t>$</w:t>
            </w:r>
          </w:p>
        </w:tc>
        <w:tc>
          <w:tcPr>
            <w:tcW w:w="756" w:type="pct"/>
            <w:tcBorders>
              <w:bottom w:val="double" w:sz="6" w:space="0" w:color="000000"/>
            </w:tcBorders>
            <w:shd w:val="clear" w:color="auto" w:fill="auto"/>
            <w:vAlign w:val="bottom"/>
          </w:tcPr>
          <w:p w14:paraId="681E6553" w14:textId="77777777" w:rsidR="00785E2A" w:rsidRPr="00064A08" w:rsidRDefault="00785E2A" w:rsidP="007F1412">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23,</w:t>
            </w:r>
            <w:r>
              <w:rPr>
                <w:rFonts w:ascii="Times New Roman" w:eastAsia="Times New Roman" w:hAnsi="Times New Roman" w:cs="Times New Roman"/>
                <w:b/>
                <w:bCs/>
                <w:sz w:val="20"/>
                <w:szCs w:val="20"/>
                <w:lang w:val="en-US"/>
              </w:rPr>
              <w:t>502</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519</w:t>
            </w:r>
          </w:p>
        </w:tc>
        <w:tc>
          <w:tcPr>
            <w:tcW w:w="169" w:type="pct"/>
            <w:shd w:val="clear" w:color="auto" w:fill="auto"/>
            <w:tcMar>
              <w:top w:w="0" w:type="dxa"/>
              <w:left w:w="0" w:type="dxa"/>
              <w:bottom w:w="50" w:type="dxa"/>
              <w:right w:w="0" w:type="dxa"/>
            </w:tcMar>
            <w:vAlign w:val="bottom"/>
          </w:tcPr>
          <w:p w14:paraId="7121FE96" w14:textId="77777777" w:rsidR="00785E2A" w:rsidRPr="00D33273" w:rsidRDefault="00785E2A" w:rsidP="007F1412">
            <w:pPr>
              <w:spacing w:after="0" w:line="240" w:lineRule="auto"/>
              <w:jc w:val="both"/>
              <w:rPr>
                <w:rFonts w:ascii="Times New Roman" w:eastAsia="Times New Roman" w:hAnsi="Times New Roman" w:cs="Times New Roman"/>
                <w:b/>
                <w:bCs/>
                <w:sz w:val="20"/>
                <w:szCs w:val="20"/>
                <w:lang w:val="en-US"/>
              </w:rPr>
            </w:pPr>
          </w:p>
        </w:tc>
        <w:tc>
          <w:tcPr>
            <w:tcW w:w="58" w:type="pct"/>
            <w:shd w:val="clear" w:color="auto" w:fill="auto"/>
            <w:tcMar>
              <w:top w:w="0" w:type="dxa"/>
              <w:left w:w="0" w:type="dxa"/>
              <w:bottom w:w="50" w:type="dxa"/>
              <w:right w:w="0" w:type="dxa"/>
            </w:tcMar>
            <w:vAlign w:val="bottom"/>
          </w:tcPr>
          <w:p w14:paraId="4030ADBD"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43" w:type="pct"/>
            <w:tcBorders>
              <w:bottom w:val="double" w:sz="6" w:space="0" w:color="000000"/>
            </w:tcBorders>
            <w:shd w:val="clear" w:color="auto" w:fill="auto"/>
            <w:vAlign w:val="bottom"/>
          </w:tcPr>
          <w:p w14:paraId="2685FF35" w14:textId="77777777" w:rsidR="00785E2A" w:rsidRPr="00A8334A" w:rsidRDefault="00785E2A" w:rsidP="007F1412">
            <w:pPr>
              <w:spacing w:after="0" w:line="240" w:lineRule="auto"/>
              <w:jc w:val="both"/>
              <w:rPr>
                <w:rFonts w:ascii="Times New Roman" w:eastAsia="Times New Roman" w:hAnsi="Times New Roman" w:cs="Times New Roman"/>
                <w:sz w:val="20"/>
                <w:szCs w:val="20"/>
                <w:lang w:val="en-US"/>
              </w:rPr>
            </w:pPr>
          </w:p>
        </w:tc>
        <w:tc>
          <w:tcPr>
            <w:tcW w:w="791" w:type="pct"/>
            <w:gridSpan w:val="2"/>
            <w:tcBorders>
              <w:bottom w:val="double" w:sz="6" w:space="0" w:color="000000"/>
            </w:tcBorders>
            <w:shd w:val="clear" w:color="auto" w:fill="auto"/>
            <w:vAlign w:val="bottom"/>
          </w:tcPr>
          <w:p w14:paraId="7D9C5C08" w14:textId="77777777" w:rsidR="00785E2A" w:rsidRPr="002A5155" w:rsidRDefault="00785E2A" w:rsidP="007F1412">
            <w:pPr>
              <w:spacing w:after="0" w:line="240" w:lineRule="auto"/>
              <w:jc w:val="right"/>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rPr>
              <w:t>1,</w:t>
            </w:r>
            <w:r>
              <w:rPr>
                <w:rFonts w:ascii="Times New Roman" w:eastAsia="Times New Roman" w:hAnsi="Times New Roman" w:cs="Times New Roman"/>
                <w:sz w:val="20"/>
                <w:szCs w:val="20"/>
              </w:rPr>
              <w:t>084,701</w:t>
            </w:r>
          </w:p>
        </w:tc>
        <w:tc>
          <w:tcPr>
            <w:tcW w:w="163" w:type="pct"/>
            <w:shd w:val="clear" w:color="auto" w:fill="auto"/>
            <w:tcMar>
              <w:top w:w="0" w:type="dxa"/>
              <w:left w:w="0" w:type="dxa"/>
              <w:bottom w:w="50" w:type="dxa"/>
              <w:right w:w="0" w:type="dxa"/>
            </w:tcMar>
            <w:vAlign w:val="bottom"/>
            <w:hideMark/>
          </w:tcPr>
          <w:p w14:paraId="72839F8E" w14:textId="77777777" w:rsidR="00785E2A" w:rsidRPr="002A5155" w:rsidRDefault="00785E2A" w:rsidP="007F1412">
            <w:pPr>
              <w:spacing w:after="0" w:line="240" w:lineRule="auto"/>
              <w:jc w:val="both"/>
              <w:rPr>
                <w:rFonts w:ascii="Times New Roman" w:eastAsia="Times New Roman" w:hAnsi="Times New Roman" w:cs="Times New Roman"/>
                <w:sz w:val="20"/>
                <w:szCs w:val="20"/>
                <w:lang w:val="en-US"/>
              </w:rPr>
            </w:pPr>
            <w:r w:rsidRPr="002A5155">
              <w:rPr>
                <w:rFonts w:ascii="Times New Roman" w:eastAsia="Times New Roman" w:hAnsi="Times New Roman" w:cs="Times New Roman"/>
                <w:sz w:val="20"/>
                <w:szCs w:val="20"/>
                <w:lang w:val="en-US"/>
              </w:rPr>
              <w:t> </w:t>
            </w:r>
          </w:p>
        </w:tc>
      </w:tr>
    </w:tbl>
    <w:p w14:paraId="6C60F32B" w14:textId="0E12D2D0" w:rsidR="00300E37" w:rsidRDefault="00300E37">
      <w:r>
        <w:br w:type="page"/>
      </w:r>
    </w:p>
    <w:tbl>
      <w:tblPr>
        <w:tblW w:w="5171" w:type="pct"/>
        <w:tblCellMar>
          <w:left w:w="0" w:type="dxa"/>
          <w:right w:w="0" w:type="dxa"/>
        </w:tblCellMar>
        <w:tblLook w:val="04A0" w:firstRow="1" w:lastRow="0" w:firstColumn="1" w:lastColumn="0" w:noHBand="0" w:noVBand="1"/>
      </w:tblPr>
      <w:tblGrid>
        <w:gridCol w:w="5428"/>
        <w:gridCol w:w="100"/>
        <w:gridCol w:w="101"/>
        <w:gridCol w:w="1435"/>
        <w:gridCol w:w="385"/>
        <w:gridCol w:w="130"/>
        <w:gridCol w:w="101"/>
        <w:gridCol w:w="1644"/>
        <w:gridCol w:w="356"/>
      </w:tblGrid>
      <w:tr w:rsidR="00015BBE" w:rsidRPr="006A2A5E" w14:paraId="3EA100A8" w14:textId="77777777" w:rsidTr="0008506C">
        <w:tc>
          <w:tcPr>
            <w:tcW w:w="2804" w:type="pct"/>
            <w:shd w:val="clear" w:color="auto" w:fill="auto"/>
            <w:vAlign w:val="bottom"/>
            <w:hideMark/>
          </w:tcPr>
          <w:p w14:paraId="55457E54" w14:textId="760B191A"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lastRenderedPageBreak/>
              <w:t> </w:t>
            </w:r>
          </w:p>
        </w:tc>
        <w:tc>
          <w:tcPr>
            <w:tcW w:w="52" w:type="pct"/>
            <w:shd w:val="clear" w:color="auto" w:fill="auto"/>
            <w:vAlign w:val="bottom"/>
            <w:hideMark/>
          </w:tcPr>
          <w:p w14:paraId="660C4411"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2" w:type="pct"/>
            <w:shd w:val="clear" w:color="auto" w:fill="auto"/>
            <w:vAlign w:val="bottom"/>
            <w:hideMark/>
          </w:tcPr>
          <w:p w14:paraId="7F9C1B0F"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741" w:type="pct"/>
            <w:shd w:val="clear" w:color="auto" w:fill="auto"/>
            <w:vAlign w:val="bottom"/>
            <w:hideMark/>
          </w:tcPr>
          <w:p w14:paraId="22C71B51" w14:textId="77777777" w:rsidR="00015BBE" w:rsidRPr="006A2A5E" w:rsidRDefault="00015BBE" w:rsidP="00015BBE">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199" w:type="pct"/>
            <w:shd w:val="clear" w:color="auto" w:fill="auto"/>
            <w:vAlign w:val="bottom"/>
            <w:hideMark/>
          </w:tcPr>
          <w:p w14:paraId="4B6FB87C"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67" w:type="pct"/>
            <w:shd w:val="clear" w:color="auto" w:fill="auto"/>
            <w:vAlign w:val="bottom"/>
            <w:hideMark/>
          </w:tcPr>
          <w:p w14:paraId="18054085"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52" w:type="pct"/>
            <w:shd w:val="clear" w:color="auto" w:fill="auto"/>
            <w:vAlign w:val="bottom"/>
            <w:hideMark/>
          </w:tcPr>
          <w:p w14:paraId="1C88EF22"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848" w:type="pct"/>
            <w:shd w:val="clear" w:color="auto" w:fill="auto"/>
            <w:vAlign w:val="bottom"/>
            <w:hideMark/>
          </w:tcPr>
          <w:p w14:paraId="4C4AA366" w14:textId="77777777" w:rsidR="00015BBE" w:rsidRPr="006A2A5E" w:rsidRDefault="00015BBE" w:rsidP="00015BBE">
            <w:pPr>
              <w:spacing w:after="0" w:line="240" w:lineRule="auto"/>
              <w:jc w:val="right"/>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184" w:type="pct"/>
            <w:shd w:val="clear" w:color="auto" w:fill="auto"/>
            <w:vAlign w:val="bottom"/>
            <w:hideMark/>
          </w:tcPr>
          <w:p w14:paraId="666B54CC"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r>
      <w:tr w:rsidR="00E272F1" w:rsidRPr="006A2A5E" w14:paraId="63CED51B" w14:textId="77777777" w:rsidTr="0008506C">
        <w:tc>
          <w:tcPr>
            <w:tcW w:w="2804" w:type="pct"/>
            <w:shd w:val="clear" w:color="auto" w:fill="auto"/>
            <w:vAlign w:val="bottom"/>
            <w:hideMark/>
          </w:tcPr>
          <w:p w14:paraId="41A3121C"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p>
        </w:tc>
        <w:tc>
          <w:tcPr>
            <w:tcW w:w="52" w:type="pct"/>
            <w:shd w:val="clear" w:color="auto" w:fill="auto"/>
            <w:vAlign w:val="bottom"/>
            <w:hideMark/>
          </w:tcPr>
          <w:p w14:paraId="27FA9749"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c>
          <w:tcPr>
            <w:tcW w:w="1960" w:type="pct"/>
            <w:gridSpan w:val="6"/>
            <w:shd w:val="clear" w:color="auto" w:fill="auto"/>
            <w:hideMark/>
          </w:tcPr>
          <w:p w14:paraId="538AA090" w14:textId="009E1DF0" w:rsidR="00015BBE" w:rsidRPr="00722478" w:rsidRDefault="00015BBE" w:rsidP="00015BBE">
            <w:pPr>
              <w:spacing w:after="0" w:line="240" w:lineRule="auto"/>
              <w:jc w:val="center"/>
              <w:rPr>
                <w:rFonts w:ascii="Times New Roman" w:eastAsia="Times New Roman" w:hAnsi="Times New Roman" w:cs="Times New Roman"/>
                <w:b/>
                <w:bCs/>
                <w:sz w:val="20"/>
                <w:szCs w:val="20"/>
                <w:lang w:val="en-US"/>
              </w:rPr>
            </w:pPr>
          </w:p>
        </w:tc>
        <w:tc>
          <w:tcPr>
            <w:tcW w:w="184" w:type="pct"/>
            <w:shd w:val="clear" w:color="auto" w:fill="auto"/>
            <w:vAlign w:val="bottom"/>
            <w:hideMark/>
          </w:tcPr>
          <w:p w14:paraId="083E9460" w14:textId="77777777" w:rsidR="00015BBE" w:rsidRPr="006A2A5E" w:rsidRDefault="00015BBE" w:rsidP="00015BBE">
            <w:pPr>
              <w:spacing w:after="0" w:line="240" w:lineRule="auto"/>
              <w:jc w:val="both"/>
              <w:rPr>
                <w:rFonts w:ascii="Times New Roman" w:eastAsia="Times New Roman" w:hAnsi="Times New Roman" w:cs="Times New Roman"/>
                <w:sz w:val="20"/>
                <w:szCs w:val="20"/>
                <w:lang w:val="en-US"/>
              </w:rPr>
            </w:pPr>
            <w:r w:rsidRPr="006A2A5E">
              <w:rPr>
                <w:rFonts w:ascii="Times New Roman" w:eastAsia="Times New Roman" w:hAnsi="Times New Roman" w:cs="Times New Roman"/>
                <w:sz w:val="20"/>
                <w:szCs w:val="20"/>
                <w:lang w:val="en-US"/>
              </w:rPr>
              <w:t> </w:t>
            </w:r>
          </w:p>
        </w:tc>
      </w:tr>
      <w:tr w:rsidR="00E272F1" w:rsidRPr="006A2A5E" w14:paraId="2371A69E" w14:textId="77777777" w:rsidTr="0008506C">
        <w:tc>
          <w:tcPr>
            <w:tcW w:w="2804" w:type="pct"/>
            <w:shd w:val="clear" w:color="auto" w:fill="auto"/>
            <w:vAlign w:val="bottom"/>
          </w:tcPr>
          <w:p w14:paraId="10D2496C" w14:textId="77777777" w:rsidR="00015BBE" w:rsidRPr="007F73B3" w:rsidRDefault="00015BBE" w:rsidP="00015BBE">
            <w:pPr>
              <w:spacing w:after="0" w:line="240" w:lineRule="auto"/>
              <w:jc w:val="both"/>
              <w:rPr>
                <w:rFonts w:ascii="Times New Roman" w:eastAsia="Times New Roman" w:hAnsi="Times New Roman" w:cs="Times New Roman"/>
                <w:b/>
                <w:bCs/>
                <w:sz w:val="20"/>
                <w:szCs w:val="20"/>
                <w:lang w:val="en-US"/>
              </w:rPr>
            </w:pPr>
          </w:p>
        </w:tc>
        <w:tc>
          <w:tcPr>
            <w:tcW w:w="52" w:type="pct"/>
            <w:shd w:val="clear" w:color="auto" w:fill="auto"/>
            <w:vAlign w:val="bottom"/>
          </w:tcPr>
          <w:p w14:paraId="6E577B30"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1960" w:type="pct"/>
            <w:gridSpan w:val="6"/>
            <w:tcBorders>
              <w:bottom w:val="single" w:sz="12" w:space="0" w:color="auto"/>
            </w:tcBorders>
            <w:shd w:val="clear" w:color="auto" w:fill="auto"/>
          </w:tcPr>
          <w:p w14:paraId="2D1DE12A" w14:textId="0F48AA1B" w:rsidR="00015BBE" w:rsidRPr="00A8334A" w:rsidRDefault="000E3449" w:rsidP="00015BBE">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Six</w:t>
            </w:r>
            <w:r w:rsidR="00015BBE" w:rsidRPr="00A8334A">
              <w:rPr>
                <w:rFonts w:ascii="Times New Roman" w:eastAsia="Times New Roman" w:hAnsi="Times New Roman" w:cs="Times New Roman"/>
                <w:b/>
                <w:bCs/>
                <w:sz w:val="20"/>
                <w:szCs w:val="20"/>
                <w:lang w:val="en-US"/>
              </w:rPr>
              <w:t xml:space="preserve"> Months Ended </w:t>
            </w:r>
            <w:r>
              <w:rPr>
                <w:rFonts w:ascii="Times New Roman" w:eastAsia="Times New Roman" w:hAnsi="Times New Roman" w:cs="Times New Roman"/>
                <w:b/>
                <w:bCs/>
                <w:sz w:val="20"/>
                <w:szCs w:val="20"/>
                <w:lang w:val="en-US"/>
              </w:rPr>
              <w:t>June 30</w:t>
            </w:r>
            <w:r w:rsidR="00015BBE" w:rsidRPr="00A8334A">
              <w:rPr>
                <w:rFonts w:ascii="Times New Roman" w:eastAsia="Times New Roman" w:hAnsi="Times New Roman" w:cs="Times New Roman"/>
                <w:b/>
                <w:bCs/>
                <w:sz w:val="20"/>
                <w:szCs w:val="20"/>
                <w:lang w:val="en-US"/>
              </w:rPr>
              <w:t>,</w:t>
            </w:r>
          </w:p>
        </w:tc>
        <w:tc>
          <w:tcPr>
            <w:tcW w:w="184" w:type="pct"/>
            <w:shd w:val="clear" w:color="auto" w:fill="auto"/>
            <w:vAlign w:val="bottom"/>
          </w:tcPr>
          <w:p w14:paraId="6E53E47E"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r>
      <w:tr w:rsidR="004957F2" w:rsidRPr="006A2A5E" w14:paraId="3E549844" w14:textId="77777777" w:rsidTr="0008506C">
        <w:tc>
          <w:tcPr>
            <w:tcW w:w="2804" w:type="pct"/>
            <w:shd w:val="clear" w:color="auto" w:fill="auto"/>
            <w:vAlign w:val="bottom"/>
          </w:tcPr>
          <w:p w14:paraId="5A11C427" w14:textId="77777777" w:rsidR="00015BBE" w:rsidRPr="007F73B3" w:rsidRDefault="00015BBE" w:rsidP="00015BBE">
            <w:pPr>
              <w:spacing w:after="0" w:line="240" w:lineRule="auto"/>
              <w:jc w:val="both"/>
              <w:rPr>
                <w:rFonts w:ascii="Times New Roman" w:eastAsia="Times New Roman" w:hAnsi="Times New Roman" w:cs="Times New Roman"/>
                <w:b/>
                <w:bCs/>
                <w:sz w:val="20"/>
                <w:szCs w:val="20"/>
                <w:lang w:val="en-US"/>
              </w:rPr>
            </w:pPr>
          </w:p>
        </w:tc>
        <w:tc>
          <w:tcPr>
            <w:tcW w:w="52" w:type="pct"/>
            <w:shd w:val="clear" w:color="auto" w:fill="auto"/>
            <w:vAlign w:val="bottom"/>
          </w:tcPr>
          <w:p w14:paraId="769EF451"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793" w:type="pct"/>
            <w:gridSpan w:val="2"/>
            <w:tcBorders>
              <w:top w:val="single" w:sz="12" w:space="0" w:color="auto"/>
              <w:bottom w:val="single" w:sz="12" w:space="0" w:color="auto"/>
            </w:tcBorders>
            <w:shd w:val="clear" w:color="auto" w:fill="auto"/>
            <w:vAlign w:val="bottom"/>
          </w:tcPr>
          <w:p w14:paraId="4B0FB3B2" w14:textId="0EA0DDD1" w:rsidR="00015BBE" w:rsidRPr="00A8334A" w:rsidRDefault="00015BBE" w:rsidP="00117DB6">
            <w:pPr>
              <w:spacing w:after="0" w:line="240" w:lineRule="auto"/>
              <w:jc w:val="right"/>
              <w:rPr>
                <w:rFonts w:ascii="Times New Roman" w:eastAsia="Times New Roman" w:hAnsi="Times New Roman" w:cs="Times New Roman"/>
                <w:b/>
                <w:bCs/>
                <w:sz w:val="20"/>
                <w:szCs w:val="20"/>
                <w:lang w:val="en-US"/>
              </w:rPr>
            </w:pPr>
            <w:r w:rsidRPr="00A8334A">
              <w:rPr>
                <w:rFonts w:ascii="Times New Roman" w:eastAsia="Times New Roman" w:hAnsi="Times New Roman" w:cs="Times New Roman"/>
                <w:b/>
                <w:bCs/>
                <w:sz w:val="20"/>
                <w:szCs w:val="20"/>
                <w:lang w:val="en-US"/>
              </w:rPr>
              <w:t>2022</w:t>
            </w:r>
          </w:p>
        </w:tc>
        <w:tc>
          <w:tcPr>
            <w:tcW w:w="266" w:type="pct"/>
            <w:gridSpan w:val="2"/>
            <w:tcBorders>
              <w:top w:val="single" w:sz="12" w:space="0" w:color="auto"/>
            </w:tcBorders>
            <w:shd w:val="clear" w:color="auto" w:fill="auto"/>
            <w:vAlign w:val="bottom"/>
          </w:tcPr>
          <w:p w14:paraId="346D9FA3" w14:textId="77777777" w:rsidR="00015BBE" w:rsidRPr="00A8334A" w:rsidRDefault="00015BBE" w:rsidP="00117DB6">
            <w:pPr>
              <w:spacing w:after="0" w:line="240" w:lineRule="auto"/>
              <w:jc w:val="right"/>
              <w:rPr>
                <w:rFonts w:ascii="Times New Roman" w:eastAsia="Times New Roman" w:hAnsi="Times New Roman" w:cs="Times New Roman"/>
                <w:b/>
                <w:bCs/>
                <w:sz w:val="20"/>
                <w:szCs w:val="20"/>
                <w:lang w:val="en-US"/>
              </w:rPr>
            </w:pPr>
          </w:p>
        </w:tc>
        <w:tc>
          <w:tcPr>
            <w:tcW w:w="900" w:type="pct"/>
            <w:gridSpan w:val="2"/>
            <w:tcBorders>
              <w:top w:val="single" w:sz="4" w:space="0" w:color="auto"/>
              <w:bottom w:val="single" w:sz="12" w:space="0" w:color="auto"/>
            </w:tcBorders>
            <w:shd w:val="clear" w:color="auto" w:fill="auto"/>
            <w:vAlign w:val="bottom"/>
          </w:tcPr>
          <w:p w14:paraId="6C92003C" w14:textId="4C6A4470" w:rsidR="00015BBE" w:rsidRPr="00A8334A" w:rsidRDefault="00015BBE" w:rsidP="00117DB6">
            <w:pPr>
              <w:spacing w:after="0" w:line="240" w:lineRule="auto"/>
              <w:jc w:val="right"/>
              <w:rPr>
                <w:rFonts w:ascii="Times New Roman" w:eastAsia="Times New Roman" w:hAnsi="Times New Roman" w:cs="Times New Roman"/>
                <w:b/>
                <w:bCs/>
                <w:sz w:val="20"/>
                <w:szCs w:val="20"/>
                <w:lang w:val="en-US"/>
              </w:rPr>
            </w:pPr>
            <w:r w:rsidRPr="00A8334A">
              <w:rPr>
                <w:rFonts w:ascii="Times New Roman" w:eastAsia="Times New Roman" w:hAnsi="Times New Roman" w:cs="Times New Roman"/>
                <w:b/>
                <w:bCs/>
                <w:sz w:val="20"/>
                <w:szCs w:val="20"/>
                <w:lang w:val="en-US"/>
              </w:rPr>
              <w:t>2021</w:t>
            </w:r>
          </w:p>
        </w:tc>
        <w:tc>
          <w:tcPr>
            <w:tcW w:w="184" w:type="pct"/>
            <w:tcBorders>
              <w:left w:val="nil"/>
            </w:tcBorders>
            <w:shd w:val="clear" w:color="auto" w:fill="auto"/>
            <w:vAlign w:val="bottom"/>
          </w:tcPr>
          <w:p w14:paraId="381FFDB3"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r>
      <w:tr w:rsidR="00E272F1" w:rsidRPr="006A2A5E" w14:paraId="00D9B767" w14:textId="77777777" w:rsidTr="0008506C">
        <w:tc>
          <w:tcPr>
            <w:tcW w:w="2804" w:type="pct"/>
            <w:shd w:val="clear" w:color="auto" w:fill="auto"/>
            <w:vAlign w:val="bottom"/>
          </w:tcPr>
          <w:p w14:paraId="4E62332E" w14:textId="22CF02E4" w:rsidR="00015BBE" w:rsidRPr="00A8334A" w:rsidRDefault="00002D95" w:rsidP="00015BB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Supplemental information:</w:t>
            </w:r>
          </w:p>
        </w:tc>
        <w:tc>
          <w:tcPr>
            <w:tcW w:w="52" w:type="pct"/>
            <w:shd w:val="clear" w:color="auto" w:fill="auto"/>
            <w:vAlign w:val="bottom"/>
          </w:tcPr>
          <w:p w14:paraId="28525AAE"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52" w:type="pct"/>
            <w:tcBorders>
              <w:top w:val="single" w:sz="12" w:space="0" w:color="auto"/>
            </w:tcBorders>
            <w:shd w:val="clear" w:color="auto" w:fill="auto"/>
            <w:vAlign w:val="bottom"/>
          </w:tcPr>
          <w:p w14:paraId="7A6D9F6C"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741" w:type="pct"/>
            <w:tcBorders>
              <w:top w:val="single" w:sz="12" w:space="0" w:color="auto"/>
            </w:tcBorders>
            <w:shd w:val="clear" w:color="auto" w:fill="auto"/>
            <w:vAlign w:val="bottom"/>
          </w:tcPr>
          <w:p w14:paraId="5A89E6BF" w14:textId="77777777" w:rsidR="00015BBE" w:rsidRPr="00A8334A" w:rsidRDefault="00015BBE" w:rsidP="00015BBE">
            <w:pPr>
              <w:spacing w:after="0" w:line="240" w:lineRule="auto"/>
              <w:jc w:val="right"/>
              <w:rPr>
                <w:rFonts w:ascii="Times New Roman" w:eastAsia="Times New Roman" w:hAnsi="Times New Roman" w:cs="Times New Roman"/>
                <w:sz w:val="20"/>
                <w:szCs w:val="20"/>
                <w:lang w:val="en-US"/>
              </w:rPr>
            </w:pPr>
          </w:p>
        </w:tc>
        <w:tc>
          <w:tcPr>
            <w:tcW w:w="199" w:type="pct"/>
            <w:shd w:val="clear" w:color="auto" w:fill="auto"/>
            <w:vAlign w:val="bottom"/>
          </w:tcPr>
          <w:p w14:paraId="7766189B"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67" w:type="pct"/>
            <w:shd w:val="clear" w:color="auto" w:fill="auto"/>
            <w:vAlign w:val="bottom"/>
          </w:tcPr>
          <w:p w14:paraId="22CAEFBE"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52" w:type="pct"/>
            <w:tcBorders>
              <w:top w:val="single" w:sz="12" w:space="0" w:color="auto"/>
            </w:tcBorders>
            <w:shd w:val="clear" w:color="auto" w:fill="auto"/>
            <w:vAlign w:val="bottom"/>
          </w:tcPr>
          <w:p w14:paraId="5E5C0232"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848" w:type="pct"/>
            <w:tcBorders>
              <w:top w:val="single" w:sz="12" w:space="0" w:color="auto"/>
            </w:tcBorders>
            <w:shd w:val="clear" w:color="auto" w:fill="auto"/>
            <w:vAlign w:val="bottom"/>
          </w:tcPr>
          <w:p w14:paraId="0ACD1E85" w14:textId="77777777" w:rsidR="00015BBE" w:rsidRPr="00A8334A" w:rsidRDefault="00015BBE" w:rsidP="00015BBE">
            <w:pPr>
              <w:spacing w:after="0" w:line="240" w:lineRule="auto"/>
              <w:jc w:val="right"/>
              <w:rPr>
                <w:rFonts w:ascii="Times New Roman" w:eastAsia="Times New Roman" w:hAnsi="Times New Roman" w:cs="Times New Roman"/>
                <w:sz w:val="20"/>
                <w:szCs w:val="20"/>
                <w:lang w:val="en-US"/>
              </w:rPr>
            </w:pPr>
          </w:p>
        </w:tc>
        <w:tc>
          <w:tcPr>
            <w:tcW w:w="184" w:type="pct"/>
            <w:tcBorders>
              <w:left w:val="nil"/>
            </w:tcBorders>
            <w:shd w:val="clear" w:color="auto" w:fill="auto"/>
            <w:vAlign w:val="bottom"/>
          </w:tcPr>
          <w:p w14:paraId="7A188C6F"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r>
      <w:tr w:rsidR="00CD703F" w:rsidRPr="006A2A5E" w14:paraId="396D0670" w14:textId="77777777" w:rsidTr="0008506C">
        <w:tc>
          <w:tcPr>
            <w:tcW w:w="2804" w:type="pct"/>
            <w:shd w:val="clear" w:color="auto" w:fill="auto"/>
            <w:tcMar>
              <w:top w:w="0" w:type="dxa"/>
              <w:left w:w="200" w:type="dxa"/>
              <w:bottom w:w="0" w:type="dxa"/>
              <w:right w:w="0" w:type="dxa"/>
            </w:tcMar>
            <w:vAlign w:val="bottom"/>
            <w:hideMark/>
          </w:tcPr>
          <w:p w14:paraId="4BDAAF7B" w14:textId="45C0441D" w:rsidR="00015BBE" w:rsidRPr="00A8334A" w:rsidRDefault="00002D95" w:rsidP="00015BB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Tax</w:t>
            </w:r>
            <w:r w:rsidR="00FA5C5F">
              <w:rPr>
                <w:rFonts w:ascii="Times New Roman" w:eastAsia="Times New Roman" w:hAnsi="Times New Roman" w:cs="Times New Roman"/>
                <w:sz w:val="20"/>
                <w:szCs w:val="20"/>
              </w:rPr>
              <w:t>es</w:t>
            </w:r>
            <w:r>
              <w:rPr>
                <w:rFonts w:ascii="Times New Roman" w:eastAsia="Times New Roman" w:hAnsi="Times New Roman" w:cs="Times New Roman"/>
                <w:sz w:val="20"/>
                <w:szCs w:val="20"/>
              </w:rPr>
              <w:t xml:space="preserve"> paid</w:t>
            </w:r>
          </w:p>
        </w:tc>
        <w:tc>
          <w:tcPr>
            <w:tcW w:w="52" w:type="pct"/>
            <w:shd w:val="clear" w:color="auto" w:fill="auto"/>
            <w:vAlign w:val="bottom"/>
            <w:hideMark/>
          </w:tcPr>
          <w:p w14:paraId="1F8AE724"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52" w:type="pct"/>
            <w:shd w:val="clear" w:color="auto" w:fill="auto"/>
            <w:vAlign w:val="bottom"/>
            <w:hideMark/>
          </w:tcPr>
          <w:p w14:paraId="2ED2014F"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c>
          <w:tcPr>
            <w:tcW w:w="741" w:type="pct"/>
            <w:shd w:val="clear" w:color="auto" w:fill="auto"/>
            <w:vAlign w:val="bottom"/>
          </w:tcPr>
          <w:p w14:paraId="4988F423" w14:textId="0FEA9611" w:rsidR="00015BBE" w:rsidRPr="00763A54" w:rsidRDefault="00015BBE" w:rsidP="00015BBE">
            <w:pPr>
              <w:spacing w:after="0" w:line="240" w:lineRule="auto"/>
              <w:jc w:val="right"/>
              <w:rPr>
                <w:rFonts w:ascii="Times New Roman" w:eastAsia="Times New Roman" w:hAnsi="Times New Roman" w:cs="Times New Roman"/>
                <w:b/>
                <w:bCs/>
                <w:sz w:val="20"/>
                <w:szCs w:val="20"/>
                <w:lang w:val="en-US"/>
              </w:rPr>
            </w:pPr>
            <w:r w:rsidRPr="00763A54">
              <w:rPr>
                <w:rFonts w:ascii="Times New Roman" w:eastAsia="Times New Roman" w:hAnsi="Times New Roman" w:cs="Times New Roman"/>
                <w:b/>
                <w:bCs/>
                <w:sz w:val="20"/>
                <w:szCs w:val="20"/>
                <w:lang w:val="en-US"/>
              </w:rPr>
              <w:t>-</w:t>
            </w:r>
          </w:p>
        </w:tc>
        <w:tc>
          <w:tcPr>
            <w:tcW w:w="199" w:type="pct"/>
            <w:shd w:val="clear" w:color="auto" w:fill="auto"/>
            <w:vAlign w:val="bottom"/>
            <w:hideMark/>
          </w:tcPr>
          <w:p w14:paraId="260AC4A6"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67" w:type="pct"/>
            <w:shd w:val="clear" w:color="auto" w:fill="auto"/>
            <w:vAlign w:val="bottom"/>
            <w:hideMark/>
          </w:tcPr>
          <w:p w14:paraId="0626D74B"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52" w:type="pct"/>
            <w:shd w:val="clear" w:color="auto" w:fill="auto"/>
            <w:vAlign w:val="bottom"/>
            <w:hideMark/>
          </w:tcPr>
          <w:p w14:paraId="1B1E1A8F"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c>
          <w:tcPr>
            <w:tcW w:w="848" w:type="pct"/>
            <w:shd w:val="clear" w:color="auto" w:fill="auto"/>
            <w:vAlign w:val="bottom"/>
            <w:hideMark/>
          </w:tcPr>
          <w:p w14:paraId="6CEDB045" w14:textId="7F79DDB5" w:rsidR="00015BBE" w:rsidRPr="00A8334A" w:rsidRDefault="00015BBE" w:rsidP="00015BBE">
            <w:pPr>
              <w:spacing w:after="0" w:line="240" w:lineRule="auto"/>
              <w:jc w:val="right"/>
              <w:rPr>
                <w:rFonts w:ascii="Times New Roman" w:eastAsia="Times New Roman" w:hAnsi="Times New Roman" w:cs="Times New Roman"/>
                <w:sz w:val="20"/>
                <w:szCs w:val="20"/>
                <w:lang w:val="en-US"/>
              </w:rPr>
            </w:pPr>
            <w:r w:rsidRPr="005328E1">
              <w:rPr>
                <w:rFonts w:ascii="Times New Roman" w:eastAsia="Times New Roman" w:hAnsi="Times New Roman" w:cs="Times New Roman"/>
                <w:sz w:val="20"/>
                <w:szCs w:val="20"/>
              </w:rPr>
              <w:t>-</w:t>
            </w:r>
          </w:p>
        </w:tc>
        <w:tc>
          <w:tcPr>
            <w:tcW w:w="184" w:type="pct"/>
            <w:shd w:val="clear" w:color="auto" w:fill="auto"/>
            <w:vAlign w:val="bottom"/>
            <w:hideMark/>
          </w:tcPr>
          <w:p w14:paraId="75903C7A"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E272F1" w:rsidRPr="006A2A5E" w14:paraId="3ED1A9E6" w14:textId="77777777" w:rsidTr="0008506C">
        <w:tc>
          <w:tcPr>
            <w:tcW w:w="2804" w:type="pct"/>
            <w:shd w:val="clear" w:color="auto" w:fill="auto"/>
            <w:tcMar>
              <w:top w:w="0" w:type="dxa"/>
              <w:left w:w="200" w:type="dxa"/>
              <w:bottom w:w="0" w:type="dxa"/>
              <w:right w:w="0" w:type="dxa"/>
            </w:tcMar>
            <w:vAlign w:val="bottom"/>
            <w:hideMark/>
          </w:tcPr>
          <w:p w14:paraId="269CC2BE" w14:textId="013B6BCF"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5328E1">
              <w:rPr>
                <w:rFonts w:ascii="Times New Roman" w:eastAsia="Times New Roman" w:hAnsi="Times New Roman" w:cs="Times New Roman"/>
                <w:sz w:val="20"/>
                <w:szCs w:val="20"/>
              </w:rPr>
              <w:t>Interest paid on credit facilities</w:t>
            </w:r>
          </w:p>
        </w:tc>
        <w:tc>
          <w:tcPr>
            <w:tcW w:w="52" w:type="pct"/>
            <w:shd w:val="clear" w:color="auto" w:fill="auto"/>
            <w:vAlign w:val="bottom"/>
            <w:hideMark/>
          </w:tcPr>
          <w:p w14:paraId="66E7B482"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52" w:type="pct"/>
            <w:shd w:val="clear" w:color="auto" w:fill="auto"/>
            <w:vAlign w:val="bottom"/>
            <w:hideMark/>
          </w:tcPr>
          <w:p w14:paraId="6204D5FC"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c>
          <w:tcPr>
            <w:tcW w:w="741" w:type="pct"/>
            <w:shd w:val="clear" w:color="auto" w:fill="auto"/>
            <w:vAlign w:val="bottom"/>
          </w:tcPr>
          <w:p w14:paraId="6E9220ED" w14:textId="71B2834E" w:rsidR="00015BBE" w:rsidRPr="00763A54" w:rsidRDefault="00557203" w:rsidP="00015BBE">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46,256</w:t>
            </w:r>
          </w:p>
        </w:tc>
        <w:tc>
          <w:tcPr>
            <w:tcW w:w="199" w:type="pct"/>
            <w:shd w:val="clear" w:color="auto" w:fill="auto"/>
            <w:vAlign w:val="bottom"/>
            <w:hideMark/>
          </w:tcPr>
          <w:p w14:paraId="77061204"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67" w:type="pct"/>
            <w:shd w:val="clear" w:color="auto" w:fill="auto"/>
            <w:vAlign w:val="bottom"/>
            <w:hideMark/>
          </w:tcPr>
          <w:p w14:paraId="3EEE0F46"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52" w:type="pct"/>
            <w:shd w:val="clear" w:color="auto" w:fill="auto"/>
            <w:vAlign w:val="bottom"/>
            <w:hideMark/>
          </w:tcPr>
          <w:p w14:paraId="4DCCD8F4"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c>
          <w:tcPr>
            <w:tcW w:w="848" w:type="pct"/>
            <w:shd w:val="clear" w:color="auto" w:fill="auto"/>
            <w:vAlign w:val="bottom"/>
            <w:hideMark/>
          </w:tcPr>
          <w:p w14:paraId="46ABF164" w14:textId="68643BB3" w:rsidR="00015BBE" w:rsidRPr="00A8334A" w:rsidRDefault="000E3449" w:rsidP="00015BBE">
            <w:pPr>
              <w:spacing w:after="0" w:line="240" w:lineRule="auto"/>
              <w:jc w:val="right"/>
              <w:rPr>
                <w:rFonts w:ascii="Times New Roman" w:eastAsia="Times New Roman" w:hAnsi="Times New Roman" w:cs="Times New Roman"/>
                <w:sz w:val="20"/>
                <w:szCs w:val="20"/>
                <w:lang w:val="en-US"/>
              </w:rPr>
            </w:pPr>
            <w:r>
              <w:rPr>
                <w:rFonts w:ascii="Times New Roman" w:hAnsi="Times New Roman" w:cs="Times New Roman"/>
                <w:sz w:val="20"/>
                <w:szCs w:val="20"/>
              </w:rPr>
              <w:t>7,615</w:t>
            </w:r>
          </w:p>
        </w:tc>
        <w:tc>
          <w:tcPr>
            <w:tcW w:w="184" w:type="pct"/>
            <w:shd w:val="clear" w:color="auto" w:fill="auto"/>
            <w:vAlign w:val="bottom"/>
            <w:hideMark/>
          </w:tcPr>
          <w:p w14:paraId="4D58609E"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r>
      <w:tr w:rsidR="00015BBE" w:rsidRPr="006A2A5E" w14:paraId="4D0C1AD7" w14:textId="77777777" w:rsidTr="0008506C">
        <w:tc>
          <w:tcPr>
            <w:tcW w:w="2804" w:type="pct"/>
            <w:shd w:val="clear" w:color="auto" w:fill="auto"/>
            <w:tcMar>
              <w:top w:w="0" w:type="dxa"/>
              <w:left w:w="200" w:type="dxa"/>
              <w:bottom w:w="0" w:type="dxa"/>
              <w:right w:w="0" w:type="dxa"/>
            </w:tcMar>
            <w:vAlign w:val="bottom"/>
          </w:tcPr>
          <w:p w14:paraId="002C185B" w14:textId="1B82470E" w:rsidR="00015BBE" w:rsidRPr="00A8334A" w:rsidRDefault="00002D95" w:rsidP="00D33273">
            <w:pPr>
              <w:spacing w:after="0" w:line="240" w:lineRule="auto"/>
              <w:ind w:left="-196"/>
              <w:jc w:val="both"/>
              <w:rPr>
                <w:rFonts w:ascii="Times New Roman" w:eastAsia="Times New Roman" w:hAnsi="Times New Roman" w:cs="Times New Roman"/>
                <w:sz w:val="20"/>
                <w:szCs w:val="20"/>
                <w:lang w:val="en-US"/>
              </w:rPr>
            </w:pPr>
            <w:r w:rsidRPr="005328E1">
              <w:rPr>
                <w:rFonts w:ascii="Times New Roman" w:eastAsia="Times New Roman" w:hAnsi="Times New Roman" w:cs="Times New Roman"/>
                <w:b/>
                <w:bCs/>
                <w:sz w:val="20"/>
                <w:szCs w:val="20"/>
              </w:rPr>
              <w:t>Non-cash investing and financing activities:</w:t>
            </w:r>
          </w:p>
        </w:tc>
        <w:tc>
          <w:tcPr>
            <w:tcW w:w="52" w:type="pct"/>
            <w:shd w:val="clear" w:color="auto" w:fill="auto"/>
            <w:vAlign w:val="bottom"/>
          </w:tcPr>
          <w:p w14:paraId="36AF1C8C" w14:textId="6FECB109"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52" w:type="pct"/>
            <w:shd w:val="clear" w:color="auto" w:fill="auto"/>
            <w:vAlign w:val="bottom"/>
          </w:tcPr>
          <w:p w14:paraId="76E6F742" w14:textId="66509503"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741" w:type="pct"/>
            <w:shd w:val="clear" w:color="auto" w:fill="auto"/>
            <w:vAlign w:val="bottom"/>
          </w:tcPr>
          <w:p w14:paraId="15A88362" w14:textId="3C717FEA" w:rsidR="00015BBE" w:rsidRPr="000829FD" w:rsidRDefault="00015BBE" w:rsidP="00015BBE">
            <w:pPr>
              <w:spacing w:after="0" w:line="240" w:lineRule="auto"/>
              <w:jc w:val="right"/>
              <w:rPr>
                <w:rFonts w:ascii="Times New Roman" w:eastAsia="Times New Roman" w:hAnsi="Times New Roman" w:cs="Times New Roman"/>
                <w:b/>
                <w:bCs/>
                <w:sz w:val="20"/>
                <w:szCs w:val="20"/>
                <w:highlight w:val="yellow"/>
                <w:lang w:val="en-US"/>
              </w:rPr>
            </w:pPr>
          </w:p>
        </w:tc>
        <w:tc>
          <w:tcPr>
            <w:tcW w:w="199" w:type="pct"/>
            <w:shd w:val="clear" w:color="auto" w:fill="auto"/>
            <w:vAlign w:val="bottom"/>
          </w:tcPr>
          <w:p w14:paraId="7CC5095C"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67" w:type="pct"/>
            <w:shd w:val="clear" w:color="auto" w:fill="auto"/>
            <w:vAlign w:val="bottom"/>
          </w:tcPr>
          <w:p w14:paraId="2E05088E"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52" w:type="pct"/>
            <w:shd w:val="clear" w:color="auto" w:fill="auto"/>
            <w:vAlign w:val="bottom"/>
          </w:tcPr>
          <w:p w14:paraId="12260C6D" w14:textId="6944F618"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c>
          <w:tcPr>
            <w:tcW w:w="848" w:type="pct"/>
            <w:shd w:val="clear" w:color="auto" w:fill="auto"/>
            <w:vAlign w:val="bottom"/>
          </w:tcPr>
          <w:p w14:paraId="58B76718" w14:textId="15A1D881" w:rsidR="00015BBE" w:rsidRPr="00A8334A" w:rsidRDefault="00015BBE" w:rsidP="00015BBE">
            <w:pPr>
              <w:spacing w:after="0" w:line="240" w:lineRule="auto"/>
              <w:jc w:val="right"/>
              <w:rPr>
                <w:rFonts w:ascii="Times New Roman" w:eastAsia="Times New Roman" w:hAnsi="Times New Roman" w:cs="Times New Roman"/>
                <w:sz w:val="20"/>
                <w:szCs w:val="20"/>
                <w:lang w:val="en-US"/>
              </w:rPr>
            </w:pPr>
          </w:p>
        </w:tc>
        <w:tc>
          <w:tcPr>
            <w:tcW w:w="184" w:type="pct"/>
            <w:shd w:val="clear" w:color="auto" w:fill="auto"/>
            <w:vAlign w:val="bottom"/>
          </w:tcPr>
          <w:p w14:paraId="0EFAF816" w14:textId="77777777" w:rsidR="00015BBE" w:rsidRPr="00A8334A" w:rsidRDefault="00015BBE" w:rsidP="00015BBE">
            <w:pPr>
              <w:spacing w:after="0" w:line="240" w:lineRule="auto"/>
              <w:jc w:val="both"/>
              <w:rPr>
                <w:rFonts w:ascii="Times New Roman" w:eastAsia="Times New Roman" w:hAnsi="Times New Roman" w:cs="Times New Roman"/>
                <w:sz w:val="20"/>
                <w:szCs w:val="20"/>
                <w:lang w:val="en-US"/>
              </w:rPr>
            </w:pPr>
          </w:p>
        </w:tc>
      </w:tr>
      <w:tr w:rsidR="00244BDB" w:rsidRPr="006A2A5E" w14:paraId="6EE29ED9" w14:textId="77777777" w:rsidTr="0008506C">
        <w:tc>
          <w:tcPr>
            <w:tcW w:w="2804" w:type="pct"/>
            <w:shd w:val="clear" w:color="auto" w:fill="auto"/>
            <w:tcMar>
              <w:top w:w="0" w:type="dxa"/>
              <w:left w:w="200" w:type="dxa"/>
              <w:bottom w:w="0" w:type="dxa"/>
              <w:right w:w="0" w:type="dxa"/>
            </w:tcMar>
            <w:vAlign w:val="bottom"/>
          </w:tcPr>
          <w:p w14:paraId="17E083A0" w14:textId="43AE25E1" w:rsidR="00244BDB" w:rsidRPr="00CD3524" w:rsidRDefault="00244BDB" w:rsidP="00D33273">
            <w:pPr>
              <w:spacing w:after="0" w:line="240" w:lineRule="auto"/>
              <w:ind w:left="-196"/>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Pr="00CD3524">
              <w:rPr>
                <w:rFonts w:ascii="Times New Roman" w:eastAsia="Times New Roman" w:hAnsi="Times New Roman" w:cs="Times New Roman"/>
                <w:sz w:val="20"/>
                <w:szCs w:val="20"/>
              </w:rPr>
              <w:t xml:space="preserve">Stock issued </w:t>
            </w:r>
            <w:r w:rsidR="00EA78DE">
              <w:rPr>
                <w:rFonts w:ascii="Times New Roman" w:eastAsia="Times New Roman" w:hAnsi="Times New Roman" w:cs="Times New Roman"/>
                <w:sz w:val="20"/>
                <w:szCs w:val="20"/>
              </w:rPr>
              <w:t>for prepaid services</w:t>
            </w:r>
          </w:p>
        </w:tc>
        <w:tc>
          <w:tcPr>
            <w:tcW w:w="52" w:type="pct"/>
            <w:shd w:val="clear" w:color="auto" w:fill="auto"/>
            <w:vAlign w:val="bottom"/>
          </w:tcPr>
          <w:p w14:paraId="1B264581" w14:textId="77777777" w:rsidR="00244BDB" w:rsidRPr="00A8334A" w:rsidRDefault="00244BDB" w:rsidP="00015BBE">
            <w:pPr>
              <w:spacing w:after="0" w:line="240" w:lineRule="auto"/>
              <w:jc w:val="both"/>
              <w:rPr>
                <w:rFonts w:ascii="Times New Roman" w:eastAsia="Times New Roman" w:hAnsi="Times New Roman" w:cs="Times New Roman"/>
                <w:sz w:val="20"/>
                <w:szCs w:val="20"/>
                <w:lang w:val="en-US"/>
              </w:rPr>
            </w:pPr>
          </w:p>
        </w:tc>
        <w:tc>
          <w:tcPr>
            <w:tcW w:w="52" w:type="pct"/>
            <w:shd w:val="clear" w:color="auto" w:fill="auto"/>
            <w:vAlign w:val="bottom"/>
          </w:tcPr>
          <w:p w14:paraId="26451811" w14:textId="0ED1CF47" w:rsidR="00244BDB" w:rsidRPr="00A8334A" w:rsidRDefault="00AF28BB" w:rsidP="00015BB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741" w:type="pct"/>
            <w:shd w:val="clear" w:color="auto" w:fill="auto"/>
            <w:vAlign w:val="bottom"/>
          </w:tcPr>
          <w:p w14:paraId="43B9127A" w14:textId="68531F50" w:rsidR="00244BDB" w:rsidRPr="000829FD" w:rsidRDefault="00763A54" w:rsidP="00015BBE">
            <w:pPr>
              <w:spacing w:after="0" w:line="240" w:lineRule="auto"/>
              <w:jc w:val="right"/>
              <w:rPr>
                <w:rFonts w:ascii="Times New Roman" w:eastAsia="Times New Roman" w:hAnsi="Times New Roman" w:cs="Times New Roman"/>
                <w:b/>
                <w:bCs/>
                <w:sz w:val="20"/>
                <w:szCs w:val="20"/>
                <w:highlight w:val="yellow"/>
                <w:lang w:val="en-US"/>
              </w:rPr>
            </w:pPr>
            <w:r w:rsidRPr="00064A08">
              <w:rPr>
                <w:rFonts w:ascii="Times New Roman" w:eastAsia="Times New Roman" w:hAnsi="Times New Roman" w:cs="Times New Roman"/>
                <w:b/>
                <w:bCs/>
                <w:sz w:val="20"/>
                <w:szCs w:val="20"/>
                <w:lang w:val="en-US"/>
              </w:rPr>
              <w:t>19,393</w:t>
            </w:r>
          </w:p>
        </w:tc>
        <w:tc>
          <w:tcPr>
            <w:tcW w:w="199" w:type="pct"/>
            <w:shd w:val="clear" w:color="auto" w:fill="auto"/>
            <w:vAlign w:val="bottom"/>
          </w:tcPr>
          <w:p w14:paraId="2E06A50B" w14:textId="77777777" w:rsidR="00244BDB" w:rsidRPr="00A8334A" w:rsidRDefault="00244BDB" w:rsidP="00015BBE">
            <w:pPr>
              <w:spacing w:after="0" w:line="240" w:lineRule="auto"/>
              <w:jc w:val="both"/>
              <w:rPr>
                <w:rFonts w:ascii="Times New Roman" w:eastAsia="Times New Roman" w:hAnsi="Times New Roman" w:cs="Times New Roman"/>
                <w:sz w:val="20"/>
                <w:szCs w:val="20"/>
                <w:lang w:val="en-US"/>
              </w:rPr>
            </w:pPr>
          </w:p>
        </w:tc>
        <w:tc>
          <w:tcPr>
            <w:tcW w:w="67" w:type="pct"/>
            <w:shd w:val="clear" w:color="auto" w:fill="auto"/>
            <w:vAlign w:val="bottom"/>
          </w:tcPr>
          <w:p w14:paraId="4FF65EDA" w14:textId="77777777" w:rsidR="00244BDB" w:rsidRPr="00A8334A" w:rsidRDefault="00244BDB" w:rsidP="00015BBE">
            <w:pPr>
              <w:spacing w:after="0" w:line="240" w:lineRule="auto"/>
              <w:jc w:val="both"/>
              <w:rPr>
                <w:rFonts w:ascii="Times New Roman" w:eastAsia="Times New Roman" w:hAnsi="Times New Roman" w:cs="Times New Roman"/>
                <w:sz w:val="20"/>
                <w:szCs w:val="20"/>
                <w:lang w:val="en-US"/>
              </w:rPr>
            </w:pPr>
          </w:p>
        </w:tc>
        <w:tc>
          <w:tcPr>
            <w:tcW w:w="52" w:type="pct"/>
            <w:shd w:val="clear" w:color="auto" w:fill="auto"/>
            <w:vAlign w:val="bottom"/>
          </w:tcPr>
          <w:p w14:paraId="39A1B274" w14:textId="77777777" w:rsidR="00244BDB" w:rsidRPr="00A8334A" w:rsidRDefault="00244BDB" w:rsidP="00015BBE">
            <w:pPr>
              <w:spacing w:after="0" w:line="240" w:lineRule="auto"/>
              <w:jc w:val="both"/>
              <w:rPr>
                <w:rFonts w:ascii="Times New Roman" w:eastAsia="Times New Roman" w:hAnsi="Times New Roman" w:cs="Times New Roman"/>
                <w:sz w:val="20"/>
                <w:szCs w:val="20"/>
                <w:lang w:val="en-US"/>
              </w:rPr>
            </w:pPr>
          </w:p>
        </w:tc>
        <w:tc>
          <w:tcPr>
            <w:tcW w:w="848" w:type="pct"/>
            <w:shd w:val="clear" w:color="auto" w:fill="auto"/>
            <w:vAlign w:val="bottom"/>
          </w:tcPr>
          <w:p w14:paraId="0B47DD24" w14:textId="16BFF55E" w:rsidR="00244BDB" w:rsidRPr="00A8334A" w:rsidRDefault="00AF28BB" w:rsidP="00015BBE">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84" w:type="pct"/>
            <w:shd w:val="clear" w:color="auto" w:fill="auto"/>
            <w:vAlign w:val="bottom"/>
          </w:tcPr>
          <w:p w14:paraId="5EFB6F1D" w14:textId="77777777" w:rsidR="00244BDB" w:rsidRPr="00A8334A" w:rsidRDefault="00244BDB" w:rsidP="00015BBE">
            <w:pPr>
              <w:spacing w:after="0" w:line="240" w:lineRule="auto"/>
              <w:jc w:val="both"/>
              <w:rPr>
                <w:rFonts w:ascii="Times New Roman" w:eastAsia="Times New Roman" w:hAnsi="Times New Roman" w:cs="Times New Roman"/>
                <w:sz w:val="20"/>
                <w:szCs w:val="20"/>
                <w:lang w:val="en-US"/>
              </w:rPr>
            </w:pPr>
          </w:p>
        </w:tc>
      </w:tr>
      <w:tr w:rsidR="00002D95" w:rsidRPr="006A2A5E" w14:paraId="02068B7C" w14:textId="77777777" w:rsidTr="0008506C">
        <w:tc>
          <w:tcPr>
            <w:tcW w:w="2804" w:type="pct"/>
            <w:shd w:val="clear" w:color="auto" w:fill="auto"/>
            <w:tcMar>
              <w:top w:w="0" w:type="dxa"/>
              <w:left w:w="200" w:type="dxa"/>
              <w:bottom w:w="0" w:type="dxa"/>
              <w:right w:w="0" w:type="dxa"/>
            </w:tcMar>
            <w:vAlign w:val="bottom"/>
          </w:tcPr>
          <w:p w14:paraId="646E8272" w14:textId="7CFB81E9" w:rsidR="00002D95" w:rsidRPr="00A8334A" w:rsidRDefault="00002D95" w:rsidP="00002D95">
            <w:pPr>
              <w:spacing w:after="0" w:line="240" w:lineRule="auto"/>
              <w:jc w:val="both"/>
              <w:rPr>
                <w:rFonts w:ascii="Times New Roman" w:eastAsia="Times New Roman" w:hAnsi="Times New Roman" w:cs="Times New Roman"/>
                <w:sz w:val="20"/>
                <w:szCs w:val="20"/>
                <w:lang w:val="en-US"/>
              </w:rPr>
            </w:pPr>
            <w:r w:rsidRPr="005328E1">
              <w:rPr>
                <w:rFonts w:ascii="Times New Roman" w:eastAsia="Times New Roman" w:hAnsi="Times New Roman" w:cs="Times New Roman"/>
                <w:sz w:val="20"/>
                <w:szCs w:val="20"/>
              </w:rPr>
              <w:t>Stock issued for debt settlement</w:t>
            </w:r>
          </w:p>
        </w:tc>
        <w:tc>
          <w:tcPr>
            <w:tcW w:w="52" w:type="pct"/>
            <w:shd w:val="clear" w:color="auto" w:fill="auto"/>
            <w:vAlign w:val="bottom"/>
          </w:tcPr>
          <w:p w14:paraId="7E8F2F2B" w14:textId="57B3B88F" w:rsidR="00002D95" w:rsidRPr="00A8334A" w:rsidRDefault="00002D95" w:rsidP="00002D95">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 </w:t>
            </w:r>
          </w:p>
        </w:tc>
        <w:tc>
          <w:tcPr>
            <w:tcW w:w="52" w:type="pct"/>
            <w:shd w:val="clear" w:color="auto" w:fill="auto"/>
            <w:vAlign w:val="bottom"/>
          </w:tcPr>
          <w:p w14:paraId="56118A11" w14:textId="24BC3BF7" w:rsidR="00002D95" w:rsidRPr="00A8334A" w:rsidRDefault="00002D95" w:rsidP="00002D95">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c>
          <w:tcPr>
            <w:tcW w:w="741" w:type="pct"/>
            <w:shd w:val="clear" w:color="auto" w:fill="auto"/>
            <w:vAlign w:val="bottom"/>
          </w:tcPr>
          <w:p w14:paraId="79EA9B58" w14:textId="5AEFE666" w:rsidR="00002D95" w:rsidRPr="00FE5695" w:rsidRDefault="00002D95" w:rsidP="00002D95">
            <w:pPr>
              <w:spacing w:after="0" w:line="240" w:lineRule="auto"/>
              <w:jc w:val="right"/>
              <w:rPr>
                <w:rFonts w:ascii="Times New Roman" w:eastAsia="Times New Roman" w:hAnsi="Times New Roman" w:cs="Times New Roman"/>
                <w:b/>
                <w:bCs/>
                <w:sz w:val="20"/>
                <w:szCs w:val="20"/>
                <w:lang w:val="en-US"/>
              </w:rPr>
            </w:pPr>
            <w:r w:rsidRPr="00FE5695">
              <w:rPr>
                <w:rFonts w:ascii="Times New Roman" w:eastAsia="Times New Roman" w:hAnsi="Times New Roman" w:cs="Times New Roman"/>
                <w:b/>
                <w:bCs/>
                <w:sz w:val="20"/>
                <w:szCs w:val="20"/>
                <w:lang w:val="en-US"/>
              </w:rPr>
              <w:t>3</w:t>
            </w:r>
            <w:r w:rsidR="000F4262">
              <w:rPr>
                <w:rFonts w:ascii="Times New Roman" w:eastAsia="Times New Roman" w:hAnsi="Times New Roman" w:cs="Times New Roman"/>
                <w:b/>
                <w:bCs/>
                <w:sz w:val="20"/>
                <w:szCs w:val="20"/>
                <w:lang w:val="en-US"/>
              </w:rPr>
              <w:t>72</w:t>
            </w:r>
            <w:r w:rsidRPr="00FE5695">
              <w:rPr>
                <w:rFonts w:ascii="Times New Roman" w:eastAsia="Times New Roman" w:hAnsi="Times New Roman" w:cs="Times New Roman"/>
                <w:b/>
                <w:bCs/>
                <w:sz w:val="20"/>
                <w:szCs w:val="20"/>
                <w:lang w:val="en-US"/>
              </w:rPr>
              <w:t>,</w:t>
            </w:r>
            <w:r w:rsidR="000F4262">
              <w:rPr>
                <w:rFonts w:ascii="Times New Roman" w:eastAsia="Times New Roman" w:hAnsi="Times New Roman" w:cs="Times New Roman"/>
                <w:b/>
                <w:bCs/>
                <w:sz w:val="20"/>
                <w:szCs w:val="20"/>
                <w:lang w:val="en-US"/>
              </w:rPr>
              <w:t>853</w:t>
            </w:r>
          </w:p>
        </w:tc>
        <w:tc>
          <w:tcPr>
            <w:tcW w:w="199" w:type="pct"/>
            <w:shd w:val="clear" w:color="auto" w:fill="auto"/>
            <w:vAlign w:val="bottom"/>
          </w:tcPr>
          <w:p w14:paraId="385671C2" w14:textId="77777777" w:rsidR="00002D95" w:rsidRPr="00A8334A" w:rsidRDefault="00002D95" w:rsidP="00002D95">
            <w:pPr>
              <w:spacing w:after="0" w:line="240" w:lineRule="auto"/>
              <w:jc w:val="both"/>
              <w:rPr>
                <w:rFonts w:ascii="Times New Roman" w:eastAsia="Times New Roman" w:hAnsi="Times New Roman" w:cs="Times New Roman"/>
                <w:sz w:val="20"/>
                <w:szCs w:val="20"/>
                <w:lang w:val="en-US"/>
              </w:rPr>
            </w:pPr>
          </w:p>
        </w:tc>
        <w:tc>
          <w:tcPr>
            <w:tcW w:w="67" w:type="pct"/>
            <w:shd w:val="clear" w:color="auto" w:fill="auto"/>
            <w:vAlign w:val="bottom"/>
          </w:tcPr>
          <w:p w14:paraId="675703CE" w14:textId="77777777" w:rsidR="00002D95" w:rsidRPr="00A8334A" w:rsidRDefault="00002D95" w:rsidP="00002D95">
            <w:pPr>
              <w:spacing w:after="0" w:line="240" w:lineRule="auto"/>
              <w:jc w:val="both"/>
              <w:rPr>
                <w:rFonts w:ascii="Times New Roman" w:eastAsia="Times New Roman" w:hAnsi="Times New Roman" w:cs="Times New Roman"/>
                <w:sz w:val="20"/>
                <w:szCs w:val="20"/>
                <w:lang w:val="en-US"/>
              </w:rPr>
            </w:pPr>
          </w:p>
        </w:tc>
        <w:tc>
          <w:tcPr>
            <w:tcW w:w="52" w:type="pct"/>
            <w:shd w:val="clear" w:color="auto" w:fill="auto"/>
            <w:vAlign w:val="bottom"/>
          </w:tcPr>
          <w:p w14:paraId="1039D7FF" w14:textId="32232B5E" w:rsidR="00002D95" w:rsidRPr="00A8334A" w:rsidRDefault="00002D95" w:rsidP="00002D95">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c>
          <w:tcPr>
            <w:tcW w:w="848" w:type="pct"/>
            <w:shd w:val="clear" w:color="auto" w:fill="auto"/>
            <w:vAlign w:val="bottom"/>
          </w:tcPr>
          <w:p w14:paraId="1620032B" w14:textId="57E51F5F" w:rsidR="00002D95" w:rsidRPr="00A8334A" w:rsidRDefault="000E3449" w:rsidP="00002D95">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345,698</w:t>
            </w:r>
          </w:p>
        </w:tc>
        <w:tc>
          <w:tcPr>
            <w:tcW w:w="184" w:type="pct"/>
            <w:shd w:val="clear" w:color="auto" w:fill="auto"/>
            <w:vAlign w:val="bottom"/>
          </w:tcPr>
          <w:p w14:paraId="65263E91" w14:textId="77777777" w:rsidR="00002D95" w:rsidRPr="00A8334A" w:rsidRDefault="00002D95" w:rsidP="00002D95">
            <w:pPr>
              <w:spacing w:after="0" w:line="240" w:lineRule="auto"/>
              <w:jc w:val="both"/>
              <w:rPr>
                <w:rFonts w:ascii="Times New Roman" w:eastAsia="Times New Roman" w:hAnsi="Times New Roman" w:cs="Times New Roman"/>
                <w:sz w:val="20"/>
                <w:szCs w:val="20"/>
                <w:lang w:val="en-US"/>
              </w:rPr>
            </w:pPr>
          </w:p>
        </w:tc>
      </w:tr>
      <w:tr w:rsidR="00002D95" w:rsidRPr="006A2A5E" w14:paraId="31C98D36" w14:textId="77777777" w:rsidTr="0008506C">
        <w:tc>
          <w:tcPr>
            <w:tcW w:w="2804" w:type="pct"/>
            <w:shd w:val="clear" w:color="auto" w:fill="auto"/>
            <w:tcMar>
              <w:top w:w="0" w:type="dxa"/>
              <w:left w:w="200" w:type="dxa"/>
              <w:bottom w:w="0" w:type="dxa"/>
              <w:right w:w="0" w:type="dxa"/>
            </w:tcMar>
            <w:vAlign w:val="bottom"/>
          </w:tcPr>
          <w:p w14:paraId="16183B32" w14:textId="099DFA2E" w:rsidR="00002D95" w:rsidRDefault="00002D95" w:rsidP="00002D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Stock issued for debt conversion</w:t>
            </w:r>
          </w:p>
        </w:tc>
        <w:tc>
          <w:tcPr>
            <w:tcW w:w="52" w:type="pct"/>
            <w:shd w:val="clear" w:color="auto" w:fill="auto"/>
            <w:vAlign w:val="bottom"/>
          </w:tcPr>
          <w:p w14:paraId="3AA3BAB7" w14:textId="77777777" w:rsidR="00002D95" w:rsidRPr="00A8334A" w:rsidRDefault="00002D95" w:rsidP="00002D95">
            <w:pPr>
              <w:spacing w:after="0" w:line="240" w:lineRule="auto"/>
              <w:jc w:val="both"/>
              <w:rPr>
                <w:rFonts w:ascii="Times New Roman" w:eastAsia="Times New Roman" w:hAnsi="Times New Roman" w:cs="Times New Roman"/>
                <w:sz w:val="20"/>
                <w:szCs w:val="20"/>
                <w:lang w:val="en-US"/>
              </w:rPr>
            </w:pPr>
          </w:p>
        </w:tc>
        <w:tc>
          <w:tcPr>
            <w:tcW w:w="52" w:type="pct"/>
            <w:shd w:val="clear" w:color="auto" w:fill="auto"/>
            <w:vAlign w:val="bottom"/>
          </w:tcPr>
          <w:p w14:paraId="363ED83F" w14:textId="0C937E92" w:rsidR="00002D95" w:rsidRDefault="00002D95" w:rsidP="00002D9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741" w:type="pct"/>
            <w:shd w:val="clear" w:color="auto" w:fill="auto"/>
            <w:vAlign w:val="bottom"/>
          </w:tcPr>
          <w:p w14:paraId="23FAB398" w14:textId="116B61F0" w:rsidR="00002D95" w:rsidRPr="00FE5695" w:rsidRDefault="00002D95" w:rsidP="00002D95">
            <w:pPr>
              <w:spacing w:after="0" w:line="240" w:lineRule="auto"/>
              <w:jc w:val="right"/>
              <w:rPr>
                <w:rFonts w:ascii="Times New Roman" w:eastAsia="Times New Roman" w:hAnsi="Times New Roman" w:cs="Times New Roman"/>
                <w:b/>
                <w:bCs/>
                <w:sz w:val="20"/>
                <w:szCs w:val="20"/>
                <w:lang w:val="en-US"/>
              </w:rPr>
            </w:pPr>
            <w:r w:rsidRPr="00FE5695">
              <w:rPr>
                <w:rFonts w:ascii="Times New Roman" w:eastAsia="Times New Roman" w:hAnsi="Times New Roman" w:cs="Times New Roman"/>
                <w:b/>
                <w:bCs/>
                <w:sz w:val="20"/>
                <w:szCs w:val="20"/>
                <w:lang w:val="en-US"/>
              </w:rPr>
              <w:t>-</w:t>
            </w:r>
          </w:p>
        </w:tc>
        <w:tc>
          <w:tcPr>
            <w:tcW w:w="199" w:type="pct"/>
            <w:shd w:val="clear" w:color="auto" w:fill="auto"/>
            <w:vAlign w:val="bottom"/>
          </w:tcPr>
          <w:p w14:paraId="63C8855D" w14:textId="77777777" w:rsidR="00002D95" w:rsidRPr="00A8334A" w:rsidRDefault="00002D95" w:rsidP="00002D95">
            <w:pPr>
              <w:spacing w:after="0" w:line="240" w:lineRule="auto"/>
              <w:jc w:val="both"/>
              <w:rPr>
                <w:rFonts w:ascii="Times New Roman" w:eastAsia="Times New Roman" w:hAnsi="Times New Roman" w:cs="Times New Roman"/>
                <w:sz w:val="20"/>
                <w:szCs w:val="20"/>
                <w:lang w:val="en-US"/>
              </w:rPr>
            </w:pPr>
          </w:p>
        </w:tc>
        <w:tc>
          <w:tcPr>
            <w:tcW w:w="67" w:type="pct"/>
            <w:shd w:val="clear" w:color="auto" w:fill="auto"/>
            <w:vAlign w:val="bottom"/>
          </w:tcPr>
          <w:p w14:paraId="1EB13500" w14:textId="77777777" w:rsidR="00002D95" w:rsidRPr="00A8334A" w:rsidRDefault="00002D95" w:rsidP="00002D95">
            <w:pPr>
              <w:spacing w:after="0" w:line="240" w:lineRule="auto"/>
              <w:jc w:val="both"/>
              <w:rPr>
                <w:rFonts w:ascii="Times New Roman" w:eastAsia="Times New Roman" w:hAnsi="Times New Roman" w:cs="Times New Roman"/>
                <w:sz w:val="20"/>
                <w:szCs w:val="20"/>
                <w:lang w:val="en-US"/>
              </w:rPr>
            </w:pPr>
          </w:p>
        </w:tc>
        <w:tc>
          <w:tcPr>
            <w:tcW w:w="52" w:type="pct"/>
            <w:shd w:val="clear" w:color="auto" w:fill="auto"/>
            <w:vAlign w:val="bottom"/>
          </w:tcPr>
          <w:p w14:paraId="0F4B1047" w14:textId="5F98DED2" w:rsidR="00002D95" w:rsidRPr="00A8334A" w:rsidRDefault="00002D95" w:rsidP="00002D95">
            <w:pPr>
              <w:spacing w:after="0" w:line="240" w:lineRule="auto"/>
              <w:jc w:val="both"/>
              <w:rPr>
                <w:rFonts w:ascii="Times New Roman" w:eastAsia="Times New Roman" w:hAnsi="Times New Roman" w:cs="Times New Roman"/>
                <w:sz w:val="20"/>
                <w:szCs w:val="20"/>
                <w:lang w:val="en-US"/>
              </w:rPr>
            </w:pPr>
            <w:r w:rsidRPr="00A8334A">
              <w:rPr>
                <w:rFonts w:ascii="Times New Roman" w:eastAsia="Times New Roman" w:hAnsi="Times New Roman" w:cs="Times New Roman"/>
                <w:sz w:val="20"/>
                <w:szCs w:val="20"/>
                <w:lang w:val="en-US"/>
              </w:rPr>
              <w:t>$</w:t>
            </w:r>
          </w:p>
        </w:tc>
        <w:tc>
          <w:tcPr>
            <w:tcW w:w="848" w:type="pct"/>
            <w:shd w:val="clear" w:color="auto" w:fill="auto"/>
            <w:vAlign w:val="bottom"/>
          </w:tcPr>
          <w:p w14:paraId="4DBC2E03" w14:textId="06A905B2" w:rsidR="00002D95" w:rsidRDefault="00002D95" w:rsidP="00002D9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522,519</w:t>
            </w:r>
          </w:p>
        </w:tc>
        <w:tc>
          <w:tcPr>
            <w:tcW w:w="184" w:type="pct"/>
            <w:shd w:val="clear" w:color="auto" w:fill="auto"/>
            <w:vAlign w:val="bottom"/>
          </w:tcPr>
          <w:p w14:paraId="473E0819" w14:textId="77777777" w:rsidR="00002D95" w:rsidRPr="00A8334A" w:rsidRDefault="00002D95" w:rsidP="00002D95">
            <w:pPr>
              <w:spacing w:after="0" w:line="240" w:lineRule="auto"/>
              <w:jc w:val="both"/>
              <w:rPr>
                <w:rFonts w:ascii="Times New Roman" w:eastAsia="Times New Roman" w:hAnsi="Times New Roman" w:cs="Times New Roman"/>
                <w:sz w:val="20"/>
                <w:szCs w:val="20"/>
                <w:lang w:val="en-US"/>
              </w:rPr>
            </w:pPr>
          </w:p>
        </w:tc>
      </w:tr>
    </w:tbl>
    <w:p w14:paraId="33048FF2" w14:textId="7BBD51D5" w:rsidR="00A931AF" w:rsidRDefault="00A931AF" w:rsidP="00D33273">
      <w:pPr>
        <w:pBdr>
          <w:top w:val="single" w:sz="12" w:space="1" w:color="auto"/>
        </w:pBdr>
        <w:rPr>
          <w:lang w:val="en-US"/>
        </w:rPr>
      </w:pPr>
    </w:p>
    <w:p w14:paraId="3E4EB9F2" w14:textId="1875A660" w:rsidR="00D2099E" w:rsidRDefault="006A2A5E" w:rsidP="00722478">
      <w:pPr>
        <w:pStyle w:val="NormalWeb"/>
        <w:spacing w:before="0" w:beforeAutospacing="0" w:after="0" w:afterAutospacing="0"/>
        <w:jc w:val="center"/>
        <w:rPr>
          <w:sz w:val="20"/>
          <w:szCs w:val="20"/>
        </w:rPr>
      </w:pPr>
      <w:r>
        <w:rPr>
          <w:sz w:val="20"/>
          <w:szCs w:val="20"/>
        </w:rPr>
        <w:t xml:space="preserve">See accompanying notes to </w:t>
      </w:r>
      <w:r w:rsidR="00432BC1">
        <w:rPr>
          <w:sz w:val="20"/>
          <w:szCs w:val="20"/>
        </w:rPr>
        <w:t>unaudited consolidated interim financial statements</w:t>
      </w:r>
      <w:r w:rsidR="00300E37">
        <w:rPr>
          <w:sz w:val="20"/>
          <w:szCs w:val="20"/>
        </w:rPr>
        <w:t>.</w:t>
      </w:r>
    </w:p>
    <w:p w14:paraId="566336EA" w14:textId="77777777" w:rsidR="00432BC1" w:rsidRPr="00CA4239" w:rsidRDefault="00432BC1" w:rsidP="00CA4239"/>
    <w:p w14:paraId="784AD983" w14:textId="77777777" w:rsidR="00432BC1" w:rsidRPr="00CA4239" w:rsidRDefault="00432BC1" w:rsidP="00CA4239"/>
    <w:p w14:paraId="6B6C09E7" w14:textId="77777777" w:rsidR="00432BC1" w:rsidRDefault="00432BC1" w:rsidP="00432BC1">
      <w:pPr>
        <w:rPr>
          <w:rFonts w:ascii="Times New Roman" w:eastAsiaTheme="minorEastAsia" w:hAnsi="Times New Roman" w:cs="Times New Roman"/>
          <w:sz w:val="20"/>
          <w:szCs w:val="20"/>
          <w:lang w:val="en-US"/>
        </w:rPr>
      </w:pPr>
    </w:p>
    <w:p w14:paraId="5BC32B2E" w14:textId="1A7D395E" w:rsidR="00432BC1" w:rsidRDefault="00432BC1" w:rsidP="00CA4239">
      <w:pPr>
        <w:tabs>
          <w:tab w:val="left" w:pos="6720"/>
        </w:tabs>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ab/>
      </w:r>
    </w:p>
    <w:p w14:paraId="5C6CC5E5" w14:textId="695C718E" w:rsidR="00FB2B93" w:rsidRPr="00343F2A" w:rsidRDefault="00432BC1" w:rsidP="00CA4239">
      <w:pPr>
        <w:tabs>
          <w:tab w:val="left" w:pos="6720"/>
        </w:tabs>
        <w:sectPr w:rsidR="00FB2B93" w:rsidRPr="00343F2A">
          <w:headerReference w:type="default" r:id="rId15"/>
          <w:pgSz w:w="12240" w:h="15840"/>
          <w:pgMar w:top="1440" w:right="1440" w:bottom="1440" w:left="1440" w:header="708" w:footer="708" w:gutter="0"/>
          <w:cols w:space="708"/>
          <w:docGrid w:linePitch="360"/>
        </w:sectPr>
      </w:pPr>
      <w:r>
        <w:rPr>
          <w:lang w:val="en-US"/>
        </w:rPr>
        <w:tab/>
      </w: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31BCB58A" w14:textId="77777777" w:rsidTr="005C7D2D">
        <w:tc>
          <w:tcPr>
            <w:tcW w:w="360" w:type="dxa"/>
            <w:hideMark/>
          </w:tcPr>
          <w:p w14:paraId="6F97E0DD" w14:textId="7777777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lastRenderedPageBreak/>
              <w:t>1.</w:t>
            </w:r>
          </w:p>
        </w:tc>
        <w:tc>
          <w:tcPr>
            <w:tcW w:w="0" w:type="auto"/>
            <w:hideMark/>
          </w:tcPr>
          <w:p w14:paraId="309A7D11" w14:textId="7777777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Organization</w:t>
            </w:r>
          </w:p>
        </w:tc>
      </w:tr>
    </w:tbl>
    <w:p w14:paraId="2F8D4A19" w14:textId="77777777" w:rsidR="00D2099E" w:rsidRPr="00D2099E" w:rsidRDefault="00D2099E" w:rsidP="00D2099E">
      <w:pPr>
        <w:spacing w:after="0" w:line="240" w:lineRule="auto"/>
        <w:ind w:left="360" w:hanging="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749A914" w14:textId="0648B706" w:rsidR="00081FCA" w:rsidRPr="00CC6117" w:rsidRDefault="00D2099E" w:rsidP="00CC6117">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Trillion Energy </w:t>
      </w:r>
      <w:r w:rsidR="00A05A49">
        <w:rPr>
          <w:rFonts w:ascii="Times New Roman" w:eastAsia="Times New Roman" w:hAnsi="Times New Roman" w:cs="Times New Roman"/>
          <w:sz w:val="20"/>
          <w:szCs w:val="20"/>
          <w:lang w:val="en-US"/>
        </w:rPr>
        <w:t xml:space="preserve">International </w:t>
      </w:r>
      <w:r w:rsidRPr="00D2099E">
        <w:rPr>
          <w:rFonts w:ascii="Times New Roman" w:eastAsia="Times New Roman" w:hAnsi="Times New Roman" w:cs="Times New Roman"/>
          <w:sz w:val="20"/>
          <w:szCs w:val="20"/>
          <w:lang w:val="en-US"/>
        </w:rPr>
        <w:t>Inc.</w:t>
      </w:r>
      <w:r w:rsidR="00290D25">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and its consolidated subsidiaries, (collectively referred to as the “Company”) is a </w:t>
      </w:r>
      <w:r w:rsidR="00AA0B28">
        <w:rPr>
          <w:rFonts w:ascii="Times New Roman" w:eastAsia="Times New Roman" w:hAnsi="Times New Roman" w:cs="Times New Roman"/>
          <w:sz w:val="20"/>
          <w:szCs w:val="20"/>
          <w:lang w:val="en-US"/>
        </w:rPr>
        <w:t>Canadian</w:t>
      </w:r>
      <w:r w:rsidRPr="00D2099E">
        <w:rPr>
          <w:rFonts w:ascii="Times New Roman" w:eastAsia="Times New Roman" w:hAnsi="Times New Roman" w:cs="Times New Roman"/>
          <w:sz w:val="20"/>
          <w:szCs w:val="20"/>
          <w:lang w:val="en-US"/>
        </w:rPr>
        <w:t xml:space="preserve"> based oil and gas exploration and production company. Effective </w:t>
      </w:r>
      <w:r w:rsidR="00806371">
        <w:rPr>
          <w:rFonts w:ascii="Times New Roman" w:eastAsia="Times New Roman" w:hAnsi="Times New Roman" w:cs="Times New Roman"/>
          <w:sz w:val="20"/>
          <w:szCs w:val="20"/>
          <w:lang w:val="en-US"/>
        </w:rPr>
        <w:t>January 2022</w:t>
      </w:r>
      <w:r w:rsidRPr="00D2099E">
        <w:rPr>
          <w:rFonts w:ascii="Times New Roman" w:eastAsia="Times New Roman" w:hAnsi="Times New Roman" w:cs="Times New Roman"/>
          <w:sz w:val="20"/>
          <w:szCs w:val="20"/>
          <w:lang w:val="en-US"/>
        </w:rPr>
        <w:t xml:space="preserve">, </w:t>
      </w:r>
      <w:r w:rsidR="00290D25">
        <w:rPr>
          <w:rFonts w:ascii="Times New Roman" w:eastAsia="Times New Roman" w:hAnsi="Times New Roman" w:cs="Times New Roman"/>
          <w:sz w:val="20"/>
          <w:szCs w:val="20"/>
          <w:lang w:val="en-US"/>
        </w:rPr>
        <w:t>the</w:t>
      </w:r>
      <w:r w:rsidRPr="00D2099E">
        <w:rPr>
          <w:rFonts w:ascii="Times New Roman" w:eastAsia="Times New Roman" w:hAnsi="Times New Roman" w:cs="Times New Roman"/>
          <w:sz w:val="20"/>
          <w:szCs w:val="20"/>
          <w:lang w:val="en-US"/>
        </w:rPr>
        <w:t xml:space="preserve"> corporate headquarters moved </w:t>
      </w:r>
      <w:r w:rsidR="00081FCA">
        <w:rPr>
          <w:rFonts w:ascii="Times New Roman" w:eastAsia="Times New Roman" w:hAnsi="Times New Roman" w:cs="Times New Roman"/>
          <w:sz w:val="20"/>
          <w:szCs w:val="20"/>
          <w:lang w:val="en-US"/>
        </w:rPr>
        <w:t>to</w:t>
      </w:r>
      <w:r w:rsidRPr="00D2099E">
        <w:rPr>
          <w:rFonts w:ascii="Times New Roman" w:eastAsia="Times New Roman" w:hAnsi="Times New Roman" w:cs="Times New Roman"/>
          <w:sz w:val="20"/>
          <w:szCs w:val="20"/>
          <w:lang w:val="en-US"/>
        </w:rPr>
        <w:t xml:space="preserve"> Suite 700, 838 West Hastings Street, Vancouver, B.C., Canada </w:t>
      </w:r>
      <w:r w:rsidR="00081FCA">
        <w:rPr>
          <w:rFonts w:ascii="Times New Roman" w:eastAsia="Times New Roman" w:hAnsi="Times New Roman" w:cs="Times New Roman"/>
          <w:sz w:val="20"/>
          <w:szCs w:val="20"/>
          <w:lang w:val="en-US"/>
        </w:rPr>
        <w:t>from</w:t>
      </w:r>
      <w:r w:rsidRPr="00D2099E">
        <w:rPr>
          <w:rFonts w:ascii="Times New Roman" w:eastAsia="Times New Roman" w:hAnsi="Times New Roman" w:cs="Times New Roman"/>
          <w:sz w:val="20"/>
          <w:szCs w:val="20"/>
          <w:lang w:val="en-US"/>
        </w:rPr>
        <w:t xml:space="preserve"> </w:t>
      </w:r>
      <w:proofErr w:type="spellStart"/>
      <w:r w:rsidRPr="00D2099E">
        <w:rPr>
          <w:rFonts w:ascii="Times New Roman" w:eastAsia="Times New Roman" w:hAnsi="Times New Roman" w:cs="Times New Roman"/>
          <w:sz w:val="20"/>
          <w:szCs w:val="20"/>
          <w:lang w:val="en-US"/>
        </w:rPr>
        <w:t>Turan</w:t>
      </w:r>
      <w:proofErr w:type="spellEnd"/>
      <w:r w:rsidRPr="00D2099E">
        <w:rPr>
          <w:rFonts w:ascii="Times New Roman" w:eastAsia="Times New Roman" w:hAnsi="Times New Roman" w:cs="Times New Roman"/>
          <w:sz w:val="20"/>
          <w:szCs w:val="20"/>
          <w:lang w:val="en-US"/>
        </w:rPr>
        <w:t xml:space="preserve"> </w:t>
      </w:r>
      <w:proofErr w:type="spellStart"/>
      <w:r w:rsidRPr="00D2099E">
        <w:rPr>
          <w:rFonts w:ascii="Times New Roman" w:eastAsia="Times New Roman" w:hAnsi="Times New Roman" w:cs="Times New Roman"/>
          <w:sz w:val="20"/>
          <w:szCs w:val="20"/>
          <w:lang w:val="en-US"/>
        </w:rPr>
        <w:t>Gunes</w:t>
      </w:r>
      <w:proofErr w:type="spellEnd"/>
      <w:r w:rsidRPr="00D2099E">
        <w:rPr>
          <w:rFonts w:ascii="Times New Roman" w:eastAsia="Times New Roman" w:hAnsi="Times New Roman" w:cs="Times New Roman"/>
          <w:sz w:val="20"/>
          <w:szCs w:val="20"/>
          <w:lang w:val="en-US"/>
        </w:rPr>
        <w:t xml:space="preserve"> </w:t>
      </w:r>
      <w:proofErr w:type="spellStart"/>
      <w:r w:rsidRPr="00D2099E">
        <w:rPr>
          <w:rFonts w:ascii="Times New Roman" w:eastAsia="Times New Roman" w:hAnsi="Times New Roman" w:cs="Times New Roman"/>
          <w:sz w:val="20"/>
          <w:szCs w:val="20"/>
          <w:lang w:val="en-US"/>
        </w:rPr>
        <w:t>Bulvari</w:t>
      </w:r>
      <w:proofErr w:type="spellEnd"/>
      <w:r w:rsidRPr="00D2099E">
        <w:rPr>
          <w:rFonts w:ascii="Times New Roman" w:eastAsia="Times New Roman" w:hAnsi="Times New Roman" w:cs="Times New Roman"/>
          <w:sz w:val="20"/>
          <w:szCs w:val="20"/>
          <w:lang w:val="en-US"/>
        </w:rPr>
        <w:t xml:space="preserve">, Park Oran </w:t>
      </w:r>
      <w:proofErr w:type="spellStart"/>
      <w:r w:rsidRPr="00D2099E">
        <w:rPr>
          <w:rFonts w:ascii="Times New Roman" w:eastAsia="Times New Roman" w:hAnsi="Times New Roman" w:cs="Times New Roman"/>
          <w:sz w:val="20"/>
          <w:szCs w:val="20"/>
          <w:lang w:val="en-US"/>
        </w:rPr>
        <w:t>Ofis</w:t>
      </w:r>
      <w:proofErr w:type="spellEnd"/>
      <w:r w:rsidRPr="00D2099E">
        <w:rPr>
          <w:rFonts w:ascii="Times New Roman" w:eastAsia="Times New Roman" w:hAnsi="Times New Roman" w:cs="Times New Roman"/>
          <w:sz w:val="20"/>
          <w:szCs w:val="20"/>
          <w:lang w:val="en-US"/>
        </w:rPr>
        <w:t xml:space="preserve"> Plaza, 180-y, Daire:54, Kat:14, 06450, Oran, </w:t>
      </w:r>
      <w:proofErr w:type="spellStart"/>
      <w:r w:rsidRPr="00D2099E">
        <w:rPr>
          <w:rFonts w:ascii="Times New Roman" w:eastAsia="Times New Roman" w:hAnsi="Times New Roman" w:cs="Times New Roman"/>
          <w:sz w:val="20"/>
          <w:szCs w:val="20"/>
          <w:lang w:val="en-US"/>
        </w:rPr>
        <w:t>Cankaya</w:t>
      </w:r>
      <w:proofErr w:type="spellEnd"/>
      <w:r w:rsidRPr="00D2099E">
        <w:rPr>
          <w:rFonts w:ascii="Times New Roman" w:eastAsia="Times New Roman" w:hAnsi="Times New Roman" w:cs="Times New Roman"/>
          <w:sz w:val="20"/>
          <w:szCs w:val="20"/>
          <w:lang w:val="en-US"/>
        </w:rPr>
        <w:t xml:space="preserve">, </w:t>
      </w:r>
      <w:proofErr w:type="spellStart"/>
      <w:r w:rsidRPr="00D2099E">
        <w:rPr>
          <w:rFonts w:ascii="Times New Roman" w:eastAsia="Times New Roman" w:hAnsi="Times New Roman" w:cs="Times New Roman"/>
          <w:sz w:val="20"/>
          <w:szCs w:val="20"/>
          <w:lang w:val="en-US"/>
        </w:rPr>
        <w:t>Anakara</w:t>
      </w:r>
      <w:proofErr w:type="spellEnd"/>
      <w:r w:rsidRPr="00D2099E">
        <w:rPr>
          <w:rFonts w:ascii="Times New Roman" w:eastAsia="Times New Roman" w:hAnsi="Times New Roman" w:cs="Times New Roman"/>
          <w:sz w:val="20"/>
          <w:szCs w:val="20"/>
          <w:lang w:val="en-US"/>
        </w:rPr>
        <w:t>, Turkey. The Company also has a registered office in Canada and Bulgaria. The Company was incorporated in Delaware in 2015.</w:t>
      </w:r>
      <w:r w:rsidR="00081FCA">
        <w:rPr>
          <w:rFonts w:ascii="Times New Roman" w:eastAsia="Times New Roman" w:hAnsi="Times New Roman" w:cs="Times New Roman"/>
          <w:sz w:val="20"/>
          <w:szCs w:val="20"/>
          <w:lang w:val="en-US"/>
        </w:rPr>
        <w:t xml:space="preserve"> </w:t>
      </w:r>
      <w:r w:rsidR="00081FCA" w:rsidRPr="00CC6117">
        <w:rPr>
          <w:rFonts w:ascii="Times New Roman" w:eastAsia="Times New Roman" w:hAnsi="Times New Roman" w:cs="Times New Roman"/>
          <w:sz w:val="20"/>
          <w:szCs w:val="20"/>
          <w:lang w:val="en-US"/>
        </w:rPr>
        <w:t>The Company’s shares trade on the OTCQB under the symbol “TRLEF” and trade on the Canadian Securities Exchange under the symbol “TCF”.</w:t>
      </w:r>
    </w:p>
    <w:p w14:paraId="5A606830" w14:textId="7FE82E37" w:rsidR="00D2099E" w:rsidRDefault="00D2099E" w:rsidP="00D2099E">
      <w:pPr>
        <w:spacing w:after="0" w:line="240" w:lineRule="auto"/>
        <w:ind w:left="360"/>
        <w:jc w:val="both"/>
        <w:rPr>
          <w:rFonts w:ascii="Times New Roman" w:eastAsia="Times New Roman" w:hAnsi="Times New Roman" w:cs="Times New Roman"/>
          <w:sz w:val="20"/>
          <w:szCs w:val="20"/>
          <w:lang w:val="en-US"/>
        </w:rPr>
      </w:pPr>
    </w:p>
    <w:p w14:paraId="7FBA51D8" w14:textId="48E073C9" w:rsidR="00290D25" w:rsidRPr="00A50B5D" w:rsidRDefault="00290D25"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On January 21, 2022, the Company redomiciled from Del</w:t>
      </w:r>
      <w:r w:rsidR="00C06197" w:rsidRPr="00A50B5D">
        <w:rPr>
          <w:rFonts w:ascii="Times New Roman" w:eastAsia="Times New Roman" w:hAnsi="Times New Roman" w:cs="Times New Roman"/>
          <w:sz w:val="20"/>
          <w:szCs w:val="20"/>
          <w:lang w:val="en-US"/>
        </w:rPr>
        <w:t>a</w:t>
      </w:r>
      <w:r w:rsidRPr="00A50B5D">
        <w:rPr>
          <w:rFonts w:ascii="Times New Roman" w:eastAsia="Times New Roman" w:hAnsi="Times New Roman" w:cs="Times New Roman"/>
          <w:sz w:val="20"/>
          <w:szCs w:val="20"/>
          <w:lang w:val="en-US"/>
        </w:rPr>
        <w:t>ware to a British Columbia corporation</w:t>
      </w:r>
      <w:r w:rsidR="00C06197" w:rsidRPr="00A50B5D">
        <w:rPr>
          <w:rFonts w:ascii="Times New Roman" w:eastAsia="Times New Roman" w:hAnsi="Times New Roman" w:cs="Times New Roman"/>
          <w:sz w:val="20"/>
          <w:szCs w:val="20"/>
          <w:lang w:val="en-US"/>
        </w:rPr>
        <w:t xml:space="preserve"> by way of an amalgamation transaction with the Company’s British Columbian subsidiary</w:t>
      </w:r>
      <w:r w:rsidR="00DA29AC">
        <w:rPr>
          <w:rFonts w:ascii="Times New Roman" w:eastAsia="Times New Roman" w:hAnsi="Times New Roman" w:cs="Times New Roman"/>
          <w:sz w:val="20"/>
          <w:szCs w:val="20"/>
          <w:lang w:val="en-US"/>
        </w:rPr>
        <w:t xml:space="preserve">, Trillion Energy Inc. </w:t>
      </w:r>
      <w:r w:rsidR="00C06197" w:rsidRPr="00A50B5D">
        <w:rPr>
          <w:rFonts w:ascii="Times New Roman" w:eastAsia="Times New Roman" w:hAnsi="Times New Roman" w:cs="Times New Roman"/>
          <w:sz w:val="20"/>
          <w:szCs w:val="20"/>
          <w:lang w:val="en-US"/>
        </w:rPr>
        <w:t>(the “Repatriation Transaction”). Pursuant to the Repatriation Transaction, for every one common stock of Trillion Energy International Inc., the shareholders will receive one common stock of Trillion Energy Inc.</w:t>
      </w:r>
      <w:r w:rsidR="00AF3804">
        <w:rPr>
          <w:rFonts w:ascii="Times New Roman" w:eastAsia="Times New Roman" w:hAnsi="Times New Roman" w:cs="Times New Roman"/>
          <w:sz w:val="20"/>
          <w:szCs w:val="20"/>
          <w:lang w:val="en-US"/>
        </w:rPr>
        <w:t xml:space="preserve"> The Company </w:t>
      </w:r>
      <w:r w:rsidR="00FA5C5F">
        <w:rPr>
          <w:rFonts w:ascii="Times New Roman" w:eastAsia="Times New Roman" w:hAnsi="Times New Roman" w:cs="Times New Roman"/>
          <w:sz w:val="20"/>
          <w:szCs w:val="20"/>
          <w:lang w:val="en-US"/>
        </w:rPr>
        <w:t xml:space="preserve">will </w:t>
      </w:r>
      <w:r w:rsidR="00AF3804">
        <w:rPr>
          <w:rFonts w:ascii="Times New Roman" w:eastAsia="Times New Roman" w:hAnsi="Times New Roman" w:cs="Times New Roman"/>
          <w:sz w:val="20"/>
          <w:szCs w:val="20"/>
          <w:lang w:val="en-US"/>
        </w:rPr>
        <w:t>continue to operate and report under the name of Trillion Energy International Inc.</w:t>
      </w:r>
    </w:p>
    <w:p w14:paraId="1A93F05A" w14:textId="71A049D3" w:rsidR="00C06197" w:rsidRPr="00A50B5D" w:rsidRDefault="00C06197" w:rsidP="00D2099E">
      <w:pPr>
        <w:spacing w:after="0" w:line="240" w:lineRule="auto"/>
        <w:ind w:left="360"/>
        <w:jc w:val="both"/>
        <w:rPr>
          <w:rFonts w:ascii="Times New Roman" w:eastAsia="Times New Roman" w:hAnsi="Times New Roman" w:cs="Times New Roman"/>
          <w:sz w:val="20"/>
          <w:szCs w:val="20"/>
          <w:lang w:val="en-US"/>
        </w:rPr>
      </w:pPr>
    </w:p>
    <w:p w14:paraId="2D3D14DF" w14:textId="501D23CD" w:rsidR="00C06197" w:rsidRPr="00D2099E" w:rsidRDefault="00C06197"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As a result of the Repatriation Transaction, the Company meet</w:t>
      </w:r>
      <w:r w:rsidR="00FC49E1">
        <w:rPr>
          <w:rFonts w:ascii="Times New Roman" w:eastAsia="Times New Roman" w:hAnsi="Times New Roman" w:cs="Times New Roman"/>
          <w:sz w:val="20"/>
          <w:szCs w:val="20"/>
          <w:lang w:val="en-US"/>
        </w:rPr>
        <w:t>s</w:t>
      </w:r>
      <w:r w:rsidRPr="00A50B5D">
        <w:rPr>
          <w:rFonts w:ascii="Times New Roman" w:eastAsia="Times New Roman" w:hAnsi="Times New Roman" w:cs="Times New Roman"/>
          <w:sz w:val="20"/>
          <w:szCs w:val="20"/>
          <w:lang w:val="en-US"/>
        </w:rPr>
        <w:t xml:space="preserve"> the definition of a foreign private issuer, as defined under Rule 3b-4 of the Securities Exchange Act of 1934, as amended.</w:t>
      </w:r>
    </w:p>
    <w:p w14:paraId="3F89E1BD"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34FB4B1F" w14:textId="77777777" w:rsidTr="005C7D2D">
        <w:tc>
          <w:tcPr>
            <w:tcW w:w="360" w:type="dxa"/>
            <w:hideMark/>
          </w:tcPr>
          <w:p w14:paraId="27A5E382" w14:textId="7777777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2215AF85" w14:textId="7777777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p>
        </w:tc>
      </w:tr>
    </w:tbl>
    <w:p w14:paraId="277DBAE1" w14:textId="7777777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6EDBDC08" w14:textId="77777777" w:rsidTr="005C7D2D">
        <w:tc>
          <w:tcPr>
            <w:tcW w:w="360" w:type="dxa"/>
            <w:hideMark/>
          </w:tcPr>
          <w:p w14:paraId="1D7722A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7E7A37F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(a)</w:t>
            </w:r>
          </w:p>
        </w:tc>
        <w:tc>
          <w:tcPr>
            <w:tcW w:w="0" w:type="auto"/>
            <w:hideMark/>
          </w:tcPr>
          <w:p w14:paraId="31C2C96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Basis of Presentation and Going Concern</w:t>
            </w:r>
          </w:p>
          <w:p w14:paraId="18B4CB2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AE1ADF7"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i/>
                <w:iCs/>
                <w:sz w:val="20"/>
                <w:szCs w:val="20"/>
                <w:lang w:val="en-US"/>
              </w:rPr>
              <w:t>Consolidation</w:t>
            </w:r>
          </w:p>
        </w:tc>
      </w:tr>
    </w:tbl>
    <w:p w14:paraId="03951020" w14:textId="77777777" w:rsidR="00D2099E" w:rsidRPr="00D2099E" w:rsidRDefault="00D2099E" w:rsidP="00D2099E">
      <w:pPr>
        <w:spacing w:after="0" w:line="240" w:lineRule="auto"/>
        <w:ind w:left="709" w:hanging="28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89860CA" w14:textId="280B13EA" w:rsidR="00D2099E" w:rsidRPr="00D2099E" w:rsidRDefault="00D2099E" w:rsidP="003F4FF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The </w:t>
      </w:r>
      <w:r w:rsidR="008A3C2B">
        <w:rPr>
          <w:rFonts w:ascii="Times New Roman" w:eastAsia="Times New Roman" w:hAnsi="Times New Roman" w:cs="Times New Roman"/>
          <w:sz w:val="20"/>
          <w:szCs w:val="20"/>
          <w:lang w:val="en-US"/>
        </w:rPr>
        <w:t xml:space="preserve">unaudited </w:t>
      </w:r>
      <w:r w:rsidRPr="00D2099E">
        <w:rPr>
          <w:rFonts w:ascii="Times New Roman" w:eastAsia="Times New Roman" w:hAnsi="Times New Roman" w:cs="Times New Roman"/>
          <w:sz w:val="20"/>
          <w:szCs w:val="20"/>
          <w:lang w:val="en-US"/>
        </w:rPr>
        <w:t xml:space="preserve">consolidated </w:t>
      </w:r>
      <w:r w:rsidR="008A3C2B">
        <w:rPr>
          <w:rFonts w:ascii="Times New Roman" w:eastAsia="Times New Roman" w:hAnsi="Times New Roman" w:cs="Times New Roman"/>
          <w:sz w:val="20"/>
          <w:szCs w:val="20"/>
          <w:lang w:val="en-US"/>
        </w:rPr>
        <w:t xml:space="preserve">interim </w:t>
      </w:r>
      <w:r w:rsidRPr="00D2099E">
        <w:rPr>
          <w:rFonts w:ascii="Times New Roman" w:eastAsia="Times New Roman" w:hAnsi="Times New Roman" w:cs="Times New Roman"/>
          <w:sz w:val="20"/>
          <w:szCs w:val="20"/>
          <w:lang w:val="en-US"/>
        </w:rPr>
        <w:t xml:space="preserve">financial statements </w:t>
      </w:r>
      <w:r w:rsidR="00B118B4">
        <w:rPr>
          <w:rFonts w:ascii="Times New Roman" w:eastAsia="Times New Roman" w:hAnsi="Times New Roman" w:cs="Times New Roman"/>
          <w:sz w:val="20"/>
          <w:szCs w:val="20"/>
          <w:lang w:val="en-US"/>
        </w:rPr>
        <w:t xml:space="preserve">(“Financial </w:t>
      </w:r>
      <w:r w:rsidR="005227E3">
        <w:rPr>
          <w:rFonts w:ascii="Times New Roman" w:eastAsia="Times New Roman" w:hAnsi="Times New Roman" w:cs="Times New Roman"/>
          <w:sz w:val="20"/>
          <w:szCs w:val="20"/>
          <w:lang w:val="en-US"/>
        </w:rPr>
        <w:t>Statements</w:t>
      </w:r>
      <w:r w:rsidR="00B118B4">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of the Company have been prepared in accordance with </w:t>
      </w:r>
      <w:r w:rsidR="00F72E8B">
        <w:rPr>
          <w:rFonts w:ascii="Times New Roman" w:eastAsia="Times New Roman" w:hAnsi="Times New Roman" w:cs="Times New Roman"/>
          <w:sz w:val="20"/>
          <w:szCs w:val="20"/>
          <w:lang w:val="en-US"/>
        </w:rPr>
        <w:t xml:space="preserve">International Financial Reporting Standards (“IFRS”) and International Accounting Standards </w:t>
      </w:r>
      <w:r w:rsidR="00A968BA">
        <w:rPr>
          <w:rFonts w:ascii="Times New Roman" w:eastAsia="Times New Roman" w:hAnsi="Times New Roman" w:cs="Times New Roman"/>
          <w:sz w:val="20"/>
          <w:szCs w:val="20"/>
          <w:lang w:val="en-US"/>
        </w:rPr>
        <w:t xml:space="preserve">(“IAS”) issued by the International Accounting Standards Board (“IASB”) and </w:t>
      </w:r>
      <w:r w:rsidR="00A968BA" w:rsidRPr="00A968BA">
        <w:rPr>
          <w:rFonts w:ascii="Times New Roman" w:eastAsia="Times New Roman" w:hAnsi="Times New Roman" w:cs="Times New Roman"/>
          <w:sz w:val="20"/>
          <w:szCs w:val="20"/>
          <w:lang w:val="en-US"/>
        </w:rPr>
        <w:t>Interpretations of the International Financial Reporting Interpretations</w:t>
      </w:r>
      <w:r w:rsidR="00A968BA">
        <w:rPr>
          <w:rFonts w:ascii="Times New Roman" w:eastAsia="Times New Roman" w:hAnsi="Times New Roman" w:cs="Times New Roman"/>
          <w:sz w:val="20"/>
          <w:szCs w:val="20"/>
          <w:lang w:val="en-US"/>
        </w:rPr>
        <w:t xml:space="preserve"> </w:t>
      </w:r>
      <w:r w:rsidR="00A968BA" w:rsidRPr="00A968BA">
        <w:rPr>
          <w:rFonts w:ascii="Times New Roman" w:eastAsia="Times New Roman" w:hAnsi="Times New Roman" w:cs="Times New Roman"/>
          <w:sz w:val="20"/>
          <w:szCs w:val="20"/>
          <w:lang w:val="en-US"/>
        </w:rPr>
        <w:t xml:space="preserve">Committee (“IFRIC”), effective for the Company’s reporting for the </w:t>
      </w:r>
      <w:r w:rsidR="00A968BA">
        <w:rPr>
          <w:rFonts w:ascii="Times New Roman" w:eastAsia="Times New Roman" w:hAnsi="Times New Roman" w:cs="Times New Roman"/>
          <w:sz w:val="20"/>
          <w:szCs w:val="20"/>
          <w:lang w:val="en-US"/>
        </w:rPr>
        <w:t xml:space="preserve">quarter ended </w:t>
      </w:r>
      <w:r w:rsidR="00771925">
        <w:rPr>
          <w:rFonts w:ascii="Times New Roman" w:eastAsia="Times New Roman" w:hAnsi="Times New Roman" w:cs="Times New Roman"/>
          <w:sz w:val="20"/>
          <w:szCs w:val="20"/>
          <w:lang w:val="en-US"/>
        </w:rPr>
        <w:t>June 30</w:t>
      </w:r>
      <w:r w:rsidR="00A968BA">
        <w:rPr>
          <w:rFonts w:ascii="Times New Roman" w:eastAsia="Times New Roman" w:hAnsi="Times New Roman" w:cs="Times New Roman"/>
          <w:sz w:val="20"/>
          <w:szCs w:val="20"/>
          <w:lang w:val="en-US"/>
        </w:rPr>
        <w:t>, 2022</w:t>
      </w:r>
      <w:r w:rsidR="00A968BA" w:rsidRPr="00A968BA">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 xml:space="preserve"> </w:t>
      </w:r>
      <w:r w:rsidR="00F60CFB">
        <w:rPr>
          <w:rFonts w:ascii="Times New Roman" w:eastAsia="Times New Roman" w:hAnsi="Times New Roman" w:cs="Times New Roman"/>
          <w:sz w:val="20"/>
          <w:szCs w:val="20"/>
          <w:lang w:val="en-US"/>
        </w:rPr>
        <w:t xml:space="preserve">These Financial Statements </w:t>
      </w:r>
      <w:r w:rsidR="004903D1">
        <w:rPr>
          <w:rFonts w:ascii="Times New Roman" w:eastAsia="Times New Roman" w:hAnsi="Times New Roman" w:cs="Times New Roman"/>
          <w:sz w:val="20"/>
          <w:szCs w:val="20"/>
          <w:lang w:val="en-US"/>
        </w:rPr>
        <w:t xml:space="preserve">are </w:t>
      </w:r>
      <w:r w:rsidR="00F60CFB" w:rsidRPr="00F60CFB">
        <w:rPr>
          <w:rFonts w:ascii="Times New Roman" w:eastAsia="Times New Roman" w:hAnsi="Times New Roman" w:cs="Times New Roman"/>
          <w:sz w:val="20"/>
          <w:szCs w:val="20"/>
          <w:lang w:val="en-US"/>
        </w:rPr>
        <w:t xml:space="preserve">the first that the Company has prepared in accordance with IFRS. Refer to </w:t>
      </w:r>
      <w:r w:rsidR="00F60CFB" w:rsidRPr="00D75776">
        <w:rPr>
          <w:rFonts w:ascii="Times New Roman" w:eastAsia="Times New Roman" w:hAnsi="Times New Roman" w:cs="Times New Roman"/>
          <w:sz w:val="20"/>
          <w:szCs w:val="20"/>
          <w:lang w:val="en-US"/>
        </w:rPr>
        <w:t>Note</w:t>
      </w:r>
      <w:r w:rsidR="00D75776" w:rsidRPr="00CA4239">
        <w:rPr>
          <w:rFonts w:ascii="Times New Roman" w:eastAsia="Times New Roman" w:hAnsi="Times New Roman" w:cs="Times New Roman"/>
          <w:sz w:val="20"/>
          <w:szCs w:val="20"/>
          <w:lang w:val="en-US"/>
        </w:rPr>
        <w:t xml:space="preserve"> 2(r)</w:t>
      </w:r>
      <w:r w:rsidR="00F60CFB" w:rsidRPr="00D75776">
        <w:rPr>
          <w:rFonts w:ascii="Times New Roman" w:eastAsia="Times New Roman" w:hAnsi="Times New Roman" w:cs="Times New Roman"/>
          <w:sz w:val="20"/>
          <w:szCs w:val="20"/>
          <w:lang w:val="en-US"/>
        </w:rPr>
        <w:t xml:space="preserve"> for details</w:t>
      </w:r>
      <w:r w:rsidR="00F60CFB" w:rsidRPr="00F60CFB">
        <w:rPr>
          <w:rFonts w:ascii="Times New Roman" w:eastAsia="Times New Roman" w:hAnsi="Times New Roman" w:cs="Times New Roman"/>
          <w:sz w:val="20"/>
          <w:szCs w:val="20"/>
          <w:lang w:val="en-US"/>
        </w:rPr>
        <w:t xml:space="preserve"> on the impact of IFRS first-time adoption. </w:t>
      </w:r>
      <w:r w:rsidR="00B118B4">
        <w:rPr>
          <w:rFonts w:ascii="Times New Roman" w:eastAsia="Times New Roman" w:hAnsi="Times New Roman" w:cs="Times New Roman"/>
          <w:sz w:val="20"/>
          <w:szCs w:val="20"/>
          <w:lang w:val="en-US"/>
        </w:rPr>
        <w:t xml:space="preserve">The </w:t>
      </w:r>
      <w:r w:rsidR="00A37F12">
        <w:rPr>
          <w:rFonts w:ascii="Times New Roman" w:eastAsia="Times New Roman" w:hAnsi="Times New Roman" w:cs="Times New Roman"/>
          <w:sz w:val="20"/>
          <w:szCs w:val="20"/>
          <w:lang w:val="en-US"/>
        </w:rPr>
        <w:t xml:space="preserve">Financial Statements </w:t>
      </w:r>
      <w:r w:rsidRPr="00D2099E">
        <w:rPr>
          <w:rFonts w:ascii="Times New Roman" w:eastAsia="Times New Roman" w:hAnsi="Times New Roman" w:cs="Times New Roman"/>
          <w:sz w:val="20"/>
          <w:szCs w:val="20"/>
          <w:lang w:val="en-US"/>
        </w:rPr>
        <w:t xml:space="preserve">are expressed in U.S. dollars. These </w:t>
      </w:r>
      <w:r w:rsidR="000948B8">
        <w:rPr>
          <w:rFonts w:ascii="Times New Roman" w:eastAsia="Times New Roman" w:hAnsi="Times New Roman" w:cs="Times New Roman"/>
          <w:sz w:val="20"/>
          <w:szCs w:val="20"/>
          <w:lang w:val="en-US"/>
        </w:rPr>
        <w:t xml:space="preserve">Financial Statements </w:t>
      </w:r>
      <w:r w:rsidRPr="00D2099E">
        <w:rPr>
          <w:rFonts w:ascii="Times New Roman" w:eastAsia="Times New Roman" w:hAnsi="Times New Roman" w:cs="Times New Roman"/>
          <w:sz w:val="20"/>
          <w:szCs w:val="20"/>
          <w:lang w:val="en-US"/>
        </w:rPr>
        <w:t>include the accounts of the Company and its wholly owned subsidiaries Park Place Energy Corp.</w:t>
      </w:r>
      <w:r w:rsidR="00E31CA7">
        <w:rPr>
          <w:rFonts w:ascii="Times New Roman" w:eastAsia="Times New Roman" w:hAnsi="Times New Roman" w:cs="Times New Roman"/>
          <w:sz w:val="20"/>
          <w:szCs w:val="20"/>
          <w:lang w:val="en-US"/>
        </w:rPr>
        <w:t xml:space="preserve"> (“PPE Corp.”)</w:t>
      </w:r>
      <w:r w:rsidRPr="00D2099E">
        <w:rPr>
          <w:rFonts w:ascii="Times New Roman" w:eastAsia="Times New Roman" w:hAnsi="Times New Roman" w:cs="Times New Roman"/>
          <w:sz w:val="20"/>
          <w:szCs w:val="20"/>
          <w:lang w:val="en-US"/>
        </w:rPr>
        <w:t>, Park Place Energy Bermuda</w:t>
      </w:r>
      <w:r w:rsidR="00E31CA7">
        <w:rPr>
          <w:rFonts w:ascii="Times New Roman" w:eastAsia="Times New Roman" w:hAnsi="Times New Roman" w:cs="Times New Roman"/>
          <w:sz w:val="20"/>
          <w:szCs w:val="20"/>
          <w:lang w:val="en-US"/>
        </w:rPr>
        <w:t xml:space="preserve"> (“PPE Bermuda”)</w:t>
      </w:r>
      <w:r w:rsidRPr="00D2099E">
        <w:rPr>
          <w:rFonts w:ascii="Times New Roman" w:eastAsia="Times New Roman" w:hAnsi="Times New Roman" w:cs="Times New Roman"/>
          <w:sz w:val="20"/>
          <w:szCs w:val="20"/>
          <w:lang w:val="en-US"/>
        </w:rPr>
        <w:t>, BG Exploration EOOD</w:t>
      </w:r>
      <w:r w:rsidR="00E31CA7">
        <w:rPr>
          <w:rFonts w:ascii="Times New Roman" w:eastAsia="Times New Roman" w:hAnsi="Times New Roman" w:cs="Times New Roman"/>
          <w:sz w:val="20"/>
          <w:szCs w:val="20"/>
          <w:lang w:val="en-US"/>
        </w:rPr>
        <w:t xml:space="preserve"> (“BG Exploration”)</w:t>
      </w:r>
      <w:r w:rsidRPr="00D2099E">
        <w:rPr>
          <w:rFonts w:ascii="Times New Roman" w:eastAsia="Times New Roman" w:hAnsi="Times New Roman" w:cs="Times New Roman"/>
          <w:sz w:val="20"/>
          <w:szCs w:val="20"/>
          <w:lang w:val="en-US"/>
        </w:rPr>
        <w:t>, and Park Place Energy Turkey</w:t>
      </w:r>
      <w:r w:rsidR="00E31CA7">
        <w:rPr>
          <w:rFonts w:ascii="Times New Roman" w:eastAsia="Times New Roman" w:hAnsi="Times New Roman" w:cs="Times New Roman"/>
          <w:sz w:val="20"/>
          <w:szCs w:val="20"/>
          <w:lang w:val="en-US"/>
        </w:rPr>
        <w:t xml:space="preserve"> (“PPE Turkey”)</w:t>
      </w:r>
      <w:r w:rsidRPr="00D2099E">
        <w:rPr>
          <w:rFonts w:ascii="Times New Roman" w:eastAsia="Times New Roman" w:hAnsi="Times New Roman" w:cs="Times New Roman"/>
          <w:sz w:val="20"/>
          <w:szCs w:val="20"/>
          <w:lang w:val="en-US"/>
        </w:rPr>
        <w:t xml:space="preserve">. All intercompany </w:t>
      </w:r>
      <w:r w:rsidR="00A153F9">
        <w:rPr>
          <w:rFonts w:ascii="Times New Roman" w:eastAsia="Times New Roman" w:hAnsi="Times New Roman" w:cs="Times New Roman"/>
          <w:sz w:val="20"/>
          <w:szCs w:val="20"/>
          <w:lang w:val="en-US"/>
        </w:rPr>
        <w:t>balances</w:t>
      </w:r>
      <w:r w:rsidR="00A153F9" w:rsidRPr="00D2099E">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and transactions </w:t>
      </w:r>
      <w:r w:rsidR="00A153F9">
        <w:rPr>
          <w:rFonts w:ascii="Times New Roman" w:eastAsia="Times New Roman" w:hAnsi="Times New Roman" w:cs="Times New Roman"/>
          <w:sz w:val="20"/>
          <w:szCs w:val="20"/>
          <w:lang w:val="en-US"/>
        </w:rPr>
        <w:t>are</w:t>
      </w:r>
      <w:r w:rsidRPr="00D2099E">
        <w:rPr>
          <w:rFonts w:ascii="Times New Roman" w:eastAsia="Times New Roman" w:hAnsi="Times New Roman" w:cs="Times New Roman"/>
          <w:sz w:val="20"/>
          <w:szCs w:val="20"/>
          <w:lang w:val="en-US"/>
        </w:rPr>
        <w:t xml:space="preserve"> eliminated</w:t>
      </w:r>
      <w:r w:rsidR="00A153F9">
        <w:rPr>
          <w:rFonts w:ascii="Times New Roman" w:eastAsia="Times New Roman" w:hAnsi="Times New Roman" w:cs="Times New Roman"/>
          <w:sz w:val="20"/>
          <w:szCs w:val="20"/>
          <w:lang w:val="en-US"/>
        </w:rPr>
        <w:t xml:space="preserve"> on consolidation</w:t>
      </w:r>
      <w:r w:rsidRPr="00D2099E">
        <w:rPr>
          <w:rFonts w:ascii="Times New Roman" w:eastAsia="Times New Roman" w:hAnsi="Times New Roman" w:cs="Times New Roman"/>
          <w:sz w:val="20"/>
          <w:szCs w:val="20"/>
          <w:lang w:val="en-US"/>
        </w:rPr>
        <w:t xml:space="preserve">. </w:t>
      </w:r>
      <w:r w:rsidR="00692DF1" w:rsidRPr="00692DF1">
        <w:rPr>
          <w:rFonts w:ascii="Times New Roman" w:eastAsia="Times New Roman" w:hAnsi="Times New Roman" w:cs="Times New Roman"/>
          <w:sz w:val="20"/>
          <w:szCs w:val="20"/>
          <w:lang w:val="en-US"/>
        </w:rPr>
        <w:t xml:space="preserve">Operating results for the </w:t>
      </w:r>
      <w:r w:rsidR="00771925">
        <w:rPr>
          <w:rFonts w:ascii="Times New Roman" w:eastAsia="Times New Roman" w:hAnsi="Times New Roman" w:cs="Times New Roman"/>
          <w:sz w:val="20"/>
          <w:szCs w:val="20"/>
          <w:lang w:val="en-US"/>
        </w:rPr>
        <w:t>six</w:t>
      </w:r>
      <w:r w:rsidR="00771925" w:rsidRPr="00692DF1">
        <w:rPr>
          <w:rFonts w:ascii="Times New Roman" w:eastAsia="Times New Roman" w:hAnsi="Times New Roman" w:cs="Times New Roman"/>
          <w:sz w:val="20"/>
          <w:szCs w:val="20"/>
          <w:lang w:val="en-US"/>
        </w:rPr>
        <w:t xml:space="preserve"> </w:t>
      </w:r>
      <w:r w:rsidR="00136C2E">
        <w:rPr>
          <w:rFonts w:ascii="Times New Roman" w:eastAsia="Times New Roman" w:hAnsi="Times New Roman" w:cs="Times New Roman"/>
          <w:sz w:val="20"/>
          <w:szCs w:val="20"/>
          <w:lang w:val="en-US"/>
        </w:rPr>
        <w:t xml:space="preserve">months </w:t>
      </w:r>
      <w:r w:rsidR="00692DF1" w:rsidRPr="00692DF1">
        <w:rPr>
          <w:rFonts w:ascii="Times New Roman" w:eastAsia="Times New Roman" w:hAnsi="Times New Roman" w:cs="Times New Roman"/>
          <w:sz w:val="20"/>
          <w:szCs w:val="20"/>
          <w:lang w:val="en-US"/>
        </w:rPr>
        <w:t xml:space="preserve">ended </w:t>
      </w:r>
      <w:r w:rsidR="00771925">
        <w:rPr>
          <w:rFonts w:ascii="Times New Roman" w:eastAsia="Times New Roman" w:hAnsi="Times New Roman" w:cs="Times New Roman"/>
          <w:sz w:val="20"/>
          <w:szCs w:val="20"/>
          <w:lang w:val="en-US"/>
        </w:rPr>
        <w:t>June 30</w:t>
      </w:r>
      <w:r w:rsidR="00692DF1" w:rsidRPr="00692DF1">
        <w:rPr>
          <w:rFonts w:ascii="Times New Roman" w:eastAsia="Times New Roman" w:hAnsi="Times New Roman" w:cs="Times New Roman"/>
          <w:sz w:val="20"/>
          <w:szCs w:val="20"/>
          <w:lang w:val="en-US"/>
        </w:rPr>
        <w:t xml:space="preserve">, </w:t>
      </w:r>
      <w:proofErr w:type="gramStart"/>
      <w:r w:rsidR="00692DF1" w:rsidRPr="00692DF1">
        <w:rPr>
          <w:rFonts w:ascii="Times New Roman" w:eastAsia="Times New Roman" w:hAnsi="Times New Roman" w:cs="Times New Roman"/>
          <w:sz w:val="20"/>
          <w:szCs w:val="20"/>
          <w:lang w:val="en-US"/>
        </w:rPr>
        <w:t>202</w:t>
      </w:r>
      <w:r w:rsidR="00692DF1">
        <w:rPr>
          <w:rFonts w:ascii="Times New Roman" w:eastAsia="Times New Roman" w:hAnsi="Times New Roman" w:cs="Times New Roman"/>
          <w:sz w:val="20"/>
          <w:szCs w:val="20"/>
          <w:lang w:val="en-US"/>
        </w:rPr>
        <w:t>2</w:t>
      </w:r>
      <w:proofErr w:type="gramEnd"/>
      <w:r w:rsidR="00692DF1" w:rsidRPr="00692DF1">
        <w:rPr>
          <w:rFonts w:ascii="Times New Roman" w:eastAsia="Times New Roman" w:hAnsi="Times New Roman" w:cs="Times New Roman"/>
          <w:sz w:val="20"/>
          <w:szCs w:val="20"/>
          <w:lang w:val="en-US"/>
        </w:rPr>
        <w:t xml:space="preserve"> are not necessarily indicative of the results that may be expected for the year end</w:t>
      </w:r>
      <w:r w:rsidR="0060585C">
        <w:rPr>
          <w:rFonts w:ascii="Times New Roman" w:eastAsia="Times New Roman" w:hAnsi="Times New Roman" w:cs="Times New Roman"/>
          <w:sz w:val="20"/>
          <w:szCs w:val="20"/>
          <w:lang w:val="en-US"/>
        </w:rPr>
        <w:t>ing</w:t>
      </w:r>
      <w:r w:rsidR="00692DF1" w:rsidRPr="00692DF1">
        <w:rPr>
          <w:rFonts w:ascii="Times New Roman" w:eastAsia="Times New Roman" w:hAnsi="Times New Roman" w:cs="Times New Roman"/>
          <w:sz w:val="20"/>
          <w:szCs w:val="20"/>
          <w:lang w:val="en-US"/>
        </w:rPr>
        <w:t xml:space="preserve"> December 31, 202</w:t>
      </w:r>
      <w:r w:rsidR="0060585C">
        <w:rPr>
          <w:rFonts w:ascii="Times New Roman" w:eastAsia="Times New Roman" w:hAnsi="Times New Roman" w:cs="Times New Roman"/>
          <w:sz w:val="20"/>
          <w:szCs w:val="20"/>
          <w:lang w:val="en-US"/>
        </w:rPr>
        <w:t>2</w:t>
      </w:r>
      <w:r w:rsidR="00692DF1" w:rsidRPr="00692DF1">
        <w:rPr>
          <w:rFonts w:ascii="Times New Roman" w:eastAsia="Times New Roman" w:hAnsi="Times New Roman" w:cs="Times New Roman"/>
          <w:sz w:val="20"/>
          <w:szCs w:val="20"/>
          <w:lang w:val="en-US"/>
        </w:rPr>
        <w:t>.</w:t>
      </w:r>
      <w:r w:rsidR="00692DF1">
        <w:rPr>
          <w:rFonts w:ascii="Times New Roman" w:eastAsia="Times New Roman" w:hAnsi="Times New Roman" w:cs="Times New Roman"/>
          <w:sz w:val="20"/>
          <w:szCs w:val="20"/>
          <w:lang w:val="en-US"/>
        </w:rPr>
        <w:t xml:space="preserve"> </w:t>
      </w:r>
      <w:r w:rsidRPr="00D33273">
        <w:rPr>
          <w:rFonts w:ascii="Times New Roman" w:eastAsia="Times New Roman" w:hAnsi="Times New Roman" w:cs="Times New Roman"/>
          <w:sz w:val="20"/>
          <w:szCs w:val="20"/>
          <w:lang w:val="en-US"/>
        </w:rPr>
        <w:t xml:space="preserve">Certain comparative information has been reclassified to conform with the financial statement presentation adopted in the current </w:t>
      </w:r>
      <w:r w:rsidR="002F2685" w:rsidRPr="00D33273">
        <w:rPr>
          <w:rFonts w:ascii="Times New Roman" w:eastAsia="Times New Roman" w:hAnsi="Times New Roman" w:cs="Times New Roman"/>
          <w:sz w:val="20"/>
          <w:szCs w:val="20"/>
          <w:lang w:val="en-US"/>
        </w:rPr>
        <w:t>period</w:t>
      </w:r>
      <w:r w:rsidRPr="00D33273">
        <w:rPr>
          <w:rFonts w:ascii="Times New Roman" w:eastAsia="Times New Roman" w:hAnsi="Times New Roman" w:cs="Times New Roman"/>
          <w:sz w:val="20"/>
          <w:szCs w:val="20"/>
          <w:lang w:val="en-US"/>
        </w:rPr>
        <w:t>.</w:t>
      </w:r>
    </w:p>
    <w:p w14:paraId="58C5CB98"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720787C"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i/>
          <w:iCs/>
          <w:sz w:val="20"/>
          <w:szCs w:val="20"/>
          <w:lang w:val="en-US"/>
        </w:rPr>
        <w:t>Going Concern</w:t>
      </w:r>
    </w:p>
    <w:p w14:paraId="73BB06F5"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906E401" w14:textId="1CB1E5BE"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Company has suffered recurring losses and negative cash flows from operations</w:t>
      </w:r>
      <w:r w:rsidR="003C6685">
        <w:rPr>
          <w:rFonts w:ascii="Times New Roman" w:eastAsia="Times New Roman" w:hAnsi="Times New Roman" w:cs="Times New Roman"/>
          <w:sz w:val="20"/>
          <w:szCs w:val="20"/>
          <w:lang w:val="en-US"/>
        </w:rPr>
        <w:t xml:space="preserve"> and as </w:t>
      </w:r>
      <w:proofErr w:type="gramStart"/>
      <w:r w:rsidR="003C6685">
        <w:rPr>
          <w:rFonts w:ascii="Times New Roman" w:eastAsia="Times New Roman" w:hAnsi="Times New Roman" w:cs="Times New Roman"/>
          <w:sz w:val="20"/>
          <w:szCs w:val="20"/>
          <w:lang w:val="en-US"/>
        </w:rPr>
        <w:t>at</w:t>
      </w:r>
      <w:proofErr w:type="gramEnd"/>
      <w:r w:rsidR="003C6685">
        <w:rPr>
          <w:rFonts w:ascii="Times New Roman" w:eastAsia="Times New Roman" w:hAnsi="Times New Roman" w:cs="Times New Roman"/>
          <w:sz w:val="20"/>
          <w:szCs w:val="20"/>
          <w:lang w:val="en-US"/>
        </w:rPr>
        <w:t xml:space="preserve"> </w:t>
      </w:r>
      <w:r w:rsidR="000829FD">
        <w:rPr>
          <w:rFonts w:ascii="Times New Roman" w:eastAsia="Times New Roman" w:hAnsi="Times New Roman" w:cs="Times New Roman"/>
          <w:sz w:val="20"/>
          <w:szCs w:val="20"/>
          <w:lang w:val="en-US"/>
        </w:rPr>
        <w:t>June 30</w:t>
      </w:r>
      <w:r w:rsidR="003C6685">
        <w:rPr>
          <w:rFonts w:ascii="Times New Roman" w:eastAsia="Times New Roman" w:hAnsi="Times New Roman" w:cs="Times New Roman"/>
          <w:sz w:val="20"/>
          <w:szCs w:val="20"/>
          <w:lang w:val="en-US"/>
        </w:rPr>
        <w:t xml:space="preserve">, 2022 </w:t>
      </w:r>
      <w:r w:rsidR="003C6685" w:rsidRPr="00BC5B81">
        <w:rPr>
          <w:rFonts w:ascii="Times New Roman" w:eastAsia="Times New Roman" w:hAnsi="Times New Roman" w:cs="Times New Roman"/>
          <w:sz w:val="20"/>
          <w:szCs w:val="20"/>
          <w:lang w:val="en-US"/>
        </w:rPr>
        <w:t>has an accumulated deficit of $37,</w:t>
      </w:r>
      <w:r w:rsidR="00556875" w:rsidRPr="00BC5B81">
        <w:rPr>
          <w:rFonts w:ascii="Times New Roman" w:eastAsia="Times New Roman" w:hAnsi="Times New Roman" w:cs="Times New Roman"/>
          <w:sz w:val="20"/>
          <w:szCs w:val="20"/>
          <w:lang w:val="en-US"/>
        </w:rPr>
        <w:t>53</w:t>
      </w:r>
      <w:r w:rsidR="004E4D76" w:rsidRPr="00BC5B81">
        <w:rPr>
          <w:rFonts w:ascii="Times New Roman" w:eastAsia="Times New Roman" w:hAnsi="Times New Roman" w:cs="Times New Roman"/>
          <w:sz w:val="20"/>
          <w:szCs w:val="20"/>
          <w:lang w:val="en-US"/>
        </w:rPr>
        <w:t>5</w:t>
      </w:r>
      <w:r w:rsidR="003C6685" w:rsidRPr="00BC5B81">
        <w:rPr>
          <w:rFonts w:ascii="Times New Roman" w:eastAsia="Times New Roman" w:hAnsi="Times New Roman" w:cs="Times New Roman"/>
          <w:sz w:val="20"/>
          <w:szCs w:val="20"/>
          <w:lang w:val="en-US"/>
        </w:rPr>
        <w:t>,</w:t>
      </w:r>
      <w:r w:rsidR="004E4D76" w:rsidRPr="00BC5B81">
        <w:rPr>
          <w:rFonts w:ascii="Times New Roman" w:eastAsia="Times New Roman" w:hAnsi="Times New Roman" w:cs="Times New Roman"/>
          <w:sz w:val="20"/>
          <w:szCs w:val="20"/>
          <w:lang w:val="en-US"/>
        </w:rPr>
        <w:t>779</w:t>
      </w:r>
      <w:r w:rsidR="003C6685" w:rsidRPr="00BC5B81">
        <w:rPr>
          <w:rFonts w:ascii="Times New Roman" w:eastAsia="Times New Roman" w:hAnsi="Times New Roman" w:cs="Times New Roman"/>
          <w:sz w:val="20"/>
          <w:szCs w:val="20"/>
          <w:lang w:val="en-US"/>
        </w:rPr>
        <w:t xml:space="preserve"> (December 31, 2021 - $35,650,850)</w:t>
      </w:r>
      <w:r w:rsidR="002D60BE" w:rsidRPr="00BC5B81">
        <w:rPr>
          <w:rFonts w:ascii="Times New Roman" w:eastAsia="Times New Roman" w:hAnsi="Times New Roman" w:cs="Times New Roman"/>
          <w:sz w:val="20"/>
          <w:szCs w:val="20"/>
          <w:lang w:val="en-US"/>
        </w:rPr>
        <w:t xml:space="preserve"> and working capital of $</w:t>
      </w:r>
      <w:r w:rsidR="00810B01" w:rsidRPr="00BC5B81">
        <w:rPr>
          <w:rFonts w:ascii="Times New Roman" w:eastAsia="Times New Roman" w:hAnsi="Times New Roman" w:cs="Times New Roman"/>
          <w:sz w:val="20"/>
          <w:szCs w:val="20"/>
          <w:lang w:val="en-US"/>
        </w:rPr>
        <w:t>2</w:t>
      </w:r>
      <w:r w:rsidR="00556875" w:rsidRPr="00BC5B81">
        <w:rPr>
          <w:rFonts w:ascii="Times New Roman" w:eastAsia="Times New Roman" w:hAnsi="Times New Roman" w:cs="Times New Roman"/>
          <w:sz w:val="20"/>
          <w:szCs w:val="20"/>
          <w:lang w:val="en-US"/>
        </w:rPr>
        <w:t>7</w:t>
      </w:r>
      <w:r w:rsidR="00810B01" w:rsidRPr="00BC5B81">
        <w:rPr>
          <w:rFonts w:ascii="Times New Roman" w:eastAsia="Times New Roman" w:hAnsi="Times New Roman" w:cs="Times New Roman"/>
          <w:sz w:val="20"/>
          <w:szCs w:val="20"/>
          <w:lang w:val="en-US"/>
        </w:rPr>
        <w:t>,</w:t>
      </w:r>
      <w:r w:rsidR="00556875" w:rsidRPr="00BC5B81">
        <w:rPr>
          <w:rFonts w:ascii="Times New Roman" w:eastAsia="Times New Roman" w:hAnsi="Times New Roman" w:cs="Times New Roman"/>
          <w:sz w:val="20"/>
          <w:szCs w:val="20"/>
          <w:lang w:val="en-US"/>
        </w:rPr>
        <w:t>640</w:t>
      </w:r>
      <w:r w:rsidR="00810B01" w:rsidRPr="00BC5B81">
        <w:rPr>
          <w:rFonts w:ascii="Times New Roman" w:eastAsia="Times New Roman" w:hAnsi="Times New Roman" w:cs="Times New Roman"/>
          <w:sz w:val="20"/>
          <w:szCs w:val="20"/>
          <w:lang w:val="en-US"/>
        </w:rPr>
        <w:t>,</w:t>
      </w:r>
      <w:r w:rsidR="004E4D76" w:rsidRPr="00BC5B81">
        <w:rPr>
          <w:rFonts w:ascii="Times New Roman" w:eastAsia="Times New Roman" w:hAnsi="Times New Roman" w:cs="Times New Roman"/>
          <w:sz w:val="20"/>
          <w:szCs w:val="20"/>
          <w:lang w:val="en-US"/>
        </w:rPr>
        <w:t>522</w:t>
      </w:r>
      <w:r w:rsidR="002D60BE" w:rsidRPr="00BC5B81">
        <w:rPr>
          <w:rFonts w:ascii="Times New Roman" w:eastAsia="Times New Roman" w:hAnsi="Times New Roman" w:cs="Times New Roman"/>
          <w:sz w:val="20"/>
          <w:szCs w:val="20"/>
          <w:lang w:val="en-US"/>
        </w:rPr>
        <w:t xml:space="preserve"> (December</w:t>
      </w:r>
      <w:r w:rsidR="002D60BE">
        <w:rPr>
          <w:rFonts w:ascii="Times New Roman" w:eastAsia="Times New Roman" w:hAnsi="Times New Roman" w:cs="Times New Roman"/>
          <w:sz w:val="20"/>
          <w:szCs w:val="20"/>
          <w:lang w:val="en-US"/>
        </w:rPr>
        <w:t xml:space="preserve"> 31, 2021 - $342,551)</w:t>
      </w:r>
      <w:r w:rsidRPr="00D2099E">
        <w:rPr>
          <w:rFonts w:ascii="Times New Roman" w:eastAsia="Times New Roman" w:hAnsi="Times New Roman" w:cs="Times New Roman"/>
          <w:sz w:val="20"/>
          <w:szCs w:val="20"/>
          <w:lang w:val="en-US"/>
        </w:rPr>
        <w:t>. These conditions raise substantial doubt about the Company’s ability to continue as a going concern. The Company will need to raise funds through either the sale of its securities, and/or bank financing to accomplish its goals. If additional financing is not available when needed, the Company may need to cease operations. The Company may not be successful in raising the capital needed to drill and/or rework existing oil wells. Any additional wells that the Company may drill may be non-productive. Management believes that actions presently being taken to secure additional funding for the reworking of its existing infrastructure will provide the opportunity for the Company to continue as a going concern. Since the Company has an oil producing asset, its goal is to increase the production rate by optimizing its current infrastructure. The accompanying financial statements have been prepared assuming the Company will continue as a going concern; no adjustments to the financial statements have been made to account for this uncertainty.</w:t>
      </w:r>
    </w:p>
    <w:p w14:paraId="4865F612"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lastRenderedPageBreak/>
        <w:t> </w:t>
      </w:r>
    </w:p>
    <w:tbl>
      <w:tblPr>
        <w:tblW w:w="5000" w:type="pct"/>
        <w:tblCellMar>
          <w:left w:w="0" w:type="dxa"/>
          <w:right w:w="0" w:type="dxa"/>
        </w:tblCellMar>
        <w:tblLook w:val="04A0" w:firstRow="1" w:lastRow="0" w:firstColumn="1" w:lastColumn="0" w:noHBand="0" w:noVBand="1"/>
      </w:tblPr>
      <w:tblGrid>
        <w:gridCol w:w="360"/>
        <w:gridCol w:w="9000"/>
      </w:tblGrid>
      <w:tr w:rsidR="00296E8D" w:rsidRPr="00D2099E" w14:paraId="2FE3523C" w14:textId="77777777" w:rsidTr="00AE52B2">
        <w:tc>
          <w:tcPr>
            <w:tcW w:w="360" w:type="dxa"/>
            <w:hideMark/>
          </w:tcPr>
          <w:p w14:paraId="646E2A51" w14:textId="77777777" w:rsidR="00296E8D" w:rsidRPr="00D2099E" w:rsidRDefault="00296E8D"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715A4A5A" w14:textId="072EC8DF" w:rsidR="00296E8D" w:rsidRPr="00D2099E" w:rsidRDefault="00296E8D"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1ABA5CF5" w14:textId="4B4B21E2" w:rsidR="00D2099E" w:rsidRPr="00D2099E" w:rsidRDefault="00296E8D"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b/>
          <w:bCs/>
          <w:sz w:val="20"/>
          <w:szCs w:val="20"/>
          <w:lang w:val="en-US"/>
        </w:rPr>
        <w:t> </w:t>
      </w:r>
      <w:r w:rsidR="00D2099E"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6EB42D1B" w14:textId="77777777" w:rsidTr="005C7D2D">
        <w:tc>
          <w:tcPr>
            <w:tcW w:w="360" w:type="dxa"/>
            <w:hideMark/>
          </w:tcPr>
          <w:p w14:paraId="7A8CE5C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0A5763F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(b)</w:t>
            </w:r>
          </w:p>
        </w:tc>
        <w:tc>
          <w:tcPr>
            <w:tcW w:w="0" w:type="auto"/>
            <w:hideMark/>
          </w:tcPr>
          <w:p w14:paraId="55A3244B" w14:textId="6FB3B4EA"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Use of Estimates</w:t>
            </w:r>
            <w:r w:rsidR="00D32B79">
              <w:rPr>
                <w:rFonts w:ascii="Times New Roman" w:eastAsia="Times New Roman" w:hAnsi="Times New Roman" w:cs="Times New Roman"/>
                <w:sz w:val="20"/>
                <w:szCs w:val="20"/>
                <w:lang w:val="en-US"/>
              </w:rPr>
              <w:t xml:space="preserve"> and Judgements </w:t>
            </w:r>
          </w:p>
        </w:tc>
      </w:tr>
    </w:tbl>
    <w:p w14:paraId="1133592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E74CAA2" w14:textId="7F6EFDE6" w:rsidR="0085170E" w:rsidRDefault="0085170E" w:rsidP="0085170E">
      <w:pPr>
        <w:spacing w:after="0" w:line="240" w:lineRule="auto"/>
        <w:ind w:left="720"/>
        <w:jc w:val="both"/>
        <w:rPr>
          <w:rFonts w:ascii="Times New Roman" w:eastAsia="Times New Roman" w:hAnsi="Times New Roman" w:cs="Times New Roman"/>
          <w:sz w:val="20"/>
          <w:szCs w:val="20"/>
          <w:lang w:val="en-US"/>
        </w:rPr>
      </w:pPr>
      <w:r w:rsidRPr="00CA6A48">
        <w:rPr>
          <w:rFonts w:ascii="Times New Roman" w:eastAsia="Times New Roman" w:hAnsi="Times New Roman" w:cs="Times New Roman"/>
          <w:sz w:val="20"/>
          <w:szCs w:val="20"/>
          <w:lang w:val="en-US"/>
        </w:rPr>
        <w:t xml:space="preserve">In the process of applying the Company’s accounting policies, management has made the following judgements, which have the most significant effect on the amounts </w:t>
      </w:r>
      <w:r w:rsidR="0008297C" w:rsidRPr="00CA6A48">
        <w:rPr>
          <w:rFonts w:ascii="Times New Roman" w:eastAsia="Times New Roman" w:hAnsi="Times New Roman" w:cs="Times New Roman"/>
          <w:sz w:val="20"/>
          <w:szCs w:val="20"/>
          <w:lang w:val="en-US"/>
        </w:rPr>
        <w:t>recognized</w:t>
      </w:r>
      <w:r w:rsidRPr="00CA6A48">
        <w:rPr>
          <w:rFonts w:ascii="Times New Roman" w:eastAsia="Times New Roman" w:hAnsi="Times New Roman" w:cs="Times New Roman"/>
          <w:sz w:val="20"/>
          <w:szCs w:val="20"/>
          <w:lang w:val="en-US"/>
        </w:rPr>
        <w:t xml:space="preserve"> in the </w:t>
      </w:r>
      <w:r>
        <w:rPr>
          <w:rFonts w:ascii="Times New Roman" w:eastAsia="Times New Roman" w:hAnsi="Times New Roman" w:cs="Times New Roman"/>
          <w:sz w:val="20"/>
          <w:szCs w:val="20"/>
          <w:lang w:val="en-US"/>
        </w:rPr>
        <w:t>Financial Statements</w:t>
      </w:r>
      <w:r w:rsidRPr="00CA6A48">
        <w:rPr>
          <w:rFonts w:ascii="Times New Roman" w:eastAsia="Times New Roman" w:hAnsi="Times New Roman" w:cs="Times New Roman"/>
          <w:sz w:val="20"/>
          <w:szCs w:val="20"/>
          <w:lang w:val="en-US"/>
        </w:rPr>
        <w:t>:</w:t>
      </w:r>
    </w:p>
    <w:p w14:paraId="018E6446" w14:textId="77777777" w:rsidR="0085170E" w:rsidRPr="00CA6A48" w:rsidRDefault="0085170E" w:rsidP="0085170E">
      <w:pPr>
        <w:spacing w:after="0" w:line="240" w:lineRule="auto"/>
        <w:ind w:left="720"/>
        <w:jc w:val="both"/>
        <w:rPr>
          <w:rFonts w:ascii="Times New Roman" w:eastAsia="Times New Roman" w:hAnsi="Times New Roman" w:cs="Times New Roman"/>
          <w:sz w:val="20"/>
          <w:szCs w:val="20"/>
          <w:lang w:val="en-US"/>
        </w:rPr>
      </w:pPr>
    </w:p>
    <w:p w14:paraId="4EA9867A" w14:textId="77777777" w:rsidR="0085170E" w:rsidRDefault="0085170E" w:rsidP="0085170E">
      <w:pPr>
        <w:spacing w:after="0" w:line="240" w:lineRule="auto"/>
        <w:ind w:left="720"/>
        <w:jc w:val="both"/>
        <w:rPr>
          <w:rFonts w:ascii="Times New Roman" w:eastAsia="Times New Roman" w:hAnsi="Times New Roman" w:cs="Times New Roman"/>
          <w:i/>
          <w:iCs/>
          <w:sz w:val="20"/>
          <w:szCs w:val="20"/>
          <w:lang w:val="en-US"/>
        </w:rPr>
      </w:pPr>
      <w:r w:rsidRPr="00ED66D9">
        <w:rPr>
          <w:rFonts w:ascii="Times New Roman" w:eastAsia="Times New Roman" w:hAnsi="Times New Roman" w:cs="Times New Roman"/>
          <w:i/>
          <w:iCs/>
          <w:sz w:val="20"/>
          <w:szCs w:val="20"/>
          <w:lang w:val="en-US"/>
        </w:rPr>
        <w:t xml:space="preserve">Going </w:t>
      </w:r>
      <w:r>
        <w:rPr>
          <w:rFonts w:ascii="Times New Roman" w:eastAsia="Times New Roman" w:hAnsi="Times New Roman" w:cs="Times New Roman"/>
          <w:i/>
          <w:iCs/>
          <w:sz w:val="20"/>
          <w:szCs w:val="20"/>
          <w:lang w:val="en-US"/>
        </w:rPr>
        <w:t>C</w:t>
      </w:r>
      <w:r w:rsidRPr="00ED66D9">
        <w:rPr>
          <w:rFonts w:ascii="Times New Roman" w:eastAsia="Times New Roman" w:hAnsi="Times New Roman" w:cs="Times New Roman"/>
          <w:i/>
          <w:iCs/>
          <w:sz w:val="20"/>
          <w:szCs w:val="20"/>
          <w:lang w:val="en-US"/>
        </w:rPr>
        <w:t xml:space="preserve">oncern </w:t>
      </w:r>
    </w:p>
    <w:p w14:paraId="5898E73D" w14:textId="77777777" w:rsidR="0085170E" w:rsidRPr="00ED66D9" w:rsidRDefault="0085170E" w:rsidP="0085170E">
      <w:pPr>
        <w:spacing w:after="0" w:line="240" w:lineRule="auto"/>
        <w:ind w:left="720"/>
        <w:jc w:val="both"/>
        <w:rPr>
          <w:rFonts w:ascii="Times New Roman" w:eastAsia="Times New Roman" w:hAnsi="Times New Roman" w:cs="Times New Roman"/>
          <w:i/>
          <w:iCs/>
          <w:sz w:val="20"/>
          <w:szCs w:val="20"/>
          <w:lang w:val="en-US"/>
        </w:rPr>
      </w:pPr>
    </w:p>
    <w:p w14:paraId="7CEBEA32" w14:textId="77777777" w:rsidR="0085170E" w:rsidRDefault="0085170E" w:rsidP="0085170E">
      <w:pPr>
        <w:spacing w:after="0" w:line="240" w:lineRule="auto"/>
        <w:ind w:left="720"/>
        <w:jc w:val="both"/>
        <w:rPr>
          <w:rFonts w:ascii="Times New Roman" w:eastAsia="Times New Roman" w:hAnsi="Times New Roman" w:cs="Times New Roman"/>
          <w:sz w:val="20"/>
          <w:szCs w:val="20"/>
          <w:lang w:val="en-US"/>
        </w:rPr>
      </w:pPr>
      <w:r w:rsidRPr="00CA6A48">
        <w:rPr>
          <w:rFonts w:ascii="Times New Roman" w:eastAsia="Times New Roman" w:hAnsi="Times New Roman" w:cs="Times New Roman"/>
          <w:sz w:val="20"/>
          <w:szCs w:val="20"/>
          <w:lang w:val="en-US"/>
        </w:rPr>
        <w:t>The assessment of the Company’s ability to continue as a going concern and to raise sufficient funds to pay its ongoing operating expenditures and to meet its liabilities for the ensuing year involves significant judgment based on historical experience and other factors, including expectation of future events that are believed to be reasonable under the circumstances.</w:t>
      </w:r>
    </w:p>
    <w:p w14:paraId="0184749B" w14:textId="77777777" w:rsidR="0085170E" w:rsidRDefault="0085170E" w:rsidP="0085170E">
      <w:pPr>
        <w:spacing w:after="0" w:line="240" w:lineRule="auto"/>
        <w:ind w:left="720"/>
        <w:jc w:val="both"/>
        <w:rPr>
          <w:rFonts w:ascii="Times New Roman" w:eastAsia="Times New Roman" w:hAnsi="Times New Roman" w:cs="Times New Roman"/>
          <w:sz w:val="20"/>
          <w:szCs w:val="20"/>
          <w:lang w:val="en-US"/>
        </w:rPr>
      </w:pPr>
    </w:p>
    <w:p w14:paraId="517A1C46" w14:textId="77777777" w:rsidR="0085170E" w:rsidRPr="00ED66D9" w:rsidRDefault="0085170E" w:rsidP="0085170E">
      <w:pPr>
        <w:spacing w:after="0" w:line="240" w:lineRule="auto"/>
        <w:ind w:left="720"/>
        <w:jc w:val="both"/>
        <w:rPr>
          <w:rFonts w:ascii="Times New Roman" w:eastAsia="Times New Roman" w:hAnsi="Times New Roman" w:cs="Times New Roman"/>
          <w:i/>
          <w:iCs/>
          <w:sz w:val="20"/>
          <w:szCs w:val="20"/>
          <w:lang w:val="en-US"/>
        </w:rPr>
      </w:pPr>
      <w:r w:rsidRPr="00ED66D9">
        <w:rPr>
          <w:rFonts w:ascii="Times New Roman" w:eastAsia="Times New Roman" w:hAnsi="Times New Roman" w:cs="Times New Roman"/>
          <w:i/>
          <w:iCs/>
          <w:sz w:val="20"/>
          <w:szCs w:val="20"/>
          <w:lang w:val="en-US"/>
        </w:rPr>
        <w:t xml:space="preserve">Functional </w:t>
      </w:r>
      <w:r>
        <w:rPr>
          <w:rFonts w:ascii="Times New Roman" w:eastAsia="Times New Roman" w:hAnsi="Times New Roman" w:cs="Times New Roman"/>
          <w:i/>
          <w:iCs/>
          <w:sz w:val="20"/>
          <w:szCs w:val="20"/>
          <w:lang w:val="en-US"/>
        </w:rPr>
        <w:t>C</w:t>
      </w:r>
      <w:r w:rsidRPr="00ED66D9">
        <w:rPr>
          <w:rFonts w:ascii="Times New Roman" w:eastAsia="Times New Roman" w:hAnsi="Times New Roman" w:cs="Times New Roman"/>
          <w:i/>
          <w:iCs/>
          <w:sz w:val="20"/>
          <w:szCs w:val="20"/>
          <w:lang w:val="en-US"/>
        </w:rPr>
        <w:t>urrency</w:t>
      </w:r>
    </w:p>
    <w:p w14:paraId="549B8B96" w14:textId="77777777" w:rsidR="0085170E" w:rsidRDefault="0085170E" w:rsidP="0085170E">
      <w:pPr>
        <w:spacing w:after="0" w:line="240" w:lineRule="auto"/>
        <w:ind w:left="720"/>
        <w:jc w:val="both"/>
        <w:rPr>
          <w:rFonts w:ascii="Times New Roman" w:eastAsia="Times New Roman" w:hAnsi="Times New Roman" w:cs="Times New Roman"/>
          <w:sz w:val="20"/>
          <w:szCs w:val="20"/>
          <w:lang w:val="en-US"/>
        </w:rPr>
      </w:pPr>
    </w:p>
    <w:p w14:paraId="6E46DCD8" w14:textId="6B7D12FF" w:rsidR="0085170E" w:rsidRDefault="0085170E" w:rsidP="0085170E">
      <w:pPr>
        <w:spacing w:after="0" w:line="240" w:lineRule="auto"/>
        <w:ind w:left="720"/>
        <w:jc w:val="both"/>
        <w:rPr>
          <w:rFonts w:ascii="Times New Roman" w:eastAsia="Times New Roman" w:hAnsi="Times New Roman" w:cs="Times New Roman"/>
          <w:sz w:val="20"/>
          <w:szCs w:val="20"/>
          <w:lang w:val="en-US"/>
        </w:rPr>
      </w:pPr>
      <w:r w:rsidRPr="008355F8">
        <w:rPr>
          <w:rFonts w:ascii="Times New Roman" w:eastAsia="Times New Roman" w:hAnsi="Times New Roman" w:cs="Times New Roman"/>
          <w:sz w:val="20"/>
          <w:szCs w:val="20"/>
          <w:lang w:val="en-US"/>
        </w:rPr>
        <w:t>The functional currency for the Company and each of its subsidiaries is the currency of the primary economic environment in which the entity operates. Determination of the functional currency involves certain judgments to determine the primary economic environment and the Company reconsiders the functional currency of its entities if there is a change in events and conditions which determined the primary economic environment.</w:t>
      </w:r>
    </w:p>
    <w:p w14:paraId="384EC290" w14:textId="0A1EE621" w:rsidR="007B7F38" w:rsidRDefault="007B7F38" w:rsidP="0085170E">
      <w:pPr>
        <w:spacing w:after="0" w:line="240" w:lineRule="auto"/>
        <w:ind w:left="720"/>
        <w:jc w:val="both"/>
        <w:rPr>
          <w:rFonts w:ascii="Times New Roman" w:eastAsia="Times New Roman" w:hAnsi="Times New Roman" w:cs="Times New Roman"/>
          <w:sz w:val="20"/>
          <w:szCs w:val="20"/>
          <w:lang w:val="en-US"/>
        </w:rPr>
      </w:pPr>
    </w:p>
    <w:p w14:paraId="4214A362" w14:textId="77777777" w:rsidR="007B7F38" w:rsidRPr="0008506C" w:rsidRDefault="007B7F38" w:rsidP="007B7F38">
      <w:pPr>
        <w:spacing w:after="0" w:line="240" w:lineRule="auto"/>
        <w:ind w:left="720"/>
        <w:jc w:val="both"/>
        <w:rPr>
          <w:rFonts w:ascii="Times New Roman" w:eastAsia="Times New Roman" w:hAnsi="Times New Roman" w:cs="Times New Roman"/>
          <w:i/>
          <w:iCs/>
          <w:sz w:val="20"/>
          <w:szCs w:val="20"/>
          <w:lang w:val="en-US"/>
        </w:rPr>
      </w:pPr>
      <w:r w:rsidRPr="0008506C">
        <w:rPr>
          <w:rFonts w:ascii="Times New Roman" w:eastAsia="Times New Roman" w:hAnsi="Times New Roman" w:cs="Times New Roman"/>
          <w:i/>
          <w:iCs/>
          <w:sz w:val="20"/>
          <w:szCs w:val="20"/>
          <w:lang w:val="en-US"/>
        </w:rPr>
        <w:t>Determination of Cash Generating Units (CGUs)</w:t>
      </w:r>
    </w:p>
    <w:p w14:paraId="2CCCBBA6" w14:textId="77777777" w:rsidR="007B7F38" w:rsidRPr="0008506C" w:rsidRDefault="007B7F38" w:rsidP="007B7F38">
      <w:pPr>
        <w:spacing w:after="0" w:line="240" w:lineRule="auto"/>
        <w:ind w:left="720"/>
        <w:jc w:val="both"/>
        <w:rPr>
          <w:rFonts w:ascii="Times New Roman" w:eastAsia="Times New Roman" w:hAnsi="Times New Roman" w:cs="Times New Roman"/>
          <w:sz w:val="20"/>
          <w:szCs w:val="20"/>
          <w:lang w:val="en-US"/>
        </w:rPr>
      </w:pPr>
    </w:p>
    <w:p w14:paraId="45478900" w14:textId="77777777" w:rsidR="007B7F38" w:rsidRDefault="007B7F38" w:rsidP="007B7F38">
      <w:pPr>
        <w:spacing w:after="0" w:line="240" w:lineRule="auto"/>
        <w:ind w:left="720"/>
        <w:jc w:val="both"/>
        <w:rPr>
          <w:rFonts w:ascii="Times New Roman" w:eastAsia="Times New Roman" w:hAnsi="Times New Roman" w:cs="Times New Roman"/>
          <w:sz w:val="20"/>
          <w:szCs w:val="20"/>
          <w:lang w:val="en-US"/>
        </w:rPr>
      </w:pPr>
      <w:r w:rsidRPr="0008506C">
        <w:rPr>
          <w:rFonts w:ascii="Times New Roman" w:eastAsia="Times New Roman" w:hAnsi="Times New Roman" w:cs="Times New Roman"/>
          <w:sz w:val="20"/>
          <w:szCs w:val="20"/>
          <w:lang w:val="en-US"/>
        </w:rPr>
        <w:t>A CGU is the lowest grouping of integrated assets that generate identifiable cash inflows that are largely independent of the cash inflows of other assets or groups of assets. The allocation of assets into CGUs requires significant judgment and interpretations with respect to the integration between assets, the existence of active markets, similar exposure to market risks, shared infrastructure, and the way in which management monitors the operations.</w:t>
      </w:r>
    </w:p>
    <w:p w14:paraId="2BFC155F" w14:textId="721A14B9" w:rsidR="00E66841" w:rsidRDefault="00E66841" w:rsidP="0085170E">
      <w:pPr>
        <w:spacing w:after="0" w:line="240" w:lineRule="auto"/>
        <w:ind w:left="720"/>
        <w:jc w:val="both"/>
        <w:rPr>
          <w:rFonts w:ascii="Times New Roman" w:eastAsia="Times New Roman" w:hAnsi="Times New Roman" w:cs="Times New Roman"/>
          <w:sz w:val="20"/>
          <w:szCs w:val="20"/>
          <w:lang w:val="en-US"/>
        </w:rPr>
      </w:pPr>
    </w:p>
    <w:p w14:paraId="08264F5A" w14:textId="0ED7FF24" w:rsidR="00E66841" w:rsidRDefault="00E66841" w:rsidP="00E66841">
      <w:pPr>
        <w:spacing w:after="0" w:line="240" w:lineRule="auto"/>
        <w:ind w:left="720"/>
        <w:jc w:val="both"/>
        <w:rPr>
          <w:rFonts w:ascii="Times New Roman" w:eastAsia="Times New Roman" w:hAnsi="Times New Roman" w:cs="Times New Roman"/>
          <w:sz w:val="20"/>
          <w:szCs w:val="20"/>
          <w:lang w:val="en-US"/>
        </w:rPr>
      </w:pPr>
      <w:r w:rsidRPr="00CA6A48">
        <w:rPr>
          <w:rFonts w:ascii="Times New Roman" w:eastAsia="Times New Roman" w:hAnsi="Times New Roman" w:cs="Times New Roman"/>
          <w:sz w:val="20"/>
          <w:szCs w:val="20"/>
          <w:lang w:val="en-US"/>
        </w:rPr>
        <w:t xml:space="preserve">In the process of applying the Company’s accounting policies, management has made the following </w:t>
      </w:r>
      <w:r>
        <w:rPr>
          <w:rFonts w:ascii="Times New Roman" w:eastAsia="Times New Roman" w:hAnsi="Times New Roman" w:cs="Times New Roman"/>
          <w:sz w:val="20"/>
          <w:szCs w:val="20"/>
          <w:lang w:val="en-US"/>
        </w:rPr>
        <w:t>estimates</w:t>
      </w:r>
      <w:r w:rsidRPr="00CA6A48">
        <w:rPr>
          <w:rFonts w:ascii="Times New Roman" w:eastAsia="Times New Roman" w:hAnsi="Times New Roman" w:cs="Times New Roman"/>
          <w:sz w:val="20"/>
          <w:szCs w:val="20"/>
          <w:lang w:val="en-US"/>
        </w:rPr>
        <w:t xml:space="preserve">, which have the most significant effect on the amounts recognized in the </w:t>
      </w:r>
      <w:r>
        <w:rPr>
          <w:rFonts w:ascii="Times New Roman" w:eastAsia="Times New Roman" w:hAnsi="Times New Roman" w:cs="Times New Roman"/>
          <w:sz w:val="20"/>
          <w:szCs w:val="20"/>
          <w:lang w:val="en-US"/>
        </w:rPr>
        <w:t>Financial Statements</w:t>
      </w:r>
      <w:r w:rsidRPr="00CA6A48">
        <w:rPr>
          <w:rFonts w:ascii="Times New Roman" w:eastAsia="Times New Roman" w:hAnsi="Times New Roman" w:cs="Times New Roman"/>
          <w:sz w:val="20"/>
          <w:szCs w:val="20"/>
          <w:lang w:val="en-US"/>
        </w:rPr>
        <w:t>:</w:t>
      </w:r>
    </w:p>
    <w:p w14:paraId="2F934521" w14:textId="77777777" w:rsidR="0085170E" w:rsidRDefault="0085170E" w:rsidP="0085170E">
      <w:pPr>
        <w:spacing w:after="0" w:line="240" w:lineRule="auto"/>
        <w:ind w:left="720"/>
        <w:jc w:val="both"/>
        <w:rPr>
          <w:rFonts w:ascii="Times New Roman" w:eastAsia="Times New Roman" w:hAnsi="Times New Roman" w:cs="Times New Roman"/>
          <w:sz w:val="20"/>
          <w:szCs w:val="20"/>
          <w:lang w:val="en-US"/>
        </w:rPr>
      </w:pPr>
    </w:p>
    <w:p w14:paraId="1987E6AF" w14:textId="77777777" w:rsidR="0085170E" w:rsidRDefault="0085170E" w:rsidP="0085170E">
      <w:pPr>
        <w:spacing w:after="0" w:line="240" w:lineRule="auto"/>
        <w:ind w:left="720"/>
        <w:jc w:val="both"/>
        <w:rPr>
          <w:rFonts w:ascii="Times New Roman" w:eastAsia="Times New Roman" w:hAnsi="Times New Roman" w:cs="Times New Roman"/>
          <w:i/>
          <w:iCs/>
          <w:sz w:val="20"/>
          <w:szCs w:val="20"/>
          <w:lang w:val="en-US"/>
        </w:rPr>
      </w:pPr>
      <w:r w:rsidRPr="00ED66D9">
        <w:rPr>
          <w:rFonts w:ascii="Times New Roman" w:eastAsia="Times New Roman" w:hAnsi="Times New Roman" w:cs="Times New Roman"/>
          <w:i/>
          <w:iCs/>
          <w:sz w:val="20"/>
          <w:szCs w:val="20"/>
          <w:lang w:val="en-US"/>
        </w:rPr>
        <w:t>Oil and Gas Reserves</w:t>
      </w:r>
    </w:p>
    <w:p w14:paraId="0DA98A44" w14:textId="77777777" w:rsidR="0085170E" w:rsidRPr="00ED66D9" w:rsidRDefault="0085170E" w:rsidP="0085170E">
      <w:pPr>
        <w:spacing w:after="0" w:line="240" w:lineRule="auto"/>
        <w:ind w:left="720"/>
        <w:jc w:val="both"/>
        <w:rPr>
          <w:rFonts w:ascii="Times New Roman" w:eastAsia="Times New Roman" w:hAnsi="Times New Roman" w:cs="Times New Roman"/>
          <w:i/>
          <w:iCs/>
          <w:sz w:val="20"/>
          <w:szCs w:val="20"/>
          <w:lang w:val="en-US"/>
        </w:rPr>
      </w:pPr>
    </w:p>
    <w:p w14:paraId="3C29F924" w14:textId="77777777" w:rsidR="0085170E" w:rsidRPr="00D46186" w:rsidRDefault="0085170E" w:rsidP="0085170E">
      <w:pPr>
        <w:spacing w:after="0" w:line="240" w:lineRule="auto"/>
        <w:ind w:left="720"/>
        <w:jc w:val="both"/>
        <w:rPr>
          <w:rFonts w:ascii="Times New Roman" w:eastAsia="Times New Roman" w:hAnsi="Times New Roman" w:cs="Times New Roman"/>
          <w:sz w:val="20"/>
          <w:szCs w:val="20"/>
          <w:lang w:val="en-US"/>
        </w:rPr>
      </w:pPr>
      <w:r w:rsidRPr="00D46186">
        <w:rPr>
          <w:rFonts w:ascii="Times New Roman" w:eastAsia="Times New Roman" w:hAnsi="Times New Roman" w:cs="Times New Roman"/>
          <w:sz w:val="20"/>
          <w:szCs w:val="20"/>
          <w:lang w:val="en-US"/>
        </w:rPr>
        <w:t>The company’s estimate of oil and gas reserves is considered in the measurement of depletion, depreciation, impairment, and</w:t>
      </w:r>
      <w:r>
        <w:rPr>
          <w:rFonts w:ascii="Times New Roman" w:eastAsia="Times New Roman" w:hAnsi="Times New Roman" w:cs="Times New Roman"/>
          <w:sz w:val="20"/>
          <w:szCs w:val="20"/>
          <w:lang w:val="en-US"/>
        </w:rPr>
        <w:t xml:space="preserve"> </w:t>
      </w:r>
      <w:r w:rsidRPr="00D46186">
        <w:rPr>
          <w:rFonts w:ascii="Times New Roman" w:eastAsia="Times New Roman" w:hAnsi="Times New Roman" w:cs="Times New Roman"/>
          <w:sz w:val="20"/>
          <w:szCs w:val="20"/>
          <w:lang w:val="en-US"/>
        </w:rPr>
        <w:t>decommissioning and restoration obligations. The estimation of reserves is an inherently complex process and involves the</w:t>
      </w:r>
      <w:r>
        <w:rPr>
          <w:rFonts w:ascii="Times New Roman" w:eastAsia="Times New Roman" w:hAnsi="Times New Roman" w:cs="Times New Roman"/>
          <w:sz w:val="20"/>
          <w:szCs w:val="20"/>
          <w:lang w:val="en-US"/>
        </w:rPr>
        <w:t xml:space="preserve"> </w:t>
      </w:r>
      <w:r w:rsidRPr="00D46186">
        <w:rPr>
          <w:rFonts w:ascii="Times New Roman" w:eastAsia="Times New Roman" w:hAnsi="Times New Roman" w:cs="Times New Roman"/>
          <w:sz w:val="20"/>
          <w:szCs w:val="20"/>
          <w:lang w:val="en-US"/>
        </w:rPr>
        <w:t xml:space="preserve">exercise of professional judgment. All reserves </w:t>
      </w:r>
      <w:r>
        <w:rPr>
          <w:rFonts w:ascii="Times New Roman" w:eastAsia="Times New Roman" w:hAnsi="Times New Roman" w:cs="Times New Roman"/>
          <w:sz w:val="20"/>
          <w:szCs w:val="20"/>
          <w:lang w:val="en-US"/>
        </w:rPr>
        <w:t>are evaluated annually</w:t>
      </w:r>
      <w:r w:rsidRPr="00D46186">
        <w:rPr>
          <w:rFonts w:ascii="Times New Roman" w:eastAsia="Times New Roman" w:hAnsi="Times New Roman" w:cs="Times New Roman"/>
          <w:sz w:val="20"/>
          <w:szCs w:val="20"/>
          <w:lang w:val="en-US"/>
        </w:rPr>
        <w:t>, by independent qualified reserves</w:t>
      </w:r>
      <w:r>
        <w:rPr>
          <w:rFonts w:ascii="Times New Roman" w:eastAsia="Times New Roman" w:hAnsi="Times New Roman" w:cs="Times New Roman"/>
          <w:sz w:val="20"/>
          <w:szCs w:val="20"/>
          <w:lang w:val="en-US"/>
        </w:rPr>
        <w:t xml:space="preserve"> </w:t>
      </w:r>
      <w:r w:rsidRPr="00D46186">
        <w:rPr>
          <w:rFonts w:ascii="Times New Roman" w:eastAsia="Times New Roman" w:hAnsi="Times New Roman" w:cs="Times New Roman"/>
          <w:sz w:val="20"/>
          <w:szCs w:val="20"/>
          <w:lang w:val="en-US"/>
        </w:rPr>
        <w:t>evaluators. Oil and gas reserves estimates are based on a range of geological, technical and economic factors, including projected</w:t>
      </w:r>
      <w:r>
        <w:rPr>
          <w:rFonts w:ascii="Times New Roman" w:eastAsia="Times New Roman" w:hAnsi="Times New Roman" w:cs="Times New Roman"/>
          <w:sz w:val="20"/>
          <w:szCs w:val="20"/>
          <w:lang w:val="en-US"/>
        </w:rPr>
        <w:t xml:space="preserve"> </w:t>
      </w:r>
      <w:r w:rsidRPr="00D46186">
        <w:rPr>
          <w:rFonts w:ascii="Times New Roman" w:eastAsia="Times New Roman" w:hAnsi="Times New Roman" w:cs="Times New Roman"/>
          <w:sz w:val="20"/>
          <w:szCs w:val="20"/>
          <w:lang w:val="en-US"/>
        </w:rPr>
        <w:t xml:space="preserve">future rates of production, projected future commodity prices, engineering data, and the timing and </w:t>
      </w:r>
      <w:proofErr w:type="gramStart"/>
      <w:r w:rsidRPr="00D46186">
        <w:rPr>
          <w:rFonts w:ascii="Times New Roman" w:eastAsia="Times New Roman" w:hAnsi="Times New Roman" w:cs="Times New Roman"/>
          <w:sz w:val="20"/>
          <w:szCs w:val="20"/>
          <w:lang w:val="en-US"/>
        </w:rPr>
        <w:t>amount</w:t>
      </w:r>
      <w:proofErr w:type="gramEnd"/>
      <w:r w:rsidRPr="00D46186">
        <w:rPr>
          <w:rFonts w:ascii="Times New Roman" w:eastAsia="Times New Roman" w:hAnsi="Times New Roman" w:cs="Times New Roman"/>
          <w:sz w:val="20"/>
          <w:szCs w:val="20"/>
          <w:lang w:val="en-US"/>
        </w:rPr>
        <w:t xml:space="preserve"> of future</w:t>
      </w:r>
      <w:r>
        <w:rPr>
          <w:rFonts w:ascii="Times New Roman" w:eastAsia="Times New Roman" w:hAnsi="Times New Roman" w:cs="Times New Roman"/>
          <w:sz w:val="20"/>
          <w:szCs w:val="20"/>
          <w:lang w:val="en-US"/>
        </w:rPr>
        <w:t xml:space="preserve"> </w:t>
      </w:r>
      <w:r w:rsidRPr="00D46186">
        <w:rPr>
          <w:rFonts w:ascii="Times New Roman" w:eastAsia="Times New Roman" w:hAnsi="Times New Roman" w:cs="Times New Roman"/>
          <w:sz w:val="20"/>
          <w:szCs w:val="20"/>
          <w:lang w:val="en-US"/>
        </w:rPr>
        <w:t xml:space="preserve">expenditures, all of which are subject to uncertainty. Estimates reflect market and regulatory conditions existing </w:t>
      </w:r>
      <w:r>
        <w:rPr>
          <w:rFonts w:ascii="Times New Roman" w:eastAsia="Times New Roman" w:hAnsi="Times New Roman" w:cs="Times New Roman"/>
          <w:sz w:val="20"/>
          <w:szCs w:val="20"/>
          <w:lang w:val="en-US"/>
        </w:rPr>
        <w:t>at the evaluation date</w:t>
      </w:r>
      <w:r w:rsidRPr="00D46186">
        <w:rPr>
          <w:rFonts w:ascii="Times New Roman" w:eastAsia="Times New Roman" w:hAnsi="Times New Roman" w:cs="Times New Roman"/>
          <w:sz w:val="20"/>
          <w:szCs w:val="20"/>
          <w:lang w:val="en-US"/>
        </w:rPr>
        <w:t xml:space="preserve">, which could differ significantly from other points in time throughout the </w:t>
      </w:r>
      <w:r>
        <w:rPr>
          <w:rFonts w:ascii="Times New Roman" w:eastAsia="Times New Roman" w:hAnsi="Times New Roman" w:cs="Times New Roman"/>
          <w:sz w:val="20"/>
          <w:szCs w:val="20"/>
          <w:lang w:val="en-US"/>
        </w:rPr>
        <w:t>period</w:t>
      </w:r>
      <w:r w:rsidRPr="00D46186">
        <w:rPr>
          <w:rFonts w:ascii="Times New Roman" w:eastAsia="Times New Roman" w:hAnsi="Times New Roman" w:cs="Times New Roman"/>
          <w:sz w:val="20"/>
          <w:szCs w:val="20"/>
          <w:lang w:val="en-US"/>
        </w:rPr>
        <w:t>, or future periods. Changes in market and</w:t>
      </w:r>
    </w:p>
    <w:p w14:paraId="3147BAE3" w14:textId="77777777" w:rsidR="0085170E" w:rsidRDefault="0085170E" w:rsidP="0085170E">
      <w:pPr>
        <w:spacing w:after="0" w:line="240" w:lineRule="auto"/>
        <w:ind w:left="720"/>
        <w:jc w:val="both"/>
        <w:rPr>
          <w:rFonts w:ascii="Times New Roman" w:eastAsia="Times New Roman" w:hAnsi="Times New Roman" w:cs="Times New Roman"/>
          <w:sz w:val="20"/>
          <w:szCs w:val="20"/>
          <w:lang w:val="en-US"/>
        </w:rPr>
      </w:pPr>
      <w:r w:rsidRPr="00D46186">
        <w:rPr>
          <w:rFonts w:ascii="Times New Roman" w:eastAsia="Times New Roman" w:hAnsi="Times New Roman" w:cs="Times New Roman"/>
          <w:sz w:val="20"/>
          <w:szCs w:val="20"/>
          <w:lang w:val="en-US"/>
        </w:rPr>
        <w:t>regulatory conditions and assumptions, as well as climate change, and the evolving worldwide demand for energy and global</w:t>
      </w:r>
      <w:r>
        <w:rPr>
          <w:rFonts w:ascii="Times New Roman" w:eastAsia="Times New Roman" w:hAnsi="Times New Roman" w:cs="Times New Roman"/>
          <w:sz w:val="20"/>
          <w:szCs w:val="20"/>
          <w:lang w:val="en-US"/>
        </w:rPr>
        <w:t xml:space="preserve"> </w:t>
      </w:r>
      <w:r w:rsidRPr="00D46186">
        <w:rPr>
          <w:rFonts w:ascii="Times New Roman" w:eastAsia="Times New Roman" w:hAnsi="Times New Roman" w:cs="Times New Roman"/>
          <w:sz w:val="20"/>
          <w:szCs w:val="20"/>
          <w:lang w:val="en-US"/>
        </w:rPr>
        <w:t>advancement of alternative sources of energy that are not sourced from fossil fuels can materially impact the estimation of net</w:t>
      </w:r>
      <w:r>
        <w:rPr>
          <w:rFonts w:ascii="Times New Roman" w:eastAsia="Times New Roman" w:hAnsi="Times New Roman" w:cs="Times New Roman"/>
          <w:sz w:val="20"/>
          <w:szCs w:val="20"/>
          <w:lang w:val="en-US"/>
        </w:rPr>
        <w:t xml:space="preserve"> </w:t>
      </w:r>
      <w:r w:rsidRPr="00D46186">
        <w:rPr>
          <w:rFonts w:ascii="Times New Roman" w:eastAsia="Times New Roman" w:hAnsi="Times New Roman" w:cs="Times New Roman"/>
          <w:sz w:val="20"/>
          <w:szCs w:val="20"/>
          <w:lang w:val="en-US"/>
        </w:rPr>
        <w:t xml:space="preserve">reserves. </w:t>
      </w:r>
    </w:p>
    <w:p w14:paraId="27D96404" w14:textId="77777777" w:rsidR="0085170E" w:rsidRDefault="0085170E" w:rsidP="0085170E">
      <w:pPr>
        <w:spacing w:after="0" w:line="240" w:lineRule="auto"/>
        <w:ind w:left="720"/>
        <w:jc w:val="both"/>
        <w:rPr>
          <w:rFonts w:ascii="Times New Roman" w:eastAsia="Times New Roman" w:hAnsi="Times New Roman" w:cs="Times New Roman"/>
          <w:sz w:val="20"/>
          <w:szCs w:val="20"/>
          <w:lang w:val="en-US"/>
        </w:rPr>
      </w:pPr>
    </w:p>
    <w:p w14:paraId="2765BAAE" w14:textId="7462716B" w:rsidR="005D2609" w:rsidRDefault="005D2609" w:rsidP="0085170E">
      <w:pPr>
        <w:spacing w:after="0" w:line="240" w:lineRule="auto"/>
        <w:ind w:left="720"/>
        <w:jc w:val="both"/>
        <w:rPr>
          <w:rFonts w:ascii="Times New Roman" w:eastAsia="Times New Roman" w:hAnsi="Times New Roman" w:cs="Times New Roman"/>
          <w:i/>
          <w:iCs/>
          <w:sz w:val="20"/>
          <w:szCs w:val="20"/>
          <w:lang w:val="en-US"/>
        </w:rPr>
      </w:pPr>
    </w:p>
    <w:p w14:paraId="7FA618EB" w14:textId="77777777" w:rsidR="005D2609" w:rsidRDefault="005D2609">
      <w:pPr>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br w:type="page"/>
      </w:r>
    </w:p>
    <w:p w14:paraId="79A61AE3" w14:textId="12E0DA57" w:rsidR="00C167B9" w:rsidRDefault="00C167B9" w:rsidP="0085170E">
      <w:pPr>
        <w:spacing w:after="0" w:line="240" w:lineRule="auto"/>
        <w:ind w:left="720"/>
        <w:jc w:val="both"/>
        <w:rPr>
          <w:rFonts w:ascii="Times New Roman" w:eastAsia="Times New Roman" w:hAnsi="Times New Roman" w:cs="Times New Roman"/>
          <w:i/>
          <w:iCs/>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5D2609" w:rsidRPr="00D2099E" w14:paraId="0240F175" w14:textId="77777777" w:rsidTr="00AE52B2">
        <w:tc>
          <w:tcPr>
            <w:tcW w:w="360" w:type="dxa"/>
            <w:hideMark/>
          </w:tcPr>
          <w:p w14:paraId="0BA62E02" w14:textId="77777777" w:rsidR="005D2609" w:rsidRPr="00D2099E" w:rsidRDefault="005D2609"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013FA8F2" w14:textId="77777777" w:rsidR="005D2609" w:rsidRPr="00D2099E" w:rsidRDefault="005D2609"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57250389" w14:textId="77777777" w:rsidR="005D2609" w:rsidRDefault="005D2609" w:rsidP="0085170E">
      <w:pPr>
        <w:spacing w:after="0" w:line="240" w:lineRule="auto"/>
        <w:ind w:left="720"/>
        <w:jc w:val="both"/>
        <w:rPr>
          <w:rFonts w:ascii="Times New Roman" w:eastAsia="Times New Roman" w:hAnsi="Times New Roman" w:cs="Times New Roman"/>
          <w:i/>
          <w:iCs/>
          <w:sz w:val="20"/>
          <w:szCs w:val="20"/>
          <w:lang w:val="en-US"/>
        </w:rPr>
      </w:pPr>
    </w:p>
    <w:p w14:paraId="1CEBCC65" w14:textId="77777777" w:rsidR="005E32EC" w:rsidRPr="0008506C" w:rsidRDefault="005E32EC" w:rsidP="0008506C">
      <w:pPr>
        <w:spacing w:after="0" w:line="240" w:lineRule="auto"/>
        <w:ind w:left="720"/>
        <w:jc w:val="both"/>
        <w:rPr>
          <w:rFonts w:ascii="Times New Roman" w:eastAsia="Times New Roman" w:hAnsi="Times New Roman" w:cs="Times New Roman"/>
          <w:i/>
          <w:iCs/>
          <w:sz w:val="20"/>
          <w:szCs w:val="20"/>
          <w:lang w:val="en-US"/>
        </w:rPr>
      </w:pPr>
      <w:r w:rsidRPr="0008506C">
        <w:rPr>
          <w:rFonts w:ascii="Times New Roman" w:eastAsia="Times New Roman" w:hAnsi="Times New Roman" w:cs="Times New Roman"/>
          <w:i/>
          <w:iCs/>
          <w:sz w:val="20"/>
          <w:szCs w:val="20"/>
          <w:lang w:val="en-US"/>
        </w:rPr>
        <w:t>Allowance for doubtful accounts</w:t>
      </w:r>
    </w:p>
    <w:p w14:paraId="1D0CF28B" w14:textId="77777777" w:rsidR="005E32EC" w:rsidRPr="0008506C" w:rsidRDefault="005E32EC" w:rsidP="0008506C">
      <w:pPr>
        <w:spacing w:after="0" w:line="240" w:lineRule="auto"/>
        <w:ind w:left="720"/>
        <w:jc w:val="both"/>
        <w:rPr>
          <w:rFonts w:ascii="Times New Roman" w:eastAsia="Times New Roman" w:hAnsi="Times New Roman" w:cs="Times New Roman"/>
          <w:sz w:val="20"/>
          <w:szCs w:val="20"/>
          <w:lang w:val="en-US"/>
        </w:rPr>
      </w:pPr>
    </w:p>
    <w:p w14:paraId="14C18CA6" w14:textId="77777777" w:rsidR="005E32EC" w:rsidRPr="0008506C" w:rsidRDefault="005E32EC" w:rsidP="005E32EC">
      <w:pPr>
        <w:autoSpaceDE w:val="0"/>
        <w:autoSpaceDN w:val="0"/>
        <w:adjustRightInd w:val="0"/>
        <w:ind w:left="720"/>
        <w:jc w:val="both"/>
        <w:rPr>
          <w:rFonts w:ascii="Times New Roman" w:eastAsia="Times New Roman" w:hAnsi="Times New Roman" w:cs="Times New Roman"/>
          <w:sz w:val="20"/>
          <w:szCs w:val="20"/>
          <w:lang w:val="en-US"/>
        </w:rPr>
      </w:pPr>
      <w:r w:rsidRPr="0008506C">
        <w:rPr>
          <w:rFonts w:ascii="Times New Roman" w:eastAsia="Times New Roman" w:hAnsi="Times New Roman" w:cs="Times New Roman"/>
          <w:sz w:val="20"/>
          <w:szCs w:val="20"/>
          <w:lang w:val="en-US"/>
        </w:rPr>
        <w:t>Estimates are inherent in the on-going assessment of the recoverability of trade and other receivables. The Company maintains an allowance for doubtful accounts to reflect the expected credit losses. Uncertainty relates to the actual collectability of customer balances that can vary from the Company’s estimation.</w:t>
      </w:r>
    </w:p>
    <w:p w14:paraId="59DEC737" w14:textId="57888EE4" w:rsidR="0085170E" w:rsidRDefault="0085170E" w:rsidP="0085170E">
      <w:pPr>
        <w:spacing w:after="0" w:line="240" w:lineRule="auto"/>
        <w:ind w:left="720"/>
        <w:jc w:val="both"/>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Asset Retirement Obligation</w:t>
      </w:r>
    </w:p>
    <w:p w14:paraId="528D7A0C" w14:textId="77777777" w:rsidR="0085170E" w:rsidRPr="00ED66D9" w:rsidRDefault="0085170E" w:rsidP="0085170E">
      <w:pPr>
        <w:spacing w:after="0" w:line="240" w:lineRule="auto"/>
        <w:ind w:left="720"/>
        <w:jc w:val="both"/>
        <w:rPr>
          <w:rFonts w:ascii="Times New Roman" w:eastAsia="Times New Roman" w:hAnsi="Times New Roman" w:cs="Times New Roman"/>
          <w:i/>
          <w:iCs/>
          <w:sz w:val="20"/>
          <w:szCs w:val="20"/>
          <w:lang w:val="en-US"/>
        </w:rPr>
      </w:pPr>
    </w:p>
    <w:p w14:paraId="188FFBDF" w14:textId="77777777" w:rsidR="0085170E" w:rsidRDefault="0085170E" w:rsidP="0085170E">
      <w:pPr>
        <w:spacing w:after="0" w:line="240" w:lineRule="auto"/>
        <w:ind w:left="720"/>
        <w:jc w:val="both"/>
        <w:rPr>
          <w:rFonts w:ascii="Times New Roman" w:eastAsia="Times New Roman" w:hAnsi="Times New Roman" w:cs="Times New Roman"/>
          <w:sz w:val="20"/>
          <w:szCs w:val="20"/>
          <w:lang w:val="en-US"/>
        </w:rPr>
      </w:pPr>
      <w:r w:rsidRPr="00A633FB">
        <w:rPr>
          <w:rFonts w:ascii="Times New Roman" w:eastAsia="Times New Roman" w:hAnsi="Times New Roman" w:cs="Times New Roman"/>
          <w:sz w:val="20"/>
          <w:szCs w:val="20"/>
          <w:lang w:val="en-US"/>
        </w:rPr>
        <w:t xml:space="preserve">The company recognizes </w:t>
      </w:r>
      <w:r>
        <w:rPr>
          <w:rFonts w:ascii="Times New Roman" w:eastAsia="Times New Roman" w:hAnsi="Times New Roman" w:cs="Times New Roman"/>
          <w:sz w:val="20"/>
          <w:szCs w:val="20"/>
          <w:lang w:val="en-US"/>
        </w:rPr>
        <w:t>obligation</w:t>
      </w:r>
      <w:r w:rsidRPr="00A633FB">
        <w:rPr>
          <w:rFonts w:ascii="Times New Roman" w:eastAsia="Times New Roman" w:hAnsi="Times New Roman" w:cs="Times New Roman"/>
          <w:sz w:val="20"/>
          <w:szCs w:val="20"/>
          <w:lang w:val="en-US"/>
        </w:rPr>
        <w:t xml:space="preserve"> for the future decommissioning and restoration of </w:t>
      </w:r>
      <w:r>
        <w:rPr>
          <w:rFonts w:ascii="Times New Roman" w:eastAsia="Times New Roman" w:hAnsi="Times New Roman" w:cs="Times New Roman"/>
          <w:sz w:val="20"/>
          <w:szCs w:val="20"/>
          <w:lang w:val="en-US"/>
        </w:rPr>
        <w:t>the Company’s exploration and evaluation assets and oil and gas properties</w:t>
      </w:r>
      <w:r w:rsidRPr="00A633FB">
        <w:rPr>
          <w:rFonts w:ascii="Times New Roman" w:eastAsia="Times New Roman" w:hAnsi="Times New Roman" w:cs="Times New Roman"/>
          <w:sz w:val="20"/>
          <w:szCs w:val="20"/>
          <w:lang w:val="en-US"/>
        </w:rPr>
        <w:t xml:space="preserve"> based on estimated future decommissioning and restoration costs. Management applies judgment</w:t>
      </w:r>
      <w:r>
        <w:rPr>
          <w:rFonts w:ascii="Times New Roman" w:eastAsia="Times New Roman" w:hAnsi="Times New Roman" w:cs="Times New Roman"/>
          <w:sz w:val="20"/>
          <w:szCs w:val="20"/>
          <w:lang w:val="en-US"/>
        </w:rPr>
        <w:t xml:space="preserve"> </w:t>
      </w:r>
      <w:r w:rsidRPr="00A633FB">
        <w:rPr>
          <w:rFonts w:ascii="Times New Roman" w:eastAsia="Times New Roman" w:hAnsi="Times New Roman" w:cs="Times New Roman"/>
          <w:sz w:val="20"/>
          <w:szCs w:val="20"/>
          <w:lang w:val="en-US"/>
        </w:rPr>
        <w:t>in assessing the existence and extent as well as the expected method of reclamation of the company’s decommissioning and</w:t>
      </w:r>
      <w:r>
        <w:rPr>
          <w:rFonts w:ascii="Times New Roman" w:eastAsia="Times New Roman" w:hAnsi="Times New Roman" w:cs="Times New Roman"/>
          <w:sz w:val="20"/>
          <w:szCs w:val="20"/>
          <w:lang w:val="en-US"/>
        </w:rPr>
        <w:t xml:space="preserve"> </w:t>
      </w:r>
      <w:r w:rsidRPr="00A633FB">
        <w:rPr>
          <w:rFonts w:ascii="Times New Roman" w:eastAsia="Times New Roman" w:hAnsi="Times New Roman" w:cs="Times New Roman"/>
          <w:sz w:val="20"/>
          <w:szCs w:val="20"/>
          <w:lang w:val="en-US"/>
        </w:rPr>
        <w:t>restoration obligations at the end of each reporting period. Management also uses judgment to determine whether the nature</w:t>
      </w:r>
      <w:r>
        <w:rPr>
          <w:rFonts w:ascii="Times New Roman" w:eastAsia="Times New Roman" w:hAnsi="Times New Roman" w:cs="Times New Roman"/>
          <w:sz w:val="20"/>
          <w:szCs w:val="20"/>
          <w:lang w:val="en-US"/>
        </w:rPr>
        <w:t xml:space="preserve"> </w:t>
      </w:r>
      <w:r w:rsidRPr="00A633FB">
        <w:rPr>
          <w:rFonts w:ascii="Times New Roman" w:eastAsia="Times New Roman" w:hAnsi="Times New Roman" w:cs="Times New Roman"/>
          <w:sz w:val="20"/>
          <w:szCs w:val="20"/>
          <w:lang w:val="en-US"/>
        </w:rPr>
        <w:t>of the activities performed is related to decommissioning and restoration activities or normal operating activities.</w:t>
      </w:r>
    </w:p>
    <w:p w14:paraId="66BE67DC" w14:textId="77777777" w:rsidR="0085170E" w:rsidRDefault="0085170E" w:rsidP="0085170E">
      <w:pPr>
        <w:spacing w:after="0" w:line="240" w:lineRule="auto"/>
        <w:ind w:left="720"/>
        <w:jc w:val="both"/>
        <w:rPr>
          <w:rFonts w:ascii="Times New Roman" w:eastAsia="Times New Roman" w:hAnsi="Times New Roman" w:cs="Times New Roman"/>
          <w:sz w:val="20"/>
          <w:szCs w:val="20"/>
          <w:lang w:val="en-US"/>
        </w:rPr>
      </w:pPr>
    </w:p>
    <w:p w14:paraId="31A3588F" w14:textId="7B933FED" w:rsidR="0085170E" w:rsidRDefault="0085170E" w:rsidP="0085170E">
      <w:pPr>
        <w:spacing w:after="0" w:line="240" w:lineRule="auto"/>
        <w:ind w:left="720"/>
        <w:jc w:val="both"/>
        <w:rPr>
          <w:rFonts w:ascii="Times New Roman" w:eastAsia="Times New Roman" w:hAnsi="Times New Roman" w:cs="Times New Roman"/>
          <w:sz w:val="20"/>
          <w:szCs w:val="20"/>
          <w:lang w:val="en-US"/>
        </w:rPr>
      </w:pPr>
      <w:r w:rsidRPr="00677B5D">
        <w:rPr>
          <w:rFonts w:ascii="Times New Roman" w:eastAsia="Times New Roman" w:hAnsi="Times New Roman" w:cs="Times New Roman"/>
          <w:sz w:val="20"/>
          <w:szCs w:val="20"/>
          <w:lang w:val="en-US"/>
        </w:rPr>
        <w:t xml:space="preserve">Actual costs are </w:t>
      </w:r>
      <w:proofErr w:type="gramStart"/>
      <w:r w:rsidRPr="00677B5D">
        <w:rPr>
          <w:rFonts w:ascii="Times New Roman" w:eastAsia="Times New Roman" w:hAnsi="Times New Roman" w:cs="Times New Roman"/>
          <w:sz w:val="20"/>
          <w:szCs w:val="20"/>
          <w:lang w:val="en-US"/>
        </w:rPr>
        <w:t>uncertain</w:t>
      </w:r>
      <w:proofErr w:type="gramEnd"/>
      <w:r w:rsidRPr="00677B5D">
        <w:rPr>
          <w:rFonts w:ascii="Times New Roman" w:eastAsia="Times New Roman" w:hAnsi="Times New Roman" w:cs="Times New Roman"/>
          <w:sz w:val="20"/>
          <w:szCs w:val="20"/>
          <w:lang w:val="en-US"/>
        </w:rPr>
        <w:t xml:space="preserve"> and estimates may vary as a result of changes to relevant laws and regulations related to the use of</w:t>
      </w:r>
      <w:r>
        <w:rPr>
          <w:rFonts w:ascii="Times New Roman" w:eastAsia="Times New Roman" w:hAnsi="Times New Roman" w:cs="Times New Roman"/>
          <w:sz w:val="20"/>
          <w:szCs w:val="20"/>
          <w:lang w:val="en-US"/>
        </w:rPr>
        <w:t xml:space="preserve"> </w:t>
      </w:r>
      <w:r w:rsidRPr="00677B5D">
        <w:rPr>
          <w:rFonts w:ascii="Times New Roman" w:eastAsia="Times New Roman" w:hAnsi="Times New Roman" w:cs="Times New Roman"/>
          <w:sz w:val="20"/>
          <w:szCs w:val="20"/>
          <w:lang w:val="en-US"/>
        </w:rPr>
        <w:t>certain technologies, the emergence of new technology, operating experience, prices and closure plans. The estimated timing of</w:t>
      </w:r>
      <w:r>
        <w:rPr>
          <w:rFonts w:ascii="Times New Roman" w:eastAsia="Times New Roman" w:hAnsi="Times New Roman" w:cs="Times New Roman"/>
          <w:sz w:val="20"/>
          <w:szCs w:val="20"/>
          <w:lang w:val="en-US"/>
        </w:rPr>
        <w:t xml:space="preserve"> </w:t>
      </w:r>
      <w:r w:rsidRPr="00677B5D">
        <w:rPr>
          <w:rFonts w:ascii="Times New Roman" w:eastAsia="Times New Roman" w:hAnsi="Times New Roman" w:cs="Times New Roman"/>
          <w:sz w:val="20"/>
          <w:szCs w:val="20"/>
          <w:lang w:val="en-US"/>
        </w:rPr>
        <w:t>future decommissioning and restoration may change due to certain factors, including reserves life. Changes to estimates</w:t>
      </w:r>
      <w:r>
        <w:rPr>
          <w:rFonts w:ascii="Times New Roman" w:eastAsia="Times New Roman" w:hAnsi="Times New Roman" w:cs="Times New Roman"/>
          <w:sz w:val="20"/>
          <w:szCs w:val="20"/>
          <w:lang w:val="en-US"/>
        </w:rPr>
        <w:t xml:space="preserve"> </w:t>
      </w:r>
      <w:r w:rsidRPr="00677B5D">
        <w:rPr>
          <w:rFonts w:ascii="Times New Roman" w:eastAsia="Times New Roman" w:hAnsi="Times New Roman" w:cs="Times New Roman"/>
          <w:sz w:val="20"/>
          <w:szCs w:val="20"/>
          <w:lang w:val="en-US"/>
        </w:rPr>
        <w:t>related to future expected costs, discount rates, inflation assumptions, and timing may have a material impact on the amounts</w:t>
      </w:r>
      <w:r>
        <w:rPr>
          <w:rFonts w:ascii="Times New Roman" w:eastAsia="Times New Roman" w:hAnsi="Times New Roman" w:cs="Times New Roman"/>
          <w:sz w:val="20"/>
          <w:szCs w:val="20"/>
          <w:lang w:val="en-US"/>
        </w:rPr>
        <w:t xml:space="preserve"> </w:t>
      </w:r>
      <w:r w:rsidRPr="00677B5D">
        <w:rPr>
          <w:rFonts w:ascii="Times New Roman" w:eastAsia="Times New Roman" w:hAnsi="Times New Roman" w:cs="Times New Roman"/>
          <w:sz w:val="20"/>
          <w:szCs w:val="20"/>
          <w:lang w:val="en-US"/>
        </w:rPr>
        <w:t xml:space="preserve">presented. </w:t>
      </w:r>
    </w:p>
    <w:p w14:paraId="5B085E9B" w14:textId="6B2255B8" w:rsidR="00171308" w:rsidRDefault="00171308" w:rsidP="0085170E">
      <w:pPr>
        <w:spacing w:after="0" w:line="240" w:lineRule="auto"/>
        <w:ind w:left="720"/>
        <w:jc w:val="both"/>
        <w:rPr>
          <w:rFonts w:ascii="Times New Roman" w:eastAsia="Times New Roman" w:hAnsi="Times New Roman" w:cs="Times New Roman"/>
          <w:sz w:val="20"/>
          <w:szCs w:val="20"/>
          <w:lang w:val="en-US"/>
        </w:rPr>
      </w:pPr>
    </w:p>
    <w:p w14:paraId="5E347A9F" w14:textId="3DF3C14F" w:rsidR="00171308" w:rsidRPr="00ED66D9" w:rsidRDefault="00171308" w:rsidP="00171308">
      <w:pPr>
        <w:spacing w:after="0" w:line="240" w:lineRule="auto"/>
        <w:ind w:left="720"/>
        <w:jc w:val="both"/>
        <w:rPr>
          <w:rFonts w:ascii="Times New Roman" w:eastAsia="Times New Roman" w:hAnsi="Times New Roman" w:cs="Times New Roman"/>
          <w:i/>
          <w:iCs/>
          <w:sz w:val="20"/>
          <w:szCs w:val="20"/>
          <w:lang w:val="en-US"/>
        </w:rPr>
      </w:pPr>
      <w:r w:rsidRPr="00ED66D9">
        <w:rPr>
          <w:rFonts w:ascii="Times New Roman" w:eastAsia="Times New Roman" w:hAnsi="Times New Roman" w:cs="Times New Roman"/>
          <w:i/>
          <w:iCs/>
          <w:sz w:val="20"/>
          <w:szCs w:val="20"/>
          <w:lang w:val="en-US"/>
        </w:rPr>
        <w:t xml:space="preserve">Impairment of </w:t>
      </w:r>
      <w:r>
        <w:rPr>
          <w:rFonts w:ascii="Times New Roman" w:eastAsia="Times New Roman" w:hAnsi="Times New Roman" w:cs="Times New Roman"/>
          <w:i/>
          <w:iCs/>
          <w:sz w:val="20"/>
          <w:szCs w:val="20"/>
          <w:lang w:val="en-US"/>
        </w:rPr>
        <w:t>A</w:t>
      </w:r>
      <w:r w:rsidRPr="00ED66D9">
        <w:rPr>
          <w:rFonts w:ascii="Times New Roman" w:eastAsia="Times New Roman" w:hAnsi="Times New Roman" w:cs="Times New Roman"/>
          <w:i/>
          <w:iCs/>
          <w:sz w:val="20"/>
          <w:szCs w:val="20"/>
          <w:lang w:val="en-US"/>
        </w:rPr>
        <w:t>ssets</w:t>
      </w:r>
    </w:p>
    <w:p w14:paraId="1E5118B4" w14:textId="77777777" w:rsidR="00171308" w:rsidRPr="00E0129B" w:rsidRDefault="00171308" w:rsidP="00171308">
      <w:pPr>
        <w:spacing w:after="0" w:line="240" w:lineRule="auto"/>
        <w:ind w:left="720"/>
        <w:jc w:val="both"/>
        <w:rPr>
          <w:rFonts w:ascii="Times New Roman" w:eastAsia="Times New Roman" w:hAnsi="Times New Roman" w:cs="Times New Roman"/>
          <w:sz w:val="20"/>
          <w:szCs w:val="20"/>
          <w:lang w:val="en-US"/>
        </w:rPr>
      </w:pPr>
    </w:p>
    <w:p w14:paraId="282D7D4B" w14:textId="3F0EB5B9" w:rsidR="00171308" w:rsidRDefault="00171308" w:rsidP="00171308">
      <w:pPr>
        <w:spacing w:after="0" w:line="240" w:lineRule="auto"/>
        <w:ind w:left="720"/>
        <w:jc w:val="both"/>
        <w:rPr>
          <w:rFonts w:ascii="Times New Roman" w:eastAsia="Times New Roman" w:hAnsi="Times New Roman" w:cs="Times New Roman"/>
          <w:sz w:val="20"/>
          <w:szCs w:val="20"/>
          <w:lang w:val="en-US"/>
        </w:rPr>
      </w:pPr>
      <w:r w:rsidRPr="00E0129B">
        <w:rPr>
          <w:rFonts w:ascii="Times New Roman" w:eastAsia="Times New Roman" w:hAnsi="Times New Roman" w:cs="Times New Roman"/>
          <w:sz w:val="20"/>
          <w:szCs w:val="20"/>
          <w:lang w:val="en-US"/>
        </w:rPr>
        <w:t>Management applies judgment in assessing the existence of impairment indicators based on various</w:t>
      </w:r>
      <w:r>
        <w:rPr>
          <w:rFonts w:ascii="Times New Roman" w:eastAsia="Times New Roman" w:hAnsi="Times New Roman" w:cs="Times New Roman"/>
          <w:sz w:val="20"/>
          <w:szCs w:val="20"/>
          <w:lang w:val="en-US"/>
        </w:rPr>
        <w:t xml:space="preserve"> </w:t>
      </w:r>
      <w:r w:rsidRPr="00E0129B">
        <w:rPr>
          <w:rFonts w:ascii="Times New Roman" w:eastAsia="Times New Roman" w:hAnsi="Times New Roman" w:cs="Times New Roman"/>
          <w:sz w:val="20"/>
          <w:szCs w:val="20"/>
          <w:lang w:val="en-US"/>
        </w:rPr>
        <w:t>internal and external factors.</w:t>
      </w:r>
      <w:r>
        <w:rPr>
          <w:rFonts w:ascii="Times New Roman" w:eastAsia="Times New Roman" w:hAnsi="Times New Roman" w:cs="Times New Roman"/>
          <w:sz w:val="20"/>
          <w:szCs w:val="20"/>
          <w:lang w:val="en-US"/>
        </w:rPr>
        <w:t xml:space="preserve"> </w:t>
      </w:r>
      <w:r w:rsidRPr="00E0129B">
        <w:rPr>
          <w:rFonts w:ascii="Times New Roman" w:eastAsia="Times New Roman" w:hAnsi="Times New Roman" w:cs="Times New Roman"/>
          <w:sz w:val="20"/>
          <w:szCs w:val="20"/>
          <w:lang w:val="en-US"/>
        </w:rPr>
        <w:t>The recoverable amount of assets is determined based on the higher of fair value less costs of disposal or</w:t>
      </w:r>
      <w:r>
        <w:rPr>
          <w:rFonts w:ascii="Times New Roman" w:eastAsia="Times New Roman" w:hAnsi="Times New Roman" w:cs="Times New Roman"/>
          <w:sz w:val="20"/>
          <w:szCs w:val="20"/>
          <w:lang w:val="en-US"/>
        </w:rPr>
        <w:t xml:space="preserve"> </w:t>
      </w:r>
      <w:r w:rsidRPr="00E0129B">
        <w:rPr>
          <w:rFonts w:ascii="Times New Roman" w:eastAsia="Times New Roman" w:hAnsi="Times New Roman" w:cs="Times New Roman"/>
          <w:sz w:val="20"/>
          <w:szCs w:val="20"/>
          <w:lang w:val="en-US"/>
        </w:rPr>
        <w:t>value-in-use calculations. The key estimates the company applies in determining the recoverable amount normally include</w:t>
      </w:r>
      <w:r>
        <w:rPr>
          <w:rFonts w:ascii="Times New Roman" w:eastAsia="Times New Roman" w:hAnsi="Times New Roman" w:cs="Times New Roman"/>
          <w:sz w:val="20"/>
          <w:szCs w:val="20"/>
          <w:lang w:val="en-US"/>
        </w:rPr>
        <w:t xml:space="preserve"> </w:t>
      </w:r>
      <w:r w:rsidRPr="00E0129B">
        <w:rPr>
          <w:rFonts w:ascii="Times New Roman" w:eastAsia="Times New Roman" w:hAnsi="Times New Roman" w:cs="Times New Roman"/>
          <w:sz w:val="20"/>
          <w:szCs w:val="20"/>
          <w:lang w:val="en-US"/>
        </w:rPr>
        <w:t>estimated future commodity prices, discount rates, expected production volumes, future operating and development costs,</w:t>
      </w:r>
      <w:r>
        <w:rPr>
          <w:rFonts w:ascii="Times New Roman" w:eastAsia="Times New Roman" w:hAnsi="Times New Roman" w:cs="Times New Roman"/>
          <w:sz w:val="20"/>
          <w:szCs w:val="20"/>
          <w:lang w:val="en-US"/>
        </w:rPr>
        <w:t xml:space="preserve"> </w:t>
      </w:r>
      <w:r w:rsidRPr="00E0129B">
        <w:rPr>
          <w:rFonts w:ascii="Times New Roman" w:eastAsia="Times New Roman" w:hAnsi="Times New Roman" w:cs="Times New Roman"/>
          <w:sz w:val="20"/>
          <w:szCs w:val="20"/>
          <w:lang w:val="en-US"/>
        </w:rPr>
        <w:t xml:space="preserve">income taxes, and </w:t>
      </w:r>
      <w:r>
        <w:rPr>
          <w:rFonts w:ascii="Times New Roman" w:eastAsia="Times New Roman" w:hAnsi="Times New Roman" w:cs="Times New Roman"/>
          <w:sz w:val="20"/>
          <w:szCs w:val="20"/>
          <w:lang w:val="en-US"/>
        </w:rPr>
        <w:t>operating</w:t>
      </w:r>
      <w:r w:rsidRPr="00E0129B">
        <w:rPr>
          <w:rFonts w:ascii="Times New Roman" w:eastAsia="Times New Roman" w:hAnsi="Times New Roman" w:cs="Times New Roman"/>
          <w:sz w:val="20"/>
          <w:szCs w:val="20"/>
          <w:lang w:val="en-US"/>
        </w:rPr>
        <w:t xml:space="preserve"> margins. In determining the recoverable amount, management may also be required to make</w:t>
      </w:r>
      <w:r>
        <w:rPr>
          <w:rFonts w:ascii="Times New Roman" w:eastAsia="Times New Roman" w:hAnsi="Times New Roman" w:cs="Times New Roman"/>
          <w:sz w:val="20"/>
          <w:szCs w:val="20"/>
          <w:lang w:val="en-US"/>
        </w:rPr>
        <w:t xml:space="preserve"> </w:t>
      </w:r>
      <w:r w:rsidRPr="003750E9">
        <w:rPr>
          <w:rFonts w:ascii="Times New Roman" w:eastAsia="Times New Roman" w:hAnsi="Times New Roman" w:cs="Times New Roman"/>
          <w:sz w:val="20"/>
          <w:szCs w:val="20"/>
          <w:lang w:val="en-US"/>
        </w:rPr>
        <w:t>judgments regarding the likelihood of occurrence of a future event. Changes to these estimates and judgments will affect the</w:t>
      </w:r>
      <w:r>
        <w:rPr>
          <w:rFonts w:ascii="Times New Roman" w:eastAsia="Times New Roman" w:hAnsi="Times New Roman" w:cs="Times New Roman"/>
          <w:sz w:val="20"/>
          <w:szCs w:val="20"/>
          <w:lang w:val="en-US"/>
        </w:rPr>
        <w:t xml:space="preserve"> </w:t>
      </w:r>
      <w:r w:rsidRPr="003750E9">
        <w:rPr>
          <w:rFonts w:ascii="Times New Roman" w:eastAsia="Times New Roman" w:hAnsi="Times New Roman" w:cs="Times New Roman"/>
          <w:sz w:val="20"/>
          <w:szCs w:val="20"/>
          <w:lang w:val="en-US"/>
        </w:rPr>
        <w:t>recoverable amounts of assets and may then require a material adjustment to their related carrying value.</w:t>
      </w:r>
    </w:p>
    <w:p w14:paraId="742C8028" w14:textId="77777777" w:rsidR="00171308" w:rsidRDefault="00171308" w:rsidP="00171308">
      <w:pPr>
        <w:spacing w:after="0" w:line="240" w:lineRule="auto"/>
        <w:ind w:left="720"/>
        <w:jc w:val="both"/>
        <w:rPr>
          <w:rFonts w:ascii="Times New Roman" w:eastAsia="Times New Roman" w:hAnsi="Times New Roman" w:cs="Times New Roman"/>
          <w:sz w:val="20"/>
          <w:szCs w:val="20"/>
          <w:lang w:val="en-US"/>
        </w:rPr>
      </w:pPr>
    </w:p>
    <w:p w14:paraId="6A3D7D88" w14:textId="77777777" w:rsidR="00171308" w:rsidRPr="00ED66D9" w:rsidRDefault="00171308" w:rsidP="00171308">
      <w:pPr>
        <w:spacing w:after="0" w:line="240" w:lineRule="auto"/>
        <w:ind w:left="720"/>
        <w:jc w:val="both"/>
        <w:rPr>
          <w:rFonts w:ascii="Times New Roman" w:eastAsia="Times New Roman" w:hAnsi="Times New Roman" w:cs="Times New Roman"/>
          <w:i/>
          <w:iCs/>
          <w:sz w:val="20"/>
          <w:szCs w:val="20"/>
          <w:lang w:val="en-US"/>
        </w:rPr>
      </w:pPr>
      <w:r w:rsidRPr="00ED66D9">
        <w:rPr>
          <w:rFonts w:ascii="Times New Roman" w:eastAsia="Times New Roman" w:hAnsi="Times New Roman" w:cs="Times New Roman"/>
          <w:i/>
          <w:iCs/>
          <w:sz w:val="20"/>
          <w:szCs w:val="20"/>
          <w:lang w:val="en-US"/>
        </w:rPr>
        <w:t xml:space="preserve">Share-based </w:t>
      </w:r>
      <w:r>
        <w:rPr>
          <w:rFonts w:ascii="Times New Roman" w:eastAsia="Times New Roman" w:hAnsi="Times New Roman" w:cs="Times New Roman"/>
          <w:i/>
          <w:iCs/>
          <w:sz w:val="20"/>
          <w:szCs w:val="20"/>
          <w:lang w:val="en-US"/>
        </w:rPr>
        <w:t>C</w:t>
      </w:r>
      <w:r w:rsidRPr="00ED66D9">
        <w:rPr>
          <w:rFonts w:ascii="Times New Roman" w:eastAsia="Times New Roman" w:hAnsi="Times New Roman" w:cs="Times New Roman"/>
          <w:i/>
          <w:iCs/>
          <w:sz w:val="20"/>
          <w:szCs w:val="20"/>
          <w:lang w:val="en-US"/>
        </w:rPr>
        <w:t xml:space="preserve">ompensation </w:t>
      </w:r>
    </w:p>
    <w:p w14:paraId="5405C61D" w14:textId="77777777" w:rsidR="00171308" w:rsidRDefault="00171308" w:rsidP="00171308">
      <w:pPr>
        <w:spacing w:after="0" w:line="240" w:lineRule="auto"/>
        <w:ind w:left="720"/>
        <w:jc w:val="both"/>
        <w:rPr>
          <w:rFonts w:ascii="Times New Roman" w:eastAsia="Times New Roman" w:hAnsi="Times New Roman" w:cs="Times New Roman"/>
          <w:sz w:val="20"/>
          <w:szCs w:val="20"/>
          <w:lang w:val="en-US"/>
        </w:rPr>
      </w:pPr>
    </w:p>
    <w:p w14:paraId="7C8E1C1A" w14:textId="77777777" w:rsidR="00171308" w:rsidRDefault="00171308" w:rsidP="00171308">
      <w:pPr>
        <w:spacing w:after="0" w:line="240" w:lineRule="auto"/>
        <w:ind w:left="720"/>
        <w:jc w:val="both"/>
        <w:rPr>
          <w:rFonts w:ascii="Times New Roman" w:eastAsia="Times New Roman" w:hAnsi="Times New Roman" w:cs="Times New Roman"/>
          <w:sz w:val="20"/>
          <w:szCs w:val="20"/>
          <w:lang w:val="en-US"/>
        </w:rPr>
      </w:pPr>
      <w:r w:rsidRPr="00DA65EF">
        <w:rPr>
          <w:rFonts w:ascii="Times New Roman" w:eastAsia="Times New Roman" w:hAnsi="Times New Roman" w:cs="Times New Roman"/>
          <w:sz w:val="20"/>
          <w:szCs w:val="20"/>
          <w:lang w:val="en-US"/>
        </w:rPr>
        <w:t>The cost of share-based transactions with directors, officers and employees are measured by reference to the fair value of the equity instruments. Estimating fair value for share-based payment transactions requires determining the most appropriate valuation model, which is dependent on the terms and conditions of the grant. This estimate also requires determining and making assumptions about the most appropriate inputs to the valuation model including the expected life, volatility, risk-free interest rate, expected forfeiture rate and dividend yield of the stock option.</w:t>
      </w:r>
      <w:r>
        <w:rPr>
          <w:rFonts w:ascii="Times New Roman" w:eastAsia="Times New Roman" w:hAnsi="Times New Roman" w:cs="Times New Roman"/>
          <w:sz w:val="20"/>
          <w:szCs w:val="20"/>
          <w:lang w:val="en-US"/>
        </w:rPr>
        <w:t xml:space="preserve"> </w:t>
      </w:r>
      <w:r w:rsidRPr="003750E9">
        <w:rPr>
          <w:rFonts w:ascii="Times New Roman" w:eastAsia="Times New Roman" w:hAnsi="Times New Roman" w:cs="Times New Roman"/>
          <w:sz w:val="20"/>
          <w:szCs w:val="20"/>
          <w:lang w:val="en-US"/>
        </w:rPr>
        <w:t>Changes to these estimates and judgments will affect the</w:t>
      </w:r>
      <w:r>
        <w:rPr>
          <w:rFonts w:ascii="Times New Roman" w:eastAsia="Times New Roman" w:hAnsi="Times New Roman" w:cs="Times New Roman"/>
          <w:sz w:val="20"/>
          <w:szCs w:val="20"/>
          <w:lang w:val="en-US"/>
        </w:rPr>
        <w:t xml:space="preserve"> operating result</w:t>
      </w:r>
      <w:r w:rsidRPr="003750E9">
        <w:rPr>
          <w:rFonts w:ascii="Times New Roman" w:eastAsia="Times New Roman" w:hAnsi="Times New Roman" w:cs="Times New Roman"/>
          <w:sz w:val="20"/>
          <w:szCs w:val="20"/>
          <w:lang w:val="en-US"/>
        </w:rPr>
        <w:t xml:space="preserve"> and may then require a material adjustment.</w:t>
      </w:r>
    </w:p>
    <w:p w14:paraId="72D8FBEA" w14:textId="77777777" w:rsidR="00171308" w:rsidRDefault="00171308" w:rsidP="00171308">
      <w:pPr>
        <w:spacing w:after="0" w:line="240" w:lineRule="auto"/>
        <w:ind w:left="720"/>
        <w:jc w:val="both"/>
        <w:rPr>
          <w:rFonts w:ascii="Times New Roman" w:eastAsia="Times New Roman" w:hAnsi="Times New Roman" w:cs="Times New Roman"/>
          <w:sz w:val="20"/>
          <w:szCs w:val="20"/>
          <w:lang w:val="en-US"/>
        </w:rPr>
      </w:pPr>
    </w:p>
    <w:p w14:paraId="40C4424E" w14:textId="2B91DFF8" w:rsidR="000657E5" w:rsidRDefault="000657E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64A098F" w14:textId="77777777" w:rsidR="00171308" w:rsidRDefault="00171308" w:rsidP="00171308">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9974F9" w:rsidRPr="00D2099E" w14:paraId="00F064CD" w14:textId="77777777" w:rsidTr="00AE52B2">
        <w:tc>
          <w:tcPr>
            <w:tcW w:w="360" w:type="dxa"/>
            <w:hideMark/>
          </w:tcPr>
          <w:p w14:paraId="378381D3" w14:textId="77777777" w:rsidR="009974F9" w:rsidRPr="00D2099E" w:rsidRDefault="009974F9"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4B185E8F" w14:textId="77777777" w:rsidR="009974F9" w:rsidRPr="00D2099E" w:rsidRDefault="009974F9"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059B4AD4" w14:textId="77777777" w:rsidR="005E32EC" w:rsidRDefault="005E32EC" w:rsidP="00171308">
      <w:pPr>
        <w:spacing w:after="0" w:line="240" w:lineRule="auto"/>
        <w:ind w:left="720"/>
        <w:jc w:val="both"/>
        <w:rPr>
          <w:rFonts w:ascii="Times New Roman" w:eastAsia="Times New Roman" w:hAnsi="Times New Roman" w:cs="Times New Roman"/>
          <w:i/>
          <w:iCs/>
          <w:sz w:val="20"/>
          <w:szCs w:val="20"/>
          <w:lang w:val="en-US"/>
        </w:rPr>
      </w:pPr>
    </w:p>
    <w:p w14:paraId="5A665B70" w14:textId="77777777" w:rsidR="005E32EC" w:rsidRDefault="005E32EC" w:rsidP="005E32EC">
      <w:pPr>
        <w:spacing w:after="0" w:line="240" w:lineRule="auto"/>
        <w:ind w:left="720"/>
        <w:jc w:val="both"/>
        <w:rPr>
          <w:rFonts w:ascii="Times New Roman" w:eastAsia="Times New Roman" w:hAnsi="Times New Roman" w:cs="Times New Roman"/>
          <w:i/>
          <w:iCs/>
          <w:sz w:val="20"/>
          <w:szCs w:val="20"/>
          <w:lang w:val="en-US"/>
        </w:rPr>
      </w:pPr>
      <w:r w:rsidRPr="00ED66D9">
        <w:rPr>
          <w:rFonts w:ascii="Times New Roman" w:eastAsia="Times New Roman" w:hAnsi="Times New Roman" w:cs="Times New Roman"/>
          <w:i/>
          <w:iCs/>
          <w:sz w:val="20"/>
          <w:szCs w:val="20"/>
          <w:lang w:val="en-US"/>
        </w:rPr>
        <w:t xml:space="preserve">Fair </w:t>
      </w:r>
      <w:r>
        <w:rPr>
          <w:rFonts w:ascii="Times New Roman" w:eastAsia="Times New Roman" w:hAnsi="Times New Roman" w:cs="Times New Roman"/>
          <w:i/>
          <w:iCs/>
          <w:sz w:val="20"/>
          <w:szCs w:val="20"/>
          <w:lang w:val="en-US"/>
        </w:rPr>
        <w:t>V</w:t>
      </w:r>
      <w:r w:rsidRPr="00ED66D9">
        <w:rPr>
          <w:rFonts w:ascii="Times New Roman" w:eastAsia="Times New Roman" w:hAnsi="Times New Roman" w:cs="Times New Roman"/>
          <w:i/>
          <w:iCs/>
          <w:sz w:val="20"/>
          <w:szCs w:val="20"/>
          <w:lang w:val="en-US"/>
        </w:rPr>
        <w:t xml:space="preserve">alue of </w:t>
      </w:r>
      <w:r>
        <w:rPr>
          <w:rFonts w:ascii="Times New Roman" w:eastAsia="Times New Roman" w:hAnsi="Times New Roman" w:cs="Times New Roman"/>
          <w:i/>
          <w:iCs/>
          <w:sz w:val="20"/>
          <w:szCs w:val="20"/>
          <w:lang w:val="en-US"/>
        </w:rPr>
        <w:t>D</w:t>
      </w:r>
      <w:r w:rsidRPr="00ED66D9">
        <w:rPr>
          <w:rFonts w:ascii="Times New Roman" w:eastAsia="Times New Roman" w:hAnsi="Times New Roman" w:cs="Times New Roman"/>
          <w:i/>
          <w:iCs/>
          <w:sz w:val="20"/>
          <w:szCs w:val="20"/>
          <w:lang w:val="en-US"/>
        </w:rPr>
        <w:t xml:space="preserve">erivative </w:t>
      </w:r>
      <w:r>
        <w:rPr>
          <w:rFonts w:ascii="Times New Roman" w:eastAsia="Times New Roman" w:hAnsi="Times New Roman" w:cs="Times New Roman"/>
          <w:i/>
          <w:iCs/>
          <w:sz w:val="20"/>
          <w:szCs w:val="20"/>
          <w:lang w:val="en-US"/>
        </w:rPr>
        <w:t>Liability</w:t>
      </w:r>
    </w:p>
    <w:p w14:paraId="23CEC90F" w14:textId="77777777" w:rsidR="005E32EC" w:rsidRDefault="005E32EC" w:rsidP="005E32EC">
      <w:pPr>
        <w:spacing w:after="0" w:line="240" w:lineRule="auto"/>
        <w:ind w:left="720"/>
        <w:jc w:val="both"/>
        <w:rPr>
          <w:rFonts w:ascii="Times New Roman" w:eastAsia="Times New Roman" w:hAnsi="Times New Roman" w:cs="Times New Roman"/>
          <w:i/>
          <w:iCs/>
          <w:sz w:val="20"/>
          <w:szCs w:val="20"/>
          <w:lang w:val="en-US"/>
        </w:rPr>
      </w:pPr>
    </w:p>
    <w:p w14:paraId="4F04081C" w14:textId="77777777" w:rsidR="005E32EC" w:rsidRPr="004E4733" w:rsidRDefault="005E32EC" w:rsidP="005E32EC">
      <w:pPr>
        <w:spacing w:after="0" w:line="240" w:lineRule="auto"/>
        <w:ind w:left="7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Company’s warrants and conversion features with exercise prices denominated in a currency other the Company’s functional currency are recognized as derivatives measured at fair value through the consolidated interim statement of loss and comprehensive loss. </w:t>
      </w:r>
      <w:r w:rsidRPr="004E4733">
        <w:rPr>
          <w:rFonts w:ascii="Times New Roman" w:eastAsia="Times New Roman" w:hAnsi="Times New Roman" w:cs="Times New Roman"/>
          <w:sz w:val="20"/>
          <w:szCs w:val="20"/>
          <w:lang w:val="en-US"/>
        </w:rPr>
        <w:t xml:space="preserve">Estimating fair value for </w:t>
      </w:r>
      <w:r>
        <w:rPr>
          <w:rFonts w:ascii="Times New Roman" w:eastAsia="Times New Roman" w:hAnsi="Times New Roman" w:cs="Times New Roman"/>
          <w:sz w:val="20"/>
          <w:szCs w:val="20"/>
          <w:lang w:val="en-US"/>
        </w:rPr>
        <w:t>derivative liability</w:t>
      </w:r>
      <w:r w:rsidRPr="004E4733">
        <w:rPr>
          <w:rFonts w:ascii="Times New Roman" w:eastAsia="Times New Roman" w:hAnsi="Times New Roman" w:cs="Times New Roman"/>
          <w:sz w:val="20"/>
          <w:szCs w:val="20"/>
          <w:lang w:val="en-US"/>
        </w:rPr>
        <w:t xml:space="preserve"> requires determining the most appropriate valuation model, which is dependent on the terms and conditions of the </w:t>
      </w:r>
      <w:r>
        <w:rPr>
          <w:rFonts w:ascii="Times New Roman" w:eastAsia="Times New Roman" w:hAnsi="Times New Roman" w:cs="Times New Roman"/>
          <w:sz w:val="20"/>
          <w:szCs w:val="20"/>
          <w:lang w:val="en-US"/>
        </w:rPr>
        <w:t>issuance</w:t>
      </w:r>
      <w:r w:rsidRPr="004E4733">
        <w:rPr>
          <w:rFonts w:ascii="Times New Roman" w:eastAsia="Times New Roman" w:hAnsi="Times New Roman" w:cs="Times New Roman"/>
          <w:sz w:val="20"/>
          <w:szCs w:val="20"/>
          <w:lang w:val="en-US"/>
        </w:rPr>
        <w:t xml:space="preserve">. This estimate also requires determining and making assumptions about the most appropriate inputs to the valuation model including the expected life, volatility, risk-free interest rate, expected forfeiture rate and dividend yield of the </w:t>
      </w:r>
      <w:r>
        <w:rPr>
          <w:rFonts w:ascii="Times New Roman" w:eastAsia="Times New Roman" w:hAnsi="Times New Roman" w:cs="Times New Roman"/>
          <w:sz w:val="20"/>
          <w:szCs w:val="20"/>
          <w:lang w:val="en-US"/>
        </w:rPr>
        <w:t>derivatives</w:t>
      </w:r>
      <w:r w:rsidRPr="004E4733">
        <w:rPr>
          <w:rFonts w:ascii="Times New Roman" w:eastAsia="Times New Roman" w:hAnsi="Times New Roman" w:cs="Times New Roman"/>
          <w:sz w:val="20"/>
          <w:szCs w:val="20"/>
          <w:lang w:val="en-US"/>
        </w:rPr>
        <w:t>. Changes to these estimates and judgments will affect the operating result and may then require a material adjustment.</w:t>
      </w:r>
    </w:p>
    <w:p w14:paraId="2EA5B1DB" w14:textId="77777777" w:rsidR="005E32EC" w:rsidRDefault="005E32EC" w:rsidP="00171308">
      <w:pPr>
        <w:spacing w:after="0" w:line="240" w:lineRule="auto"/>
        <w:ind w:left="720"/>
        <w:jc w:val="both"/>
        <w:rPr>
          <w:rFonts w:ascii="Times New Roman" w:eastAsia="Times New Roman" w:hAnsi="Times New Roman" w:cs="Times New Roman"/>
          <w:i/>
          <w:iCs/>
          <w:sz w:val="20"/>
          <w:szCs w:val="20"/>
          <w:lang w:val="en-US"/>
        </w:rPr>
      </w:pPr>
    </w:p>
    <w:p w14:paraId="44309063" w14:textId="71F71320" w:rsidR="00171308" w:rsidRDefault="00171308" w:rsidP="00171308">
      <w:pPr>
        <w:spacing w:after="0" w:line="240" w:lineRule="auto"/>
        <w:ind w:left="720"/>
        <w:jc w:val="both"/>
        <w:rPr>
          <w:rFonts w:ascii="Times New Roman" w:eastAsia="Times New Roman" w:hAnsi="Times New Roman" w:cs="Times New Roman"/>
          <w:i/>
          <w:iCs/>
          <w:sz w:val="20"/>
          <w:szCs w:val="20"/>
          <w:lang w:val="en-US"/>
        </w:rPr>
      </w:pPr>
      <w:r w:rsidRPr="00ED66D9">
        <w:rPr>
          <w:rFonts w:ascii="Times New Roman" w:eastAsia="Times New Roman" w:hAnsi="Times New Roman" w:cs="Times New Roman"/>
          <w:i/>
          <w:iCs/>
          <w:sz w:val="20"/>
          <w:szCs w:val="20"/>
          <w:lang w:val="en-US"/>
        </w:rPr>
        <w:t xml:space="preserve">Deferred </w:t>
      </w:r>
      <w:r>
        <w:rPr>
          <w:rFonts w:ascii="Times New Roman" w:eastAsia="Times New Roman" w:hAnsi="Times New Roman" w:cs="Times New Roman"/>
          <w:i/>
          <w:iCs/>
          <w:sz w:val="20"/>
          <w:szCs w:val="20"/>
          <w:lang w:val="en-US"/>
        </w:rPr>
        <w:t>I</w:t>
      </w:r>
      <w:r w:rsidRPr="00ED66D9">
        <w:rPr>
          <w:rFonts w:ascii="Times New Roman" w:eastAsia="Times New Roman" w:hAnsi="Times New Roman" w:cs="Times New Roman"/>
          <w:i/>
          <w:iCs/>
          <w:sz w:val="20"/>
          <w:szCs w:val="20"/>
          <w:lang w:val="en-US"/>
        </w:rPr>
        <w:t xml:space="preserve">ncome </w:t>
      </w:r>
      <w:r>
        <w:rPr>
          <w:rFonts w:ascii="Times New Roman" w:eastAsia="Times New Roman" w:hAnsi="Times New Roman" w:cs="Times New Roman"/>
          <w:i/>
          <w:iCs/>
          <w:sz w:val="20"/>
          <w:szCs w:val="20"/>
          <w:lang w:val="en-US"/>
        </w:rPr>
        <w:t>T</w:t>
      </w:r>
      <w:r w:rsidRPr="00ED66D9">
        <w:rPr>
          <w:rFonts w:ascii="Times New Roman" w:eastAsia="Times New Roman" w:hAnsi="Times New Roman" w:cs="Times New Roman"/>
          <w:i/>
          <w:iCs/>
          <w:sz w:val="20"/>
          <w:szCs w:val="20"/>
          <w:lang w:val="en-US"/>
        </w:rPr>
        <w:t>ax</w:t>
      </w:r>
      <w:r>
        <w:rPr>
          <w:rFonts w:ascii="Times New Roman" w:eastAsia="Times New Roman" w:hAnsi="Times New Roman" w:cs="Times New Roman"/>
          <w:i/>
          <w:iCs/>
          <w:sz w:val="20"/>
          <w:szCs w:val="20"/>
          <w:lang w:val="en-US"/>
        </w:rPr>
        <w:t xml:space="preserve"> </w:t>
      </w:r>
      <w:r w:rsidRPr="00ED66D9">
        <w:rPr>
          <w:rFonts w:ascii="Times New Roman" w:eastAsia="Times New Roman" w:hAnsi="Times New Roman" w:cs="Times New Roman"/>
          <w:i/>
          <w:iCs/>
          <w:sz w:val="20"/>
          <w:szCs w:val="20"/>
          <w:lang w:val="en-US"/>
        </w:rPr>
        <w:t xml:space="preserve"> </w:t>
      </w:r>
    </w:p>
    <w:p w14:paraId="16200EF1" w14:textId="77777777" w:rsidR="00171308" w:rsidRPr="00ED66D9" w:rsidRDefault="00171308" w:rsidP="00171308">
      <w:pPr>
        <w:spacing w:after="0" w:line="240" w:lineRule="auto"/>
        <w:ind w:left="720"/>
        <w:jc w:val="both"/>
        <w:rPr>
          <w:rFonts w:ascii="Times New Roman" w:eastAsia="Times New Roman" w:hAnsi="Times New Roman" w:cs="Times New Roman"/>
          <w:i/>
          <w:iCs/>
          <w:sz w:val="20"/>
          <w:szCs w:val="20"/>
          <w:lang w:val="en-US"/>
        </w:rPr>
      </w:pPr>
    </w:p>
    <w:p w14:paraId="66E9F962" w14:textId="34B0964C" w:rsidR="00171308" w:rsidRDefault="00171308" w:rsidP="00171308">
      <w:pPr>
        <w:spacing w:after="0" w:line="240" w:lineRule="auto"/>
        <w:ind w:left="720"/>
        <w:jc w:val="both"/>
        <w:rPr>
          <w:rFonts w:ascii="Times New Roman" w:eastAsia="Times New Roman" w:hAnsi="Times New Roman" w:cs="Times New Roman"/>
          <w:sz w:val="20"/>
          <w:szCs w:val="20"/>
          <w:lang w:val="en-US"/>
        </w:rPr>
      </w:pPr>
      <w:r w:rsidRPr="00E365BB">
        <w:rPr>
          <w:rFonts w:ascii="Times New Roman" w:eastAsia="Times New Roman" w:hAnsi="Times New Roman" w:cs="Times New Roman"/>
          <w:sz w:val="20"/>
          <w:szCs w:val="20"/>
          <w:lang w:val="en-US"/>
        </w:rPr>
        <w:t>Judgments are made by management at the end of the reporting period to determine the likelihood that</w:t>
      </w:r>
      <w:r>
        <w:rPr>
          <w:rFonts w:ascii="Times New Roman" w:eastAsia="Times New Roman" w:hAnsi="Times New Roman" w:cs="Times New Roman"/>
          <w:sz w:val="20"/>
          <w:szCs w:val="20"/>
          <w:lang w:val="en-US"/>
        </w:rPr>
        <w:t xml:space="preserve"> </w:t>
      </w:r>
      <w:r w:rsidRPr="00E365BB">
        <w:rPr>
          <w:rFonts w:ascii="Times New Roman" w:eastAsia="Times New Roman" w:hAnsi="Times New Roman" w:cs="Times New Roman"/>
          <w:sz w:val="20"/>
          <w:szCs w:val="20"/>
          <w:lang w:val="en-US"/>
        </w:rPr>
        <w:t>deferred income tax assets will be realized from future taxable earnings. Assessing the recoverability of</w:t>
      </w:r>
      <w:r>
        <w:rPr>
          <w:rFonts w:ascii="Times New Roman" w:eastAsia="Times New Roman" w:hAnsi="Times New Roman" w:cs="Times New Roman"/>
          <w:sz w:val="20"/>
          <w:szCs w:val="20"/>
          <w:lang w:val="en-US"/>
        </w:rPr>
        <w:t xml:space="preserve"> </w:t>
      </w:r>
      <w:r w:rsidRPr="00E365BB">
        <w:rPr>
          <w:rFonts w:ascii="Times New Roman" w:eastAsia="Times New Roman" w:hAnsi="Times New Roman" w:cs="Times New Roman"/>
          <w:sz w:val="20"/>
          <w:szCs w:val="20"/>
          <w:lang w:val="en-US"/>
        </w:rPr>
        <w:t>deferred income tax assets requires the Company to make judgments related to the expectations of future</w:t>
      </w:r>
      <w:r>
        <w:rPr>
          <w:rFonts w:ascii="Times New Roman" w:eastAsia="Times New Roman" w:hAnsi="Times New Roman" w:cs="Times New Roman"/>
          <w:sz w:val="20"/>
          <w:szCs w:val="20"/>
          <w:lang w:val="en-US"/>
        </w:rPr>
        <w:t xml:space="preserve"> </w:t>
      </w:r>
      <w:r w:rsidRPr="00E365BB">
        <w:rPr>
          <w:rFonts w:ascii="Times New Roman" w:eastAsia="Times New Roman" w:hAnsi="Times New Roman" w:cs="Times New Roman"/>
          <w:sz w:val="20"/>
          <w:szCs w:val="20"/>
          <w:lang w:val="en-US"/>
        </w:rPr>
        <w:t>cash flows from operations and the application of existing tax laws in each jurisdiction. To the extent that</w:t>
      </w:r>
      <w:r>
        <w:rPr>
          <w:rFonts w:ascii="Times New Roman" w:eastAsia="Times New Roman" w:hAnsi="Times New Roman" w:cs="Times New Roman"/>
          <w:sz w:val="20"/>
          <w:szCs w:val="20"/>
          <w:lang w:val="en-US"/>
        </w:rPr>
        <w:t xml:space="preserve"> </w:t>
      </w:r>
      <w:r w:rsidRPr="00E365BB">
        <w:rPr>
          <w:rFonts w:ascii="Times New Roman" w:eastAsia="Times New Roman" w:hAnsi="Times New Roman" w:cs="Times New Roman"/>
          <w:sz w:val="20"/>
          <w:szCs w:val="20"/>
          <w:lang w:val="en-US"/>
        </w:rPr>
        <w:t>assumptions regarding future profitability change, there can be an increase or decrease in the amounts</w:t>
      </w:r>
      <w:r>
        <w:rPr>
          <w:rFonts w:ascii="Times New Roman" w:eastAsia="Times New Roman" w:hAnsi="Times New Roman" w:cs="Times New Roman"/>
          <w:sz w:val="20"/>
          <w:szCs w:val="20"/>
          <w:lang w:val="en-US"/>
        </w:rPr>
        <w:t xml:space="preserve"> </w:t>
      </w:r>
      <w:r w:rsidRPr="00E365BB">
        <w:rPr>
          <w:rFonts w:ascii="Times New Roman" w:eastAsia="Times New Roman" w:hAnsi="Times New Roman" w:cs="Times New Roman"/>
          <w:sz w:val="20"/>
          <w:szCs w:val="20"/>
          <w:lang w:val="en-US"/>
        </w:rPr>
        <w:t xml:space="preserve">recognized in </w:t>
      </w:r>
      <w:r w:rsidR="00C31E47" w:rsidRPr="00C31E47">
        <w:rPr>
          <w:rFonts w:ascii="Times New Roman" w:eastAsia="Times New Roman" w:hAnsi="Times New Roman" w:cs="Times New Roman"/>
          <w:sz w:val="20"/>
          <w:szCs w:val="20"/>
          <w:lang w:val="en-US"/>
        </w:rPr>
        <w:t>consolidated interim statement of loss and comprehensive loss</w:t>
      </w:r>
      <w:r w:rsidR="00C31E47" w:rsidRPr="00C31E47" w:rsidDel="00C31E47">
        <w:rPr>
          <w:rFonts w:ascii="Times New Roman" w:eastAsia="Times New Roman" w:hAnsi="Times New Roman" w:cs="Times New Roman"/>
          <w:sz w:val="20"/>
          <w:szCs w:val="20"/>
          <w:lang w:val="en-US"/>
        </w:rPr>
        <w:t xml:space="preserve"> </w:t>
      </w:r>
      <w:r w:rsidRPr="00E365BB">
        <w:rPr>
          <w:rFonts w:ascii="Times New Roman" w:eastAsia="Times New Roman" w:hAnsi="Times New Roman" w:cs="Times New Roman"/>
          <w:sz w:val="20"/>
          <w:szCs w:val="20"/>
          <w:lang w:val="en-US"/>
        </w:rPr>
        <w:t>in the period in which the change occurs</w:t>
      </w:r>
      <w:r>
        <w:rPr>
          <w:rFonts w:ascii="Times New Roman" w:eastAsia="Times New Roman" w:hAnsi="Times New Roman" w:cs="Times New Roman"/>
          <w:sz w:val="20"/>
          <w:szCs w:val="20"/>
          <w:lang w:val="en-US"/>
        </w:rPr>
        <w:t>.</w:t>
      </w:r>
    </w:p>
    <w:p w14:paraId="258C9861"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4C11000A" w14:textId="77777777" w:rsidTr="005C7D2D">
        <w:tc>
          <w:tcPr>
            <w:tcW w:w="360" w:type="dxa"/>
            <w:hideMark/>
          </w:tcPr>
          <w:p w14:paraId="1DBE768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2ED55F0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(c)</w:t>
            </w:r>
          </w:p>
        </w:tc>
        <w:tc>
          <w:tcPr>
            <w:tcW w:w="0" w:type="auto"/>
            <w:hideMark/>
          </w:tcPr>
          <w:p w14:paraId="4AAC38E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Cash and Cash Equivalents</w:t>
            </w:r>
          </w:p>
        </w:tc>
      </w:tr>
    </w:tbl>
    <w:p w14:paraId="433B69F5"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95CAC2D"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Company considers all highly liquid instruments with maturity of three months or less at the time of issuance to be cash equivalents.</w:t>
      </w:r>
    </w:p>
    <w:p w14:paraId="534621D3"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2303370B" w14:textId="77777777" w:rsidTr="005C7D2D">
        <w:tc>
          <w:tcPr>
            <w:tcW w:w="360" w:type="dxa"/>
            <w:hideMark/>
          </w:tcPr>
          <w:p w14:paraId="448C6F9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5AA11EA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w:t>
            </w:r>
          </w:p>
        </w:tc>
        <w:tc>
          <w:tcPr>
            <w:tcW w:w="0" w:type="auto"/>
            <w:hideMark/>
          </w:tcPr>
          <w:p w14:paraId="7222257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Revenue Recognition</w:t>
            </w:r>
          </w:p>
        </w:tc>
      </w:tr>
    </w:tbl>
    <w:p w14:paraId="6255FF3D" w14:textId="5360BF86" w:rsidR="00D2099E" w:rsidRPr="00D2099E" w:rsidRDefault="00D2099E" w:rsidP="00A50B5D">
      <w:pPr>
        <w:spacing w:after="0" w:line="240" w:lineRule="auto"/>
        <w:ind w:left="709" w:hanging="28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82DA619"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i/>
          <w:iCs/>
          <w:sz w:val="20"/>
          <w:szCs w:val="20"/>
          <w:lang w:val="en-US"/>
        </w:rPr>
        <w:t>Revenue from Contracts with Customers</w:t>
      </w:r>
    </w:p>
    <w:p w14:paraId="2A49C5E1"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B391670" w14:textId="0B1EB72E"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The Company recognizes revenue when it satisfies </w:t>
      </w:r>
      <w:r w:rsidR="000066DC">
        <w:rPr>
          <w:rFonts w:ascii="Times New Roman" w:eastAsia="Times New Roman" w:hAnsi="Times New Roman" w:cs="Times New Roman"/>
          <w:sz w:val="20"/>
          <w:szCs w:val="20"/>
          <w:lang w:val="en-US"/>
        </w:rPr>
        <w:t>its</w:t>
      </w:r>
      <w:r w:rsidR="000066DC" w:rsidRPr="00D2099E">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performance obligation</w:t>
      </w:r>
      <w:r w:rsidR="000066DC">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 by transferring control over a product to a customer. Revenue is measured based on the consideration the Company expects to receive in exchange for those products.</w:t>
      </w:r>
    </w:p>
    <w:p w14:paraId="081EAE64"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C14F4CB"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i/>
          <w:iCs/>
          <w:sz w:val="20"/>
          <w:szCs w:val="20"/>
          <w:lang w:val="en-US"/>
        </w:rPr>
        <w:t>Performance Obligations and Significant Judgments</w:t>
      </w:r>
    </w:p>
    <w:p w14:paraId="6AFFC7A4"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719ACBBF"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The Company sells oil and natural gas products in Turkey. The Company </w:t>
      </w:r>
      <w:proofErr w:type="gramStart"/>
      <w:r w:rsidRPr="00D2099E">
        <w:rPr>
          <w:rFonts w:ascii="Times New Roman" w:eastAsia="Times New Roman" w:hAnsi="Times New Roman" w:cs="Times New Roman"/>
          <w:sz w:val="20"/>
          <w:szCs w:val="20"/>
          <w:lang w:val="en-US"/>
        </w:rPr>
        <w:t>enters into</w:t>
      </w:r>
      <w:proofErr w:type="gramEnd"/>
      <w:r w:rsidRPr="00D2099E">
        <w:rPr>
          <w:rFonts w:ascii="Times New Roman" w:eastAsia="Times New Roman" w:hAnsi="Times New Roman" w:cs="Times New Roman"/>
          <w:sz w:val="20"/>
          <w:szCs w:val="20"/>
          <w:lang w:val="en-US"/>
        </w:rPr>
        <w:t xml:space="preserve"> contracts that generally include one type of distinct product in variable quantities and priced based on a specific index related to the type of product.</w:t>
      </w:r>
    </w:p>
    <w:p w14:paraId="5A875140"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444EFA0" w14:textId="33552850"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The oil and natural gas are typically sold in an unprocessed state to processors and other third parties for processing and sale to customers. The Company recognizes revenue at a point in time when control of the oil is transferred. For oil sales, control is typically transferred to the customer upon receipt at the wellhead or a contractually agreed upon delivery point. Under the Company’s natural gas contracts with processors, control transfers upon delivery at the wellhead or the inlet of the processing entity’s system. For the Company’s other natural gas contracts, control transfers upon delivery </w:t>
      </w:r>
      <w:r w:rsidR="00D64752">
        <w:rPr>
          <w:rFonts w:ascii="Times New Roman" w:eastAsia="Times New Roman" w:hAnsi="Times New Roman" w:cs="Times New Roman"/>
          <w:sz w:val="20"/>
          <w:szCs w:val="20"/>
          <w:lang w:val="en-US"/>
        </w:rPr>
        <w:t>at</w:t>
      </w:r>
      <w:r w:rsidRPr="00D2099E">
        <w:rPr>
          <w:rFonts w:ascii="Times New Roman" w:eastAsia="Times New Roman" w:hAnsi="Times New Roman" w:cs="Times New Roman"/>
          <w:sz w:val="20"/>
          <w:szCs w:val="20"/>
          <w:lang w:val="en-US"/>
        </w:rPr>
        <w:t xml:space="preserve"> the inlet or to a contractually agreed upon delivery point. In the cases where the Company sells to a processor, the Company has determined that the Company is the principal in the arrangement and the processors are the Company’s customers. The Company recognizes the revenue in these contracts based on the net proceeds received from the processor.</w:t>
      </w:r>
    </w:p>
    <w:p w14:paraId="33A98BC4"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2C519C68" w14:textId="5E96B554" w:rsidR="000657E5" w:rsidRDefault="000657E5" w:rsidP="00D2099E">
      <w:pPr>
        <w:spacing w:after="0" w:line="240" w:lineRule="auto"/>
        <w:ind w:left="720"/>
        <w:jc w:val="both"/>
        <w:rPr>
          <w:rFonts w:ascii="Times New Roman" w:eastAsia="Times New Roman" w:hAnsi="Times New Roman" w:cs="Times New Roman"/>
          <w:sz w:val="20"/>
          <w:szCs w:val="20"/>
          <w:lang w:val="en-US"/>
        </w:rPr>
      </w:pPr>
    </w:p>
    <w:p w14:paraId="04164196" w14:textId="77777777" w:rsidR="00B665A2" w:rsidRDefault="00B665A2" w:rsidP="00D2099E">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963F68" w:rsidRPr="00D2099E" w14:paraId="72EE1F76" w14:textId="77777777" w:rsidTr="00AE52B2">
        <w:tc>
          <w:tcPr>
            <w:tcW w:w="360" w:type="dxa"/>
            <w:hideMark/>
          </w:tcPr>
          <w:p w14:paraId="17BA77E1" w14:textId="77777777" w:rsidR="00963F68" w:rsidRPr="00D2099E" w:rsidRDefault="00963F68"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6795A52A" w14:textId="77777777" w:rsidR="00963F68" w:rsidRPr="00D2099E" w:rsidRDefault="00963F68"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59F10739" w14:textId="77777777" w:rsidR="00963F68" w:rsidRDefault="00963F68" w:rsidP="00D2099E">
      <w:pPr>
        <w:spacing w:after="0" w:line="240" w:lineRule="auto"/>
        <w:ind w:left="720"/>
        <w:jc w:val="both"/>
        <w:rPr>
          <w:rFonts w:ascii="Times New Roman" w:eastAsia="Times New Roman" w:hAnsi="Times New Roman" w:cs="Times New Roman"/>
          <w:sz w:val="20"/>
          <w:szCs w:val="20"/>
          <w:lang w:val="en-US"/>
        </w:rPr>
      </w:pPr>
    </w:p>
    <w:p w14:paraId="51EA0CA2" w14:textId="52C7E6E0"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For the Company’s product sales that have a contract term greater than one year, the Company uses the practical expedient in </w:t>
      </w:r>
      <w:r w:rsidR="00322C98">
        <w:rPr>
          <w:rFonts w:ascii="Times New Roman" w:eastAsia="Times New Roman" w:hAnsi="Times New Roman" w:cs="Times New Roman"/>
          <w:sz w:val="20"/>
          <w:szCs w:val="20"/>
          <w:lang w:val="en-US"/>
        </w:rPr>
        <w:t>IFRS 15 Paragraph 121</w:t>
      </w:r>
      <w:r w:rsidR="00322C98" w:rsidRPr="00D2099E">
        <w:rPr>
          <w:rFonts w:ascii="Times New Roman" w:eastAsia="Times New Roman" w:hAnsi="Times New Roman" w:cs="Times New Roman"/>
          <w:sz w:val="20"/>
          <w:szCs w:val="20"/>
          <w:lang w:val="en-US"/>
        </w:rPr>
        <w:t xml:space="preserve">(a) </w:t>
      </w:r>
      <w:r w:rsidRPr="00D2099E">
        <w:rPr>
          <w:rFonts w:ascii="Times New Roman" w:eastAsia="Times New Roman" w:hAnsi="Times New Roman" w:cs="Times New Roman"/>
          <w:sz w:val="20"/>
          <w:szCs w:val="20"/>
          <w:lang w:val="en-US"/>
        </w:rPr>
        <w:t>which states the Company is not required to disclose the transaction price allocated to remaining performance obligations if the variable consideration is allocated entirely to an unsatisfied performance obligation. Under these sales contracts, each unit of product represents a separate performance obligation; therefore, future volumes are unsatisfied, and disclosure of the transaction price allocated to remaining performance obligations is not required. The Company has no unsatisfied performance obligations at the end of each reporting period.</w:t>
      </w:r>
    </w:p>
    <w:p w14:paraId="1AF38E4D"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CA6E596"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Company does not believe that significant judgments are required with respect to the determination of the transaction price, including any variable consideration identified. There is a low level of uncertainty due to the precision of measurement and use of index-based pricing with predictable differentials. Additionally, any variable consideration identified is not constrained.</w:t>
      </w:r>
    </w:p>
    <w:p w14:paraId="4F94140F" w14:textId="325E5B3E" w:rsidR="00D2099E" w:rsidRPr="00D2099E" w:rsidRDefault="00D2099E" w:rsidP="00D33273">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02ADBE29" w14:textId="77777777" w:rsidTr="005C7D2D">
        <w:tc>
          <w:tcPr>
            <w:tcW w:w="360" w:type="dxa"/>
            <w:hideMark/>
          </w:tcPr>
          <w:p w14:paraId="7ED2519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659145B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(e)</w:t>
            </w:r>
          </w:p>
        </w:tc>
        <w:tc>
          <w:tcPr>
            <w:tcW w:w="0" w:type="auto"/>
            <w:hideMark/>
          </w:tcPr>
          <w:p w14:paraId="112CE72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Accounts Receivable</w:t>
            </w:r>
          </w:p>
        </w:tc>
      </w:tr>
    </w:tbl>
    <w:p w14:paraId="5E64D454" w14:textId="77777777" w:rsidR="00D2099E" w:rsidRPr="00D2099E" w:rsidRDefault="00D2099E" w:rsidP="00D2099E">
      <w:pPr>
        <w:spacing w:after="0" w:line="240" w:lineRule="auto"/>
        <w:ind w:left="709" w:hanging="28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D328584" w14:textId="58F9B0BF"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Accounts receivable consist </w:t>
      </w:r>
      <w:r w:rsidR="00D64752">
        <w:rPr>
          <w:rFonts w:ascii="Times New Roman" w:eastAsia="Times New Roman" w:hAnsi="Times New Roman" w:cs="Times New Roman"/>
          <w:sz w:val="20"/>
          <w:szCs w:val="20"/>
          <w:lang w:val="en-US"/>
        </w:rPr>
        <w:t xml:space="preserve">primarily </w:t>
      </w:r>
      <w:r w:rsidRPr="00D2099E">
        <w:rPr>
          <w:rFonts w:ascii="Times New Roman" w:eastAsia="Times New Roman" w:hAnsi="Times New Roman" w:cs="Times New Roman"/>
          <w:sz w:val="20"/>
          <w:szCs w:val="20"/>
          <w:lang w:val="en-US"/>
        </w:rPr>
        <w:t xml:space="preserve">of oil and gas receivables. The Company has classified these as short-term assets in the </w:t>
      </w:r>
      <w:r w:rsidR="007A6AE2">
        <w:rPr>
          <w:rFonts w:ascii="Times New Roman" w:eastAsia="Times New Roman" w:hAnsi="Times New Roman" w:cs="Times New Roman"/>
          <w:sz w:val="20"/>
          <w:szCs w:val="20"/>
          <w:lang w:val="en-US"/>
        </w:rPr>
        <w:t>consolidated statement of financial position</w:t>
      </w:r>
      <w:r w:rsidRPr="00D2099E">
        <w:rPr>
          <w:rFonts w:ascii="Times New Roman" w:eastAsia="Times New Roman" w:hAnsi="Times New Roman" w:cs="Times New Roman"/>
          <w:sz w:val="20"/>
          <w:szCs w:val="20"/>
          <w:lang w:val="en-US"/>
        </w:rPr>
        <w:t xml:space="preserve"> because the Company expects repayment or recovery within the next 12 months. The Company evaluates these accounts receivable for collectability and, when necessary, records allowances for expected unrecoverable amounts. The Company deems all accounts receivable to be collectable and has not recorded any allowance for doubtful accounts.</w:t>
      </w:r>
    </w:p>
    <w:p w14:paraId="7638F21D" w14:textId="3079D047" w:rsid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CAC5A52" w14:textId="0099D315" w:rsidR="005311E3" w:rsidRPr="00ED66D9" w:rsidRDefault="005311E3" w:rsidP="00CA4239">
      <w:pPr>
        <w:spacing w:after="0" w:line="240" w:lineRule="auto"/>
        <w:ind w:left="709" w:hanging="425"/>
        <w:jc w:val="both"/>
        <w:rPr>
          <w:rFonts w:ascii="Times New Roman" w:eastAsia="Times New Roman" w:hAnsi="Times New Roman" w:cs="Times New Roman"/>
          <w:sz w:val="18"/>
          <w:szCs w:val="18"/>
          <w:lang w:val="en-US"/>
        </w:rPr>
      </w:pPr>
      <w:r>
        <w:rPr>
          <w:rFonts w:ascii="Times New Roman" w:eastAsia="Times New Roman" w:hAnsi="Times New Roman" w:cs="Times New Roman"/>
          <w:sz w:val="20"/>
          <w:szCs w:val="20"/>
          <w:lang w:val="en-US"/>
        </w:rPr>
        <w:t xml:space="preserve">(f) </w:t>
      </w:r>
      <w:r w:rsidR="008A55F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Exploration and </w:t>
      </w:r>
      <w:r w:rsidRPr="0036445F">
        <w:rPr>
          <w:rFonts w:ascii="Times New Roman" w:eastAsia="Times New Roman" w:hAnsi="Times New Roman" w:cs="Times New Roman"/>
          <w:sz w:val="20"/>
          <w:szCs w:val="20"/>
          <w:lang w:val="en-US"/>
        </w:rPr>
        <w:t>Evaluation Assets</w:t>
      </w:r>
    </w:p>
    <w:p w14:paraId="1B11BA82" w14:textId="77777777" w:rsidR="005311E3" w:rsidRPr="00ED66D9" w:rsidRDefault="005311E3" w:rsidP="005311E3">
      <w:pPr>
        <w:spacing w:after="0" w:line="240" w:lineRule="auto"/>
        <w:jc w:val="both"/>
        <w:rPr>
          <w:rFonts w:ascii="Times New Roman" w:eastAsia="Times New Roman" w:hAnsi="Times New Roman" w:cs="Times New Roman"/>
          <w:sz w:val="18"/>
          <w:szCs w:val="18"/>
          <w:lang w:val="en-US"/>
        </w:rPr>
      </w:pPr>
    </w:p>
    <w:p w14:paraId="122CC1FB" w14:textId="77777777" w:rsidR="005311E3" w:rsidRDefault="005311E3" w:rsidP="00CA4239">
      <w:pPr>
        <w:spacing w:after="0" w:line="240" w:lineRule="auto"/>
        <w:ind w:left="720"/>
        <w:jc w:val="both"/>
        <w:rPr>
          <w:rFonts w:ascii="Times New Roman" w:eastAsia="Times New Roman" w:hAnsi="Times New Roman" w:cs="Times New Roman"/>
          <w:sz w:val="20"/>
          <w:szCs w:val="20"/>
          <w:lang w:val="en-US"/>
        </w:rPr>
      </w:pPr>
      <w:r w:rsidRPr="00324FD5">
        <w:rPr>
          <w:rFonts w:ascii="Times New Roman" w:eastAsia="Times New Roman" w:hAnsi="Times New Roman" w:cs="Times New Roman"/>
          <w:sz w:val="20"/>
          <w:szCs w:val="20"/>
          <w:lang w:val="en-US"/>
        </w:rPr>
        <w:t xml:space="preserve">Pre-license </w:t>
      </w:r>
      <w:r>
        <w:rPr>
          <w:rFonts w:ascii="Times New Roman" w:eastAsia="Times New Roman" w:hAnsi="Times New Roman" w:cs="Times New Roman"/>
          <w:sz w:val="20"/>
          <w:szCs w:val="20"/>
          <w:lang w:val="en-US"/>
        </w:rPr>
        <w:t xml:space="preserve">exploration </w:t>
      </w:r>
      <w:r w:rsidRPr="00324FD5">
        <w:rPr>
          <w:rFonts w:ascii="Times New Roman" w:eastAsia="Times New Roman" w:hAnsi="Times New Roman" w:cs="Times New Roman"/>
          <w:sz w:val="20"/>
          <w:szCs w:val="20"/>
          <w:lang w:val="en-US"/>
        </w:rPr>
        <w:t xml:space="preserve">costs are recognized in the </w:t>
      </w:r>
      <w:r>
        <w:rPr>
          <w:rFonts w:ascii="Times New Roman" w:eastAsia="Times New Roman" w:hAnsi="Times New Roman" w:cs="Times New Roman"/>
          <w:sz w:val="20"/>
          <w:szCs w:val="20"/>
          <w:lang w:val="en-US"/>
        </w:rPr>
        <w:t xml:space="preserve">consolidated </w:t>
      </w:r>
      <w:r w:rsidRPr="00324FD5">
        <w:rPr>
          <w:rFonts w:ascii="Times New Roman" w:eastAsia="Times New Roman" w:hAnsi="Times New Roman" w:cs="Times New Roman"/>
          <w:sz w:val="20"/>
          <w:szCs w:val="20"/>
          <w:lang w:val="en-US"/>
        </w:rPr>
        <w:t xml:space="preserve">statement of </w:t>
      </w:r>
      <w:r>
        <w:rPr>
          <w:rFonts w:ascii="Times New Roman" w:eastAsia="Times New Roman" w:hAnsi="Times New Roman" w:cs="Times New Roman"/>
          <w:sz w:val="20"/>
          <w:szCs w:val="20"/>
          <w:lang w:val="en-US"/>
        </w:rPr>
        <w:t xml:space="preserve">operations and </w:t>
      </w:r>
      <w:r w:rsidRPr="00324FD5">
        <w:rPr>
          <w:rFonts w:ascii="Times New Roman" w:eastAsia="Times New Roman" w:hAnsi="Times New Roman" w:cs="Times New Roman"/>
          <w:sz w:val="20"/>
          <w:szCs w:val="20"/>
          <w:lang w:val="en-US"/>
        </w:rPr>
        <w:t xml:space="preserve">comprehensive </w:t>
      </w:r>
      <w:r>
        <w:rPr>
          <w:rFonts w:ascii="Times New Roman" w:eastAsia="Times New Roman" w:hAnsi="Times New Roman" w:cs="Times New Roman"/>
          <w:sz w:val="20"/>
          <w:szCs w:val="20"/>
          <w:lang w:val="en-US"/>
        </w:rPr>
        <w:t>loss</w:t>
      </w:r>
      <w:r w:rsidRPr="00324FD5">
        <w:rPr>
          <w:rFonts w:ascii="Times New Roman" w:eastAsia="Times New Roman" w:hAnsi="Times New Roman" w:cs="Times New Roman"/>
          <w:sz w:val="20"/>
          <w:szCs w:val="20"/>
          <w:lang w:val="en-US"/>
        </w:rPr>
        <w:t xml:space="preserve"> as incurred.</w:t>
      </w:r>
    </w:p>
    <w:p w14:paraId="5A1A68DD" w14:textId="77777777" w:rsidR="005311E3" w:rsidRDefault="005311E3" w:rsidP="005311E3">
      <w:pPr>
        <w:spacing w:after="0" w:line="240" w:lineRule="auto"/>
        <w:jc w:val="both"/>
        <w:rPr>
          <w:rFonts w:ascii="Times New Roman" w:eastAsia="Times New Roman" w:hAnsi="Times New Roman" w:cs="Times New Roman"/>
          <w:sz w:val="20"/>
          <w:szCs w:val="20"/>
          <w:lang w:val="en-US"/>
        </w:rPr>
      </w:pPr>
    </w:p>
    <w:p w14:paraId="4235C658" w14:textId="64F845A6" w:rsidR="005311E3" w:rsidRDefault="005311E3" w:rsidP="00CA4239">
      <w:pPr>
        <w:spacing w:after="0" w:line="240" w:lineRule="auto"/>
        <w:ind w:left="720"/>
        <w:jc w:val="both"/>
        <w:rPr>
          <w:rFonts w:ascii="Times New Roman" w:eastAsia="Times New Roman" w:hAnsi="Times New Roman" w:cs="Times New Roman"/>
          <w:sz w:val="20"/>
          <w:szCs w:val="20"/>
          <w:lang w:val="en-US"/>
        </w:rPr>
      </w:pPr>
      <w:r w:rsidRPr="004C228F">
        <w:rPr>
          <w:rFonts w:ascii="Times New Roman" w:eastAsia="Times New Roman" w:hAnsi="Times New Roman" w:cs="Times New Roman"/>
          <w:sz w:val="20"/>
          <w:szCs w:val="20"/>
          <w:lang w:val="en-US"/>
        </w:rPr>
        <w:t xml:space="preserve">The costs to acquire non-producing oil and gas properties or </w:t>
      </w:r>
      <w:r w:rsidR="00D64752" w:rsidRPr="004C228F">
        <w:rPr>
          <w:rFonts w:ascii="Times New Roman" w:eastAsia="Times New Roman" w:hAnsi="Times New Roman" w:cs="Times New Roman"/>
          <w:sz w:val="20"/>
          <w:szCs w:val="20"/>
          <w:lang w:val="en-US"/>
        </w:rPr>
        <w:t>licenses</w:t>
      </w:r>
      <w:r w:rsidRPr="004C228F">
        <w:rPr>
          <w:rFonts w:ascii="Times New Roman" w:eastAsia="Times New Roman" w:hAnsi="Times New Roman" w:cs="Times New Roman"/>
          <w:sz w:val="20"/>
          <w:szCs w:val="20"/>
          <w:lang w:val="en-US"/>
        </w:rPr>
        <w:t xml:space="preserve"> to explore, drill exploratory wells and the costs to evaluate</w:t>
      </w:r>
      <w:r>
        <w:rPr>
          <w:rFonts w:ascii="Times New Roman" w:eastAsia="Times New Roman" w:hAnsi="Times New Roman" w:cs="Times New Roman"/>
          <w:sz w:val="20"/>
          <w:szCs w:val="20"/>
          <w:lang w:val="en-US"/>
        </w:rPr>
        <w:t xml:space="preserve"> </w:t>
      </w:r>
      <w:r w:rsidRPr="004C228F">
        <w:rPr>
          <w:rFonts w:ascii="Times New Roman" w:eastAsia="Times New Roman" w:hAnsi="Times New Roman" w:cs="Times New Roman"/>
          <w:sz w:val="20"/>
          <w:szCs w:val="20"/>
          <w:lang w:val="en-US"/>
        </w:rPr>
        <w:t xml:space="preserve">the commercial potential of underlying resources, including related borrowing costs, are initially capitalized as </w:t>
      </w:r>
      <w:r>
        <w:rPr>
          <w:rFonts w:ascii="Times New Roman" w:eastAsia="Times New Roman" w:hAnsi="Times New Roman" w:cs="Times New Roman"/>
          <w:sz w:val="20"/>
          <w:szCs w:val="20"/>
          <w:lang w:val="en-US"/>
        </w:rPr>
        <w:t>e</w:t>
      </w:r>
      <w:r w:rsidRPr="004C228F">
        <w:rPr>
          <w:rFonts w:ascii="Times New Roman" w:eastAsia="Times New Roman" w:hAnsi="Times New Roman" w:cs="Times New Roman"/>
          <w:sz w:val="20"/>
          <w:szCs w:val="20"/>
          <w:lang w:val="en-US"/>
        </w:rPr>
        <w:t>xploration and</w:t>
      </w:r>
      <w:r>
        <w:rPr>
          <w:rFonts w:ascii="Times New Roman" w:eastAsia="Times New Roman" w:hAnsi="Times New Roman" w:cs="Times New Roman"/>
          <w:sz w:val="20"/>
          <w:szCs w:val="20"/>
          <w:lang w:val="en-US"/>
        </w:rPr>
        <w:t xml:space="preserve"> e</w:t>
      </w:r>
      <w:r w:rsidRPr="004C228F">
        <w:rPr>
          <w:rFonts w:ascii="Times New Roman" w:eastAsia="Times New Roman" w:hAnsi="Times New Roman" w:cs="Times New Roman"/>
          <w:sz w:val="20"/>
          <w:szCs w:val="20"/>
          <w:lang w:val="en-US"/>
        </w:rPr>
        <w:t xml:space="preserve">valuation assets. </w:t>
      </w:r>
    </w:p>
    <w:p w14:paraId="2406F291" w14:textId="77777777" w:rsidR="005311E3" w:rsidRPr="004C228F" w:rsidRDefault="005311E3" w:rsidP="005311E3">
      <w:pPr>
        <w:spacing w:after="0" w:line="240" w:lineRule="auto"/>
        <w:jc w:val="both"/>
        <w:rPr>
          <w:rFonts w:ascii="Times New Roman" w:eastAsia="Times New Roman" w:hAnsi="Times New Roman" w:cs="Times New Roman"/>
          <w:sz w:val="20"/>
          <w:szCs w:val="20"/>
          <w:lang w:val="en-US"/>
        </w:rPr>
      </w:pPr>
    </w:p>
    <w:p w14:paraId="39945AED" w14:textId="77777777" w:rsidR="005311E3" w:rsidRDefault="005311E3" w:rsidP="00CA4239">
      <w:pPr>
        <w:spacing w:after="0" w:line="240" w:lineRule="auto"/>
        <w:ind w:left="720"/>
        <w:jc w:val="both"/>
        <w:rPr>
          <w:rFonts w:ascii="Times New Roman" w:eastAsia="Times New Roman" w:hAnsi="Times New Roman" w:cs="Times New Roman"/>
          <w:sz w:val="20"/>
          <w:szCs w:val="20"/>
          <w:lang w:val="en-US"/>
        </w:rPr>
      </w:pPr>
      <w:r w:rsidRPr="004C228F">
        <w:rPr>
          <w:rFonts w:ascii="Times New Roman" w:eastAsia="Times New Roman" w:hAnsi="Times New Roman" w:cs="Times New Roman"/>
          <w:sz w:val="20"/>
          <w:szCs w:val="20"/>
          <w:lang w:val="en-US"/>
        </w:rPr>
        <w:t xml:space="preserve">Exploration and </w:t>
      </w:r>
      <w:r>
        <w:rPr>
          <w:rFonts w:ascii="Times New Roman" w:eastAsia="Times New Roman" w:hAnsi="Times New Roman" w:cs="Times New Roman"/>
          <w:sz w:val="20"/>
          <w:szCs w:val="20"/>
          <w:lang w:val="en-US"/>
        </w:rPr>
        <w:t>e</w:t>
      </w:r>
      <w:r w:rsidRPr="004C228F">
        <w:rPr>
          <w:rFonts w:ascii="Times New Roman" w:eastAsia="Times New Roman" w:hAnsi="Times New Roman" w:cs="Times New Roman"/>
          <w:sz w:val="20"/>
          <w:szCs w:val="20"/>
          <w:lang w:val="en-US"/>
        </w:rPr>
        <w:t>valuation assets are subject to technical, commercial and management review to confirm the continued intent</w:t>
      </w:r>
      <w:r>
        <w:rPr>
          <w:rFonts w:ascii="Times New Roman" w:eastAsia="Times New Roman" w:hAnsi="Times New Roman" w:cs="Times New Roman"/>
          <w:sz w:val="20"/>
          <w:szCs w:val="20"/>
          <w:lang w:val="en-US"/>
        </w:rPr>
        <w:t xml:space="preserve"> </w:t>
      </w:r>
      <w:r w:rsidRPr="004C228F">
        <w:rPr>
          <w:rFonts w:ascii="Times New Roman" w:eastAsia="Times New Roman" w:hAnsi="Times New Roman" w:cs="Times New Roman"/>
          <w:sz w:val="20"/>
          <w:szCs w:val="20"/>
          <w:lang w:val="en-US"/>
        </w:rPr>
        <w:t>to develop and extract the underlying resources. If an area or exploration well is no longer considered commercially viable,</w:t>
      </w:r>
      <w:r>
        <w:rPr>
          <w:rFonts w:ascii="Times New Roman" w:eastAsia="Times New Roman" w:hAnsi="Times New Roman" w:cs="Times New Roman"/>
          <w:sz w:val="20"/>
          <w:szCs w:val="20"/>
          <w:lang w:val="en-US"/>
        </w:rPr>
        <w:t xml:space="preserve"> </w:t>
      </w:r>
      <w:r w:rsidRPr="004C228F">
        <w:rPr>
          <w:rFonts w:ascii="Times New Roman" w:eastAsia="Times New Roman" w:hAnsi="Times New Roman" w:cs="Times New Roman"/>
          <w:sz w:val="20"/>
          <w:szCs w:val="20"/>
          <w:lang w:val="en-US"/>
        </w:rPr>
        <w:t xml:space="preserve">the related capitalized costs are charged to </w:t>
      </w:r>
      <w:r>
        <w:rPr>
          <w:rFonts w:ascii="Times New Roman" w:eastAsia="Times New Roman" w:hAnsi="Times New Roman" w:cs="Times New Roman"/>
          <w:sz w:val="20"/>
          <w:szCs w:val="20"/>
          <w:lang w:val="en-US"/>
        </w:rPr>
        <w:t>e</w:t>
      </w:r>
      <w:r w:rsidRPr="004C228F">
        <w:rPr>
          <w:rFonts w:ascii="Times New Roman" w:eastAsia="Times New Roman" w:hAnsi="Times New Roman" w:cs="Times New Roman"/>
          <w:sz w:val="20"/>
          <w:szCs w:val="20"/>
          <w:lang w:val="en-US"/>
        </w:rPr>
        <w:t>xploration expense.</w:t>
      </w:r>
    </w:p>
    <w:p w14:paraId="0B70FD0F" w14:textId="77777777" w:rsidR="005311E3" w:rsidRDefault="005311E3" w:rsidP="005311E3">
      <w:pPr>
        <w:spacing w:after="0" w:line="240" w:lineRule="auto"/>
        <w:jc w:val="both"/>
        <w:rPr>
          <w:rFonts w:ascii="Times New Roman" w:eastAsia="Times New Roman" w:hAnsi="Times New Roman" w:cs="Times New Roman"/>
          <w:sz w:val="20"/>
          <w:szCs w:val="20"/>
          <w:lang w:val="en-US"/>
        </w:rPr>
      </w:pPr>
    </w:p>
    <w:p w14:paraId="08A8DC74" w14:textId="77777777" w:rsidR="005311E3" w:rsidRDefault="005311E3" w:rsidP="00CA4239">
      <w:pPr>
        <w:spacing w:after="0" w:line="240" w:lineRule="auto"/>
        <w:ind w:left="720"/>
        <w:jc w:val="both"/>
        <w:rPr>
          <w:rFonts w:ascii="Times New Roman" w:eastAsia="Times New Roman" w:hAnsi="Times New Roman" w:cs="Times New Roman"/>
          <w:sz w:val="20"/>
          <w:szCs w:val="20"/>
          <w:lang w:val="en-US"/>
        </w:rPr>
      </w:pPr>
      <w:r w:rsidRPr="009274AA">
        <w:rPr>
          <w:rFonts w:ascii="Times New Roman" w:eastAsia="Times New Roman" w:hAnsi="Times New Roman" w:cs="Times New Roman"/>
          <w:sz w:val="20"/>
          <w:szCs w:val="20"/>
          <w:lang w:val="en-US"/>
        </w:rPr>
        <w:t xml:space="preserve">Exploration and </w:t>
      </w:r>
      <w:r>
        <w:rPr>
          <w:rFonts w:ascii="Times New Roman" w:eastAsia="Times New Roman" w:hAnsi="Times New Roman" w:cs="Times New Roman"/>
          <w:sz w:val="20"/>
          <w:szCs w:val="20"/>
          <w:lang w:val="en-US"/>
        </w:rPr>
        <w:t>e</w:t>
      </w:r>
      <w:r w:rsidRPr="009274AA">
        <w:rPr>
          <w:rFonts w:ascii="Times New Roman" w:eastAsia="Times New Roman" w:hAnsi="Times New Roman" w:cs="Times New Roman"/>
          <w:sz w:val="20"/>
          <w:szCs w:val="20"/>
          <w:lang w:val="en-US"/>
        </w:rPr>
        <w:t xml:space="preserve">valuation assets are not subject to depreciation, </w:t>
      </w:r>
      <w:proofErr w:type="gramStart"/>
      <w:r w:rsidRPr="009274AA">
        <w:rPr>
          <w:rFonts w:ascii="Times New Roman" w:eastAsia="Times New Roman" w:hAnsi="Times New Roman" w:cs="Times New Roman"/>
          <w:sz w:val="20"/>
          <w:szCs w:val="20"/>
          <w:lang w:val="en-US"/>
        </w:rPr>
        <w:t>depletion</w:t>
      </w:r>
      <w:proofErr w:type="gramEnd"/>
      <w:r w:rsidRPr="009274AA">
        <w:rPr>
          <w:rFonts w:ascii="Times New Roman" w:eastAsia="Times New Roman" w:hAnsi="Times New Roman" w:cs="Times New Roman"/>
          <w:sz w:val="20"/>
          <w:szCs w:val="20"/>
          <w:lang w:val="en-US"/>
        </w:rPr>
        <w:t xml:space="preserve"> and amortization.</w:t>
      </w:r>
    </w:p>
    <w:p w14:paraId="511E03DD" w14:textId="77777777" w:rsidR="005311E3" w:rsidRPr="004C228F" w:rsidRDefault="005311E3" w:rsidP="005311E3">
      <w:pPr>
        <w:spacing w:after="0" w:line="240" w:lineRule="auto"/>
        <w:jc w:val="both"/>
        <w:rPr>
          <w:rFonts w:ascii="Times New Roman" w:eastAsia="Times New Roman" w:hAnsi="Times New Roman" w:cs="Times New Roman"/>
          <w:sz w:val="20"/>
          <w:szCs w:val="20"/>
          <w:lang w:val="en-US"/>
        </w:rPr>
      </w:pPr>
    </w:p>
    <w:p w14:paraId="4C380889" w14:textId="3FE42DC2" w:rsidR="005311E3" w:rsidRDefault="005311E3" w:rsidP="005311E3">
      <w:pPr>
        <w:spacing w:after="0" w:line="240" w:lineRule="auto"/>
        <w:ind w:left="720"/>
        <w:jc w:val="both"/>
        <w:rPr>
          <w:rFonts w:ascii="Times New Roman" w:eastAsia="Times New Roman" w:hAnsi="Times New Roman" w:cs="Times New Roman"/>
          <w:sz w:val="20"/>
          <w:szCs w:val="20"/>
          <w:lang w:val="en-US"/>
        </w:rPr>
      </w:pPr>
      <w:r w:rsidRPr="004C228F">
        <w:rPr>
          <w:rFonts w:ascii="Times New Roman" w:eastAsia="Times New Roman" w:hAnsi="Times New Roman" w:cs="Times New Roman"/>
          <w:sz w:val="20"/>
          <w:szCs w:val="20"/>
          <w:lang w:val="en-US"/>
        </w:rPr>
        <w:t xml:space="preserve">When management determines with reasonable certainty that an </w:t>
      </w:r>
      <w:r>
        <w:rPr>
          <w:rFonts w:ascii="Times New Roman" w:eastAsia="Times New Roman" w:hAnsi="Times New Roman" w:cs="Times New Roman"/>
          <w:sz w:val="20"/>
          <w:szCs w:val="20"/>
          <w:lang w:val="en-US"/>
        </w:rPr>
        <w:t>e</w:t>
      </w:r>
      <w:r w:rsidRPr="004C228F">
        <w:rPr>
          <w:rFonts w:ascii="Times New Roman" w:eastAsia="Times New Roman" w:hAnsi="Times New Roman" w:cs="Times New Roman"/>
          <w:sz w:val="20"/>
          <w:szCs w:val="20"/>
          <w:lang w:val="en-US"/>
        </w:rPr>
        <w:t xml:space="preserve">xploration and </w:t>
      </w:r>
      <w:r>
        <w:rPr>
          <w:rFonts w:ascii="Times New Roman" w:eastAsia="Times New Roman" w:hAnsi="Times New Roman" w:cs="Times New Roman"/>
          <w:sz w:val="20"/>
          <w:szCs w:val="20"/>
          <w:lang w:val="en-US"/>
        </w:rPr>
        <w:t>e</w:t>
      </w:r>
      <w:r w:rsidRPr="004C228F">
        <w:rPr>
          <w:rFonts w:ascii="Times New Roman" w:eastAsia="Times New Roman" w:hAnsi="Times New Roman" w:cs="Times New Roman"/>
          <w:sz w:val="20"/>
          <w:szCs w:val="20"/>
          <w:lang w:val="en-US"/>
        </w:rPr>
        <w:t>valuation asset will be developed, as</w:t>
      </w:r>
      <w:r>
        <w:rPr>
          <w:rFonts w:ascii="Times New Roman" w:eastAsia="Times New Roman" w:hAnsi="Times New Roman" w:cs="Times New Roman"/>
          <w:sz w:val="20"/>
          <w:szCs w:val="20"/>
          <w:lang w:val="en-US"/>
        </w:rPr>
        <w:t xml:space="preserve"> </w:t>
      </w:r>
      <w:r w:rsidRPr="004C228F">
        <w:rPr>
          <w:rFonts w:ascii="Times New Roman" w:eastAsia="Times New Roman" w:hAnsi="Times New Roman" w:cs="Times New Roman"/>
          <w:sz w:val="20"/>
          <w:szCs w:val="20"/>
          <w:lang w:val="en-US"/>
        </w:rPr>
        <w:t>evidenced by the classification of proved or probable reserves and the appropriate internal and external approvals, the asset is</w:t>
      </w:r>
      <w:r>
        <w:rPr>
          <w:rFonts w:ascii="Times New Roman" w:eastAsia="Times New Roman" w:hAnsi="Times New Roman" w:cs="Times New Roman"/>
          <w:sz w:val="20"/>
          <w:szCs w:val="20"/>
          <w:lang w:val="en-US"/>
        </w:rPr>
        <w:t xml:space="preserve"> transferred to oil and gas properties.</w:t>
      </w:r>
    </w:p>
    <w:p w14:paraId="2FBC3AFA" w14:textId="77777777" w:rsidR="0076739A" w:rsidRPr="00D2099E" w:rsidRDefault="0076739A" w:rsidP="005311E3">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08012214" w14:textId="77777777" w:rsidTr="005C7D2D">
        <w:tc>
          <w:tcPr>
            <w:tcW w:w="360" w:type="dxa"/>
            <w:hideMark/>
          </w:tcPr>
          <w:p w14:paraId="01AD4896"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6FC65451" w14:textId="374F86AF"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BA26F8">
              <w:rPr>
                <w:rFonts w:ascii="Times New Roman" w:eastAsia="Times New Roman" w:hAnsi="Times New Roman" w:cs="Times New Roman"/>
                <w:sz w:val="20"/>
                <w:szCs w:val="20"/>
                <w:lang w:val="en-US"/>
              </w:rPr>
              <w:t>g</w:t>
            </w:r>
            <w:r w:rsidRPr="00D2099E">
              <w:rPr>
                <w:rFonts w:ascii="Times New Roman" w:eastAsia="Times New Roman" w:hAnsi="Times New Roman" w:cs="Times New Roman"/>
                <w:sz w:val="20"/>
                <w:szCs w:val="20"/>
                <w:lang w:val="en-US"/>
              </w:rPr>
              <w:t>)</w:t>
            </w:r>
          </w:p>
        </w:tc>
        <w:tc>
          <w:tcPr>
            <w:tcW w:w="0" w:type="auto"/>
            <w:hideMark/>
          </w:tcPr>
          <w:p w14:paraId="269D9F9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Oil and Gas Properties</w:t>
            </w:r>
          </w:p>
        </w:tc>
      </w:tr>
    </w:tbl>
    <w:p w14:paraId="2E851D27" w14:textId="77777777" w:rsidR="00D2099E" w:rsidRPr="00D2099E" w:rsidRDefault="00D2099E" w:rsidP="00D2099E">
      <w:pPr>
        <w:spacing w:after="0" w:line="240" w:lineRule="auto"/>
        <w:ind w:left="709" w:hanging="28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3BCA3A0" w14:textId="77777777" w:rsidR="00F037DA" w:rsidRDefault="00F037DA" w:rsidP="00F037DA">
      <w:pPr>
        <w:spacing w:after="0" w:line="240" w:lineRule="auto"/>
        <w:ind w:left="7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Oil and gas properties (“O&amp;G”) include exploration and evaluation expenditures, development and productions costs, less accumulated depletion and depreciation and accumulated impairment loss. </w:t>
      </w:r>
      <w:r w:rsidRPr="000F24E9">
        <w:rPr>
          <w:rFonts w:ascii="Times New Roman" w:eastAsia="Times New Roman" w:hAnsi="Times New Roman" w:cs="Times New Roman"/>
          <w:sz w:val="20"/>
          <w:szCs w:val="20"/>
          <w:lang w:val="en-US"/>
        </w:rPr>
        <w:t xml:space="preserve">O&amp;G </w:t>
      </w:r>
      <w:r>
        <w:rPr>
          <w:rFonts w:ascii="Times New Roman" w:eastAsia="Times New Roman" w:hAnsi="Times New Roman" w:cs="Times New Roman"/>
          <w:sz w:val="20"/>
          <w:szCs w:val="20"/>
          <w:lang w:val="en-US"/>
        </w:rPr>
        <w:t xml:space="preserve">are grouped into cash generating units for impairment testing. </w:t>
      </w:r>
      <w:r w:rsidRPr="00D2099E">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en-US"/>
        </w:rPr>
        <w:t xml:space="preserve">The Company has grouped its </w:t>
      </w:r>
      <w:r w:rsidRPr="009446F6">
        <w:rPr>
          <w:rFonts w:ascii="Times New Roman" w:eastAsia="Times New Roman" w:hAnsi="Times New Roman" w:cs="Times New Roman"/>
          <w:sz w:val="20"/>
          <w:szCs w:val="20"/>
          <w:lang w:val="en-US"/>
        </w:rPr>
        <w:t>O&amp;G</w:t>
      </w:r>
      <w:r>
        <w:rPr>
          <w:rFonts w:ascii="Times New Roman" w:eastAsia="Times New Roman" w:hAnsi="Times New Roman" w:cs="Times New Roman"/>
          <w:sz w:val="20"/>
          <w:szCs w:val="20"/>
          <w:lang w:val="en-US"/>
        </w:rPr>
        <w:t xml:space="preserve"> into two CGUs: the </w:t>
      </w:r>
      <w:proofErr w:type="spellStart"/>
      <w:r>
        <w:rPr>
          <w:rFonts w:ascii="Times New Roman" w:eastAsia="Times New Roman" w:hAnsi="Times New Roman" w:cs="Times New Roman"/>
          <w:sz w:val="20"/>
          <w:szCs w:val="20"/>
          <w:lang w:val="en-US"/>
        </w:rPr>
        <w:t>Cendere</w:t>
      </w:r>
      <w:proofErr w:type="spellEnd"/>
      <w:r>
        <w:rPr>
          <w:rFonts w:ascii="Times New Roman" w:eastAsia="Times New Roman" w:hAnsi="Times New Roman" w:cs="Times New Roman"/>
          <w:sz w:val="20"/>
          <w:szCs w:val="20"/>
          <w:lang w:val="en-US"/>
        </w:rPr>
        <w:t xml:space="preserve"> Oil Field and SASB Gas Field. </w:t>
      </w:r>
    </w:p>
    <w:p w14:paraId="76DDF335" w14:textId="77777777" w:rsidR="00F037DA" w:rsidRDefault="00F037DA" w:rsidP="00F037DA">
      <w:pPr>
        <w:spacing w:after="0" w:line="240" w:lineRule="auto"/>
        <w:ind w:left="720"/>
        <w:jc w:val="both"/>
        <w:rPr>
          <w:rFonts w:ascii="Times New Roman" w:eastAsia="Times New Roman" w:hAnsi="Times New Roman" w:cs="Times New Roman"/>
          <w:sz w:val="20"/>
          <w:szCs w:val="20"/>
          <w:lang w:val="en-US"/>
        </w:rPr>
      </w:pPr>
    </w:p>
    <w:p w14:paraId="3BC84066" w14:textId="77777777" w:rsidR="00F037DA" w:rsidRDefault="00F037DA" w:rsidP="00F037DA">
      <w:pPr>
        <w:spacing w:after="0" w:line="240" w:lineRule="auto"/>
        <w:ind w:left="720"/>
        <w:jc w:val="both"/>
        <w:rPr>
          <w:rFonts w:ascii="Times New Roman" w:eastAsia="Times New Roman" w:hAnsi="Times New Roman" w:cs="Times New Roman"/>
          <w:sz w:val="20"/>
          <w:szCs w:val="20"/>
          <w:lang w:val="en-US"/>
        </w:rPr>
      </w:pPr>
      <w:r w:rsidRPr="006A0E44">
        <w:rPr>
          <w:rFonts w:ascii="Times New Roman" w:eastAsia="Times New Roman" w:hAnsi="Times New Roman" w:cs="Times New Roman"/>
          <w:sz w:val="20"/>
          <w:szCs w:val="20"/>
          <w:lang w:val="en-US"/>
        </w:rPr>
        <w:t xml:space="preserve">When significant parts of an item of </w:t>
      </w:r>
      <w:r>
        <w:rPr>
          <w:rFonts w:ascii="Times New Roman" w:eastAsia="Times New Roman" w:hAnsi="Times New Roman" w:cs="Times New Roman"/>
          <w:sz w:val="20"/>
          <w:szCs w:val="20"/>
          <w:lang w:val="en-US"/>
        </w:rPr>
        <w:t xml:space="preserve">O&amp;G </w:t>
      </w:r>
      <w:r w:rsidRPr="006A0E44">
        <w:rPr>
          <w:rFonts w:ascii="Times New Roman" w:eastAsia="Times New Roman" w:hAnsi="Times New Roman" w:cs="Times New Roman"/>
          <w:sz w:val="20"/>
          <w:szCs w:val="20"/>
          <w:lang w:val="en-US"/>
        </w:rPr>
        <w:t>have different useful lives, they are accounted for as separate items (major components).</w:t>
      </w:r>
    </w:p>
    <w:p w14:paraId="0C5B648C" w14:textId="77777777" w:rsidR="00F037DA" w:rsidRDefault="00F037DA" w:rsidP="00F037DA">
      <w:pPr>
        <w:spacing w:after="0" w:line="240" w:lineRule="auto"/>
        <w:ind w:left="720"/>
        <w:jc w:val="both"/>
        <w:rPr>
          <w:rFonts w:ascii="Times New Roman" w:eastAsia="Times New Roman" w:hAnsi="Times New Roman" w:cs="Times New Roman"/>
          <w:sz w:val="20"/>
          <w:szCs w:val="20"/>
          <w:lang w:val="en-US"/>
        </w:rPr>
      </w:pPr>
    </w:p>
    <w:p w14:paraId="37B5E1DE" w14:textId="77777777" w:rsidR="00A637D0" w:rsidRDefault="00A637D0" w:rsidP="00F037DA">
      <w:pPr>
        <w:spacing w:after="0" w:line="240" w:lineRule="auto"/>
        <w:ind w:left="720"/>
        <w:jc w:val="both"/>
        <w:rPr>
          <w:rFonts w:ascii="Times New Roman" w:eastAsia="Times New Roman" w:hAnsi="Times New Roman" w:cs="Times New Roman"/>
          <w:sz w:val="20"/>
          <w:szCs w:val="20"/>
          <w:lang w:val="en-US"/>
        </w:rPr>
      </w:pPr>
    </w:p>
    <w:p w14:paraId="51E023FF" w14:textId="77777777" w:rsidR="00A637D0" w:rsidRDefault="00A637D0" w:rsidP="00F037DA">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A637D0" w:rsidRPr="00D2099E" w14:paraId="09039FDD" w14:textId="77777777" w:rsidTr="00AE52B2">
        <w:tc>
          <w:tcPr>
            <w:tcW w:w="360" w:type="dxa"/>
            <w:hideMark/>
          </w:tcPr>
          <w:p w14:paraId="71900114" w14:textId="77777777" w:rsidR="00A637D0" w:rsidRPr="00D2099E" w:rsidRDefault="00A637D0"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3C8658A6" w14:textId="77777777" w:rsidR="00A637D0" w:rsidRPr="00D2099E" w:rsidRDefault="00A637D0"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0E67AFE3" w14:textId="77777777" w:rsidR="00A637D0" w:rsidRDefault="00A637D0" w:rsidP="00F037DA">
      <w:pPr>
        <w:spacing w:after="0" w:line="240" w:lineRule="auto"/>
        <w:ind w:left="720"/>
        <w:jc w:val="both"/>
        <w:rPr>
          <w:rFonts w:ascii="Times New Roman" w:eastAsia="Times New Roman" w:hAnsi="Times New Roman" w:cs="Times New Roman"/>
          <w:sz w:val="20"/>
          <w:szCs w:val="20"/>
          <w:lang w:val="en-US"/>
        </w:rPr>
      </w:pPr>
    </w:p>
    <w:p w14:paraId="646638C5" w14:textId="51319096" w:rsidR="0083644A" w:rsidRDefault="00F037DA" w:rsidP="00F037DA">
      <w:pPr>
        <w:spacing w:after="0" w:line="240" w:lineRule="auto"/>
        <w:ind w:left="720"/>
        <w:jc w:val="both"/>
        <w:rPr>
          <w:rFonts w:ascii="Times New Roman" w:eastAsia="Times New Roman" w:hAnsi="Times New Roman" w:cs="Times New Roman"/>
          <w:sz w:val="20"/>
          <w:szCs w:val="20"/>
          <w:lang w:val="en-US"/>
        </w:rPr>
      </w:pPr>
      <w:r w:rsidRPr="00F229CE">
        <w:rPr>
          <w:rFonts w:ascii="Times New Roman" w:eastAsia="Times New Roman" w:hAnsi="Times New Roman" w:cs="Times New Roman"/>
          <w:sz w:val="20"/>
          <w:szCs w:val="20"/>
          <w:lang w:val="en-US"/>
        </w:rPr>
        <w:t xml:space="preserve">Costs incurred </w:t>
      </w:r>
      <w:proofErr w:type="gramStart"/>
      <w:r w:rsidRPr="00F229CE">
        <w:rPr>
          <w:rFonts w:ascii="Times New Roman" w:eastAsia="Times New Roman" w:hAnsi="Times New Roman" w:cs="Times New Roman"/>
          <w:sz w:val="20"/>
          <w:szCs w:val="20"/>
          <w:lang w:val="en-US"/>
        </w:rPr>
        <w:t>subsequent to</w:t>
      </w:r>
      <w:proofErr w:type="gramEnd"/>
      <w:r w:rsidRPr="00F229CE">
        <w:rPr>
          <w:rFonts w:ascii="Times New Roman" w:eastAsia="Times New Roman" w:hAnsi="Times New Roman" w:cs="Times New Roman"/>
          <w:sz w:val="20"/>
          <w:szCs w:val="20"/>
          <w:lang w:val="en-US"/>
        </w:rPr>
        <w:t xml:space="preserve"> the determination of technical feasibility and commercial viability and the costs of replacing parts of O&amp;G are </w:t>
      </w:r>
      <w:r>
        <w:rPr>
          <w:rFonts w:ascii="Times New Roman" w:eastAsia="Times New Roman" w:hAnsi="Times New Roman" w:cs="Times New Roman"/>
          <w:sz w:val="20"/>
          <w:szCs w:val="20"/>
          <w:lang w:val="en-US"/>
        </w:rPr>
        <w:t>capitalized</w:t>
      </w:r>
      <w:r w:rsidRPr="00F229CE">
        <w:rPr>
          <w:rFonts w:ascii="Times New Roman" w:eastAsia="Times New Roman" w:hAnsi="Times New Roman" w:cs="Times New Roman"/>
          <w:sz w:val="20"/>
          <w:szCs w:val="20"/>
          <w:lang w:val="en-US"/>
        </w:rPr>
        <w:t xml:space="preserve"> only when they increase the future economic benefits embodied in the specific asset to</w:t>
      </w:r>
      <w:r>
        <w:rPr>
          <w:rFonts w:ascii="Times New Roman" w:eastAsia="Times New Roman" w:hAnsi="Times New Roman" w:cs="Times New Roman"/>
          <w:sz w:val="20"/>
          <w:szCs w:val="20"/>
          <w:lang w:val="en-US"/>
        </w:rPr>
        <w:t xml:space="preserve"> </w:t>
      </w:r>
      <w:r w:rsidRPr="00F229CE">
        <w:rPr>
          <w:rFonts w:ascii="Times New Roman" w:eastAsia="Times New Roman" w:hAnsi="Times New Roman" w:cs="Times New Roman"/>
          <w:sz w:val="20"/>
          <w:szCs w:val="20"/>
          <w:lang w:val="en-US"/>
        </w:rPr>
        <w:t xml:space="preserve">which they relate. All other expenditures are recognized in </w:t>
      </w:r>
      <w:r w:rsidR="00C31E47" w:rsidRPr="00C31E47">
        <w:rPr>
          <w:rFonts w:ascii="Times New Roman" w:eastAsia="Times New Roman" w:hAnsi="Times New Roman" w:cs="Times New Roman"/>
          <w:sz w:val="20"/>
          <w:szCs w:val="20"/>
          <w:lang w:val="en-US"/>
        </w:rPr>
        <w:t>consolidated interim statement of loss and comprehensive loss</w:t>
      </w:r>
      <w:r w:rsidR="00C31E47" w:rsidRPr="00C31E47" w:rsidDel="00C31E47">
        <w:rPr>
          <w:rFonts w:ascii="Times New Roman" w:eastAsia="Times New Roman" w:hAnsi="Times New Roman" w:cs="Times New Roman"/>
          <w:sz w:val="20"/>
          <w:szCs w:val="20"/>
          <w:lang w:val="en-US"/>
        </w:rPr>
        <w:t xml:space="preserve"> </w:t>
      </w:r>
      <w:r w:rsidRPr="00F229CE">
        <w:rPr>
          <w:rFonts w:ascii="Times New Roman" w:eastAsia="Times New Roman" w:hAnsi="Times New Roman" w:cs="Times New Roman"/>
          <w:sz w:val="20"/>
          <w:szCs w:val="20"/>
          <w:lang w:val="en-US"/>
        </w:rPr>
        <w:t xml:space="preserve">as incurred. </w:t>
      </w:r>
    </w:p>
    <w:p w14:paraId="491E7578" w14:textId="77777777" w:rsidR="0083644A" w:rsidRDefault="0083644A" w:rsidP="00F037DA">
      <w:pPr>
        <w:spacing w:after="0" w:line="240" w:lineRule="auto"/>
        <w:ind w:left="720"/>
        <w:jc w:val="both"/>
        <w:rPr>
          <w:rFonts w:ascii="Times New Roman" w:eastAsia="Times New Roman" w:hAnsi="Times New Roman" w:cs="Times New Roman"/>
          <w:sz w:val="20"/>
          <w:szCs w:val="20"/>
          <w:lang w:val="en-US"/>
        </w:rPr>
      </w:pPr>
    </w:p>
    <w:p w14:paraId="292CFA05" w14:textId="7584AAC6" w:rsidR="00F037DA" w:rsidRDefault="00F037DA" w:rsidP="00F037DA">
      <w:pPr>
        <w:spacing w:after="0" w:line="240" w:lineRule="auto"/>
        <w:ind w:left="720"/>
        <w:jc w:val="both"/>
        <w:rPr>
          <w:rFonts w:ascii="Times New Roman" w:eastAsia="Times New Roman" w:hAnsi="Times New Roman" w:cs="Times New Roman"/>
          <w:sz w:val="20"/>
          <w:szCs w:val="20"/>
          <w:lang w:val="en-US"/>
        </w:rPr>
      </w:pPr>
      <w:r w:rsidRPr="00F229CE">
        <w:rPr>
          <w:rFonts w:ascii="Times New Roman" w:eastAsia="Times New Roman" w:hAnsi="Times New Roman" w:cs="Times New Roman"/>
          <w:sz w:val="20"/>
          <w:szCs w:val="20"/>
          <w:lang w:val="en-US"/>
        </w:rPr>
        <w:t xml:space="preserve">Such capitalized </w:t>
      </w:r>
      <w:r>
        <w:rPr>
          <w:rFonts w:ascii="Times New Roman" w:eastAsia="Times New Roman" w:hAnsi="Times New Roman" w:cs="Times New Roman"/>
          <w:sz w:val="20"/>
          <w:szCs w:val="20"/>
          <w:lang w:val="en-US"/>
        </w:rPr>
        <w:t>items</w:t>
      </w:r>
      <w:r w:rsidRPr="00F229CE">
        <w:rPr>
          <w:rFonts w:ascii="Times New Roman" w:eastAsia="Times New Roman" w:hAnsi="Times New Roman" w:cs="Times New Roman"/>
          <w:sz w:val="20"/>
          <w:szCs w:val="20"/>
          <w:lang w:val="en-US"/>
        </w:rPr>
        <w:t xml:space="preserve"> generally</w:t>
      </w:r>
      <w:r>
        <w:rPr>
          <w:rFonts w:ascii="Times New Roman" w:eastAsia="Times New Roman" w:hAnsi="Times New Roman" w:cs="Times New Roman"/>
          <w:sz w:val="20"/>
          <w:szCs w:val="20"/>
          <w:lang w:val="en-US"/>
        </w:rPr>
        <w:t xml:space="preserve"> </w:t>
      </w:r>
      <w:r w:rsidRPr="00F229CE">
        <w:rPr>
          <w:rFonts w:ascii="Times New Roman" w:eastAsia="Times New Roman" w:hAnsi="Times New Roman" w:cs="Times New Roman"/>
          <w:sz w:val="20"/>
          <w:szCs w:val="20"/>
          <w:lang w:val="en-US"/>
        </w:rPr>
        <w:t xml:space="preserve">represent costs incurred in developing proved and/or probable reserves and bringing on or enhancing production from such </w:t>
      </w:r>
      <w:proofErr w:type="gramStart"/>
      <w:r w:rsidRPr="00F229CE">
        <w:rPr>
          <w:rFonts w:ascii="Times New Roman" w:eastAsia="Times New Roman" w:hAnsi="Times New Roman" w:cs="Times New Roman"/>
          <w:sz w:val="20"/>
          <w:szCs w:val="20"/>
          <w:lang w:val="en-US"/>
        </w:rPr>
        <w:t>reserves, and</w:t>
      </w:r>
      <w:proofErr w:type="gramEnd"/>
      <w:r>
        <w:rPr>
          <w:rFonts w:ascii="Times New Roman" w:eastAsia="Times New Roman" w:hAnsi="Times New Roman" w:cs="Times New Roman"/>
          <w:sz w:val="20"/>
          <w:szCs w:val="20"/>
          <w:lang w:val="en-US"/>
        </w:rPr>
        <w:t xml:space="preserve"> </w:t>
      </w:r>
      <w:r w:rsidRPr="00F229CE">
        <w:rPr>
          <w:rFonts w:ascii="Times New Roman" w:eastAsia="Times New Roman" w:hAnsi="Times New Roman" w:cs="Times New Roman"/>
          <w:sz w:val="20"/>
          <w:szCs w:val="20"/>
          <w:lang w:val="en-US"/>
        </w:rPr>
        <w:t>are accumulated on a field or geotechnical area basis. The carrying amount of any replaced or sold component is derecognized. The costs</w:t>
      </w:r>
      <w:r>
        <w:rPr>
          <w:rFonts w:ascii="Times New Roman" w:eastAsia="Times New Roman" w:hAnsi="Times New Roman" w:cs="Times New Roman"/>
          <w:sz w:val="20"/>
          <w:szCs w:val="20"/>
          <w:lang w:val="en-US"/>
        </w:rPr>
        <w:t xml:space="preserve"> </w:t>
      </w:r>
      <w:r w:rsidRPr="00F229CE">
        <w:rPr>
          <w:rFonts w:ascii="Times New Roman" w:eastAsia="Times New Roman" w:hAnsi="Times New Roman" w:cs="Times New Roman"/>
          <w:sz w:val="20"/>
          <w:szCs w:val="20"/>
          <w:lang w:val="en-US"/>
        </w:rPr>
        <w:t xml:space="preserve">of the day-to-day servicing of </w:t>
      </w:r>
      <w:r>
        <w:rPr>
          <w:rFonts w:ascii="Times New Roman" w:eastAsia="Times New Roman" w:hAnsi="Times New Roman" w:cs="Times New Roman"/>
          <w:sz w:val="20"/>
          <w:szCs w:val="20"/>
          <w:lang w:val="en-US"/>
        </w:rPr>
        <w:t xml:space="preserve">oil ang gas </w:t>
      </w:r>
      <w:r w:rsidR="005A2F14">
        <w:rPr>
          <w:rFonts w:ascii="Times New Roman" w:eastAsia="Times New Roman" w:hAnsi="Times New Roman" w:cs="Times New Roman"/>
          <w:sz w:val="20"/>
          <w:szCs w:val="20"/>
          <w:lang w:val="en-US"/>
        </w:rPr>
        <w:t xml:space="preserve">properties </w:t>
      </w:r>
      <w:r w:rsidR="005A2F14" w:rsidRPr="00F229CE">
        <w:rPr>
          <w:rFonts w:ascii="Times New Roman" w:eastAsia="Times New Roman" w:hAnsi="Times New Roman" w:cs="Times New Roman"/>
          <w:sz w:val="20"/>
          <w:szCs w:val="20"/>
          <w:lang w:val="en-US"/>
        </w:rPr>
        <w:t>are</w:t>
      </w:r>
      <w:r w:rsidRPr="00F229CE">
        <w:rPr>
          <w:rFonts w:ascii="Times New Roman" w:eastAsia="Times New Roman" w:hAnsi="Times New Roman" w:cs="Times New Roman"/>
          <w:sz w:val="20"/>
          <w:szCs w:val="20"/>
          <w:lang w:val="en-US"/>
        </w:rPr>
        <w:t xml:space="preserve"> recognized in </w:t>
      </w:r>
      <w:r w:rsidR="00C31E47" w:rsidRPr="00C31E47">
        <w:rPr>
          <w:rFonts w:ascii="Times New Roman" w:eastAsia="Times New Roman" w:hAnsi="Times New Roman" w:cs="Times New Roman"/>
          <w:sz w:val="20"/>
          <w:szCs w:val="20"/>
          <w:lang w:val="en-US"/>
        </w:rPr>
        <w:t>consolidated interim statement of loss and comprehensive loss</w:t>
      </w:r>
      <w:r w:rsidR="00C31E47" w:rsidRPr="00C31E47" w:rsidDel="00C31E47">
        <w:rPr>
          <w:rFonts w:ascii="Times New Roman" w:eastAsia="Times New Roman" w:hAnsi="Times New Roman" w:cs="Times New Roman"/>
          <w:sz w:val="20"/>
          <w:szCs w:val="20"/>
          <w:lang w:val="en-US"/>
        </w:rPr>
        <w:t xml:space="preserve"> </w:t>
      </w:r>
      <w:r w:rsidRPr="00F229CE">
        <w:rPr>
          <w:rFonts w:ascii="Times New Roman" w:eastAsia="Times New Roman" w:hAnsi="Times New Roman" w:cs="Times New Roman"/>
          <w:sz w:val="20"/>
          <w:szCs w:val="20"/>
          <w:lang w:val="en-US"/>
        </w:rPr>
        <w:t>as incurred.</w:t>
      </w:r>
    </w:p>
    <w:p w14:paraId="3D805D45" w14:textId="77777777" w:rsidR="00F037DA" w:rsidRPr="00F229CE" w:rsidRDefault="00F037DA" w:rsidP="00F037DA">
      <w:pPr>
        <w:spacing w:after="0" w:line="240" w:lineRule="auto"/>
        <w:ind w:left="720"/>
        <w:jc w:val="both"/>
        <w:rPr>
          <w:rFonts w:ascii="Times New Roman" w:eastAsia="Times New Roman" w:hAnsi="Times New Roman" w:cs="Times New Roman"/>
          <w:sz w:val="20"/>
          <w:szCs w:val="20"/>
          <w:lang w:val="en-US"/>
        </w:rPr>
      </w:pPr>
    </w:p>
    <w:p w14:paraId="0086F68A" w14:textId="77777777" w:rsidR="00F037DA" w:rsidRDefault="00F037DA" w:rsidP="00F037DA">
      <w:pPr>
        <w:spacing w:after="0" w:line="240" w:lineRule="auto"/>
        <w:ind w:left="720"/>
        <w:jc w:val="both"/>
        <w:rPr>
          <w:rFonts w:ascii="Times New Roman" w:eastAsia="Times New Roman" w:hAnsi="Times New Roman" w:cs="Times New Roman"/>
          <w:sz w:val="20"/>
          <w:szCs w:val="20"/>
          <w:lang w:val="en-US"/>
        </w:rPr>
      </w:pPr>
      <w:r w:rsidRPr="00F229CE">
        <w:rPr>
          <w:rFonts w:ascii="Times New Roman" w:eastAsia="Times New Roman" w:hAnsi="Times New Roman" w:cs="Times New Roman"/>
          <w:sz w:val="20"/>
          <w:szCs w:val="20"/>
          <w:lang w:val="en-US"/>
        </w:rPr>
        <w:t xml:space="preserve">The net carrying value of </w:t>
      </w:r>
      <w:r>
        <w:rPr>
          <w:rFonts w:ascii="Times New Roman" w:eastAsia="Times New Roman" w:hAnsi="Times New Roman" w:cs="Times New Roman"/>
          <w:sz w:val="20"/>
          <w:szCs w:val="20"/>
          <w:lang w:val="en-US"/>
        </w:rPr>
        <w:t>oil and gas properties</w:t>
      </w:r>
      <w:r w:rsidRPr="00F229CE">
        <w:rPr>
          <w:rFonts w:ascii="Times New Roman" w:eastAsia="Times New Roman" w:hAnsi="Times New Roman" w:cs="Times New Roman"/>
          <w:sz w:val="20"/>
          <w:szCs w:val="20"/>
          <w:lang w:val="en-US"/>
        </w:rPr>
        <w:t xml:space="preserve"> is depleted using the unit-of-production method by reference to the ratio of</w:t>
      </w:r>
      <w:r>
        <w:rPr>
          <w:rFonts w:ascii="Times New Roman" w:eastAsia="Times New Roman" w:hAnsi="Times New Roman" w:cs="Times New Roman"/>
          <w:sz w:val="20"/>
          <w:szCs w:val="20"/>
          <w:lang w:val="en-US"/>
        </w:rPr>
        <w:t xml:space="preserve"> </w:t>
      </w:r>
      <w:r w:rsidRPr="00F229CE">
        <w:rPr>
          <w:rFonts w:ascii="Times New Roman" w:eastAsia="Times New Roman" w:hAnsi="Times New Roman" w:cs="Times New Roman"/>
          <w:sz w:val="20"/>
          <w:szCs w:val="20"/>
          <w:lang w:val="en-US"/>
        </w:rPr>
        <w:t xml:space="preserve">production in the year to the related proved reserves, </w:t>
      </w:r>
      <w:proofErr w:type="gramStart"/>
      <w:r w:rsidRPr="00F229CE">
        <w:rPr>
          <w:rFonts w:ascii="Times New Roman" w:eastAsia="Times New Roman" w:hAnsi="Times New Roman" w:cs="Times New Roman"/>
          <w:sz w:val="20"/>
          <w:szCs w:val="20"/>
          <w:lang w:val="en-US"/>
        </w:rPr>
        <w:t>taking into account</w:t>
      </w:r>
      <w:proofErr w:type="gramEnd"/>
      <w:r w:rsidRPr="00F229CE">
        <w:rPr>
          <w:rFonts w:ascii="Times New Roman" w:eastAsia="Times New Roman" w:hAnsi="Times New Roman" w:cs="Times New Roman"/>
          <w:sz w:val="20"/>
          <w:szCs w:val="20"/>
          <w:lang w:val="en-US"/>
        </w:rPr>
        <w:t xml:space="preserve"> estimated future development costs necessary to</w:t>
      </w:r>
      <w:r>
        <w:rPr>
          <w:rFonts w:ascii="Times New Roman" w:eastAsia="Times New Roman" w:hAnsi="Times New Roman" w:cs="Times New Roman"/>
          <w:sz w:val="20"/>
          <w:szCs w:val="20"/>
          <w:lang w:val="en-US"/>
        </w:rPr>
        <w:t xml:space="preserve"> </w:t>
      </w:r>
      <w:r w:rsidRPr="00F229CE">
        <w:rPr>
          <w:rFonts w:ascii="Times New Roman" w:eastAsia="Times New Roman" w:hAnsi="Times New Roman" w:cs="Times New Roman"/>
          <w:sz w:val="20"/>
          <w:szCs w:val="20"/>
          <w:lang w:val="en-US"/>
        </w:rPr>
        <w:t>bring those reserves into production. These estimates are reviewed by independent reservoir engineers at least annually.</w:t>
      </w:r>
      <w:r>
        <w:rPr>
          <w:rFonts w:ascii="Times New Roman" w:eastAsia="Times New Roman" w:hAnsi="Times New Roman" w:cs="Times New Roman"/>
          <w:sz w:val="20"/>
          <w:szCs w:val="20"/>
          <w:lang w:val="en-US"/>
        </w:rPr>
        <w:t xml:space="preserve">  </w:t>
      </w:r>
    </w:p>
    <w:p w14:paraId="4EE17A75" w14:textId="25528CBA" w:rsidR="00D2099E" w:rsidRPr="00D2099E" w:rsidRDefault="00D2099E" w:rsidP="00CA4239">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5C3CBD3A" w14:textId="77777777" w:rsidTr="005C7D2D">
        <w:tc>
          <w:tcPr>
            <w:tcW w:w="360" w:type="dxa"/>
            <w:hideMark/>
          </w:tcPr>
          <w:p w14:paraId="3B23A70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61CABCA9" w14:textId="6AED8260"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6E5FBD">
              <w:rPr>
                <w:rFonts w:ascii="Times New Roman" w:eastAsia="Times New Roman" w:hAnsi="Times New Roman" w:cs="Times New Roman"/>
                <w:sz w:val="20"/>
                <w:szCs w:val="20"/>
                <w:lang w:val="en-US"/>
              </w:rPr>
              <w:t>h</w:t>
            </w:r>
            <w:r w:rsidRPr="00D2099E">
              <w:rPr>
                <w:rFonts w:ascii="Times New Roman" w:eastAsia="Times New Roman" w:hAnsi="Times New Roman" w:cs="Times New Roman"/>
                <w:sz w:val="20"/>
                <w:szCs w:val="20"/>
                <w:lang w:val="en-US"/>
              </w:rPr>
              <w:t>)</w:t>
            </w:r>
          </w:p>
        </w:tc>
        <w:tc>
          <w:tcPr>
            <w:tcW w:w="0" w:type="auto"/>
            <w:hideMark/>
          </w:tcPr>
          <w:p w14:paraId="39B47D6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Property and Equipment</w:t>
            </w:r>
          </w:p>
        </w:tc>
      </w:tr>
    </w:tbl>
    <w:p w14:paraId="213432DD"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A900520"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Property and equipment are stated at cost and depreciated using the straight-line method over the shorter of the estimated useful life of the asset or the lease term. The estimated useful lives </w:t>
      </w:r>
      <w:proofErr w:type="gramStart"/>
      <w:r w:rsidRPr="00D2099E">
        <w:rPr>
          <w:rFonts w:ascii="Times New Roman" w:eastAsia="Times New Roman" w:hAnsi="Times New Roman" w:cs="Times New Roman"/>
          <w:sz w:val="20"/>
          <w:szCs w:val="20"/>
          <w:lang w:val="en-US"/>
        </w:rPr>
        <w:t>are:</w:t>
      </w:r>
      <w:proofErr w:type="gramEnd"/>
      <w:r w:rsidRPr="00D2099E">
        <w:rPr>
          <w:rFonts w:ascii="Times New Roman" w:eastAsia="Times New Roman" w:hAnsi="Times New Roman" w:cs="Times New Roman"/>
          <w:sz w:val="20"/>
          <w:szCs w:val="20"/>
          <w:lang w:val="en-US"/>
        </w:rPr>
        <w:t xml:space="preserve"> other assets are depreciated over 20 years; and leasehold improvements are depreciated over the term of the lease.</w:t>
      </w:r>
    </w:p>
    <w:p w14:paraId="32218959"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3D03E7D6" w14:textId="77777777" w:rsidTr="005C7D2D">
        <w:tc>
          <w:tcPr>
            <w:tcW w:w="360" w:type="dxa"/>
            <w:hideMark/>
          </w:tcPr>
          <w:p w14:paraId="4B9EE45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29A9A7C2" w14:textId="34AF8FAB"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roofErr w:type="spellStart"/>
            <w:r w:rsidR="00FF3632">
              <w:rPr>
                <w:rFonts w:ascii="Times New Roman" w:eastAsia="Times New Roman" w:hAnsi="Times New Roman" w:cs="Times New Roman"/>
                <w:sz w:val="20"/>
                <w:szCs w:val="20"/>
                <w:lang w:val="en-US"/>
              </w:rPr>
              <w:t>i</w:t>
            </w:r>
            <w:proofErr w:type="spellEnd"/>
            <w:r w:rsidRPr="00D2099E">
              <w:rPr>
                <w:rFonts w:ascii="Times New Roman" w:eastAsia="Times New Roman" w:hAnsi="Times New Roman" w:cs="Times New Roman"/>
                <w:sz w:val="20"/>
                <w:szCs w:val="20"/>
                <w:lang w:val="en-US"/>
              </w:rPr>
              <w:t>)</w:t>
            </w:r>
          </w:p>
        </w:tc>
        <w:tc>
          <w:tcPr>
            <w:tcW w:w="0" w:type="auto"/>
            <w:hideMark/>
          </w:tcPr>
          <w:p w14:paraId="6C957705" w14:textId="4E275116" w:rsidR="00D2099E" w:rsidRPr="00D2099E" w:rsidRDefault="00FF3632" w:rsidP="00D2099E">
            <w:pPr>
              <w:spacing w:after="0" w:line="240" w:lineRule="auto"/>
              <w:jc w:val="both"/>
              <w:rPr>
                <w:rFonts w:ascii="Times New Roman" w:eastAsia="Times New Roman" w:hAnsi="Times New Roman" w:cs="Times New Roman"/>
                <w:sz w:val="20"/>
                <w:szCs w:val="20"/>
                <w:lang w:val="en-US"/>
              </w:rPr>
            </w:pPr>
            <w:r w:rsidRPr="00FF3632">
              <w:rPr>
                <w:rFonts w:ascii="Times New Roman" w:eastAsia="Times New Roman" w:hAnsi="Times New Roman" w:cs="Times New Roman"/>
                <w:sz w:val="20"/>
                <w:szCs w:val="20"/>
                <w:lang w:val="en-US"/>
              </w:rPr>
              <w:t>Impairment of Non-financial Assets</w:t>
            </w:r>
          </w:p>
        </w:tc>
      </w:tr>
    </w:tbl>
    <w:p w14:paraId="59E1E1AB" w14:textId="77777777" w:rsidR="00D2099E" w:rsidRPr="00D2099E" w:rsidRDefault="00D2099E" w:rsidP="00D2099E">
      <w:pPr>
        <w:spacing w:after="0" w:line="240" w:lineRule="auto"/>
        <w:ind w:left="709" w:hanging="28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67240AE" w14:textId="1FDB52D0" w:rsidR="00D2099E" w:rsidRDefault="00853AF2" w:rsidP="00D2099E">
      <w:pPr>
        <w:spacing w:after="0" w:line="240" w:lineRule="auto"/>
        <w:ind w:left="720"/>
        <w:jc w:val="both"/>
        <w:rPr>
          <w:rFonts w:ascii="Times New Roman" w:eastAsia="Times New Roman" w:hAnsi="Times New Roman" w:cs="Times New Roman"/>
          <w:sz w:val="20"/>
          <w:szCs w:val="20"/>
          <w:lang w:val="en-US"/>
        </w:rPr>
      </w:pPr>
      <w:r w:rsidRPr="00853AF2">
        <w:rPr>
          <w:rFonts w:ascii="Times New Roman" w:eastAsia="Times New Roman" w:hAnsi="Times New Roman" w:cs="Times New Roman"/>
          <w:sz w:val="20"/>
          <w:szCs w:val="20"/>
          <w:lang w:val="en-US"/>
        </w:rPr>
        <w:t xml:space="preserve">Exploration and evaluation assets, oil and gas properties, and property and equipment are </w:t>
      </w:r>
      <w:r w:rsidR="00AB14E1" w:rsidRPr="00853AF2">
        <w:rPr>
          <w:rFonts w:ascii="Times New Roman" w:eastAsia="Times New Roman" w:hAnsi="Times New Roman" w:cs="Times New Roman"/>
          <w:sz w:val="20"/>
          <w:szCs w:val="20"/>
          <w:lang w:val="en-US"/>
        </w:rPr>
        <w:t>reviewed when</w:t>
      </w:r>
      <w:r w:rsidRPr="00853AF2">
        <w:rPr>
          <w:rFonts w:ascii="Times New Roman" w:eastAsia="Times New Roman" w:hAnsi="Times New Roman" w:cs="Times New Roman"/>
          <w:sz w:val="20"/>
          <w:szCs w:val="20"/>
          <w:lang w:val="en-US"/>
        </w:rPr>
        <w:t xml:space="preserve"> events or changes in circumstances indicate the assets may not be recoverable.  Exploration and evaluation assets are also tested for impairment immediately prior to being transferred to oil and gas properties. If any such indication exists, the recoverable amount of the asset is estimated </w:t>
      </w:r>
      <w:proofErr w:type="gramStart"/>
      <w:r w:rsidRPr="00853AF2">
        <w:rPr>
          <w:rFonts w:ascii="Times New Roman" w:eastAsia="Times New Roman" w:hAnsi="Times New Roman" w:cs="Times New Roman"/>
          <w:sz w:val="20"/>
          <w:szCs w:val="20"/>
          <w:lang w:val="en-US"/>
        </w:rPr>
        <w:t>in order to</w:t>
      </w:r>
      <w:proofErr w:type="gramEnd"/>
      <w:r w:rsidRPr="00853AF2">
        <w:rPr>
          <w:rFonts w:ascii="Times New Roman" w:eastAsia="Times New Roman" w:hAnsi="Times New Roman" w:cs="Times New Roman"/>
          <w:sz w:val="20"/>
          <w:szCs w:val="20"/>
          <w:lang w:val="en-US"/>
        </w:rPr>
        <w:t xml:space="preserve"> determine the extent of the impairment loss, if any. Impairment exists when the carrying value of an asset exceeds its recoverable amount, which is the higher of its fair value less costs to sell and its value in use. These calculations are based on available data, other observable </w:t>
      </w:r>
      <w:proofErr w:type="gramStart"/>
      <w:r w:rsidRPr="00853AF2">
        <w:rPr>
          <w:rFonts w:ascii="Times New Roman" w:eastAsia="Times New Roman" w:hAnsi="Times New Roman" w:cs="Times New Roman"/>
          <w:sz w:val="20"/>
          <w:szCs w:val="20"/>
          <w:lang w:val="en-US"/>
        </w:rPr>
        <w:t>inputs</w:t>
      </w:r>
      <w:proofErr w:type="gramEnd"/>
      <w:r w:rsidRPr="00853AF2">
        <w:rPr>
          <w:rFonts w:ascii="Times New Roman" w:eastAsia="Times New Roman" w:hAnsi="Times New Roman" w:cs="Times New Roman"/>
          <w:sz w:val="20"/>
          <w:szCs w:val="20"/>
          <w:lang w:val="en-US"/>
        </w:rPr>
        <w:t xml:space="preserve"> and projections of cash flows, all of which are subject to estimates and assumptions. Recoverable amounts are also sensitive to assumptions about the future usefulness of in-process development and the related marketing rights.</w:t>
      </w:r>
      <w:r w:rsidR="00D2099E" w:rsidRPr="00D2099E">
        <w:rPr>
          <w:rFonts w:ascii="Times New Roman" w:eastAsia="Times New Roman" w:hAnsi="Times New Roman" w:cs="Times New Roman"/>
          <w:sz w:val="20"/>
          <w:szCs w:val="20"/>
          <w:lang w:val="en-US"/>
        </w:rPr>
        <w:t> </w:t>
      </w:r>
    </w:p>
    <w:p w14:paraId="40A5B0D9" w14:textId="77777777" w:rsidR="00AB14E1" w:rsidRPr="00D2099E" w:rsidRDefault="00AB14E1" w:rsidP="00D2099E">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50A223A8" w14:textId="77777777" w:rsidTr="005C7D2D">
        <w:tc>
          <w:tcPr>
            <w:tcW w:w="360" w:type="dxa"/>
            <w:hideMark/>
          </w:tcPr>
          <w:p w14:paraId="4828328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4926F3F4" w14:textId="3C04C044"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B10E4E">
              <w:rPr>
                <w:rFonts w:ascii="Times New Roman" w:eastAsia="Times New Roman" w:hAnsi="Times New Roman" w:cs="Times New Roman"/>
                <w:sz w:val="20"/>
                <w:szCs w:val="20"/>
                <w:lang w:val="en-US"/>
              </w:rPr>
              <w:t>j</w:t>
            </w:r>
            <w:r w:rsidRPr="00D2099E">
              <w:rPr>
                <w:rFonts w:ascii="Times New Roman" w:eastAsia="Times New Roman" w:hAnsi="Times New Roman" w:cs="Times New Roman"/>
                <w:sz w:val="20"/>
                <w:szCs w:val="20"/>
                <w:lang w:val="en-US"/>
              </w:rPr>
              <w:t>)</w:t>
            </w:r>
          </w:p>
        </w:tc>
        <w:tc>
          <w:tcPr>
            <w:tcW w:w="0" w:type="auto"/>
            <w:hideMark/>
          </w:tcPr>
          <w:p w14:paraId="7669B719" w14:textId="1D50CE37" w:rsidR="00D2099E" w:rsidRPr="00D2099E" w:rsidRDefault="003F7D07" w:rsidP="00D2099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Provisions</w:t>
            </w:r>
          </w:p>
        </w:tc>
      </w:tr>
    </w:tbl>
    <w:p w14:paraId="773EBB52" w14:textId="77777777" w:rsidR="00D2099E" w:rsidRPr="00D2099E" w:rsidRDefault="00D2099E" w:rsidP="00D2099E">
      <w:pPr>
        <w:spacing w:after="0" w:line="240" w:lineRule="auto"/>
        <w:ind w:left="709" w:hanging="28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7948D4FE" w14:textId="77777777" w:rsidR="00B10E4E" w:rsidRDefault="00B10E4E" w:rsidP="00B10E4E">
      <w:pPr>
        <w:spacing w:after="0" w:line="240" w:lineRule="auto"/>
        <w:ind w:left="720"/>
        <w:jc w:val="both"/>
        <w:rPr>
          <w:rFonts w:ascii="Times New Roman" w:eastAsia="Times New Roman" w:hAnsi="Times New Roman" w:cs="Times New Roman"/>
          <w:sz w:val="20"/>
          <w:szCs w:val="20"/>
          <w:lang w:val="en-US"/>
        </w:rPr>
      </w:pPr>
      <w:r w:rsidRPr="00D65B24">
        <w:rPr>
          <w:rFonts w:ascii="Times New Roman" w:eastAsia="Times New Roman" w:hAnsi="Times New Roman" w:cs="Times New Roman"/>
          <w:sz w:val="20"/>
          <w:szCs w:val="20"/>
          <w:lang w:val="en-US"/>
        </w:rPr>
        <w:t xml:space="preserve">Provisions are recognized by the company when it has a legal or constructive obligation </w:t>
      </w:r>
      <w:proofErr w:type="gramStart"/>
      <w:r w:rsidRPr="00D65B24">
        <w:rPr>
          <w:rFonts w:ascii="Times New Roman" w:eastAsia="Times New Roman" w:hAnsi="Times New Roman" w:cs="Times New Roman"/>
          <w:sz w:val="20"/>
          <w:szCs w:val="20"/>
          <w:lang w:val="en-US"/>
        </w:rPr>
        <w:t>as a result of</w:t>
      </w:r>
      <w:proofErr w:type="gramEnd"/>
      <w:r w:rsidRPr="00D65B24">
        <w:rPr>
          <w:rFonts w:ascii="Times New Roman" w:eastAsia="Times New Roman" w:hAnsi="Times New Roman" w:cs="Times New Roman"/>
          <w:sz w:val="20"/>
          <w:szCs w:val="20"/>
          <w:lang w:val="en-US"/>
        </w:rPr>
        <w:t xml:space="preserve"> past events, it is probable</w:t>
      </w:r>
      <w:r>
        <w:rPr>
          <w:rFonts w:ascii="Times New Roman" w:eastAsia="Times New Roman" w:hAnsi="Times New Roman" w:cs="Times New Roman"/>
          <w:sz w:val="20"/>
          <w:szCs w:val="20"/>
          <w:lang w:val="en-US"/>
        </w:rPr>
        <w:t xml:space="preserve"> </w:t>
      </w:r>
      <w:r w:rsidRPr="00D65B24">
        <w:rPr>
          <w:rFonts w:ascii="Times New Roman" w:eastAsia="Times New Roman" w:hAnsi="Times New Roman" w:cs="Times New Roman"/>
          <w:sz w:val="20"/>
          <w:szCs w:val="20"/>
          <w:lang w:val="en-US"/>
        </w:rPr>
        <w:t>that an outflow of economic resources will be required to settle the obligation and a reliable estimate can be made of the</w:t>
      </w:r>
      <w:r>
        <w:rPr>
          <w:rFonts w:ascii="Times New Roman" w:eastAsia="Times New Roman" w:hAnsi="Times New Roman" w:cs="Times New Roman"/>
          <w:sz w:val="20"/>
          <w:szCs w:val="20"/>
          <w:lang w:val="en-US"/>
        </w:rPr>
        <w:t xml:space="preserve"> </w:t>
      </w:r>
      <w:r w:rsidRPr="00D65B24">
        <w:rPr>
          <w:rFonts w:ascii="Times New Roman" w:eastAsia="Times New Roman" w:hAnsi="Times New Roman" w:cs="Times New Roman"/>
          <w:sz w:val="20"/>
          <w:szCs w:val="20"/>
          <w:lang w:val="en-US"/>
        </w:rPr>
        <w:t>amount of the obligation.</w:t>
      </w:r>
    </w:p>
    <w:p w14:paraId="7A2004E3" w14:textId="77777777" w:rsidR="00B10E4E" w:rsidRPr="00D65B24" w:rsidRDefault="00B10E4E" w:rsidP="00B10E4E">
      <w:pPr>
        <w:spacing w:after="0" w:line="240" w:lineRule="auto"/>
        <w:ind w:left="720"/>
        <w:jc w:val="both"/>
        <w:rPr>
          <w:rFonts w:ascii="Times New Roman" w:eastAsia="Times New Roman" w:hAnsi="Times New Roman" w:cs="Times New Roman"/>
          <w:sz w:val="20"/>
          <w:szCs w:val="20"/>
          <w:lang w:val="en-US"/>
        </w:rPr>
      </w:pPr>
    </w:p>
    <w:p w14:paraId="396878F8" w14:textId="77777777" w:rsidR="00B10E4E" w:rsidRDefault="00B10E4E" w:rsidP="00B10E4E">
      <w:pPr>
        <w:spacing w:after="0" w:line="240" w:lineRule="auto"/>
        <w:ind w:left="720"/>
        <w:jc w:val="both"/>
        <w:rPr>
          <w:rFonts w:ascii="Times New Roman" w:eastAsia="Times New Roman" w:hAnsi="Times New Roman" w:cs="Times New Roman"/>
          <w:sz w:val="20"/>
          <w:szCs w:val="20"/>
          <w:lang w:val="en-US"/>
        </w:rPr>
      </w:pPr>
      <w:r w:rsidRPr="00D65B24">
        <w:rPr>
          <w:rFonts w:ascii="Times New Roman" w:eastAsia="Times New Roman" w:hAnsi="Times New Roman" w:cs="Times New Roman"/>
          <w:sz w:val="20"/>
          <w:szCs w:val="20"/>
          <w:lang w:val="en-US"/>
        </w:rPr>
        <w:t xml:space="preserve">Provisions are recognized for decommissioning and restoration obligations associated with the company’s </w:t>
      </w:r>
      <w:r>
        <w:rPr>
          <w:rFonts w:ascii="Times New Roman" w:eastAsia="Times New Roman" w:hAnsi="Times New Roman" w:cs="Times New Roman"/>
          <w:sz w:val="20"/>
          <w:szCs w:val="20"/>
          <w:lang w:val="en-US"/>
        </w:rPr>
        <w:t>e</w:t>
      </w:r>
      <w:r w:rsidRPr="00D65B24">
        <w:rPr>
          <w:rFonts w:ascii="Times New Roman" w:eastAsia="Times New Roman" w:hAnsi="Times New Roman" w:cs="Times New Roman"/>
          <w:sz w:val="20"/>
          <w:szCs w:val="20"/>
          <w:lang w:val="en-US"/>
        </w:rPr>
        <w:t>xploration and</w:t>
      </w:r>
      <w:r>
        <w:rPr>
          <w:rFonts w:ascii="Times New Roman" w:eastAsia="Times New Roman" w:hAnsi="Times New Roman" w:cs="Times New Roman"/>
          <w:sz w:val="20"/>
          <w:szCs w:val="20"/>
          <w:lang w:val="en-US"/>
        </w:rPr>
        <w:t xml:space="preserve"> e</w:t>
      </w:r>
      <w:r w:rsidRPr="00D65B24">
        <w:rPr>
          <w:rFonts w:ascii="Times New Roman" w:eastAsia="Times New Roman" w:hAnsi="Times New Roman" w:cs="Times New Roman"/>
          <w:sz w:val="20"/>
          <w:szCs w:val="20"/>
          <w:lang w:val="en-US"/>
        </w:rPr>
        <w:t xml:space="preserve">valuation assets and </w:t>
      </w:r>
      <w:r>
        <w:rPr>
          <w:rFonts w:ascii="Times New Roman" w:eastAsia="Times New Roman" w:hAnsi="Times New Roman" w:cs="Times New Roman"/>
          <w:sz w:val="20"/>
          <w:szCs w:val="20"/>
          <w:lang w:val="en-US"/>
        </w:rPr>
        <w:t>oil and gas properties</w:t>
      </w:r>
      <w:r w:rsidRPr="00D65B24">
        <w:rPr>
          <w:rFonts w:ascii="Times New Roman" w:eastAsia="Times New Roman" w:hAnsi="Times New Roman" w:cs="Times New Roman"/>
          <w:sz w:val="20"/>
          <w:szCs w:val="20"/>
          <w:lang w:val="en-US"/>
        </w:rPr>
        <w:t>. Provisions for decommissioning and restoration obligations are measured</w:t>
      </w:r>
      <w:r>
        <w:rPr>
          <w:rFonts w:ascii="Times New Roman" w:eastAsia="Times New Roman" w:hAnsi="Times New Roman" w:cs="Times New Roman"/>
          <w:sz w:val="20"/>
          <w:szCs w:val="20"/>
          <w:lang w:val="en-US"/>
        </w:rPr>
        <w:t xml:space="preserve"> </w:t>
      </w:r>
      <w:r w:rsidRPr="00D65B24">
        <w:rPr>
          <w:rFonts w:ascii="Times New Roman" w:eastAsia="Times New Roman" w:hAnsi="Times New Roman" w:cs="Times New Roman"/>
          <w:sz w:val="20"/>
          <w:szCs w:val="20"/>
          <w:lang w:val="en-US"/>
        </w:rPr>
        <w:t>at the present value of management’s best estimate of the future cash flows required to settle the present obligation, using</w:t>
      </w:r>
      <w:r>
        <w:rPr>
          <w:rFonts w:ascii="Times New Roman" w:eastAsia="Times New Roman" w:hAnsi="Times New Roman" w:cs="Times New Roman"/>
          <w:sz w:val="20"/>
          <w:szCs w:val="20"/>
          <w:lang w:val="en-US"/>
        </w:rPr>
        <w:t xml:space="preserve"> </w:t>
      </w:r>
      <w:r w:rsidRPr="00D65B24">
        <w:rPr>
          <w:rFonts w:ascii="Times New Roman" w:eastAsia="Times New Roman" w:hAnsi="Times New Roman" w:cs="Times New Roman"/>
          <w:sz w:val="20"/>
          <w:szCs w:val="20"/>
          <w:lang w:val="en-US"/>
        </w:rPr>
        <w:t>the risk-free interest rate. The value of the obligation is added to the carrying amount of the associated asset</w:t>
      </w:r>
      <w:r>
        <w:rPr>
          <w:rFonts w:ascii="Times New Roman" w:eastAsia="Times New Roman" w:hAnsi="Times New Roman" w:cs="Times New Roman"/>
          <w:sz w:val="20"/>
          <w:szCs w:val="20"/>
          <w:lang w:val="en-US"/>
        </w:rPr>
        <w:t xml:space="preserve"> </w:t>
      </w:r>
      <w:r w:rsidRPr="00D65B24">
        <w:rPr>
          <w:rFonts w:ascii="Times New Roman" w:eastAsia="Times New Roman" w:hAnsi="Times New Roman" w:cs="Times New Roman"/>
          <w:sz w:val="20"/>
          <w:szCs w:val="20"/>
          <w:lang w:val="en-US"/>
        </w:rPr>
        <w:t>and amortized over the useful life of the asset. The provision is accreted over time with actual</w:t>
      </w:r>
      <w:r>
        <w:rPr>
          <w:rFonts w:ascii="Times New Roman" w:eastAsia="Times New Roman" w:hAnsi="Times New Roman" w:cs="Times New Roman"/>
          <w:sz w:val="20"/>
          <w:szCs w:val="20"/>
          <w:lang w:val="en-US"/>
        </w:rPr>
        <w:t xml:space="preserve"> </w:t>
      </w:r>
      <w:r w:rsidRPr="00D65B24">
        <w:rPr>
          <w:rFonts w:ascii="Times New Roman" w:eastAsia="Times New Roman" w:hAnsi="Times New Roman" w:cs="Times New Roman"/>
          <w:sz w:val="20"/>
          <w:szCs w:val="20"/>
          <w:lang w:val="en-US"/>
        </w:rPr>
        <w:t>expenditures charged against the accumulated obligation. Changes in the future cash flow estimates resulting from revisions to</w:t>
      </w:r>
      <w:r>
        <w:rPr>
          <w:rFonts w:ascii="Times New Roman" w:eastAsia="Times New Roman" w:hAnsi="Times New Roman" w:cs="Times New Roman"/>
          <w:sz w:val="20"/>
          <w:szCs w:val="20"/>
          <w:lang w:val="en-US"/>
        </w:rPr>
        <w:t xml:space="preserve"> </w:t>
      </w:r>
      <w:r w:rsidRPr="00D65B24">
        <w:rPr>
          <w:rFonts w:ascii="Times New Roman" w:eastAsia="Times New Roman" w:hAnsi="Times New Roman" w:cs="Times New Roman"/>
          <w:sz w:val="20"/>
          <w:szCs w:val="20"/>
          <w:lang w:val="en-US"/>
        </w:rPr>
        <w:t>the estimated timing or amount of undiscounted cash flows are recognized as a change in the decommissioning and restoration</w:t>
      </w:r>
      <w:r>
        <w:rPr>
          <w:rFonts w:ascii="Times New Roman" w:eastAsia="Times New Roman" w:hAnsi="Times New Roman" w:cs="Times New Roman"/>
          <w:sz w:val="20"/>
          <w:szCs w:val="20"/>
          <w:lang w:val="en-US"/>
        </w:rPr>
        <w:t xml:space="preserve"> </w:t>
      </w:r>
      <w:r w:rsidRPr="00D65B24">
        <w:rPr>
          <w:rFonts w:ascii="Times New Roman" w:eastAsia="Times New Roman" w:hAnsi="Times New Roman" w:cs="Times New Roman"/>
          <w:sz w:val="20"/>
          <w:szCs w:val="20"/>
          <w:lang w:val="en-US"/>
        </w:rPr>
        <w:t>provision and related asset.</w:t>
      </w:r>
      <w:r w:rsidRPr="00D2099E">
        <w:rPr>
          <w:rFonts w:ascii="Times New Roman" w:eastAsia="Times New Roman" w:hAnsi="Times New Roman" w:cs="Times New Roman"/>
          <w:sz w:val="20"/>
          <w:szCs w:val="20"/>
          <w:lang w:val="en-US"/>
        </w:rPr>
        <w:t> </w:t>
      </w:r>
    </w:p>
    <w:p w14:paraId="274C33AF" w14:textId="08A26966" w:rsidR="00AD5295"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9B22E1E" w14:textId="77777777" w:rsidR="00AD5295" w:rsidRDefault="00AD529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3F3FAB7B" w14:textId="4D0891C5" w:rsidR="00D2099E" w:rsidRDefault="00D2099E" w:rsidP="00D2099E">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AD5295" w:rsidRPr="00D2099E" w14:paraId="77783837" w14:textId="77777777" w:rsidTr="00AE52B2">
        <w:tc>
          <w:tcPr>
            <w:tcW w:w="360" w:type="dxa"/>
            <w:hideMark/>
          </w:tcPr>
          <w:p w14:paraId="225DF5C8" w14:textId="77777777" w:rsidR="00AD5295" w:rsidRPr="00D2099E" w:rsidRDefault="00AD5295"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09AAC5F0" w14:textId="77777777" w:rsidR="00AD5295" w:rsidRPr="00D2099E" w:rsidRDefault="00AD5295"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0A7B8433" w14:textId="77777777" w:rsidR="00AD5295" w:rsidRPr="00D2099E" w:rsidRDefault="00AD5295" w:rsidP="00D2099E">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4B523DC5" w14:textId="77777777" w:rsidTr="005C7D2D">
        <w:tc>
          <w:tcPr>
            <w:tcW w:w="360" w:type="dxa"/>
            <w:hideMark/>
          </w:tcPr>
          <w:p w14:paraId="3167821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6AF57035" w14:textId="26F539FA"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2D54CD">
              <w:rPr>
                <w:rFonts w:ascii="Times New Roman" w:eastAsia="Times New Roman" w:hAnsi="Times New Roman" w:cs="Times New Roman"/>
                <w:sz w:val="20"/>
                <w:szCs w:val="20"/>
                <w:lang w:val="en-US"/>
              </w:rPr>
              <w:t>k</w:t>
            </w:r>
            <w:r w:rsidRPr="00D2099E">
              <w:rPr>
                <w:rFonts w:ascii="Times New Roman" w:eastAsia="Times New Roman" w:hAnsi="Times New Roman" w:cs="Times New Roman"/>
                <w:sz w:val="20"/>
                <w:szCs w:val="20"/>
                <w:lang w:val="en-US"/>
              </w:rPr>
              <w:t>)</w:t>
            </w:r>
          </w:p>
        </w:tc>
        <w:tc>
          <w:tcPr>
            <w:tcW w:w="0" w:type="auto"/>
            <w:hideMark/>
          </w:tcPr>
          <w:p w14:paraId="64DE9DA2" w14:textId="28BDF148"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Financial Instruments </w:t>
            </w:r>
          </w:p>
        </w:tc>
      </w:tr>
    </w:tbl>
    <w:p w14:paraId="2D189A51" w14:textId="77777777" w:rsidR="00D2099E" w:rsidRPr="00D2099E" w:rsidRDefault="00D2099E" w:rsidP="00D2099E">
      <w:pPr>
        <w:spacing w:after="0" w:line="240" w:lineRule="auto"/>
        <w:ind w:left="709" w:hanging="28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4D2B6AF8" w14:textId="77777777" w:rsidR="00B95485" w:rsidRPr="00B95485" w:rsidRDefault="00B95485" w:rsidP="00CA4239">
      <w:pPr>
        <w:spacing w:after="0" w:line="240" w:lineRule="auto"/>
        <w:ind w:left="1134" w:hanging="425"/>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w:t>
      </w:r>
      <w:proofErr w:type="spellStart"/>
      <w:r w:rsidRPr="00B95485">
        <w:rPr>
          <w:rFonts w:ascii="Times New Roman" w:eastAsia="Times New Roman" w:hAnsi="Times New Roman" w:cs="Times New Roman"/>
          <w:sz w:val="20"/>
          <w:szCs w:val="20"/>
          <w:lang w:val="en-US"/>
        </w:rPr>
        <w:t>i</w:t>
      </w:r>
      <w:proofErr w:type="spellEnd"/>
      <w:r w:rsidRPr="00B95485">
        <w:rPr>
          <w:rFonts w:ascii="Times New Roman" w:eastAsia="Times New Roman" w:hAnsi="Times New Roman" w:cs="Times New Roman"/>
          <w:sz w:val="20"/>
          <w:szCs w:val="20"/>
          <w:lang w:val="en-US"/>
        </w:rPr>
        <w:t>)</w:t>
      </w:r>
      <w:r w:rsidRPr="00B95485">
        <w:rPr>
          <w:rFonts w:ascii="Times New Roman" w:eastAsia="Times New Roman" w:hAnsi="Times New Roman" w:cs="Times New Roman"/>
          <w:sz w:val="20"/>
          <w:szCs w:val="20"/>
          <w:lang w:val="en-US"/>
        </w:rPr>
        <w:tab/>
        <w:t xml:space="preserve">Classification </w:t>
      </w:r>
    </w:p>
    <w:p w14:paraId="15B37A9F"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2173E707" w14:textId="77777777" w:rsidR="00B95485" w:rsidRPr="00B95485"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The company classifies its financial instruments into one of the following categories: fair value through profit or loss (“FVTPL”), fair value through other comprehensive income (“FVOCI”), or at amortized cost. This determination is made at initial recognition. All financial instruments are initially recognized at fair value on the balance sheet, net of any transaction costs except for financial instruments classified as FVTPL, where transaction costs are expensed as incurred. Subsequent measurement of financial instruments is based on their classification. The company classifies its derivative liability and cash and cash equivalents as FVTPL, accounts receivable and notes receivable as financial assets at amortized cost, and accounts payable, loans payable, and convertible notes as financial liabilities at amortized cost. Embedded derivative in other financial instruments or other host contracts are recorded as separate derivatives when their risks and characteristics are not closely related to those of the host contract.</w:t>
      </w:r>
    </w:p>
    <w:p w14:paraId="7672B308"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294B42A7" w14:textId="77777777" w:rsidR="00B95485" w:rsidRPr="00B95485" w:rsidRDefault="00B95485" w:rsidP="00CA4239">
      <w:pPr>
        <w:spacing w:after="0" w:line="240" w:lineRule="auto"/>
        <w:ind w:left="1134" w:hanging="425"/>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(ii)</w:t>
      </w:r>
      <w:r w:rsidRPr="00B95485">
        <w:rPr>
          <w:rFonts w:ascii="Times New Roman" w:eastAsia="Times New Roman" w:hAnsi="Times New Roman" w:cs="Times New Roman"/>
          <w:sz w:val="20"/>
          <w:szCs w:val="20"/>
          <w:lang w:val="en-US"/>
        </w:rPr>
        <w:tab/>
        <w:t>Measurement</w:t>
      </w:r>
    </w:p>
    <w:p w14:paraId="4748C72D"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4E0DE044" w14:textId="77777777" w:rsidR="00B95485" w:rsidRPr="00CA4239" w:rsidRDefault="00B95485" w:rsidP="00CA4239">
      <w:pPr>
        <w:spacing w:after="0" w:line="240" w:lineRule="auto"/>
        <w:ind w:left="1134"/>
        <w:jc w:val="both"/>
        <w:rPr>
          <w:rFonts w:ascii="Times New Roman" w:eastAsia="Times New Roman" w:hAnsi="Times New Roman" w:cs="Times New Roman"/>
          <w:i/>
          <w:iCs/>
          <w:sz w:val="20"/>
          <w:szCs w:val="20"/>
          <w:lang w:val="en-US"/>
        </w:rPr>
      </w:pPr>
      <w:r w:rsidRPr="00CA4239">
        <w:rPr>
          <w:rFonts w:ascii="Times New Roman" w:eastAsia="Times New Roman" w:hAnsi="Times New Roman" w:cs="Times New Roman"/>
          <w:i/>
          <w:iCs/>
          <w:sz w:val="20"/>
          <w:szCs w:val="20"/>
          <w:lang w:val="en-US"/>
        </w:rPr>
        <w:t xml:space="preserve">Financial assets and liabilities at amortized cost </w:t>
      </w:r>
    </w:p>
    <w:p w14:paraId="05615F28" w14:textId="77777777" w:rsidR="00B95485" w:rsidRPr="00B95485"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Financial assets and liabilities at amortized cost are initially recognized at fair value plus or minus transaction costs, respectively, and subsequently carried at amortized cost less any impairment.</w:t>
      </w:r>
    </w:p>
    <w:p w14:paraId="038C3BD4"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35DFF3A1" w14:textId="77777777" w:rsidR="00B95485" w:rsidRPr="00CA4239" w:rsidRDefault="00B95485" w:rsidP="00CA4239">
      <w:pPr>
        <w:spacing w:after="0" w:line="240" w:lineRule="auto"/>
        <w:ind w:left="1134"/>
        <w:jc w:val="both"/>
        <w:rPr>
          <w:rFonts w:ascii="Times New Roman" w:eastAsia="Times New Roman" w:hAnsi="Times New Roman" w:cs="Times New Roman"/>
          <w:i/>
          <w:iCs/>
          <w:sz w:val="20"/>
          <w:szCs w:val="20"/>
          <w:lang w:val="en-US"/>
        </w:rPr>
      </w:pPr>
      <w:r w:rsidRPr="00CA4239">
        <w:rPr>
          <w:rFonts w:ascii="Times New Roman" w:eastAsia="Times New Roman" w:hAnsi="Times New Roman" w:cs="Times New Roman"/>
          <w:i/>
          <w:iCs/>
          <w:sz w:val="20"/>
          <w:szCs w:val="20"/>
          <w:lang w:val="en-US"/>
        </w:rPr>
        <w:t>Financial assets and liabilities at FVTPL</w:t>
      </w:r>
    </w:p>
    <w:p w14:paraId="6B92497E" w14:textId="77777777" w:rsidR="00B95485" w:rsidRPr="00B95485"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 xml:space="preserve">Financial assets and liabilities carried at FVTPL are initially recorded at fair value and transaction costs are expensed in the statements of loss and comprehensive loss. Realized and unrealized gains and losses arising from changes in the fair value of the financial assets and liabilities held at FVTPL are included in the statements of operations and comprehensive loss in the period in which they arise. </w:t>
      </w:r>
    </w:p>
    <w:p w14:paraId="661A5717"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1B8BF1FD" w14:textId="77777777" w:rsidR="00B95485" w:rsidRPr="00CA4239" w:rsidRDefault="00B95485" w:rsidP="00CA4239">
      <w:pPr>
        <w:spacing w:after="0" w:line="240" w:lineRule="auto"/>
        <w:ind w:left="1134"/>
        <w:jc w:val="both"/>
        <w:rPr>
          <w:rFonts w:ascii="Times New Roman" w:eastAsia="Times New Roman" w:hAnsi="Times New Roman" w:cs="Times New Roman"/>
          <w:i/>
          <w:iCs/>
          <w:sz w:val="20"/>
          <w:szCs w:val="20"/>
          <w:lang w:val="en-US"/>
        </w:rPr>
      </w:pPr>
      <w:r w:rsidRPr="00CA4239">
        <w:rPr>
          <w:rFonts w:ascii="Times New Roman" w:eastAsia="Times New Roman" w:hAnsi="Times New Roman" w:cs="Times New Roman"/>
          <w:i/>
          <w:iCs/>
          <w:sz w:val="20"/>
          <w:szCs w:val="20"/>
          <w:lang w:val="en-US"/>
        </w:rPr>
        <w:t>Debt investments at FVTOCI</w:t>
      </w:r>
    </w:p>
    <w:p w14:paraId="62CF2836" w14:textId="77777777" w:rsidR="00B95485" w:rsidRPr="00B95485"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These assets are subsequently measured at fair value. Interest income calculated using the effective interest method, foreign exchange gains and losses and impairment are recognized in profit or loss. Other net gains and losses are recognized in OCI. On derecognition, gains and losses accumulated in OCI are reclassified to profit or loss.</w:t>
      </w:r>
    </w:p>
    <w:p w14:paraId="40468D63"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6DAAECC6" w14:textId="77777777" w:rsidR="00B95485" w:rsidRPr="00CA4239" w:rsidRDefault="00B95485" w:rsidP="00CA4239">
      <w:pPr>
        <w:spacing w:after="0" w:line="240" w:lineRule="auto"/>
        <w:ind w:left="1134"/>
        <w:jc w:val="both"/>
        <w:rPr>
          <w:rFonts w:ascii="Times New Roman" w:eastAsia="Times New Roman" w:hAnsi="Times New Roman" w:cs="Times New Roman"/>
          <w:i/>
          <w:iCs/>
          <w:sz w:val="20"/>
          <w:szCs w:val="20"/>
          <w:lang w:val="en-US"/>
        </w:rPr>
      </w:pPr>
      <w:r w:rsidRPr="00CA4239">
        <w:rPr>
          <w:rFonts w:ascii="Times New Roman" w:eastAsia="Times New Roman" w:hAnsi="Times New Roman" w:cs="Times New Roman"/>
          <w:i/>
          <w:iCs/>
          <w:sz w:val="20"/>
          <w:szCs w:val="20"/>
          <w:lang w:val="en-US"/>
        </w:rPr>
        <w:t>Equity investments at FVTOCI</w:t>
      </w:r>
    </w:p>
    <w:p w14:paraId="514A51A7" w14:textId="77777777" w:rsidR="00B95485" w:rsidRPr="00B95485"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These assets are subsequently measured at fair value. Dividends are recognized as income in profit or loss unless the dividend clearly represents a recovery of part of the cost of the investment. Other net gains and losses are recognized in OCI and are never reclassified to profit or loss.</w:t>
      </w:r>
    </w:p>
    <w:p w14:paraId="2B2B58E6"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38FE323E" w14:textId="77777777" w:rsidR="00B95485" w:rsidRPr="00B95485" w:rsidRDefault="00B95485" w:rsidP="00CA4239">
      <w:pPr>
        <w:spacing w:after="0" w:line="240" w:lineRule="auto"/>
        <w:ind w:left="1134" w:hanging="425"/>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(iii)</w:t>
      </w:r>
      <w:r w:rsidRPr="00B95485">
        <w:rPr>
          <w:rFonts w:ascii="Times New Roman" w:eastAsia="Times New Roman" w:hAnsi="Times New Roman" w:cs="Times New Roman"/>
          <w:sz w:val="20"/>
          <w:szCs w:val="20"/>
          <w:lang w:val="en-US"/>
        </w:rPr>
        <w:tab/>
        <w:t>Impairment of Financial Assets at Amortized Cost</w:t>
      </w:r>
    </w:p>
    <w:p w14:paraId="0ADA4154"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7208EDF5" w14:textId="77777777" w:rsidR="00B95485" w:rsidRPr="00B95485"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The Company recognizes a loss allowance for expected credit losses on financial assets that are measured at amortized cost.  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 has not increased significantly since initial recognition, the Company measures the loss allowance for the financial asset at an amount equal to the twelve month expected credit losses. The Company shall recognize in the statements of loss and comprehensive loss, as an impairment gain or loss, the amount of expected credit losses (or reversal) that is required to adjust the loss allowance at the reporting date to the amount that is required to be recognized.</w:t>
      </w:r>
    </w:p>
    <w:p w14:paraId="5B9DC3EB" w14:textId="6D0295F5" w:rsidR="006A0A85" w:rsidRDefault="006A0A8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73FBE5C" w14:textId="6E3E34C8" w:rsid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6A0A85" w:rsidRPr="00D2099E" w14:paraId="7C3CFFDF" w14:textId="77777777" w:rsidTr="00AE52B2">
        <w:tc>
          <w:tcPr>
            <w:tcW w:w="360" w:type="dxa"/>
            <w:hideMark/>
          </w:tcPr>
          <w:p w14:paraId="450C9CBC" w14:textId="77777777" w:rsidR="006A0A85" w:rsidRPr="00D2099E" w:rsidRDefault="006A0A85"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0FE5C180" w14:textId="77777777" w:rsidR="006A0A85" w:rsidRPr="00D2099E" w:rsidRDefault="006A0A85"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637BCDDF" w14:textId="77777777" w:rsidR="006A0A85" w:rsidRPr="00B95485" w:rsidRDefault="006A0A85" w:rsidP="00B95485">
      <w:pPr>
        <w:spacing w:after="0" w:line="240" w:lineRule="auto"/>
        <w:ind w:left="709" w:hanging="283"/>
        <w:jc w:val="both"/>
        <w:rPr>
          <w:rFonts w:ascii="Times New Roman" w:eastAsia="Times New Roman" w:hAnsi="Times New Roman" w:cs="Times New Roman"/>
          <w:sz w:val="20"/>
          <w:szCs w:val="20"/>
          <w:lang w:val="en-US"/>
        </w:rPr>
      </w:pPr>
    </w:p>
    <w:p w14:paraId="317E0F4C" w14:textId="77777777" w:rsidR="00B95485" w:rsidRPr="00B95485" w:rsidRDefault="00B95485" w:rsidP="00CA4239">
      <w:pPr>
        <w:spacing w:after="0" w:line="240" w:lineRule="auto"/>
        <w:ind w:left="1134" w:hanging="425"/>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(iv)</w:t>
      </w:r>
      <w:r w:rsidRPr="00B95485">
        <w:rPr>
          <w:rFonts w:ascii="Times New Roman" w:eastAsia="Times New Roman" w:hAnsi="Times New Roman" w:cs="Times New Roman"/>
          <w:sz w:val="20"/>
          <w:szCs w:val="20"/>
          <w:lang w:val="en-US"/>
        </w:rPr>
        <w:tab/>
        <w:t xml:space="preserve">Derecognition </w:t>
      </w:r>
    </w:p>
    <w:p w14:paraId="4C1D91F4"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25751216" w14:textId="77777777" w:rsidR="00B95485" w:rsidRPr="00CA4239" w:rsidRDefault="00B95485" w:rsidP="00CA4239">
      <w:pPr>
        <w:spacing w:after="0" w:line="240" w:lineRule="auto"/>
        <w:ind w:left="1134"/>
        <w:jc w:val="both"/>
        <w:rPr>
          <w:rFonts w:ascii="Times New Roman" w:eastAsia="Times New Roman" w:hAnsi="Times New Roman" w:cs="Times New Roman"/>
          <w:i/>
          <w:iCs/>
          <w:sz w:val="20"/>
          <w:szCs w:val="20"/>
          <w:lang w:val="en-US"/>
        </w:rPr>
      </w:pPr>
      <w:r w:rsidRPr="00CA4239">
        <w:rPr>
          <w:rFonts w:ascii="Times New Roman" w:eastAsia="Times New Roman" w:hAnsi="Times New Roman" w:cs="Times New Roman"/>
          <w:i/>
          <w:iCs/>
          <w:sz w:val="20"/>
          <w:szCs w:val="20"/>
          <w:lang w:val="en-US"/>
        </w:rPr>
        <w:t>Financial assets</w:t>
      </w:r>
    </w:p>
    <w:p w14:paraId="1743A4AB" w14:textId="77777777" w:rsidR="00B95485" w:rsidRPr="00B95485"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 xml:space="preserve">The Company derecognizes financial assets only when the contractual rights to cash flows from the financial assets expire, or when it transfers the financial assets and substantially </w:t>
      </w:r>
      <w:proofErr w:type="gramStart"/>
      <w:r w:rsidRPr="00B95485">
        <w:rPr>
          <w:rFonts w:ascii="Times New Roman" w:eastAsia="Times New Roman" w:hAnsi="Times New Roman" w:cs="Times New Roman"/>
          <w:sz w:val="20"/>
          <w:szCs w:val="20"/>
          <w:lang w:val="en-US"/>
        </w:rPr>
        <w:t>all of</w:t>
      </w:r>
      <w:proofErr w:type="gramEnd"/>
      <w:r w:rsidRPr="00B95485">
        <w:rPr>
          <w:rFonts w:ascii="Times New Roman" w:eastAsia="Times New Roman" w:hAnsi="Times New Roman" w:cs="Times New Roman"/>
          <w:sz w:val="20"/>
          <w:szCs w:val="20"/>
          <w:lang w:val="en-US"/>
        </w:rPr>
        <w:t xml:space="preserve"> the associated risks and rewards of ownership to another entity. </w:t>
      </w:r>
    </w:p>
    <w:p w14:paraId="19110353"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3CB93A67" w14:textId="77777777" w:rsidR="00B95485" w:rsidRPr="00CA4239" w:rsidRDefault="00B95485" w:rsidP="00CA4239">
      <w:pPr>
        <w:spacing w:after="0" w:line="240" w:lineRule="auto"/>
        <w:ind w:left="1134"/>
        <w:jc w:val="both"/>
        <w:rPr>
          <w:rFonts w:ascii="Times New Roman" w:eastAsia="Times New Roman" w:hAnsi="Times New Roman" w:cs="Times New Roman"/>
          <w:i/>
          <w:iCs/>
          <w:sz w:val="20"/>
          <w:szCs w:val="20"/>
          <w:lang w:val="en-US"/>
        </w:rPr>
      </w:pPr>
      <w:r w:rsidRPr="00CA4239">
        <w:rPr>
          <w:rFonts w:ascii="Times New Roman" w:eastAsia="Times New Roman" w:hAnsi="Times New Roman" w:cs="Times New Roman"/>
          <w:i/>
          <w:iCs/>
          <w:sz w:val="20"/>
          <w:szCs w:val="20"/>
          <w:lang w:val="en-US"/>
        </w:rPr>
        <w:t>Financial liabilities</w:t>
      </w:r>
    </w:p>
    <w:p w14:paraId="2902648D" w14:textId="77777777" w:rsidR="00B95485" w:rsidRPr="00B95485"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 xml:space="preserve">The Company derecognizes a financial liability when its contractual obligations are discharged or </w:t>
      </w:r>
      <w:proofErr w:type="gramStart"/>
      <w:r w:rsidRPr="00B95485">
        <w:rPr>
          <w:rFonts w:ascii="Times New Roman" w:eastAsia="Times New Roman" w:hAnsi="Times New Roman" w:cs="Times New Roman"/>
          <w:sz w:val="20"/>
          <w:szCs w:val="20"/>
          <w:lang w:val="en-US"/>
        </w:rPr>
        <w:t>cancelled, or</w:t>
      </w:r>
      <w:proofErr w:type="gramEnd"/>
      <w:r w:rsidRPr="00B95485">
        <w:rPr>
          <w:rFonts w:ascii="Times New Roman" w:eastAsia="Times New Roman" w:hAnsi="Times New Roman" w:cs="Times New Roman"/>
          <w:sz w:val="20"/>
          <w:szCs w:val="20"/>
          <w:lang w:val="en-US"/>
        </w:rPr>
        <w:t xml:space="preserve"> expire.  The Company also derecognizes a financial liability when the terms of the liability are modified such that the terms and / or cash flows of the modified instrument are substantially different, in which case a new financial liability based on the modified terms is recognized at fair value.  </w:t>
      </w:r>
    </w:p>
    <w:p w14:paraId="5BD8349C" w14:textId="77777777" w:rsidR="00B95485" w:rsidRPr="00B95485" w:rsidRDefault="00B95485" w:rsidP="00B95485">
      <w:pPr>
        <w:spacing w:after="0" w:line="240" w:lineRule="auto"/>
        <w:ind w:left="709" w:hanging="283"/>
        <w:jc w:val="both"/>
        <w:rPr>
          <w:rFonts w:ascii="Times New Roman" w:eastAsia="Times New Roman" w:hAnsi="Times New Roman" w:cs="Times New Roman"/>
          <w:sz w:val="20"/>
          <w:szCs w:val="20"/>
          <w:lang w:val="en-US"/>
        </w:rPr>
      </w:pPr>
    </w:p>
    <w:p w14:paraId="6AA4DDE2" w14:textId="25FEEB2D" w:rsidR="00D2099E" w:rsidRDefault="00B95485" w:rsidP="00CA4239">
      <w:pPr>
        <w:spacing w:after="0" w:line="240" w:lineRule="auto"/>
        <w:ind w:left="1134"/>
        <w:jc w:val="both"/>
        <w:rPr>
          <w:rFonts w:ascii="Times New Roman" w:eastAsia="Times New Roman" w:hAnsi="Times New Roman" w:cs="Times New Roman"/>
          <w:sz w:val="20"/>
          <w:szCs w:val="20"/>
          <w:lang w:val="en-US"/>
        </w:rPr>
      </w:pPr>
      <w:r w:rsidRPr="00B95485">
        <w:rPr>
          <w:rFonts w:ascii="Times New Roman" w:eastAsia="Times New Roman" w:hAnsi="Times New Roman" w:cs="Times New Roman"/>
          <w:sz w:val="20"/>
          <w:szCs w:val="20"/>
          <w:lang w:val="en-US"/>
        </w:rPr>
        <w:t>Gains and losses on derecognition are recognized in profit or loss.</w:t>
      </w:r>
      <w:r w:rsidR="00D2099E" w:rsidRPr="00D2099E">
        <w:rPr>
          <w:rFonts w:ascii="Times New Roman" w:eastAsia="Times New Roman" w:hAnsi="Times New Roman" w:cs="Times New Roman"/>
          <w:sz w:val="20"/>
          <w:szCs w:val="20"/>
          <w:lang w:val="en-US"/>
        </w:rPr>
        <w:t> </w:t>
      </w:r>
    </w:p>
    <w:p w14:paraId="3F90DB3D" w14:textId="77777777" w:rsidR="00004DF6" w:rsidRPr="00D2099E" w:rsidRDefault="00004DF6" w:rsidP="00CA4239">
      <w:pPr>
        <w:spacing w:after="0" w:line="240" w:lineRule="auto"/>
        <w:ind w:left="1134"/>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69B59148" w14:textId="77777777" w:rsidTr="005C7D2D">
        <w:tc>
          <w:tcPr>
            <w:tcW w:w="360" w:type="dxa"/>
            <w:hideMark/>
          </w:tcPr>
          <w:p w14:paraId="51E115F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4315AAE2" w14:textId="66EFC9E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323127">
              <w:rPr>
                <w:rFonts w:ascii="Times New Roman" w:eastAsia="Times New Roman" w:hAnsi="Times New Roman" w:cs="Times New Roman"/>
                <w:sz w:val="20"/>
                <w:szCs w:val="20"/>
                <w:lang w:val="en-US"/>
              </w:rPr>
              <w:t>l</w:t>
            </w:r>
            <w:r w:rsidRPr="00D2099E">
              <w:rPr>
                <w:rFonts w:ascii="Times New Roman" w:eastAsia="Times New Roman" w:hAnsi="Times New Roman" w:cs="Times New Roman"/>
                <w:sz w:val="20"/>
                <w:szCs w:val="20"/>
                <w:lang w:val="en-US"/>
              </w:rPr>
              <w:t>)</w:t>
            </w:r>
          </w:p>
        </w:tc>
        <w:tc>
          <w:tcPr>
            <w:tcW w:w="0" w:type="auto"/>
            <w:hideMark/>
          </w:tcPr>
          <w:p w14:paraId="3149726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Income Taxes</w:t>
            </w:r>
          </w:p>
        </w:tc>
      </w:tr>
    </w:tbl>
    <w:p w14:paraId="75937123"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4BF1D61E" w14:textId="77777777" w:rsidR="004E4900" w:rsidRPr="00DD0A3C" w:rsidRDefault="004E4900" w:rsidP="004E4900">
      <w:pPr>
        <w:spacing w:after="0" w:line="240" w:lineRule="auto"/>
        <w:ind w:left="720"/>
        <w:jc w:val="both"/>
        <w:rPr>
          <w:rFonts w:ascii="Times New Roman" w:eastAsia="Times New Roman" w:hAnsi="Times New Roman" w:cs="Times New Roman"/>
          <w:i/>
          <w:iCs/>
          <w:sz w:val="20"/>
          <w:szCs w:val="20"/>
          <w:lang w:val="en-US"/>
        </w:rPr>
      </w:pPr>
      <w:r w:rsidRPr="00DD0A3C">
        <w:rPr>
          <w:rFonts w:ascii="Times New Roman" w:eastAsia="Times New Roman" w:hAnsi="Times New Roman" w:cs="Times New Roman"/>
          <w:i/>
          <w:iCs/>
          <w:sz w:val="20"/>
          <w:szCs w:val="20"/>
          <w:lang w:val="en-US"/>
        </w:rPr>
        <w:t xml:space="preserve">Current </w:t>
      </w:r>
      <w:r>
        <w:rPr>
          <w:rFonts w:ascii="Times New Roman" w:eastAsia="Times New Roman" w:hAnsi="Times New Roman" w:cs="Times New Roman"/>
          <w:i/>
          <w:iCs/>
          <w:sz w:val="20"/>
          <w:szCs w:val="20"/>
          <w:lang w:val="en-US"/>
        </w:rPr>
        <w:t>I</w:t>
      </w:r>
      <w:r w:rsidRPr="00DD0A3C">
        <w:rPr>
          <w:rFonts w:ascii="Times New Roman" w:eastAsia="Times New Roman" w:hAnsi="Times New Roman" w:cs="Times New Roman"/>
          <w:i/>
          <w:iCs/>
          <w:sz w:val="20"/>
          <w:szCs w:val="20"/>
          <w:lang w:val="en-US"/>
        </w:rPr>
        <w:t xml:space="preserve">ncome </w:t>
      </w:r>
      <w:r>
        <w:rPr>
          <w:rFonts w:ascii="Times New Roman" w:eastAsia="Times New Roman" w:hAnsi="Times New Roman" w:cs="Times New Roman"/>
          <w:i/>
          <w:iCs/>
          <w:sz w:val="20"/>
          <w:szCs w:val="20"/>
          <w:lang w:val="en-US"/>
        </w:rPr>
        <w:t>T</w:t>
      </w:r>
      <w:r w:rsidRPr="00DD0A3C">
        <w:rPr>
          <w:rFonts w:ascii="Times New Roman" w:eastAsia="Times New Roman" w:hAnsi="Times New Roman" w:cs="Times New Roman"/>
          <w:i/>
          <w:iCs/>
          <w:sz w:val="20"/>
          <w:szCs w:val="20"/>
          <w:lang w:val="en-US"/>
        </w:rPr>
        <w:t>ax:</w:t>
      </w:r>
    </w:p>
    <w:p w14:paraId="17B01FA8"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p>
    <w:p w14:paraId="5ABB32F1"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r w:rsidRPr="00DD0A3C">
        <w:rPr>
          <w:rFonts w:ascii="Times New Roman" w:eastAsia="Times New Roman" w:hAnsi="Times New Roman" w:cs="Times New Roman"/>
          <w:sz w:val="20"/>
          <w:szCs w:val="20"/>
          <w:lang w:val="en-US"/>
        </w:rPr>
        <w:t>Current income tax assets and liabilities for the current period are measured at the amount expected to be recovered from or paid to taxation authorities. The tax rates and tax laws used to compute the amount are those that are enacted or substantively enacted, at the reporting date, in the countries where the Company operates and generates taxable income.</w:t>
      </w:r>
    </w:p>
    <w:p w14:paraId="5A9E2942"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p>
    <w:p w14:paraId="00A19D6D"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r w:rsidRPr="00DD0A3C">
        <w:rPr>
          <w:rFonts w:ascii="Times New Roman" w:eastAsia="Times New Roman" w:hAnsi="Times New Roman" w:cs="Times New Roman"/>
          <w:sz w:val="20"/>
          <w:szCs w:val="20"/>
          <w:lang w:val="en-US"/>
        </w:rPr>
        <w:t>Current income tax relating to items recognized directly in other comprehensive income or equity is recognized in other comprehensive income or equity and not in profit or loss. Management periodically evaluates positions taken in the tax returns with respect to situations in which applicable tax regulations are subject to interpretation and establishes provisions where appropriate.</w:t>
      </w:r>
    </w:p>
    <w:p w14:paraId="532106E9"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p>
    <w:p w14:paraId="3512E7D9" w14:textId="77777777" w:rsidR="004E4900" w:rsidRPr="00DD0A3C" w:rsidRDefault="004E4900" w:rsidP="004E4900">
      <w:pPr>
        <w:spacing w:after="0" w:line="240" w:lineRule="auto"/>
        <w:ind w:left="720"/>
        <w:jc w:val="both"/>
        <w:rPr>
          <w:rFonts w:ascii="Times New Roman" w:eastAsia="Times New Roman" w:hAnsi="Times New Roman" w:cs="Times New Roman"/>
          <w:i/>
          <w:iCs/>
          <w:sz w:val="20"/>
          <w:szCs w:val="20"/>
          <w:lang w:val="en-US"/>
        </w:rPr>
      </w:pPr>
      <w:r w:rsidRPr="00DD0A3C">
        <w:rPr>
          <w:rFonts w:ascii="Times New Roman" w:eastAsia="Times New Roman" w:hAnsi="Times New Roman" w:cs="Times New Roman"/>
          <w:i/>
          <w:iCs/>
          <w:sz w:val="20"/>
          <w:szCs w:val="20"/>
          <w:lang w:val="en-US"/>
        </w:rPr>
        <w:t xml:space="preserve">Deferred </w:t>
      </w:r>
      <w:r>
        <w:rPr>
          <w:rFonts w:ascii="Times New Roman" w:eastAsia="Times New Roman" w:hAnsi="Times New Roman" w:cs="Times New Roman"/>
          <w:i/>
          <w:iCs/>
          <w:sz w:val="20"/>
          <w:szCs w:val="20"/>
          <w:lang w:val="en-US"/>
        </w:rPr>
        <w:t>T</w:t>
      </w:r>
      <w:r w:rsidRPr="00DD0A3C">
        <w:rPr>
          <w:rFonts w:ascii="Times New Roman" w:eastAsia="Times New Roman" w:hAnsi="Times New Roman" w:cs="Times New Roman"/>
          <w:i/>
          <w:iCs/>
          <w:sz w:val="20"/>
          <w:szCs w:val="20"/>
          <w:lang w:val="en-US"/>
        </w:rPr>
        <w:t>ax:</w:t>
      </w:r>
    </w:p>
    <w:p w14:paraId="31552E8C"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p>
    <w:p w14:paraId="2BE78BF9"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r w:rsidRPr="00DD0A3C">
        <w:rPr>
          <w:rFonts w:ascii="Times New Roman" w:eastAsia="Times New Roman" w:hAnsi="Times New Roman" w:cs="Times New Roman"/>
          <w:sz w:val="20"/>
          <w:szCs w:val="20"/>
          <w:lang w:val="en-US"/>
        </w:rPr>
        <w:t>Deferred tax is recognized on temporary differences at the reporting date arising between the tax bases of assets and liabilities and their carrying amounts for financial reporting purposes.</w:t>
      </w:r>
    </w:p>
    <w:p w14:paraId="6CF1A480"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p>
    <w:p w14:paraId="0D40A290"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r w:rsidRPr="00DD0A3C">
        <w:rPr>
          <w:rFonts w:ascii="Times New Roman" w:eastAsia="Times New Roman" w:hAnsi="Times New Roman" w:cs="Times New Roman"/>
          <w:sz w:val="20"/>
          <w:szCs w:val="20"/>
          <w:lang w:val="en-US"/>
        </w:rPr>
        <w:t xml:space="preserve">The carrying amount of deferred tax assets is reviewed at the end of each reporting period and recognized only to the extent that it is probable that future taxable income will be available to allow all or part of the temporary differences to be utilized. </w:t>
      </w:r>
    </w:p>
    <w:p w14:paraId="03A91CB2" w14:textId="77777777" w:rsidR="004E4900" w:rsidRPr="00DD0A3C" w:rsidRDefault="004E4900" w:rsidP="004E4900">
      <w:pPr>
        <w:spacing w:after="0" w:line="240" w:lineRule="auto"/>
        <w:ind w:left="720"/>
        <w:jc w:val="both"/>
        <w:rPr>
          <w:rFonts w:ascii="Times New Roman" w:eastAsia="Times New Roman" w:hAnsi="Times New Roman" w:cs="Times New Roman"/>
          <w:sz w:val="20"/>
          <w:szCs w:val="20"/>
          <w:lang w:val="en-US"/>
        </w:rPr>
      </w:pPr>
    </w:p>
    <w:p w14:paraId="09BE9CDA" w14:textId="2ABE4E13" w:rsidR="007B62FE" w:rsidRDefault="004E4900" w:rsidP="004E4900">
      <w:pPr>
        <w:spacing w:after="0" w:line="240" w:lineRule="auto"/>
        <w:ind w:left="720"/>
        <w:jc w:val="both"/>
        <w:rPr>
          <w:rFonts w:ascii="Times New Roman" w:eastAsia="Times New Roman" w:hAnsi="Times New Roman" w:cs="Times New Roman"/>
          <w:sz w:val="20"/>
          <w:szCs w:val="20"/>
          <w:lang w:val="en-US"/>
        </w:rPr>
      </w:pPr>
      <w:r w:rsidRPr="00DD0A3C">
        <w:rPr>
          <w:rFonts w:ascii="Times New Roman" w:eastAsia="Times New Roman" w:hAnsi="Times New Roman" w:cs="Times New Roman"/>
          <w:sz w:val="20"/>
          <w:szCs w:val="20"/>
          <w:lang w:val="en-US"/>
        </w:rPr>
        <w:t>Deferred tax assets and liabilities are measured at the tax rates that are expected to apply to the year when the asset is realized or the liability is settled, based on tax rates (and tax laws) that have been enacted or substantively enacted and are expected to apply by the end of the reporting period. Deferred tax assets and deferred income tax liabilities are offset if a legally enforceable right exists to set off current tax assets against current income tax liabilities and the deferred taxes relate to the same taxable entity and the same taxation authority.</w:t>
      </w:r>
      <w:r w:rsidRPr="00D2099E">
        <w:rPr>
          <w:rFonts w:ascii="Times New Roman" w:eastAsia="Times New Roman" w:hAnsi="Times New Roman" w:cs="Times New Roman"/>
          <w:sz w:val="20"/>
          <w:szCs w:val="20"/>
          <w:lang w:val="en-US"/>
        </w:rPr>
        <w:t> </w:t>
      </w:r>
    </w:p>
    <w:p w14:paraId="61C5F21C" w14:textId="77777777" w:rsidR="007B62FE" w:rsidRDefault="007B62FE">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50496541" w14:textId="472B77DD" w:rsidR="004E4900" w:rsidRDefault="004E4900" w:rsidP="004E4900">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7B62FE" w:rsidRPr="00D2099E" w14:paraId="6FB24CB3" w14:textId="77777777" w:rsidTr="00AE52B2">
        <w:tc>
          <w:tcPr>
            <w:tcW w:w="360" w:type="dxa"/>
            <w:hideMark/>
          </w:tcPr>
          <w:p w14:paraId="1DF695EF" w14:textId="77777777" w:rsidR="007B62FE" w:rsidRPr="00D2099E" w:rsidRDefault="007B62FE"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17E2B7CF" w14:textId="77777777" w:rsidR="007B62FE" w:rsidRPr="00D2099E" w:rsidRDefault="007B62FE"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745F5B11"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76036E4F" w14:textId="77777777" w:rsidTr="005C7D2D">
        <w:tc>
          <w:tcPr>
            <w:tcW w:w="360" w:type="dxa"/>
            <w:hideMark/>
          </w:tcPr>
          <w:p w14:paraId="0935A43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69E9DAB9" w14:textId="5D2B2584"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323127">
              <w:rPr>
                <w:rFonts w:ascii="Times New Roman" w:eastAsia="Times New Roman" w:hAnsi="Times New Roman" w:cs="Times New Roman"/>
                <w:sz w:val="20"/>
                <w:szCs w:val="20"/>
                <w:lang w:val="en-US"/>
              </w:rPr>
              <w:t>m</w:t>
            </w:r>
            <w:r w:rsidRPr="00D2099E">
              <w:rPr>
                <w:rFonts w:ascii="Times New Roman" w:eastAsia="Times New Roman" w:hAnsi="Times New Roman" w:cs="Times New Roman"/>
                <w:sz w:val="20"/>
                <w:szCs w:val="20"/>
                <w:lang w:val="en-US"/>
              </w:rPr>
              <w:t>)</w:t>
            </w:r>
          </w:p>
        </w:tc>
        <w:tc>
          <w:tcPr>
            <w:tcW w:w="0" w:type="auto"/>
            <w:hideMark/>
          </w:tcPr>
          <w:p w14:paraId="4B78D80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Foreign Currency Translation</w:t>
            </w:r>
          </w:p>
        </w:tc>
      </w:tr>
    </w:tbl>
    <w:p w14:paraId="7CABC5A1" w14:textId="324B89B8" w:rsidR="00D2099E" w:rsidRDefault="00D2099E" w:rsidP="00D2099E">
      <w:pPr>
        <w:spacing w:after="0" w:line="240" w:lineRule="auto"/>
        <w:ind w:left="709" w:hanging="28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2C2D4C3" w14:textId="77777777" w:rsidR="00295D8A" w:rsidRDefault="005D7702" w:rsidP="00D33273">
      <w:pPr>
        <w:spacing w:after="0" w:line="240" w:lineRule="auto"/>
        <w:ind w:left="720"/>
        <w:jc w:val="both"/>
        <w:rPr>
          <w:rFonts w:ascii="Times New Roman" w:eastAsia="Times New Roman" w:hAnsi="Times New Roman" w:cs="Times New Roman"/>
          <w:sz w:val="20"/>
          <w:szCs w:val="20"/>
          <w:lang w:val="en-US"/>
        </w:rPr>
      </w:pPr>
      <w:r w:rsidRPr="005D7702">
        <w:rPr>
          <w:rFonts w:ascii="Times New Roman" w:eastAsia="Times New Roman" w:hAnsi="Times New Roman" w:cs="Times New Roman"/>
          <w:sz w:val="20"/>
          <w:szCs w:val="20"/>
          <w:lang w:val="en-US"/>
        </w:rPr>
        <w:t xml:space="preserve">Functional currencies of the </w:t>
      </w:r>
      <w:r w:rsidR="001D2493">
        <w:rPr>
          <w:rFonts w:ascii="Times New Roman" w:eastAsia="Times New Roman" w:hAnsi="Times New Roman" w:cs="Times New Roman"/>
          <w:sz w:val="20"/>
          <w:szCs w:val="20"/>
          <w:lang w:val="en-US"/>
        </w:rPr>
        <w:t>C</w:t>
      </w:r>
      <w:r w:rsidRPr="005D7702">
        <w:rPr>
          <w:rFonts w:ascii="Times New Roman" w:eastAsia="Times New Roman" w:hAnsi="Times New Roman" w:cs="Times New Roman"/>
          <w:sz w:val="20"/>
          <w:szCs w:val="20"/>
          <w:lang w:val="en-US"/>
        </w:rPr>
        <w:t xml:space="preserve">ompany’s individual entities are the currency of the primary economic environment in which the entity operates. Transactions in foreign currencies are translated to the appropriate functional currency at foreign exchange rates that approximate those on the date of the transaction. Monetary assets and liabilities denominated in foreign currencies are translated to the appropriate functional currency at foreign exchange rates as at the balance sheet date. Foreign exchange differences arising on translation are recognized in net earnings. Non-monetary assets that are measured in a foreign currency at historical cost are translated using the exchange rate at the date of the transaction. </w:t>
      </w:r>
    </w:p>
    <w:p w14:paraId="14711F43" w14:textId="77777777" w:rsidR="00295D8A" w:rsidRDefault="00295D8A" w:rsidP="00D33273">
      <w:pPr>
        <w:spacing w:after="0" w:line="240" w:lineRule="auto"/>
        <w:ind w:left="720"/>
        <w:jc w:val="both"/>
        <w:rPr>
          <w:rFonts w:ascii="Times New Roman" w:eastAsia="Times New Roman" w:hAnsi="Times New Roman" w:cs="Times New Roman"/>
          <w:sz w:val="20"/>
          <w:szCs w:val="20"/>
          <w:lang w:val="en-US"/>
        </w:rPr>
      </w:pPr>
    </w:p>
    <w:p w14:paraId="5525F21A" w14:textId="61625559" w:rsidR="005D7702" w:rsidRPr="005D7702" w:rsidRDefault="005D7702" w:rsidP="00D33273">
      <w:pPr>
        <w:spacing w:after="0" w:line="240" w:lineRule="auto"/>
        <w:ind w:left="720"/>
        <w:jc w:val="both"/>
        <w:rPr>
          <w:rFonts w:ascii="Times New Roman" w:eastAsia="Times New Roman" w:hAnsi="Times New Roman" w:cs="Times New Roman"/>
          <w:sz w:val="20"/>
          <w:szCs w:val="20"/>
          <w:lang w:val="en-US"/>
        </w:rPr>
      </w:pPr>
      <w:r w:rsidRPr="005D7702">
        <w:rPr>
          <w:rFonts w:ascii="Times New Roman" w:eastAsia="Times New Roman" w:hAnsi="Times New Roman" w:cs="Times New Roman"/>
          <w:sz w:val="20"/>
          <w:szCs w:val="20"/>
          <w:lang w:val="en-US"/>
        </w:rPr>
        <w:t xml:space="preserve">In preparing the </w:t>
      </w:r>
      <w:r w:rsidR="004C15D4">
        <w:rPr>
          <w:rFonts w:ascii="Times New Roman" w:eastAsia="Times New Roman" w:hAnsi="Times New Roman" w:cs="Times New Roman"/>
          <w:sz w:val="20"/>
          <w:szCs w:val="20"/>
          <w:lang w:val="en-US"/>
        </w:rPr>
        <w:t>C</w:t>
      </w:r>
      <w:r w:rsidRPr="005D7702">
        <w:rPr>
          <w:rFonts w:ascii="Times New Roman" w:eastAsia="Times New Roman" w:hAnsi="Times New Roman" w:cs="Times New Roman"/>
          <w:sz w:val="20"/>
          <w:szCs w:val="20"/>
          <w:lang w:val="en-US"/>
        </w:rPr>
        <w:t xml:space="preserve">ompany’s </w:t>
      </w:r>
      <w:r w:rsidR="004C42C1">
        <w:rPr>
          <w:rFonts w:ascii="Times New Roman" w:eastAsia="Times New Roman" w:hAnsi="Times New Roman" w:cs="Times New Roman"/>
          <w:sz w:val="20"/>
          <w:szCs w:val="20"/>
          <w:lang w:val="en-US"/>
        </w:rPr>
        <w:t>F</w:t>
      </w:r>
      <w:r w:rsidRPr="005D7702">
        <w:rPr>
          <w:rFonts w:ascii="Times New Roman" w:eastAsia="Times New Roman" w:hAnsi="Times New Roman" w:cs="Times New Roman"/>
          <w:sz w:val="20"/>
          <w:szCs w:val="20"/>
          <w:lang w:val="en-US"/>
        </w:rPr>
        <w:t xml:space="preserve">inancial </w:t>
      </w:r>
      <w:r w:rsidR="004C42C1">
        <w:rPr>
          <w:rFonts w:ascii="Times New Roman" w:eastAsia="Times New Roman" w:hAnsi="Times New Roman" w:cs="Times New Roman"/>
          <w:sz w:val="20"/>
          <w:szCs w:val="20"/>
          <w:lang w:val="en-US"/>
        </w:rPr>
        <w:t>S</w:t>
      </w:r>
      <w:r w:rsidRPr="005D7702">
        <w:rPr>
          <w:rFonts w:ascii="Times New Roman" w:eastAsia="Times New Roman" w:hAnsi="Times New Roman" w:cs="Times New Roman"/>
          <w:sz w:val="20"/>
          <w:szCs w:val="20"/>
          <w:lang w:val="en-US"/>
        </w:rPr>
        <w:t xml:space="preserve">tatements, the financial statements of each entity are translated into </w:t>
      </w:r>
      <w:r w:rsidR="00413ECF">
        <w:rPr>
          <w:rFonts w:ascii="Times New Roman" w:eastAsia="Times New Roman" w:hAnsi="Times New Roman" w:cs="Times New Roman"/>
          <w:sz w:val="20"/>
          <w:szCs w:val="20"/>
          <w:lang w:val="en-US"/>
        </w:rPr>
        <w:t>US dollar (“</w:t>
      </w:r>
      <w:r w:rsidRPr="005D7702">
        <w:rPr>
          <w:rFonts w:ascii="Times New Roman" w:eastAsia="Times New Roman" w:hAnsi="Times New Roman" w:cs="Times New Roman"/>
          <w:sz w:val="20"/>
          <w:szCs w:val="20"/>
          <w:lang w:val="en-US"/>
        </w:rPr>
        <w:t>USD</w:t>
      </w:r>
      <w:r w:rsidR="00413ECF">
        <w:rPr>
          <w:rFonts w:ascii="Times New Roman" w:eastAsia="Times New Roman" w:hAnsi="Times New Roman" w:cs="Times New Roman"/>
          <w:sz w:val="20"/>
          <w:szCs w:val="20"/>
          <w:lang w:val="en-US"/>
        </w:rPr>
        <w:t>”)</w:t>
      </w:r>
      <w:r w:rsidRPr="005D7702">
        <w:rPr>
          <w:rFonts w:ascii="Times New Roman" w:eastAsia="Times New Roman" w:hAnsi="Times New Roman" w:cs="Times New Roman"/>
          <w:sz w:val="20"/>
          <w:szCs w:val="20"/>
          <w:lang w:val="en-US"/>
        </w:rPr>
        <w:t xml:space="preserve">, the presentation currency of the Company. The assets and liabilities of foreign operations are translated into USD at exchange rates as at the balance sheet date. Revenues and expenses of foreign operations are translated into USD using foreign average exchange rates for the period. Foreign exchange differences are recognized in other comprehensive income or loss. </w:t>
      </w:r>
    </w:p>
    <w:p w14:paraId="2BC5C1B6" w14:textId="77777777" w:rsidR="005D7702" w:rsidRPr="005D7702" w:rsidRDefault="005D7702" w:rsidP="005D7702">
      <w:pPr>
        <w:spacing w:after="0" w:line="240" w:lineRule="auto"/>
        <w:ind w:left="709" w:hanging="283"/>
        <w:jc w:val="both"/>
        <w:rPr>
          <w:rFonts w:ascii="Times New Roman" w:eastAsia="Times New Roman" w:hAnsi="Times New Roman" w:cs="Times New Roman"/>
          <w:sz w:val="20"/>
          <w:szCs w:val="20"/>
          <w:lang w:val="en-US"/>
        </w:rPr>
      </w:pPr>
    </w:p>
    <w:p w14:paraId="5CA53D08" w14:textId="77777777" w:rsidR="005D7702" w:rsidRPr="005D7702" w:rsidRDefault="005D7702" w:rsidP="00D33273">
      <w:pPr>
        <w:spacing w:after="0" w:line="240" w:lineRule="auto"/>
        <w:ind w:left="720"/>
        <w:jc w:val="both"/>
        <w:rPr>
          <w:rFonts w:ascii="Times New Roman" w:eastAsia="Times New Roman" w:hAnsi="Times New Roman" w:cs="Times New Roman"/>
          <w:sz w:val="20"/>
          <w:szCs w:val="20"/>
          <w:lang w:val="en-US"/>
        </w:rPr>
      </w:pPr>
      <w:r w:rsidRPr="005D7702">
        <w:rPr>
          <w:rFonts w:ascii="Times New Roman" w:eastAsia="Times New Roman" w:hAnsi="Times New Roman" w:cs="Times New Roman"/>
          <w:sz w:val="20"/>
          <w:szCs w:val="20"/>
          <w:lang w:val="en-US"/>
        </w:rPr>
        <w:t xml:space="preserve">The functional currency of the Company’s Bulgarian operations is the Bulgarian Lev. The functional currency of the Company’s Turkish operations is the Turkish Lira. </w:t>
      </w:r>
    </w:p>
    <w:p w14:paraId="4A23348C" w14:textId="77777777" w:rsidR="005D7702" w:rsidRPr="005D7702" w:rsidRDefault="005D7702" w:rsidP="005D7702">
      <w:pPr>
        <w:spacing w:after="0" w:line="240" w:lineRule="auto"/>
        <w:ind w:left="709" w:hanging="283"/>
        <w:jc w:val="both"/>
        <w:rPr>
          <w:rFonts w:ascii="Times New Roman" w:eastAsia="Times New Roman" w:hAnsi="Times New Roman" w:cs="Times New Roman"/>
          <w:sz w:val="20"/>
          <w:szCs w:val="20"/>
          <w:lang w:val="en-US"/>
        </w:rPr>
      </w:pPr>
    </w:p>
    <w:p w14:paraId="43A3B421" w14:textId="585EE735" w:rsidR="005D7702" w:rsidRPr="005D7702" w:rsidRDefault="005D7702" w:rsidP="00D33273">
      <w:pPr>
        <w:spacing w:after="0" w:line="240" w:lineRule="auto"/>
        <w:ind w:left="720"/>
        <w:jc w:val="both"/>
        <w:rPr>
          <w:rFonts w:ascii="Times New Roman" w:eastAsia="Times New Roman" w:hAnsi="Times New Roman" w:cs="Times New Roman"/>
          <w:sz w:val="20"/>
          <w:szCs w:val="20"/>
          <w:lang w:val="en-US"/>
        </w:rPr>
      </w:pPr>
      <w:r w:rsidRPr="005D7702">
        <w:rPr>
          <w:rFonts w:ascii="Times New Roman" w:eastAsia="Times New Roman" w:hAnsi="Times New Roman" w:cs="Times New Roman"/>
          <w:sz w:val="20"/>
          <w:szCs w:val="20"/>
          <w:lang w:val="en-US"/>
        </w:rPr>
        <w:t xml:space="preserve">Prior to January 1, 2022, the functional currency of </w:t>
      </w:r>
      <w:r w:rsidR="00004DF6">
        <w:rPr>
          <w:rFonts w:ascii="Times New Roman" w:eastAsia="Times New Roman" w:hAnsi="Times New Roman" w:cs="Times New Roman"/>
          <w:sz w:val="20"/>
          <w:szCs w:val="20"/>
          <w:lang w:val="en-US"/>
        </w:rPr>
        <w:t xml:space="preserve">Trillion Energy International Inc. </w:t>
      </w:r>
      <w:r w:rsidRPr="005D7702">
        <w:rPr>
          <w:rFonts w:ascii="Times New Roman" w:eastAsia="Times New Roman" w:hAnsi="Times New Roman" w:cs="Times New Roman"/>
          <w:sz w:val="20"/>
          <w:szCs w:val="20"/>
          <w:lang w:val="en-US"/>
        </w:rPr>
        <w:t xml:space="preserve">was USD. The Company redomiciled from United States to Canada and became a Canadian Company in January 2022, resulting in the parent’s expenditures being denominated primarily in </w:t>
      </w:r>
      <w:r w:rsidR="001C3A1E">
        <w:rPr>
          <w:rFonts w:ascii="Times New Roman" w:eastAsia="Times New Roman" w:hAnsi="Times New Roman" w:cs="Times New Roman"/>
          <w:sz w:val="20"/>
          <w:szCs w:val="20"/>
          <w:lang w:val="en-US"/>
        </w:rPr>
        <w:t>Canadian dollar (“</w:t>
      </w:r>
      <w:r w:rsidRPr="005D7702">
        <w:rPr>
          <w:rFonts w:ascii="Times New Roman" w:eastAsia="Times New Roman" w:hAnsi="Times New Roman" w:cs="Times New Roman"/>
          <w:sz w:val="20"/>
          <w:szCs w:val="20"/>
          <w:lang w:val="en-US"/>
        </w:rPr>
        <w:t>CAD</w:t>
      </w:r>
      <w:r w:rsidR="001C3A1E">
        <w:rPr>
          <w:rFonts w:ascii="Times New Roman" w:eastAsia="Times New Roman" w:hAnsi="Times New Roman" w:cs="Times New Roman"/>
          <w:sz w:val="20"/>
          <w:szCs w:val="20"/>
          <w:lang w:val="en-US"/>
        </w:rPr>
        <w:t>”)</w:t>
      </w:r>
      <w:r w:rsidRPr="005D7702">
        <w:rPr>
          <w:rFonts w:ascii="Times New Roman" w:eastAsia="Times New Roman" w:hAnsi="Times New Roman" w:cs="Times New Roman"/>
          <w:sz w:val="20"/>
          <w:szCs w:val="20"/>
          <w:lang w:val="en-US"/>
        </w:rPr>
        <w:t xml:space="preserve"> and the Company being funded primarily from issuance of equity instruments which proceeds are in CAD. </w:t>
      </w:r>
      <w:r w:rsidR="007A28BA">
        <w:rPr>
          <w:rFonts w:ascii="Times New Roman" w:eastAsia="Times New Roman" w:hAnsi="Times New Roman" w:cs="Times New Roman"/>
          <w:sz w:val="20"/>
          <w:szCs w:val="20"/>
          <w:lang w:val="en-US"/>
        </w:rPr>
        <w:t xml:space="preserve"> As a result, the Company determined that the functional currency of the parent</w:t>
      </w:r>
      <w:r w:rsidR="008C3340">
        <w:rPr>
          <w:rFonts w:ascii="Times New Roman" w:eastAsia="Times New Roman" w:hAnsi="Times New Roman" w:cs="Times New Roman"/>
          <w:sz w:val="20"/>
          <w:szCs w:val="20"/>
          <w:lang w:val="en-US"/>
        </w:rPr>
        <w:t xml:space="preserve"> was</w:t>
      </w:r>
      <w:r w:rsidR="007A28BA">
        <w:rPr>
          <w:rFonts w:ascii="Times New Roman" w:eastAsia="Times New Roman" w:hAnsi="Times New Roman" w:cs="Times New Roman"/>
          <w:sz w:val="20"/>
          <w:szCs w:val="20"/>
          <w:lang w:val="en-US"/>
        </w:rPr>
        <w:t xml:space="preserve"> changed to CAD effective January 1, 2022.</w:t>
      </w:r>
    </w:p>
    <w:p w14:paraId="7A422496" w14:textId="77777777" w:rsidR="005D7702" w:rsidRPr="005D7702" w:rsidRDefault="005D7702" w:rsidP="005D7702">
      <w:pPr>
        <w:spacing w:after="0" w:line="240" w:lineRule="auto"/>
        <w:ind w:left="709" w:hanging="283"/>
        <w:jc w:val="both"/>
        <w:rPr>
          <w:rFonts w:ascii="Times New Roman" w:eastAsia="Times New Roman" w:hAnsi="Times New Roman" w:cs="Times New Roman"/>
          <w:sz w:val="20"/>
          <w:szCs w:val="20"/>
          <w:lang w:val="en-US"/>
        </w:rPr>
      </w:pPr>
    </w:p>
    <w:p w14:paraId="23E52898" w14:textId="33C47D08" w:rsidR="00B71328" w:rsidRDefault="005D7702" w:rsidP="00B71328">
      <w:pPr>
        <w:spacing w:after="0" w:line="240" w:lineRule="auto"/>
        <w:ind w:left="720"/>
        <w:jc w:val="both"/>
        <w:rPr>
          <w:rFonts w:ascii="Times New Roman" w:eastAsia="Times New Roman" w:hAnsi="Times New Roman" w:cs="Times New Roman"/>
          <w:sz w:val="20"/>
          <w:szCs w:val="20"/>
          <w:lang w:val="en-US"/>
        </w:rPr>
      </w:pPr>
      <w:r w:rsidRPr="005D7702">
        <w:rPr>
          <w:rFonts w:ascii="Times New Roman" w:eastAsia="Times New Roman" w:hAnsi="Times New Roman" w:cs="Times New Roman"/>
          <w:sz w:val="20"/>
          <w:szCs w:val="20"/>
          <w:lang w:val="en-US"/>
        </w:rPr>
        <w:t>The Company has accounted for the change in functional currency prospectively with no impact of this change on prior period comparative information. The Company has made an accounting policy choice to reassess the classification of financial instruments as liabilities or equity or vice versa as applicable when the functional currency of the Company or its subsidiaries changes. The policy will be applied consistently in the future. As a result, certain of the Company’s CAD denominated warrants with a carrying value of $472,899, which previously were classified as a derivative liability as their exercise prices were denominated in a currency other the Company’s previous functional currency, were reclassified to equity effective January 1, 2022.</w:t>
      </w:r>
      <w:r w:rsidR="00D77D3F">
        <w:rPr>
          <w:rFonts w:ascii="Times New Roman" w:eastAsia="Times New Roman" w:hAnsi="Times New Roman" w:cs="Times New Roman"/>
          <w:sz w:val="20"/>
          <w:szCs w:val="20"/>
          <w:lang w:val="en-US"/>
        </w:rPr>
        <w:t xml:space="preserve"> </w:t>
      </w:r>
      <w:r w:rsidR="00B67B22">
        <w:rPr>
          <w:rFonts w:ascii="Times New Roman" w:eastAsia="Times New Roman" w:hAnsi="Times New Roman" w:cs="Times New Roman"/>
          <w:sz w:val="20"/>
          <w:szCs w:val="20"/>
          <w:lang w:val="en-US"/>
        </w:rPr>
        <w:t>Further, effective January 1, 2022, c</w:t>
      </w:r>
      <w:r w:rsidR="00D77D3F">
        <w:rPr>
          <w:rFonts w:ascii="Times New Roman" w:eastAsia="Times New Roman" w:hAnsi="Times New Roman" w:cs="Times New Roman"/>
          <w:sz w:val="20"/>
          <w:szCs w:val="20"/>
          <w:lang w:val="en-US"/>
        </w:rPr>
        <w:t xml:space="preserve">ertain of the Company’s USD denominated warrants with a carrying value of $163,162, </w:t>
      </w:r>
      <w:r w:rsidR="00D77D3F" w:rsidRPr="005D7702">
        <w:rPr>
          <w:rFonts w:ascii="Times New Roman" w:eastAsia="Times New Roman" w:hAnsi="Times New Roman" w:cs="Times New Roman"/>
          <w:sz w:val="20"/>
          <w:szCs w:val="20"/>
          <w:lang w:val="en-US"/>
        </w:rPr>
        <w:t xml:space="preserve">which previously were classified as </w:t>
      </w:r>
      <w:r w:rsidR="00D77D3F">
        <w:rPr>
          <w:rFonts w:ascii="Times New Roman" w:eastAsia="Times New Roman" w:hAnsi="Times New Roman" w:cs="Times New Roman"/>
          <w:sz w:val="20"/>
          <w:szCs w:val="20"/>
          <w:lang w:val="en-US"/>
        </w:rPr>
        <w:t>equity instruments</w:t>
      </w:r>
      <w:r w:rsidR="00D77D3F" w:rsidRPr="005D7702">
        <w:rPr>
          <w:rFonts w:ascii="Times New Roman" w:eastAsia="Times New Roman" w:hAnsi="Times New Roman" w:cs="Times New Roman"/>
          <w:sz w:val="20"/>
          <w:szCs w:val="20"/>
          <w:lang w:val="en-US"/>
        </w:rPr>
        <w:t xml:space="preserve">, were reclassified to </w:t>
      </w:r>
      <w:r w:rsidR="00B67B22">
        <w:rPr>
          <w:rFonts w:ascii="Times New Roman" w:eastAsia="Times New Roman" w:hAnsi="Times New Roman" w:cs="Times New Roman"/>
          <w:sz w:val="20"/>
          <w:szCs w:val="20"/>
          <w:lang w:val="en-US"/>
        </w:rPr>
        <w:t>derivative liability as their exercise prices are denominated in a currency other than the Company’s new functional currency.</w:t>
      </w:r>
    </w:p>
    <w:p w14:paraId="58628308" w14:textId="77777777" w:rsidR="00D2099E" w:rsidRPr="00D2099E" w:rsidRDefault="00D2099E" w:rsidP="00CA4239">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488AD3AD" w14:textId="77777777" w:rsidTr="005C7D2D">
        <w:tc>
          <w:tcPr>
            <w:tcW w:w="360" w:type="dxa"/>
            <w:hideMark/>
          </w:tcPr>
          <w:p w14:paraId="56499CD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611333F4" w14:textId="18D92B1A"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323127">
              <w:rPr>
                <w:rFonts w:ascii="Times New Roman" w:eastAsia="Times New Roman" w:hAnsi="Times New Roman" w:cs="Times New Roman"/>
                <w:sz w:val="20"/>
                <w:szCs w:val="20"/>
                <w:lang w:val="en-US"/>
              </w:rPr>
              <w:t>n</w:t>
            </w:r>
            <w:r w:rsidRPr="00D2099E">
              <w:rPr>
                <w:rFonts w:ascii="Times New Roman" w:eastAsia="Times New Roman" w:hAnsi="Times New Roman" w:cs="Times New Roman"/>
                <w:sz w:val="20"/>
                <w:szCs w:val="20"/>
                <w:lang w:val="en-US"/>
              </w:rPr>
              <w:t>)</w:t>
            </w:r>
          </w:p>
        </w:tc>
        <w:tc>
          <w:tcPr>
            <w:tcW w:w="0" w:type="auto"/>
            <w:hideMark/>
          </w:tcPr>
          <w:p w14:paraId="38BD12E6"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Stock-Based Compensation</w:t>
            </w:r>
          </w:p>
        </w:tc>
      </w:tr>
    </w:tbl>
    <w:p w14:paraId="10E770B0"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1725611" w14:textId="77777777" w:rsidR="003C347D" w:rsidRDefault="003C347D" w:rsidP="003C347D">
      <w:pPr>
        <w:spacing w:after="0" w:line="240" w:lineRule="auto"/>
        <w:ind w:left="720"/>
        <w:jc w:val="both"/>
        <w:rPr>
          <w:rFonts w:ascii="Times New Roman" w:eastAsia="Times New Roman" w:hAnsi="Times New Roman" w:cs="Times New Roman"/>
          <w:sz w:val="20"/>
          <w:szCs w:val="20"/>
          <w:lang w:val="en-US"/>
        </w:rPr>
      </w:pPr>
      <w:bookmarkStart w:id="3" w:name="_Hlk103272008"/>
      <w:r w:rsidRPr="00433E38">
        <w:rPr>
          <w:rFonts w:ascii="Times New Roman" w:eastAsia="Times New Roman" w:hAnsi="Times New Roman" w:cs="Times New Roman"/>
          <w:sz w:val="20"/>
          <w:szCs w:val="20"/>
          <w:lang w:val="en-US"/>
        </w:rPr>
        <w:t xml:space="preserve">Under the company’s share-based compensation plans, share-based awards may be granted to executives, </w:t>
      </w:r>
      <w:proofErr w:type="gramStart"/>
      <w:r w:rsidRPr="00433E38">
        <w:rPr>
          <w:rFonts w:ascii="Times New Roman" w:eastAsia="Times New Roman" w:hAnsi="Times New Roman" w:cs="Times New Roman"/>
          <w:sz w:val="20"/>
          <w:szCs w:val="20"/>
          <w:lang w:val="en-US"/>
        </w:rPr>
        <w:t>employees</w:t>
      </w:r>
      <w:proofErr w:type="gramEnd"/>
      <w:r w:rsidRPr="00433E38">
        <w:rPr>
          <w:rFonts w:ascii="Times New Roman" w:eastAsia="Times New Roman" w:hAnsi="Times New Roman" w:cs="Times New Roman"/>
          <w:sz w:val="20"/>
          <w:szCs w:val="20"/>
          <w:lang w:val="en-US"/>
        </w:rPr>
        <w:t xml:space="preserve"> and nonemployee</w:t>
      </w:r>
      <w:r>
        <w:rPr>
          <w:rFonts w:ascii="Times New Roman" w:eastAsia="Times New Roman" w:hAnsi="Times New Roman" w:cs="Times New Roman"/>
          <w:sz w:val="20"/>
          <w:szCs w:val="20"/>
          <w:lang w:val="en-US"/>
        </w:rPr>
        <w:t xml:space="preserve"> </w:t>
      </w:r>
      <w:r w:rsidRPr="00433E38">
        <w:rPr>
          <w:rFonts w:ascii="Times New Roman" w:eastAsia="Times New Roman" w:hAnsi="Times New Roman" w:cs="Times New Roman"/>
          <w:sz w:val="20"/>
          <w:szCs w:val="20"/>
          <w:lang w:val="en-US"/>
        </w:rPr>
        <w:t>directors.</w:t>
      </w:r>
    </w:p>
    <w:p w14:paraId="6A5C9241" w14:textId="77777777" w:rsidR="003C347D" w:rsidRDefault="003C347D" w:rsidP="003C347D">
      <w:pPr>
        <w:spacing w:after="0" w:line="240" w:lineRule="auto"/>
        <w:ind w:left="720"/>
        <w:jc w:val="both"/>
        <w:rPr>
          <w:rFonts w:ascii="Times New Roman" w:eastAsia="Times New Roman" w:hAnsi="Times New Roman" w:cs="Times New Roman"/>
          <w:sz w:val="20"/>
          <w:szCs w:val="20"/>
          <w:lang w:val="en-US"/>
        </w:rPr>
      </w:pPr>
    </w:p>
    <w:p w14:paraId="7C63BDC6" w14:textId="63BA0208" w:rsidR="00914FC8" w:rsidRDefault="003C347D" w:rsidP="003C347D">
      <w:pPr>
        <w:spacing w:after="0" w:line="240" w:lineRule="auto"/>
        <w:ind w:left="720"/>
        <w:jc w:val="both"/>
        <w:rPr>
          <w:rFonts w:ascii="Times New Roman" w:eastAsia="Times New Roman" w:hAnsi="Times New Roman" w:cs="Times New Roman"/>
          <w:sz w:val="20"/>
          <w:szCs w:val="20"/>
          <w:lang w:val="en-US"/>
        </w:rPr>
      </w:pPr>
      <w:r w:rsidRPr="0017592C">
        <w:rPr>
          <w:rFonts w:ascii="Times New Roman" w:eastAsia="Times New Roman" w:hAnsi="Times New Roman" w:cs="Times New Roman"/>
          <w:sz w:val="20"/>
          <w:szCs w:val="20"/>
          <w:lang w:val="en-US"/>
        </w:rPr>
        <w:t>Stock options that give the holder the right to purchase common shares are accounted for as equity-settled plans. The expense</w:t>
      </w:r>
      <w:r>
        <w:rPr>
          <w:rFonts w:ascii="Times New Roman" w:eastAsia="Times New Roman" w:hAnsi="Times New Roman" w:cs="Times New Roman"/>
          <w:sz w:val="20"/>
          <w:szCs w:val="20"/>
          <w:lang w:val="en-US"/>
        </w:rPr>
        <w:t xml:space="preserve"> </w:t>
      </w:r>
      <w:r w:rsidRPr="0017592C">
        <w:rPr>
          <w:rFonts w:ascii="Times New Roman" w:eastAsia="Times New Roman" w:hAnsi="Times New Roman" w:cs="Times New Roman"/>
          <w:sz w:val="20"/>
          <w:szCs w:val="20"/>
          <w:lang w:val="en-US"/>
        </w:rPr>
        <w:t>is based on the fair value of the options at the time of grant using the Black-Scholes options pricing model and is recognized</w:t>
      </w:r>
      <w:r>
        <w:rPr>
          <w:rFonts w:ascii="Times New Roman" w:eastAsia="Times New Roman" w:hAnsi="Times New Roman" w:cs="Times New Roman"/>
          <w:sz w:val="20"/>
          <w:szCs w:val="20"/>
          <w:lang w:val="en-US"/>
        </w:rPr>
        <w:t xml:space="preserve"> </w:t>
      </w:r>
      <w:r w:rsidRPr="0017592C">
        <w:rPr>
          <w:rFonts w:ascii="Times New Roman" w:eastAsia="Times New Roman" w:hAnsi="Times New Roman" w:cs="Times New Roman"/>
          <w:sz w:val="20"/>
          <w:szCs w:val="20"/>
          <w:lang w:val="en-US"/>
        </w:rPr>
        <w:t xml:space="preserve">over the vesting periods of the respective options. A corresponding increase is recorded to </w:t>
      </w:r>
      <w:r>
        <w:rPr>
          <w:rFonts w:ascii="Times New Roman" w:eastAsia="Times New Roman" w:hAnsi="Times New Roman" w:cs="Times New Roman"/>
          <w:sz w:val="20"/>
          <w:szCs w:val="20"/>
          <w:lang w:val="en-US"/>
        </w:rPr>
        <w:t>option reserve</w:t>
      </w:r>
      <w:r w:rsidRPr="0017592C">
        <w:rPr>
          <w:rFonts w:ascii="Times New Roman" w:eastAsia="Times New Roman" w:hAnsi="Times New Roman" w:cs="Times New Roman"/>
          <w:sz w:val="20"/>
          <w:szCs w:val="20"/>
          <w:lang w:val="en-US"/>
        </w:rPr>
        <w:t>. Consideration</w:t>
      </w:r>
      <w:r>
        <w:rPr>
          <w:rFonts w:ascii="Times New Roman" w:eastAsia="Times New Roman" w:hAnsi="Times New Roman" w:cs="Times New Roman"/>
          <w:sz w:val="20"/>
          <w:szCs w:val="20"/>
          <w:lang w:val="en-US"/>
        </w:rPr>
        <w:t xml:space="preserve"> </w:t>
      </w:r>
      <w:r w:rsidRPr="0017592C">
        <w:rPr>
          <w:rFonts w:ascii="Times New Roman" w:eastAsia="Times New Roman" w:hAnsi="Times New Roman" w:cs="Times New Roman"/>
          <w:sz w:val="20"/>
          <w:szCs w:val="20"/>
          <w:lang w:val="en-US"/>
        </w:rPr>
        <w:t xml:space="preserve">paid to the company on exercise of options is credited to </w:t>
      </w:r>
      <w:r>
        <w:rPr>
          <w:rFonts w:ascii="Times New Roman" w:eastAsia="Times New Roman" w:hAnsi="Times New Roman" w:cs="Times New Roman"/>
          <w:sz w:val="20"/>
          <w:szCs w:val="20"/>
          <w:lang w:val="en-US"/>
        </w:rPr>
        <w:t>s</w:t>
      </w:r>
      <w:r w:rsidRPr="0017592C">
        <w:rPr>
          <w:rFonts w:ascii="Times New Roman" w:eastAsia="Times New Roman" w:hAnsi="Times New Roman" w:cs="Times New Roman"/>
          <w:sz w:val="20"/>
          <w:szCs w:val="20"/>
          <w:lang w:val="en-US"/>
        </w:rPr>
        <w:t xml:space="preserve">hare </w:t>
      </w:r>
      <w:r>
        <w:rPr>
          <w:rFonts w:ascii="Times New Roman" w:eastAsia="Times New Roman" w:hAnsi="Times New Roman" w:cs="Times New Roman"/>
          <w:sz w:val="20"/>
          <w:szCs w:val="20"/>
          <w:lang w:val="en-US"/>
        </w:rPr>
        <w:t>c</w:t>
      </w:r>
      <w:r w:rsidRPr="0017592C">
        <w:rPr>
          <w:rFonts w:ascii="Times New Roman" w:eastAsia="Times New Roman" w:hAnsi="Times New Roman" w:cs="Times New Roman"/>
          <w:sz w:val="20"/>
          <w:szCs w:val="20"/>
          <w:lang w:val="en-US"/>
        </w:rPr>
        <w:t xml:space="preserve">apital and the associated amount in </w:t>
      </w:r>
      <w:r w:rsidR="00892ADA">
        <w:rPr>
          <w:rFonts w:ascii="Times New Roman" w:eastAsia="Times New Roman" w:hAnsi="Times New Roman" w:cs="Times New Roman"/>
          <w:sz w:val="20"/>
          <w:szCs w:val="20"/>
          <w:lang w:val="en-US"/>
        </w:rPr>
        <w:t>option reserve</w:t>
      </w:r>
      <w:r w:rsidRPr="0017592C">
        <w:rPr>
          <w:rFonts w:ascii="Times New Roman" w:eastAsia="Times New Roman" w:hAnsi="Times New Roman" w:cs="Times New Roman"/>
          <w:sz w:val="20"/>
          <w:szCs w:val="20"/>
          <w:lang w:val="en-US"/>
        </w:rPr>
        <w:t xml:space="preserve"> is</w:t>
      </w:r>
      <w:r>
        <w:rPr>
          <w:rFonts w:ascii="Times New Roman" w:eastAsia="Times New Roman" w:hAnsi="Times New Roman" w:cs="Times New Roman"/>
          <w:sz w:val="20"/>
          <w:szCs w:val="20"/>
          <w:lang w:val="en-US"/>
        </w:rPr>
        <w:t xml:space="preserve"> </w:t>
      </w:r>
      <w:r w:rsidRPr="0017592C">
        <w:rPr>
          <w:rFonts w:ascii="Times New Roman" w:eastAsia="Times New Roman" w:hAnsi="Times New Roman" w:cs="Times New Roman"/>
          <w:sz w:val="20"/>
          <w:szCs w:val="20"/>
          <w:lang w:val="en-US"/>
        </w:rPr>
        <w:t xml:space="preserve">reclassified to </w:t>
      </w:r>
      <w:r>
        <w:rPr>
          <w:rFonts w:ascii="Times New Roman" w:eastAsia="Times New Roman" w:hAnsi="Times New Roman" w:cs="Times New Roman"/>
          <w:sz w:val="20"/>
          <w:szCs w:val="20"/>
          <w:lang w:val="en-US"/>
        </w:rPr>
        <w:t>s</w:t>
      </w:r>
      <w:r w:rsidRPr="0017592C">
        <w:rPr>
          <w:rFonts w:ascii="Times New Roman" w:eastAsia="Times New Roman" w:hAnsi="Times New Roman" w:cs="Times New Roman"/>
          <w:sz w:val="20"/>
          <w:szCs w:val="20"/>
          <w:lang w:val="en-US"/>
        </w:rPr>
        <w:t xml:space="preserve">hare </w:t>
      </w:r>
      <w:r>
        <w:rPr>
          <w:rFonts w:ascii="Times New Roman" w:eastAsia="Times New Roman" w:hAnsi="Times New Roman" w:cs="Times New Roman"/>
          <w:sz w:val="20"/>
          <w:szCs w:val="20"/>
          <w:lang w:val="en-US"/>
        </w:rPr>
        <w:t>c</w:t>
      </w:r>
      <w:r w:rsidRPr="0017592C">
        <w:rPr>
          <w:rFonts w:ascii="Times New Roman" w:eastAsia="Times New Roman" w:hAnsi="Times New Roman" w:cs="Times New Roman"/>
          <w:sz w:val="20"/>
          <w:szCs w:val="20"/>
          <w:lang w:val="en-US"/>
        </w:rPr>
        <w:t>apital</w:t>
      </w:r>
      <w:r>
        <w:rPr>
          <w:rFonts w:ascii="Times New Roman" w:eastAsia="Times New Roman" w:hAnsi="Times New Roman" w:cs="Times New Roman"/>
          <w:sz w:val="20"/>
          <w:szCs w:val="20"/>
          <w:lang w:val="en-US"/>
        </w:rPr>
        <w:t>.</w:t>
      </w:r>
    </w:p>
    <w:p w14:paraId="695D823A" w14:textId="77777777" w:rsidR="00914FC8" w:rsidRDefault="00914FC8">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A37FD55" w14:textId="77777777" w:rsidR="003C347D" w:rsidRPr="00D2099E" w:rsidRDefault="003C347D" w:rsidP="003C347D">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914FC8" w:rsidRPr="00D2099E" w14:paraId="289EB516" w14:textId="77777777" w:rsidTr="00AE52B2">
        <w:tc>
          <w:tcPr>
            <w:tcW w:w="360" w:type="dxa"/>
            <w:hideMark/>
          </w:tcPr>
          <w:bookmarkEnd w:id="3"/>
          <w:p w14:paraId="2CE1C913" w14:textId="77777777" w:rsidR="00914FC8" w:rsidRPr="00D2099E" w:rsidRDefault="00914FC8"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6CEBAED3" w14:textId="77777777" w:rsidR="00914FC8" w:rsidRPr="00D2099E" w:rsidRDefault="00914FC8"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57DB0495" w14:textId="084BB740" w:rsidR="00D11982" w:rsidRDefault="00D11982" w:rsidP="00D2099E">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360"/>
        <w:gridCol w:w="8640"/>
      </w:tblGrid>
      <w:tr w:rsidR="00D11982" w:rsidRPr="00D2099E" w14:paraId="3012F406" w14:textId="77777777" w:rsidTr="002B58C6">
        <w:tc>
          <w:tcPr>
            <w:tcW w:w="360" w:type="dxa"/>
            <w:hideMark/>
          </w:tcPr>
          <w:p w14:paraId="6F4C6FA4" w14:textId="77777777" w:rsidR="00D11982" w:rsidRPr="00D2099E" w:rsidRDefault="00D11982" w:rsidP="002B58C6">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6263DE63" w14:textId="21D00F56" w:rsidR="00D11982" w:rsidRPr="00D2099E" w:rsidRDefault="00D11982" w:rsidP="002B58C6">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11699B">
              <w:rPr>
                <w:rFonts w:ascii="Times New Roman" w:eastAsia="Times New Roman" w:hAnsi="Times New Roman" w:cs="Times New Roman"/>
                <w:sz w:val="20"/>
                <w:szCs w:val="20"/>
                <w:lang w:val="en-US"/>
              </w:rPr>
              <w:t>o</w:t>
            </w:r>
            <w:r w:rsidRPr="00D2099E">
              <w:rPr>
                <w:rFonts w:ascii="Times New Roman" w:eastAsia="Times New Roman" w:hAnsi="Times New Roman" w:cs="Times New Roman"/>
                <w:sz w:val="20"/>
                <w:szCs w:val="20"/>
                <w:lang w:val="en-US"/>
              </w:rPr>
              <w:t>)</w:t>
            </w:r>
          </w:p>
        </w:tc>
        <w:tc>
          <w:tcPr>
            <w:tcW w:w="0" w:type="auto"/>
            <w:hideMark/>
          </w:tcPr>
          <w:p w14:paraId="2C5766E4" w14:textId="45E9218C" w:rsidR="00D11982" w:rsidRPr="00D2099E" w:rsidRDefault="00D11982" w:rsidP="002B58C6">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Unit </w:t>
            </w:r>
            <w:r w:rsidR="00CF2E0F">
              <w:rPr>
                <w:rFonts w:ascii="Times New Roman" w:eastAsia="Times New Roman" w:hAnsi="Times New Roman" w:cs="Times New Roman"/>
                <w:sz w:val="20"/>
                <w:szCs w:val="20"/>
                <w:lang w:val="en-US"/>
              </w:rPr>
              <w:t>O</w:t>
            </w:r>
            <w:r>
              <w:rPr>
                <w:rFonts w:ascii="Times New Roman" w:eastAsia="Times New Roman" w:hAnsi="Times New Roman" w:cs="Times New Roman"/>
                <w:sz w:val="20"/>
                <w:szCs w:val="20"/>
                <w:lang w:val="en-US"/>
              </w:rPr>
              <w:t>fferings</w:t>
            </w:r>
          </w:p>
        </w:tc>
      </w:tr>
    </w:tbl>
    <w:p w14:paraId="622850AF" w14:textId="77777777" w:rsidR="00D11982" w:rsidRPr="00D2099E" w:rsidRDefault="00D11982" w:rsidP="00D11982">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FAC46DB" w14:textId="52061D80" w:rsidR="00D11982" w:rsidRDefault="00D11982" w:rsidP="00D11982">
      <w:pPr>
        <w:spacing w:after="0" w:line="240" w:lineRule="auto"/>
        <w:ind w:left="7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Common shares are classified as equity. Proceeds from unit placements are allocated between shares and warrants issued using the residual method. The residual method first allocates fair value to the component with the best evidence of fair value and then the residual value, if any, to the less easily measurable component. The fair value of the common shares, measured on date of issue, was determined to be the component with the best evidence of fair value. The balance, if any, </w:t>
      </w:r>
      <w:r w:rsidR="00295D8A">
        <w:rPr>
          <w:rFonts w:ascii="Times New Roman" w:eastAsia="Times New Roman" w:hAnsi="Times New Roman" w:cs="Times New Roman"/>
          <w:sz w:val="20"/>
          <w:szCs w:val="20"/>
          <w:lang w:val="en-US"/>
        </w:rPr>
        <w:t>i</w:t>
      </w:r>
      <w:r>
        <w:rPr>
          <w:rFonts w:ascii="Times New Roman" w:eastAsia="Times New Roman" w:hAnsi="Times New Roman" w:cs="Times New Roman"/>
          <w:sz w:val="20"/>
          <w:szCs w:val="20"/>
          <w:lang w:val="en-US"/>
        </w:rPr>
        <w:t>s allocated to the attached warrants. Costs directly identifiable with share capital financing</w:t>
      </w:r>
      <w:r w:rsidR="00295D8A">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 xml:space="preserve"> are charged against share capital.</w:t>
      </w:r>
    </w:p>
    <w:p w14:paraId="2F7A2022" w14:textId="7B2F8CDE" w:rsidR="00E74661" w:rsidRDefault="00E74661" w:rsidP="00D11982">
      <w:pPr>
        <w:spacing w:after="0" w:line="240" w:lineRule="auto"/>
        <w:ind w:left="720"/>
        <w:jc w:val="both"/>
        <w:rPr>
          <w:rFonts w:ascii="Times New Roman" w:eastAsia="Times New Roman" w:hAnsi="Times New Roman" w:cs="Times New Roman"/>
          <w:sz w:val="20"/>
          <w:szCs w:val="20"/>
          <w:lang w:val="en-US"/>
        </w:rPr>
      </w:pPr>
    </w:p>
    <w:p w14:paraId="6A3C1CA7" w14:textId="6926ED4C" w:rsidR="00E74661" w:rsidRPr="00D2099E" w:rsidRDefault="00E74661" w:rsidP="00D11982">
      <w:pPr>
        <w:spacing w:after="0" w:line="240" w:lineRule="auto"/>
        <w:ind w:left="7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If the subscription is not funded upon issuance, the Company records a receivable </w:t>
      </w:r>
      <w:r w:rsidR="000748E8">
        <w:rPr>
          <w:rFonts w:ascii="Times New Roman" w:eastAsia="Times New Roman" w:hAnsi="Times New Roman" w:cs="Times New Roman"/>
          <w:sz w:val="20"/>
          <w:szCs w:val="20"/>
          <w:lang w:val="en-US"/>
        </w:rPr>
        <w:t>as a contra account to shareholders’ equity.</w:t>
      </w:r>
    </w:p>
    <w:p w14:paraId="5339C49C" w14:textId="5C929DFC" w:rsidR="00D2099E" w:rsidRPr="00D2099E" w:rsidRDefault="00D11982" w:rsidP="005328E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09334046" w14:textId="77777777" w:rsidTr="005C7D2D">
        <w:tc>
          <w:tcPr>
            <w:tcW w:w="360" w:type="dxa"/>
            <w:hideMark/>
          </w:tcPr>
          <w:p w14:paraId="6A3881C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14D72807" w14:textId="1BB8D765"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1321CB">
              <w:rPr>
                <w:rFonts w:ascii="Times New Roman" w:eastAsia="Times New Roman" w:hAnsi="Times New Roman" w:cs="Times New Roman"/>
                <w:sz w:val="20"/>
                <w:szCs w:val="20"/>
                <w:lang w:val="en-US"/>
              </w:rPr>
              <w:t>p</w:t>
            </w:r>
            <w:r w:rsidRPr="00D2099E">
              <w:rPr>
                <w:rFonts w:ascii="Times New Roman" w:eastAsia="Times New Roman" w:hAnsi="Times New Roman" w:cs="Times New Roman"/>
                <w:sz w:val="20"/>
                <w:szCs w:val="20"/>
                <w:lang w:val="en-US"/>
              </w:rPr>
              <w:t>)</w:t>
            </w:r>
          </w:p>
        </w:tc>
        <w:tc>
          <w:tcPr>
            <w:tcW w:w="0" w:type="auto"/>
            <w:hideMark/>
          </w:tcPr>
          <w:p w14:paraId="1D2756A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Loss per Share</w:t>
            </w:r>
          </w:p>
        </w:tc>
      </w:tr>
    </w:tbl>
    <w:p w14:paraId="0E35727B"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DAFFE2D" w14:textId="77777777" w:rsidR="00E06C50" w:rsidRDefault="00E06C50" w:rsidP="00E06C50">
      <w:pPr>
        <w:spacing w:after="0" w:line="240" w:lineRule="auto"/>
        <w:ind w:left="720"/>
        <w:jc w:val="both"/>
        <w:rPr>
          <w:rFonts w:ascii="Times New Roman" w:eastAsia="Times New Roman" w:hAnsi="Times New Roman" w:cs="Times New Roman"/>
          <w:sz w:val="20"/>
          <w:szCs w:val="20"/>
          <w:lang w:val="en-US"/>
        </w:rPr>
      </w:pPr>
      <w:r w:rsidRPr="00111E78">
        <w:rPr>
          <w:rFonts w:ascii="Times New Roman" w:eastAsia="Times New Roman" w:hAnsi="Times New Roman" w:cs="Times New Roman"/>
          <w:sz w:val="20"/>
          <w:szCs w:val="20"/>
          <w:lang w:val="en-US"/>
        </w:rPr>
        <w:t>Basic earnings per share is calculated by dividing the net earnings for the period by the weighted average number of common</w:t>
      </w:r>
      <w:r>
        <w:rPr>
          <w:rFonts w:ascii="Times New Roman" w:eastAsia="Times New Roman" w:hAnsi="Times New Roman" w:cs="Times New Roman"/>
          <w:sz w:val="20"/>
          <w:szCs w:val="20"/>
          <w:lang w:val="en-US"/>
        </w:rPr>
        <w:t xml:space="preserve"> </w:t>
      </w:r>
      <w:r w:rsidRPr="00111E78">
        <w:rPr>
          <w:rFonts w:ascii="Times New Roman" w:eastAsia="Times New Roman" w:hAnsi="Times New Roman" w:cs="Times New Roman"/>
          <w:sz w:val="20"/>
          <w:szCs w:val="20"/>
          <w:lang w:val="en-US"/>
        </w:rPr>
        <w:t>shares outstanding during the period.</w:t>
      </w:r>
    </w:p>
    <w:p w14:paraId="23B6DD84" w14:textId="77777777" w:rsidR="00E06C50" w:rsidRPr="00111E78" w:rsidRDefault="00E06C50" w:rsidP="00E06C50">
      <w:pPr>
        <w:spacing w:after="0" w:line="240" w:lineRule="auto"/>
        <w:ind w:left="720"/>
        <w:jc w:val="both"/>
        <w:rPr>
          <w:rFonts w:ascii="Times New Roman" w:eastAsia="Times New Roman" w:hAnsi="Times New Roman" w:cs="Times New Roman"/>
          <w:sz w:val="20"/>
          <w:szCs w:val="20"/>
          <w:lang w:val="en-US"/>
        </w:rPr>
      </w:pPr>
    </w:p>
    <w:p w14:paraId="395CCA46" w14:textId="77777777" w:rsidR="00E06C50" w:rsidRDefault="00E06C50" w:rsidP="00E06C50">
      <w:pPr>
        <w:spacing w:after="0" w:line="240" w:lineRule="auto"/>
        <w:ind w:left="720"/>
        <w:jc w:val="both"/>
        <w:rPr>
          <w:rFonts w:ascii="Times New Roman" w:eastAsia="Times New Roman" w:hAnsi="Times New Roman" w:cs="Times New Roman"/>
          <w:sz w:val="20"/>
          <w:szCs w:val="20"/>
          <w:lang w:val="en-US"/>
        </w:rPr>
      </w:pPr>
      <w:r w:rsidRPr="00111E78">
        <w:rPr>
          <w:rFonts w:ascii="Times New Roman" w:eastAsia="Times New Roman" w:hAnsi="Times New Roman" w:cs="Times New Roman"/>
          <w:sz w:val="20"/>
          <w:szCs w:val="20"/>
          <w:lang w:val="en-US"/>
        </w:rPr>
        <w:t>Diluted earnings per share is calculated by adjusting the weighted average number of common shares outstanding for dilutive</w:t>
      </w:r>
      <w:r>
        <w:rPr>
          <w:rFonts w:ascii="Times New Roman" w:eastAsia="Times New Roman" w:hAnsi="Times New Roman" w:cs="Times New Roman"/>
          <w:sz w:val="20"/>
          <w:szCs w:val="20"/>
          <w:lang w:val="en-US"/>
        </w:rPr>
        <w:t xml:space="preserve"> </w:t>
      </w:r>
      <w:r w:rsidRPr="00111E78">
        <w:rPr>
          <w:rFonts w:ascii="Times New Roman" w:eastAsia="Times New Roman" w:hAnsi="Times New Roman" w:cs="Times New Roman"/>
          <w:sz w:val="20"/>
          <w:szCs w:val="20"/>
          <w:lang w:val="en-US"/>
        </w:rPr>
        <w:t>common shares. The number of shares included is computed using the</w:t>
      </w:r>
      <w:r>
        <w:rPr>
          <w:rFonts w:ascii="Times New Roman" w:eastAsia="Times New Roman" w:hAnsi="Times New Roman" w:cs="Times New Roman"/>
          <w:sz w:val="20"/>
          <w:szCs w:val="20"/>
          <w:lang w:val="en-US"/>
        </w:rPr>
        <w:t xml:space="preserve"> </w:t>
      </w:r>
      <w:r w:rsidRPr="00111E78">
        <w:rPr>
          <w:rFonts w:ascii="Times New Roman" w:eastAsia="Times New Roman" w:hAnsi="Times New Roman" w:cs="Times New Roman"/>
          <w:sz w:val="20"/>
          <w:szCs w:val="20"/>
          <w:lang w:val="en-US"/>
        </w:rPr>
        <w:t xml:space="preserve">treasury stock method. As </w:t>
      </w:r>
      <w:r>
        <w:rPr>
          <w:rFonts w:ascii="Times New Roman" w:eastAsia="Times New Roman" w:hAnsi="Times New Roman" w:cs="Times New Roman"/>
          <w:sz w:val="20"/>
          <w:szCs w:val="20"/>
          <w:lang w:val="en-US"/>
        </w:rPr>
        <w:t xml:space="preserve">certain instrument </w:t>
      </w:r>
      <w:r w:rsidRPr="00111E78">
        <w:rPr>
          <w:rFonts w:ascii="Times New Roman" w:eastAsia="Times New Roman" w:hAnsi="Times New Roman" w:cs="Times New Roman"/>
          <w:sz w:val="20"/>
          <w:szCs w:val="20"/>
          <w:lang w:val="en-US"/>
        </w:rPr>
        <w:t xml:space="preserve">can be exchanged for common shares of the </w:t>
      </w:r>
      <w:r>
        <w:rPr>
          <w:rFonts w:ascii="Times New Roman" w:eastAsia="Times New Roman" w:hAnsi="Times New Roman" w:cs="Times New Roman"/>
          <w:sz w:val="20"/>
          <w:szCs w:val="20"/>
          <w:lang w:val="en-US"/>
        </w:rPr>
        <w:t>C</w:t>
      </w:r>
      <w:r w:rsidRPr="00111E78">
        <w:rPr>
          <w:rFonts w:ascii="Times New Roman" w:eastAsia="Times New Roman" w:hAnsi="Times New Roman" w:cs="Times New Roman"/>
          <w:sz w:val="20"/>
          <w:szCs w:val="20"/>
          <w:lang w:val="en-US"/>
        </w:rPr>
        <w:t>ompany, they are considered potentially</w:t>
      </w:r>
      <w:r>
        <w:rPr>
          <w:rFonts w:ascii="Times New Roman" w:eastAsia="Times New Roman" w:hAnsi="Times New Roman" w:cs="Times New Roman"/>
          <w:sz w:val="20"/>
          <w:szCs w:val="20"/>
          <w:lang w:val="en-US"/>
        </w:rPr>
        <w:t xml:space="preserve"> </w:t>
      </w:r>
      <w:r w:rsidRPr="00111E78">
        <w:rPr>
          <w:rFonts w:ascii="Times New Roman" w:eastAsia="Times New Roman" w:hAnsi="Times New Roman" w:cs="Times New Roman"/>
          <w:sz w:val="20"/>
          <w:szCs w:val="20"/>
          <w:lang w:val="en-US"/>
        </w:rPr>
        <w:t>dilutive and are included in the calculation of the company’s diluted net earnings per share if they have a dilutive impact in</w:t>
      </w:r>
      <w:r>
        <w:rPr>
          <w:rFonts w:ascii="Times New Roman" w:eastAsia="Times New Roman" w:hAnsi="Times New Roman" w:cs="Times New Roman"/>
          <w:sz w:val="20"/>
          <w:szCs w:val="20"/>
          <w:lang w:val="en-US"/>
        </w:rPr>
        <w:t xml:space="preserve"> </w:t>
      </w:r>
      <w:r w:rsidRPr="00111E78">
        <w:rPr>
          <w:rFonts w:ascii="Times New Roman" w:eastAsia="Times New Roman" w:hAnsi="Times New Roman" w:cs="Times New Roman"/>
          <w:sz w:val="20"/>
          <w:szCs w:val="20"/>
          <w:lang w:val="en-US"/>
        </w:rPr>
        <w:t>the period.</w:t>
      </w:r>
      <w:r w:rsidRPr="00D2099E">
        <w:rPr>
          <w:rFonts w:ascii="Times New Roman" w:eastAsia="Times New Roman" w:hAnsi="Times New Roman" w:cs="Times New Roman"/>
          <w:sz w:val="20"/>
          <w:szCs w:val="20"/>
          <w:lang w:val="en-US"/>
        </w:rPr>
        <w:t> </w:t>
      </w:r>
    </w:p>
    <w:p w14:paraId="43042ABC" w14:textId="77777777" w:rsidR="00D2099E" w:rsidRPr="00D2099E" w:rsidRDefault="00D2099E" w:rsidP="00D2099E">
      <w:pPr>
        <w:spacing w:after="0" w:line="240" w:lineRule="auto"/>
        <w:ind w:left="72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1C035226" w14:textId="77777777" w:rsidTr="005C7D2D">
        <w:tc>
          <w:tcPr>
            <w:tcW w:w="360" w:type="dxa"/>
            <w:hideMark/>
          </w:tcPr>
          <w:p w14:paraId="11E8446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16947EDB" w14:textId="3A7B68AF"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sidR="007109FE">
              <w:rPr>
                <w:rFonts w:ascii="Times New Roman" w:eastAsia="Times New Roman" w:hAnsi="Times New Roman" w:cs="Times New Roman"/>
                <w:sz w:val="20"/>
                <w:szCs w:val="20"/>
                <w:lang w:val="en-US"/>
              </w:rPr>
              <w:t>q</w:t>
            </w:r>
            <w:r w:rsidRPr="00D2099E">
              <w:rPr>
                <w:rFonts w:ascii="Times New Roman" w:eastAsia="Times New Roman" w:hAnsi="Times New Roman" w:cs="Times New Roman"/>
                <w:sz w:val="20"/>
                <w:szCs w:val="20"/>
                <w:lang w:val="en-US"/>
              </w:rPr>
              <w:t>)</w:t>
            </w:r>
          </w:p>
        </w:tc>
        <w:tc>
          <w:tcPr>
            <w:tcW w:w="0" w:type="auto"/>
            <w:hideMark/>
          </w:tcPr>
          <w:p w14:paraId="59D358D2" w14:textId="64403E01" w:rsidR="00D2099E" w:rsidRPr="00D2099E" w:rsidRDefault="007109FE" w:rsidP="00D2099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Leases</w:t>
            </w:r>
          </w:p>
        </w:tc>
      </w:tr>
    </w:tbl>
    <w:p w14:paraId="467337D2" w14:textId="77777777" w:rsidR="00D2099E" w:rsidRPr="00D2099E" w:rsidRDefault="00D2099E" w:rsidP="00D2099E">
      <w:pPr>
        <w:spacing w:after="0" w:line="240" w:lineRule="auto"/>
        <w:ind w:left="1080" w:hanging="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A3E54E5" w14:textId="77777777" w:rsidR="007109FE" w:rsidRPr="00A4114F" w:rsidRDefault="007109FE" w:rsidP="007109FE">
      <w:pPr>
        <w:spacing w:after="0" w:line="240" w:lineRule="auto"/>
        <w:ind w:left="720"/>
        <w:jc w:val="both"/>
        <w:rPr>
          <w:rFonts w:ascii="Times New Roman" w:eastAsia="Times New Roman" w:hAnsi="Times New Roman" w:cs="Times New Roman"/>
          <w:sz w:val="20"/>
          <w:szCs w:val="20"/>
          <w:lang w:val="en-US"/>
        </w:rPr>
      </w:pPr>
      <w:r w:rsidRPr="00A4114F">
        <w:rPr>
          <w:rFonts w:ascii="Times New Roman" w:eastAsia="Times New Roman" w:hAnsi="Times New Roman" w:cs="Times New Roman"/>
          <w:sz w:val="20"/>
          <w:szCs w:val="20"/>
          <w:lang w:val="en-US"/>
        </w:rPr>
        <w:t xml:space="preserve">At inception of a contract, the company assesses whether a contract is, or contains, a lease based on whether the contract conveys the right to control the use of an identified asset for </w:t>
      </w:r>
      <w:proofErr w:type="gramStart"/>
      <w:r w:rsidRPr="00A4114F">
        <w:rPr>
          <w:rFonts w:ascii="Times New Roman" w:eastAsia="Times New Roman" w:hAnsi="Times New Roman" w:cs="Times New Roman"/>
          <w:sz w:val="20"/>
          <w:szCs w:val="20"/>
          <w:lang w:val="en-US"/>
        </w:rPr>
        <w:t>a period of time</w:t>
      </w:r>
      <w:proofErr w:type="gramEnd"/>
      <w:r w:rsidRPr="00A4114F">
        <w:rPr>
          <w:rFonts w:ascii="Times New Roman" w:eastAsia="Times New Roman" w:hAnsi="Times New Roman" w:cs="Times New Roman"/>
          <w:sz w:val="20"/>
          <w:szCs w:val="20"/>
          <w:lang w:val="en-US"/>
        </w:rPr>
        <w:t xml:space="preserve"> in exchange for consideration. </w:t>
      </w:r>
    </w:p>
    <w:p w14:paraId="144B81B4" w14:textId="77777777" w:rsidR="007109FE" w:rsidRPr="00A4114F" w:rsidRDefault="007109FE" w:rsidP="007109FE">
      <w:pPr>
        <w:spacing w:after="0" w:line="240" w:lineRule="auto"/>
        <w:ind w:left="720"/>
        <w:jc w:val="both"/>
        <w:rPr>
          <w:rFonts w:ascii="Times New Roman" w:eastAsia="Times New Roman" w:hAnsi="Times New Roman" w:cs="Times New Roman"/>
          <w:sz w:val="20"/>
          <w:szCs w:val="20"/>
          <w:lang w:val="en-US"/>
        </w:rPr>
      </w:pPr>
    </w:p>
    <w:p w14:paraId="2FBB85D2" w14:textId="3CFDA11D" w:rsidR="007109FE" w:rsidRPr="00A4114F" w:rsidRDefault="007109FE" w:rsidP="007109FE">
      <w:pPr>
        <w:spacing w:after="0" w:line="240" w:lineRule="auto"/>
        <w:ind w:left="720"/>
        <w:jc w:val="both"/>
        <w:rPr>
          <w:rFonts w:ascii="Times New Roman" w:eastAsia="Times New Roman" w:hAnsi="Times New Roman" w:cs="Times New Roman"/>
          <w:sz w:val="20"/>
          <w:szCs w:val="20"/>
          <w:lang w:val="en-US"/>
        </w:rPr>
      </w:pPr>
      <w:r w:rsidRPr="00A4114F">
        <w:rPr>
          <w:rFonts w:ascii="Times New Roman" w:eastAsia="Times New Roman" w:hAnsi="Times New Roman" w:cs="Times New Roman"/>
          <w:sz w:val="20"/>
          <w:szCs w:val="20"/>
          <w:lang w:val="en-US"/>
        </w:rPr>
        <w:t>The company recognizes a right-of-use asset and a lease liability at the lease commencement date. The right-of-use asset is initially measured based on the initial amount of the lease liability adjusted for any lease payments made at or before the commencement date, plus any initial direct costs incurred and an estimate of costs to dismantle and remove the underlying asset or to restore the underlying asset on the site on which it is located, less any lease incentives received. The assets are depreciated to the earlier of the end of the useful life of the right-of-use asset or the lease term. Judgment is applied to determine the lease term where a renewal option exists. Right-of-use assets are depreciated using the straight-line method as this most closely reflects the expected pattern of consumption of the future economic benefits. In addition, the right-of-use assets may be reduced by impairment losses or adjusted for certain remeasurements of the lease liability.</w:t>
      </w:r>
    </w:p>
    <w:p w14:paraId="4809A24E" w14:textId="77777777" w:rsidR="007109FE" w:rsidRPr="00A4114F" w:rsidRDefault="007109FE" w:rsidP="007109FE">
      <w:pPr>
        <w:spacing w:after="0" w:line="240" w:lineRule="auto"/>
        <w:ind w:left="720"/>
        <w:jc w:val="both"/>
        <w:rPr>
          <w:rFonts w:ascii="Times New Roman" w:eastAsia="Times New Roman" w:hAnsi="Times New Roman" w:cs="Times New Roman"/>
          <w:sz w:val="20"/>
          <w:szCs w:val="20"/>
          <w:lang w:val="en-US"/>
        </w:rPr>
      </w:pPr>
    </w:p>
    <w:p w14:paraId="34A45C15" w14:textId="77777777" w:rsidR="007109FE" w:rsidRPr="00A4114F" w:rsidRDefault="007109FE" w:rsidP="007109FE">
      <w:pPr>
        <w:spacing w:after="0" w:line="240" w:lineRule="auto"/>
        <w:ind w:left="720"/>
        <w:jc w:val="both"/>
        <w:rPr>
          <w:rFonts w:ascii="Times New Roman" w:eastAsia="Times New Roman" w:hAnsi="Times New Roman" w:cs="Times New Roman"/>
          <w:sz w:val="20"/>
          <w:szCs w:val="20"/>
          <w:lang w:val="en-US"/>
        </w:rPr>
      </w:pPr>
      <w:r w:rsidRPr="00A4114F">
        <w:rPr>
          <w:rFonts w:ascii="Times New Roman" w:eastAsia="Times New Roman" w:hAnsi="Times New Roman" w:cs="Times New Roman"/>
          <w:sz w:val="20"/>
          <w:szCs w:val="20"/>
          <w:lang w:val="en-US"/>
        </w:rPr>
        <w:t xml:space="preserve">The company has elected not to recognize right-of-use assets and lease liabilities for short-term leases that have a lease term of twelve months or less. The lease payments are recognized as an expense when incurred over the lease term. </w:t>
      </w:r>
    </w:p>
    <w:p w14:paraId="206D71FD" w14:textId="77777777" w:rsidR="007109FE" w:rsidRPr="00A4114F" w:rsidRDefault="007109FE" w:rsidP="007109FE">
      <w:pPr>
        <w:spacing w:after="0" w:line="240" w:lineRule="auto"/>
        <w:ind w:left="720"/>
        <w:jc w:val="both"/>
        <w:rPr>
          <w:rFonts w:ascii="Times New Roman" w:eastAsia="Times New Roman" w:hAnsi="Times New Roman" w:cs="Times New Roman"/>
          <w:sz w:val="20"/>
          <w:szCs w:val="20"/>
          <w:lang w:val="en-US"/>
        </w:rPr>
      </w:pPr>
    </w:p>
    <w:p w14:paraId="21BAC104" w14:textId="77777777" w:rsidR="007109FE" w:rsidRPr="00A4114F" w:rsidRDefault="007109FE" w:rsidP="007109FE">
      <w:pPr>
        <w:spacing w:after="0" w:line="240" w:lineRule="auto"/>
        <w:ind w:left="720"/>
        <w:jc w:val="both"/>
        <w:rPr>
          <w:rFonts w:ascii="Times New Roman" w:eastAsia="Times New Roman" w:hAnsi="Times New Roman" w:cs="Times New Roman"/>
          <w:sz w:val="20"/>
          <w:szCs w:val="20"/>
          <w:lang w:val="en-US"/>
        </w:rPr>
      </w:pPr>
      <w:r w:rsidRPr="00A4114F">
        <w:rPr>
          <w:rFonts w:ascii="Times New Roman" w:eastAsia="Times New Roman" w:hAnsi="Times New Roman" w:cs="Times New Roman"/>
          <w:sz w:val="20"/>
          <w:szCs w:val="20"/>
          <w:lang w:val="en-US"/>
        </w:rPr>
        <w:t>The lease liability is initially measured at the present value of the lease payments that are not paid at the commencement date, discounted using the interest rate implicit in the lease or, if that rate cannot be readily determined, the company’s incremental borrowing rate. Lease payments include fixed payments, and variable payments that are based on an index or rate.</w:t>
      </w:r>
    </w:p>
    <w:p w14:paraId="148B8295" w14:textId="16D8317A" w:rsidR="00280C78" w:rsidRDefault="00280C78">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7EEEDB13" w14:textId="55536D21" w:rsidR="007109FE" w:rsidRDefault="007109FE" w:rsidP="007109FE">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280C78" w:rsidRPr="00D2099E" w14:paraId="47E0F1F3" w14:textId="77777777" w:rsidTr="00AE52B2">
        <w:tc>
          <w:tcPr>
            <w:tcW w:w="360" w:type="dxa"/>
            <w:hideMark/>
          </w:tcPr>
          <w:p w14:paraId="1D59EEC6" w14:textId="77777777" w:rsidR="00280C78" w:rsidRPr="00D2099E" w:rsidRDefault="00280C78"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1E29E272" w14:textId="77777777" w:rsidR="00280C78" w:rsidRPr="00D2099E" w:rsidRDefault="00280C78"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7C8E65CC" w14:textId="77777777" w:rsidR="00280C78" w:rsidRPr="00A4114F" w:rsidRDefault="00280C78" w:rsidP="007109FE">
      <w:pPr>
        <w:spacing w:after="0" w:line="240" w:lineRule="auto"/>
        <w:ind w:left="720"/>
        <w:jc w:val="both"/>
        <w:rPr>
          <w:rFonts w:ascii="Times New Roman" w:eastAsia="Times New Roman" w:hAnsi="Times New Roman" w:cs="Times New Roman"/>
          <w:sz w:val="20"/>
          <w:szCs w:val="20"/>
          <w:lang w:val="en-US"/>
        </w:rPr>
      </w:pPr>
    </w:p>
    <w:p w14:paraId="0F2F0C01" w14:textId="0F97A0BB" w:rsidR="000968E2" w:rsidRDefault="007109FE" w:rsidP="007109FE">
      <w:pPr>
        <w:spacing w:after="0" w:line="240" w:lineRule="auto"/>
        <w:ind w:left="720"/>
        <w:jc w:val="both"/>
        <w:rPr>
          <w:rFonts w:ascii="Times New Roman" w:eastAsia="Times New Roman" w:hAnsi="Times New Roman" w:cs="Times New Roman"/>
          <w:sz w:val="20"/>
          <w:szCs w:val="20"/>
          <w:lang w:val="en-US"/>
        </w:rPr>
      </w:pPr>
      <w:r w:rsidRPr="00A4114F">
        <w:rPr>
          <w:rFonts w:ascii="Times New Roman" w:eastAsia="Times New Roman" w:hAnsi="Times New Roman" w:cs="Times New Roman"/>
          <w:sz w:val="20"/>
          <w:szCs w:val="20"/>
          <w:lang w:val="en-US"/>
        </w:rPr>
        <w:t>Cash payments for the principal portion of the lease liability are presented within the financing activities section and the interest portion of the lease liability is presented within the operating activities section of the statement of cash flows. Short-term lease payments and variable lease payments not included in the measurement of the lease liability are presented within the operating activities section of the statement of cash flows.</w:t>
      </w:r>
    </w:p>
    <w:p w14:paraId="589338D8" w14:textId="77777777" w:rsidR="00420A09" w:rsidRDefault="00420A09" w:rsidP="000968E2">
      <w:pPr>
        <w:spacing w:after="0" w:line="240" w:lineRule="auto"/>
        <w:ind w:left="720"/>
        <w:jc w:val="both"/>
        <w:rPr>
          <w:rFonts w:ascii="Times New Roman" w:eastAsia="Times New Roman" w:hAnsi="Times New Roman" w:cs="Times New Roman"/>
          <w:sz w:val="20"/>
          <w:szCs w:val="20"/>
          <w:lang w:val="en-US"/>
        </w:rPr>
      </w:pPr>
    </w:p>
    <w:tbl>
      <w:tblPr>
        <w:tblW w:w="4959" w:type="pct"/>
        <w:tblInd w:w="426" w:type="dxa"/>
        <w:tblCellMar>
          <w:left w:w="0" w:type="dxa"/>
          <w:right w:w="0" w:type="dxa"/>
        </w:tblCellMar>
        <w:tblLook w:val="04A0" w:firstRow="1" w:lastRow="0" w:firstColumn="1" w:lastColumn="0" w:noHBand="0" w:noVBand="1"/>
      </w:tblPr>
      <w:tblGrid>
        <w:gridCol w:w="283"/>
        <w:gridCol w:w="9000"/>
      </w:tblGrid>
      <w:tr w:rsidR="00420A09" w:rsidRPr="00D2099E" w14:paraId="60D30306" w14:textId="77777777" w:rsidTr="00CA4239">
        <w:tc>
          <w:tcPr>
            <w:tcW w:w="283" w:type="dxa"/>
            <w:hideMark/>
          </w:tcPr>
          <w:p w14:paraId="03A8A094" w14:textId="3EDE94FB" w:rsidR="00420A09" w:rsidRPr="00D2099E" w:rsidRDefault="00420A09" w:rsidP="00130A49">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r</w:t>
            </w:r>
            <w:r w:rsidRPr="00D2099E">
              <w:rPr>
                <w:rFonts w:ascii="Times New Roman" w:eastAsia="Times New Roman" w:hAnsi="Times New Roman" w:cs="Times New Roman"/>
                <w:sz w:val="20"/>
                <w:szCs w:val="20"/>
                <w:lang w:val="en-US"/>
              </w:rPr>
              <w:t>)</w:t>
            </w:r>
          </w:p>
        </w:tc>
        <w:tc>
          <w:tcPr>
            <w:tcW w:w="0" w:type="auto"/>
            <w:hideMark/>
          </w:tcPr>
          <w:p w14:paraId="7724FB8B" w14:textId="73C69460" w:rsidR="00420A09" w:rsidRPr="00D2099E" w:rsidRDefault="00420A09" w:rsidP="00420A09">
            <w:pPr>
              <w:spacing w:after="0" w:line="240" w:lineRule="auto"/>
              <w:jc w:val="both"/>
              <w:rPr>
                <w:rFonts w:ascii="Times New Roman" w:eastAsia="Times New Roman" w:hAnsi="Times New Roman" w:cs="Times New Roman"/>
                <w:sz w:val="20"/>
                <w:szCs w:val="20"/>
                <w:lang w:val="en-US"/>
              </w:rPr>
            </w:pPr>
            <w:r w:rsidRPr="00420A09">
              <w:rPr>
                <w:rFonts w:ascii="Times New Roman" w:eastAsia="Times New Roman" w:hAnsi="Times New Roman" w:cs="Times New Roman"/>
                <w:sz w:val="20"/>
                <w:szCs w:val="20"/>
                <w:lang w:val="en-US"/>
              </w:rPr>
              <w:t>First-time Adoption of IFRS</w:t>
            </w:r>
          </w:p>
        </w:tc>
      </w:tr>
    </w:tbl>
    <w:p w14:paraId="16E6B055" w14:textId="7FAEB34C" w:rsidR="00420A09" w:rsidRDefault="00420A09" w:rsidP="007109FE">
      <w:pPr>
        <w:spacing w:after="0" w:line="240" w:lineRule="auto"/>
        <w:ind w:left="720"/>
        <w:jc w:val="both"/>
        <w:rPr>
          <w:rFonts w:ascii="Times New Roman" w:eastAsia="Times New Roman" w:hAnsi="Times New Roman" w:cs="Times New Roman"/>
          <w:sz w:val="20"/>
          <w:szCs w:val="20"/>
          <w:lang w:val="en-US"/>
        </w:rPr>
      </w:pPr>
    </w:p>
    <w:p w14:paraId="70221822" w14:textId="5337712C" w:rsidR="003573FA" w:rsidRPr="003573FA" w:rsidRDefault="003573FA" w:rsidP="00CA4239">
      <w:pPr>
        <w:spacing w:after="0" w:line="240" w:lineRule="auto"/>
        <w:ind w:left="720"/>
        <w:jc w:val="both"/>
        <w:rPr>
          <w:rFonts w:ascii="Times New Roman" w:eastAsia="Times New Roman" w:hAnsi="Times New Roman" w:cs="Times New Roman"/>
          <w:sz w:val="20"/>
          <w:szCs w:val="20"/>
          <w:lang w:val="en-US"/>
        </w:rPr>
      </w:pPr>
      <w:r w:rsidRPr="003573FA">
        <w:rPr>
          <w:rFonts w:ascii="Times New Roman" w:eastAsia="Times New Roman" w:hAnsi="Times New Roman" w:cs="Times New Roman"/>
          <w:sz w:val="20"/>
          <w:szCs w:val="20"/>
          <w:lang w:val="en-US"/>
        </w:rPr>
        <w:t xml:space="preserve">These </w:t>
      </w:r>
      <w:r w:rsidR="00366EB4">
        <w:rPr>
          <w:rFonts w:ascii="Times New Roman" w:eastAsia="Times New Roman" w:hAnsi="Times New Roman" w:cs="Times New Roman"/>
          <w:sz w:val="20"/>
          <w:szCs w:val="20"/>
          <w:lang w:val="en-US"/>
        </w:rPr>
        <w:t>F</w:t>
      </w:r>
      <w:r w:rsidRPr="003573FA">
        <w:rPr>
          <w:rFonts w:ascii="Times New Roman" w:eastAsia="Times New Roman" w:hAnsi="Times New Roman" w:cs="Times New Roman"/>
          <w:sz w:val="20"/>
          <w:szCs w:val="20"/>
          <w:lang w:val="en-US"/>
        </w:rPr>
        <w:t xml:space="preserve">inancial </w:t>
      </w:r>
      <w:r w:rsidR="00366EB4">
        <w:rPr>
          <w:rFonts w:ascii="Times New Roman" w:eastAsia="Times New Roman" w:hAnsi="Times New Roman" w:cs="Times New Roman"/>
          <w:sz w:val="20"/>
          <w:szCs w:val="20"/>
          <w:lang w:val="en-US"/>
        </w:rPr>
        <w:t>S</w:t>
      </w:r>
      <w:r w:rsidRPr="003573FA">
        <w:rPr>
          <w:rFonts w:ascii="Times New Roman" w:eastAsia="Times New Roman" w:hAnsi="Times New Roman" w:cs="Times New Roman"/>
          <w:sz w:val="20"/>
          <w:szCs w:val="20"/>
          <w:lang w:val="en-US"/>
        </w:rPr>
        <w:t xml:space="preserve">tatements for the </w:t>
      </w:r>
      <w:r w:rsidR="00350EC9">
        <w:rPr>
          <w:rFonts w:ascii="Times New Roman" w:eastAsia="Times New Roman" w:hAnsi="Times New Roman" w:cs="Times New Roman"/>
          <w:sz w:val="20"/>
          <w:szCs w:val="20"/>
          <w:lang w:val="en-US"/>
        </w:rPr>
        <w:t>quarter</w:t>
      </w:r>
      <w:r w:rsidRPr="003573FA">
        <w:rPr>
          <w:rFonts w:ascii="Times New Roman" w:eastAsia="Times New Roman" w:hAnsi="Times New Roman" w:cs="Times New Roman"/>
          <w:sz w:val="20"/>
          <w:szCs w:val="20"/>
          <w:lang w:val="en-US"/>
        </w:rPr>
        <w:t xml:space="preserve"> ended </w:t>
      </w:r>
      <w:r w:rsidR="00771925">
        <w:rPr>
          <w:rFonts w:ascii="Times New Roman" w:eastAsia="Times New Roman" w:hAnsi="Times New Roman" w:cs="Times New Roman"/>
          <w:sz w:val="20"/>
          <w:szCs w:val="20"/>
          <w:lang w:val="en-US"/>
        </w:rPr>
        <w:t>June 30</w:t>
      </w:r>
      <w:r w:rsidRPr="003573FA">
        <w:rPr>
          <w:rFonts w:ascii="Times New Roman" w:eastAsia="Times New Roman" w:hAnsi="Times New Roman" w:cs="Times New Roman"/>
          <w:sz w:val="20"/>
          <w:szCs w:val="20"/>
          <w:lang w:val="en-US"/>
        </w:rPr>
        <w:t>, 20</w:t>
      </w:r>
      <w:r w:rsidR="00350EC9">
        <w:rPr>
          <w:rFonts w:ascii="Times New Roman" w:eastAsia="Times New Roman" w:hAnsi="Times New Roman" w:cs="Times New Roman"/>
          <w:sz w:val="20"/>
          <w:szCs w:val="20"/>
          <w:lang w:val="en-US"/>
        </w:rPr>
        <w:t>22</w:t>
      </w:r>
      <w:r w:rsidRPr="003573FA">
        <w:rPr>
          <w:rFonts w:ascii="Times New Roman" w:eastAsia="Times New Roman" w:hAnsi="Times New Roman" w:cs="Times New Roman"/>
          <w:sz w:val="20"/>
          <w:szCs w:val="20"/>
          <w:lang w:val="en-US"/>
        </w:rPr>
        <w:t>, are the first the Company has prepared in accordance with IFRS. The Company previously prepared its financial statements, up to and including December 31, 20</w:t>
      </w:r>
      <w:r w:rsidR="00350EC9">
        <w:rPr>
          <w:rFonts w:ascii="Times New Roman" w:eastAsia="Times New Roman" w:hAnsi="Times New Roman" w:cs="Times New Roman"/>
          <w:sz w:val="20"/>
          <w:szCs w:val="20"/>
          <w:lang w:val="en-US"/>
        </w:rPr>
        <w:t>21</w:t>
      </w:r>
      <w:r w:rsidRPr="003573FA">
        <w:rPr>
          <w:rFonts w:ascii="Times New Roman" w:eastAsia="Times New Roman" w:hAnsi="Times New Roman" w:cs="Times New Roman"/>
          <w:sz w:val="20"/>
          <w:szCs w:val="20"/>
          <w:lang w:val="en-US"/>
        </w:rPr>
        <w:t>, in accordance with accounting principles generally accepted in the United States (“US GAAP”).</w:t>
      </w:r>
    </w:p>
    <w:p w14:paraId="6704B4E7" w14:textId="77777777" w:rsidR="003573FA" w:rsidRPr="003573FA" w:rsidRDefault="003573FA" w:rsidP="003573FA">
      <w:pPr>
        <w:spacing w:after="0" w:line="240" w:lineRule="auto"/>
        <w:jc w:val="both"/>
        <w:rPr>
          <w:rFonts w:ascii="Times New Roman" w:eastAsia="Times New Roman" w:hAnsi="Times New Roman" w:cs="Times New Roman"/>
          <w:sz w:val="20"/>
          <w:szCs w:val="20"/>
          <w:lang w:val="en-US"/>
        </w:rPr>
      </w:pPr>
    </w:p>
    <w:p w14:paraId="32D62C92" w14:textId="10FD911C" w:rsidR="006B41E1" w:rsidRDefault="003573FA" w:rsidP="003573FA">
      <w:pPr>
        <w:spacing w:after="0" w:line="240" w:lineRule="auto"/>
        <w:ind w:left="720"/>
        <w:jc w:val="both"/>
        <w:rPr>
          <w:rFonts w:ascii="Times New Roman" w:eastAsia="Times New Roman" w:hAnsi="Times New Roman" w:cs="Times New Roman"/>
          <w:sz w:val="20"/>
          <w:szCs w:val="20"/>
          <w:lang w:val="en-US"/>
        </w:rPr>
      </w:pPr>
      <w:r w:rsidRPr="003573FA">
        <w:rPr>
          <w:rFonts w:ascii="Times New Roman" w:eastAsia="Times New Roman" w:hAnsi="Times New Roman" w:cs="Times New Roman"/>
          <w:sz w:val="20"/>
          <w:szCs w:val="20"/>
          <w:lang w:val="en-US"/>
        </w:rPr>
        <w:t xml:space="preserve">Accordingly, the Company has prepared financial statements that comply with IFRS applicable as </w:t>
      </w:r>
      <w:proofErr w:type="gramStart"/>
      <w:r w:rsidRPr="003573FA">
        <w:rPr>
          <w:rFonts w:ascii="Times New Roman" w:eastAsia="Times New Roman" w:hAnsi="Times New Roman" w:cs="Times New Roman"/>
          <w:sz w:val="20"/>
          <w:szCs w:val="20"/>
          <w:lang w:val="en-US"/>
        </w:rPr>
        <w:t>at</w:t>
      </w:r>
      <w:proofErr w:type="gramEnd"/>
      <w:r w:rsidRPr="003573FA">
        <w:rPr>
          <w:rFonts w:ascii="Times New Roman" w:eastAsia="Times New Roman" w:hAnsi="Times New Roman" w:cs="Times New Roman"/>
          <w:sz w:val="20"/>
          <w:szCs w:val="20"/>
          <w:lang w:val="en-US"/>
        </w:rPr>
        <w:t xml:space="preserve"> </w:t>
      </w:r>
      <w:r w:rsidR="00771925">
        <w:rPr>
          <w:rFonts w:ascii="Times New Roman" w:eastAsia="Times New Roman" w:hAnsi="Times New Roman" w:cs="Times New Roman"/>
          <w:sz w:val="20"/>
          <w:szCs w:val="20"/>
          <w:lang w:val="en-US"/>
        </w:rPr>
        <w:t>June 30</w:t>
      </w:r>
      <w:r w:rsidR="00F529DE">
        <w:rPr>
          <w:rFonts w:ascii="Times New Roman" w:eastAsia="Times New Roman" w:hAnsi="Times New Roman" w:cs="Times New Roman"/>
          <w:sz w:val="20"/>
          <w:szCs w:val="20"/>
          <w:lang w:val="en-US"/>
        </w:rPr>
        <w:t>, 2022</w:t>
      </w:r>
      <w:r w:rsidRPr="003573FA">
        <w:rPr>
          <w:rFonts w:ascii="Times New Roman" w:eastAsia="Times New Roman" w:hAnsi="Times New Roman" w:cs="Times New Roman"/>
          <w:sz w:val="20"/>
          <w:szCs w:val="20"/>
          <w:lang w:val="en-US"/>
        </w:rPr>
        <w:t>, together with the comparative period data for the year ended December 31, 20</w:t>
      </w:r>
      <w:r w:rsidR="00F529DE">
        <w:rPr>
          <w:rFonts w:ascii="Times New Roman" w:eastAsia="Times New Roman" w:hAnsi="Times New Roman" w:cs="Times New Roman"/>
          <w:sz w:val="20"/>
          <w:szCs w:val="20"/>
          <w:lang w:val="en-US"/>
        </w:rPr>
        <w:t>21</w:t>
      </w:r>
      <w:r w:rsidRPr="003573FA">
        <w:rPr>
          <w:rFonts w:ascii="Times New Roman" w:eastAsia="Times New Roman" w:hAnsi="Times New Roman" w:cs="Times New Roman"/>
          <w:sz w:val="20"/>
          <w:szCs w:val="20"/>
          <w:lang w:val="en-US"/>
        </w:rPr>
        <w:t xml:space="preserve">. In preparing the financial statements, the Company’s opening statement of financial position was prepared as </w:t>
      </w:r>
      <w:proofErr w:type="gramStart"/>
      <w:r w:rsidRPr="003573FA">
        <w:rPr>
          <w:rFonts w:ascii="Times New Roman" w:eastAsia="Times New Roman" w:hAnsi="Times New Roman" w:cs="Times New Roman"/>
          <w:sz w:val="20"/>
          <w:szCs w:val="20"/>
          <w:lang w:val="en-US"/>
        </w:rPr>
        <w:t>at</w:t>
      </w:r>
      <w:proofErr w:type="gramEnd"/>
      <w:r w:rsidRPr="003573FA">
        <w:rPr>
          <w:rFonts w:ascii="Times New Roman" w:eastAsia="Times New Roman" w:hAnsi="Times New Roman" w:cs="Times New Roman"/>
          <w:sz w:val="20"/>
          <w:szCs w:val="20"/>
          <w:lang w:val="en-US"/>
        </w:rPr>
        <w:t xml:space="preserve"> January 1, 20</w:t>
      </w:r>
      <w:r w:rsidR="00F529DE">
        <w:rPr>
          <w:rFonts w:ascii="Times New Roman" w:eastAsia="Times New Roman" w:hAnsi="Times New Roman" w:cs="Times New Roman"/>
          <w:sz w:val="20"/>
          <w:szCs w:val="20"/>
          <w:lang w:val="en-US"/>
        </w:rPr>
        <w:t>21</w:t>
      </w:r>
      <w:r w:rsidRPr="003573FA">
        <w:rPr>
          <w:rFonts w:ascii="Times New Roman" w:eastAsia="Times New Roman" w:hAnsi="Times New Roman" w:cs="Times New Roman"/>
          <w:sz w:val="20"/>
          <w:szCs w:val="20"/>
          <w:lang w:val="en-US"/>
        </w:rPr>
        <w:t xml:space="preserve">, the </w:t>
      </w:r>
      <w:r w:rsidR="00295D8A">
        <w:rPr>
          <w:rFonts w:ascii="Times New Roman" w:eastAsia="Times New Roman" w:hAnsi="Times New Roman" w:cs="Times New Roman"/>
          <w:sz w:val="20"/>
          <w:szCs w:val="20"/>
          <w:lang w:val="en-US"/>
        </w:rPr>
        <w:t>Company</w:t>
      </w:r>
      <w:r w:rsidRPr="003573FA">
        <w:rPr>
          <w:rFonts w:ascii="Times New Roman" w:eastAsia="Times New Roman" w:hAnsi="Times New Roman" w:cs="Times New Roman"/>
          <w:sz w:val="20"/>
          <w:szCs w:val="20"/>
          <w:lang w:val="en-US"/>
        </w:rPr>
        <w:t>’s date of transition to IFRS. This note explains the principal adjustments made by the Company in restating its US GAAP financial statements</w:t>
      </w:r>
      <w:r w:rsidR="006B41E1">
        <w:rPr>
          <w:rFonts w:ascii="Times New Roman" w:eastAsia="Times New Roman" w:hAnsi="Times New Roman" w:cs="Times New Roman"/>
          <w:sz w:val="20"/>
          <w:szCs w:val="20"/>
          <w:lang w:val="en-US"/>
        </w:rPr>
        <w:t>.</w:t>
      </w:r>
    </w:p>
    <w:p w14:paraId="3016369E" w14:textId="77777777" w:rsidR="006B41E1" w:rsidRDefault="006B41E1" w:rsidP="003573FA">
      <w:pPr>
        <w:spacing w:after="0" w:line="240" w:lineRule="auto"/>
        <w:ind w:left="720"/>
        <w:jc w:val="both"/>
        <w:rPr>
          <w:rFonts w:ascii="Times New Roman" w:eastAsia="Times New Roman" w:hAnsi="Times New Roman" w:cs="Times New Roman"/>
          <w:sz w:val="20"/>
          <w:szCs w:val="20"/>
          <w:lang w:val="en-US"/>
        </w:rPr>
      </w:pPr>
    </w:p>
    <w:p w14:paraId="2F12D453" w14:textId="3B883B50" w:rsidR="006B41E1" w:rsidRPr="00117DB6" w:rsidRDefault="006B41E1" w:rsidP="006B41E1">
      <w:pPr>
        <w:spacing w:after="0" w:line="240" w:lineRule="auto"/>
        <w:ind w:left="720"/>
        <w:jc w:val="both"/>
        <w:rPr>
          <w:rFonts w:ascii="Times New Roman" w:eastAsia="Times New Roman" w:hAnsi="Times New Roman" w:cs="Times New Roman"/>
          <w:i/>
          <w:iCs/>
          <w:sz w:val="20"/>
          <w:szCs w:val="20"/>
          <w:lang w:val="en-US"/>
        </w:rPr>
      </w:pPr>
      <w:r w:rsidRPr="00117DB6">
        <w:rPr>
          <w:rFonts w:ascii="Times New Roman" w:eastAsia="Times New Roman" w:hAnsi="Times New Roman" w:cs="Times New Roman"/>
          <w:i/>
          <w:iCs/>
          <w:sz w:val="20"/>
          <w:szCs w:val="20"/>
          <w:lang w:val="en-US"/>
        </w:rPr>
        <w:t>Exemptions applied</w:t>
      </w:r>
    </w:p>
    <w:p w14:paraId="00683545" w14:textId="77777777" w:rsidR="006B41E1" w:rsidRPr="006B41E1" w:rsidRDefault="006B41E1" w:rsidP="006B41E1">
      <w:pPr>
        <w:spacing w:after="0" w:line="240" w:lineRule="auto"/>
        <w:ind w:left="720"/>
        <w:jc w:val="both"/>
        <w:rPr>
          <w:rFonts w:ascii="Times New Roman" w:eastAsia="Times New Roman" w:hAnsi="Times New Roman" w:cs="Times New Roman"/>
          <w:sz w:val="20"/>
          <w:szCs w:val="20"/>
          <w:lang w:val="en-US"/>
        </w:rPr>
      </w:pPr>
    </w:p>
    <w:p w14:paraId="38D045A0" w14:textId="77777777" w:rsidR="006B41E1" w:rsidRPr="006B41E1" w:rsidRDefault="006B41E1" w:rsidP="006B41E1">
      <w:pPr>
        <w:spacing w:after="0" w:line="240" w:lineRule="auto"/>
        <w:ind w:left="720"/>
        <w:jc w:val="both"/>
        <w:rPr>
          <w:rFonts w:ascii="Times New Roman" w:eastAsia="Times New Roman" w:hAnsi="Times New Roman" w:cs="Times New Roman"/>
          <w:sz w:val="20"/>
          <w:szCs w:val="20"/>
          <w:lang w:val="en-US"/>
        </w:rPr>
      </w:pPr>
      <w:r w:rsidRPr="006B41E1">
        <w:rPr>
          <w:rFonts w:ascii="Times New Roman" w:eastAsia="Times New Roman" w:hAnsi="Times New Roman" w:cs="Times New Roman"/>
          <w:sz w:val="20"/>
          <w:szCs w:val="20"/>
          <w:lang w:val="en-US"/>
        </w:rPr>
        <w:t>IFRS 1 allows first-time adopters certain exemptions from the retrospective application of certain requirements under IFRS. The Company has applied the following exemptions:</w:t>
      </w:r>
    </w:p>
    <w:p w14:paraId="290BCF63" w14:textId="77777777" w:rsidR="006B41E1" w:rsidRPr="006B41E1" w:rsidRDefault="006B41E1" w:rsidP="006B41E1">
      <w:pPr>
        <w:spacing w:after="0" w:line="240" w:lineRule="auto"/>
        <w:ind w:left="720"/>
        <w:jc w:val="both"/>
        <w:rPr>
          <w:rFonts w:ascii="Times New Roman" w:eastAsia="Times New Roman" w:hAnsi="Times New Roman" w:cs="Times New Roman"/>
          <w:sz w:val="20"/>
          <w:szCs w:val="20"/>
          <w:lang w:val="en-US"/>
        </w:rPr>
      </w:pPr>
    </w:p>
    <w:p w14:paraId="451FDD09" w14:textId="1C5FC221" w:rsidR="006B41E1" w:rsidRPr="006B41E1" w:rsidRDefault="006B41E1" w:rsidP="006B41E1">
      <w:pPr>
        <w:spacing w:after="0" w:line="240" w:lineRule="auto"/>
        <w:ind w:left="720"/>
        <w:jc w:val="both"/>
        <w:rPr>
          <w:rFonts w:ascii="Times New Roman" w:eastAsia="Times New Roman" w:hAnsi="Times New Roman" w:cs="Times New Roman"/>
          <w:sz w:val="20"/>
          <w:szCs w:val="20"/>
          <w:lang w:val="en-US"/>
        </w:rPr>
      </w:pPr>
      <w:r w:rsidRPr="006B41E1">
        <w:rPr>
          <w:rFonts w:ascii="Times New Roman" w:eastAsia="Times New Roman" w:hAnsi="Times New Roman" w:cs="Times New Roman"/>
          <w:sz w:val="20"/>
          <w:szCs w:val="20"/>
          <w:lang w:val="en-US"/>
        </w:rPr>
        <w:t xml:space="preserve">IFRS 3 Business Combinations has not been applied to either acquisitions of subsidiaries that are considered businesses under IFRS, or acquisitions of interests in associates and joint ventures that occurred </w:t>
      </w:r>
      <w:r w:rsidR="005E559B" w:rsidRPr="006B41E1">
        <w:rPr>
          <w:rFonts w:ascii="Times New Roman" w:eastAsia="Times New Roman" w:hAnsi="Times New Roman" w:cs="Times New Roman"/>
          <w:sz w:val="20"/>
          <w:szCs w:val="20"/>
          <w:lang w:val="en-US"/>
        </w:rPr>
        <w:t>before January</w:t>
      </w:r>
      <w:r w:rsidRPr="006B41E1">
        <w:rPr>
          <w:rFonts w:ascii="Times New Roman" w:eastAsia="Times New Roman" w:hAnsi="Times New Roman" w:cs="Times New Roman"/>
          <w:sz w:val="20"/>
          <w:szCs w:val="20"/>
          <w:lang w:val="en-US"/>
        </w:rPr>
        <w:t xml:space="preserve"> </w:t>
      </w:r>
      <w:r w:rsidR="00F7138D">
        <w:rPr>
          <w:rFonts w:ascii="Times New Roman" w:eastAsia="Times New Roman" w:hAnsi="Times New Roman" w:cs="Times New Roman"/>
          <w:sz w:val="20"/>
          <w:szCs w:val="20"/>
          <w:lang w:val="en-US"/>
        </w:rPr>
        <w:t>1, 2021</w:t>
      </w:r>
      <w:r w:rsidRPr="006B41E1">
        <w:rPr>
          <w:rFonts w:ascii="Times New Roman" w:eastAsia="Times New Roman" w:hAnsi="Times New Roman" w:cs="Times New Roman"/>
          <w:sz w:val="20"/>
          <w:szCs w:val="20"/>
          <w:lang w:val="en-US"/>
        </w:rPr>
        <w:t xml:space="preserve">. Use of this exemption means that the US GAAP carrying amounts of assets and liabilities, that are required to be recognized under IFRS, are their deemed cost at the date of the acquisition. After the date of the acquisition, measurement is in accordance with IFRS. Assets and liabilities that do not qualify for recognition under IFRS are excluded from the opening IFRS statement of financial position. The Company did not recognize any assets or liabilities that were not recognized under US GAAP or exclude any previously recognized amounts </w:t>
      </w:r>
      <w:proofErr w:type="gramStart"/>
      <w:r w:rsidRPr="006B41E1">
        <w:rPr>
          <w:rFonts w:ascii="Times New Roman" w:eastAsia="Times New Roman" w:hAnsi="Times New Roman" w:cs="Times New Roman"/>
          <w:sz w:val="20"/>
          <w:szCs w:val="20"/>
          <w:lang w:val="en-US"/>
        </w:rPr>
        <w:t>as a result of</w:t>
      </w:r>
      <w:proofErr w:type="gramEnd"/>
      <w:r w:rsidRPr="006B41E1">
        <w:rPr>
          <w:rFonts w:ascii="Times New Roman" w:eastAsia="Times New Roman" w:hAnsi="Times New Roman" w:cs="Times New Roman"/>
          <w:sz w:val="20"/>
          <w:szCs w:val="20"/>
          <w:lang w:val="en-US"/>
        </w:rPr>
        <w:t xml:space="preserve"> IFRS recognition requirements.</w:t>
      </w:r>
    </w:p>
    <w:p w14:paraId="726F7477" w14:textId="77777777" w:rsidR="006B41E1" w:rsidRPr="006B41E1" w:rsidRDefault="006B41E1" w:rsidP="006B41E1">
      <w:pPr>
        <w:spacing w:after="0" w:line="240" w:lineRule="auto"/>
        <w:ind w:left="720"/>
        <w:jc w:val="both"/>
        <w:rPr>
          <w:rFonts w:ascii="Times New Roman" w:eastAsia="Times New Roman" w:hAnsi="Times New Roman" w:cs="Times New Roman"/>
          <w:sz w:val="20"/>
          <w:szCs w:val="20"/>
          <w:lang w:val="en-US"/>
        </w:rPr>
      </w:pPr>
    </w:p>
    <w:p w14:paraId="38D3DD09" w14:textId="4AC757DA" w:rsidR="006B41E1" w:rsidRPr="006B41E1" w:rsidRDefault="006B41E1" w:rsidP="006B41E1">
      <w:pPr>
        <w:spacing w:after="0" w:line="240" w:lineRule="auto"/>
        <w:ind w:left="720"/>
        <w:jc w:val="both"/>
        <w:rPr>
          <w:rFonts w:ascii="Times New Roman" w:eastAsia="Times New Roman" w:hAnsi="Times New Roman" w:cs="Times New Roman"/>
          <w:sz w:val="20"/>
          <w:szCs w:val="20"/>
          <w:lang w:val="en-US"/>
        </w:rPr>
      </w:pPr>
      <w:r w:rsidRPr="006B41E1">
        <w:rPr>
          <w:rFonts w:ascii="Times New Roman" w:eastAsia="Times New Roman" w:hAnsi="Times New Roman" w:cs="Times New Roman"/>
          <w:sz w:val="20"/>
          <w:szCs w:val="20"/>
          <w:lang w:val="en-US"/>
        </w:rPr>
        <w:t xml:space="preserve">The Company has not restated contracts that were completed before January 1, </w:t>
      </w:r>
      <w:r w:rsidR="00A65EE3" w:rsidRPr="006B41E1">
        <w:rPr>
          <w:rFonts w:ascii="Times New Roman" w:eastAsia="Times New Roman" w:hAnsi="Times New Roman" w:cs="Times New Roman"/>
          <w:sz w:val="20"/>
          <w:szCs w:val="20"/>
          <w:lang w:val="en-US"/>
        </w:rPr>
        <w:t>20</w:t>
      </w:r>
      <w:r w:rsidR="00A65EE3">
        <w:rPr>
          <w:rFonts w:ascii="Times New Roman" w:eastAsia="Times New Roman" w:hAnsi="Times New Roman" w:cs="Times New Roman"/>
          <w:sz w:val="20"/>
          <w:szCs w:val="20"/>
          <w:lang w:val="en-US"/>
        </w:rPr>
        <w:t>21,</w:t>
      </w:r>
      <w:r w:rsidR="004370AA">
        <w:rPr>
          <w:rFonts w:ascii="Times New Roman" w:eastAsia="Times New Roman" w:hAnsi="Times New Roman" w:cs="Times New Roman"/>
          <w:sz w:val="20"/>
          <w:szCs w:val="20"/>
          <w:lang w:val="en-US"/>
        </w:rPr>
        <w:t xml:space="preserve"> under IFRS 15 “Revenue from Contracts with Customers”</w:t>
      </w:r>
      <w:r w:rsidRPr="006B41E1">
        <w:rPr>
          <w:rFonts w:ascii="Times New Roman" w:eastAsia="Times New Roman" w:hAnsi="Times New Roman" w:cs="Times New Roman"/>
          <w:sz w:val="20"/>
          <w:szCs w:val="20"/>
          <w:lang w:val="en-US"/>
        </w:rPr>
        <w:t xml:space="preserve">. A completed contract is a contract for which the Company has transferred </w:t>
      </w:r>
      <w:proofErr w:type="gramStart"/>
      <w:r w:rsidRPr="006B41E1">
        <w:rPr>
          <w:rFonts w:ascii="Times New Roman" w:eastAsia="Times New Roman" w:hAnsi="Times New Roman" w:cs="Times New Roman"/>
          <w:sz w:val="20"/>
          <w:szCs w:val="20"/>
          <w:lang w:val="en-US"/>
        </w:rPr>
        <w:t>all of</w:t>
      </w:r>
      <w:proofErr w:type="gramEnd"/>
      <w:r w:rsidRPr="006B41E1">
        <w:rPr>
          <w:rFonts w:ascii="Times New Roman" w:eastAsia="Times New Roman" w:hAnsi="Times New Roman" w:cs="Times New Roman"/>
          <w:sz w:val="20"/>
          <w:szCs w:val="20"/>
          <w:lang w:val="en-US"/>
        </w:rPr>
        <w:t xml:space="preserve"> the goods and services identified in accordance with US GAAP.</w:t>
      </w:r>
    </w:p>
    <w:p w14:paraId="32D37A03" w14:textId="77777777" w:rsidR="006B41E1" w:rsidRPr="006B41E1" w:rsidRDefault="006B41E1" w:rsidP="006B41E1">
      <w:pPr>
        <w:spacing w:after="0" w:line="240" w:lineRule="auto"/>
        <w:ind w:left="720"/>
        <w:jc w:val="both"/>
        <w:rPr>
          <w:rFonts w:ascii="Times New Roman" w:eastAsia="Times New Roman" w:hAnsi="Times New Roman" w:cs="Times New Roman"/>
          <w:sz w:val="20"/>
          <w:szCs w:val="20"/>
          <w:lang w:val="en-US"/>
        </w:rPr>
      </w:pPr>
    </w:p>
    <w:p w14:paraId="0734BED8" w14:textId="2D08D4DD" w:rsidR="00D2099E" w:rsidRDefault="006B41E1" w:rsidP="006B41E1">
      <w:pPr>
        <w:spacing w:after="0" w:line="240" w:lineRule="auto"/>
        <w:ind w:left="720"/>
        <w:jc w:val="both"/>
        <w:rPr>
          <w:rFonts w:ascii="Times New Roman" w:eastAsia="Times New Roman" w:hAnsi="Times New Roman" w:cs="Times New Roman"/>
          <w:sz w:val="20"/>
          <w:szCs w:val="20"/>
          <w:lang w:val="en-US"/>
        </w:rPr>
      </w:pPr>
      <w:r w:rsidRPr="006B41E1">
        <w:rPr>
          <w:rFonts w:ascii="Times New Roman" w:eastAsia="Times New Roman" w:hAnsi="Times New Roman" w:cs="Times New Roman"/>
          <w:sz w:val="20"/>
          <w:szCs w:val="20"/>
          <w:lang w:val="en-US"/>
        </w:rPr>
        <w:t xml:space="preserve">The Company assessed all contracts existing </w:t>
      </w:r>
      <w:proofErr w:type="gramStart"/>
      <w:r w:rsidRPr="006B41E1">
        <w:rPr>
          <w:rFonts w:ascii="Times New Roman" w:eastAsia="Times New Roman" w:hAnsi="Times New Roman" w:cs="Times New Roman"/>
          <w:sz w:val="20"/>
          <w:szCs w:val="20"/>
          <w:lang w:val="en-US"/>
        </w:rPr>
        <w:t>at</w:t>
      </w:r>
      <w:proofErr w:type="gramEnd"/>
      <w:r w:rsidRPr="006B41E1">
        <w:rPr>
          <w:rFonts w:ascii="Times New Roman" w:eastAsia="Times New Roman" w:hAnsi="Times New Roman" w:cs="Times New Roman"/>
          <w:sz w:val="20"/>
          <w:szCs w:val="20"/>
          <w:lang w:val="en-US"/>
        </w:rPr>
        <w:t xml:space="preserve"> January 1, 20</w:t>
      </w:r>
      <w:r w:rsidR="00116C98">
        <w:rPr>
          <w:rFonts w:ascii="Times New Roman" w:eastAsia="Times New Roman" w:hAnsi="Times New Roman" w:cs="Times New Roman"/>
          <w:sz w:val="20"/>
          <w:szCs w:val="20"/>
          <w:lang w:val="en-US"/>
        </w:rPr>
        <w:t>21</w:t>
      </w:r>
      <w:r w:rsidRPr="006B41E1">
        <w:rPr>
          <w:rFonts w:ascii="Times New Roman" w:eastAsia="Times New Roman" w:hAnsi="Times New Roman" w:cs="Times New Roman"/>
          <w:sz w:val="20"/>
          <w:szCs w:val="20"/>
          <w:lang w:val="en-US"/>
        </w:rPr>
        <w:t xml:space="preserve"> to determine whether a contract contains a lease based upon the conditions in place as at January 1, 20</w:t>
      </w:r>
      <w:r w:rsidR="00E10AFB">
        <w:rPr>
          <w:rFonts w:ascii="Times New Roman" w:eastAsia="Times New Roman" w:hAnsi="Times New Roman" w:cs="Times New Roman"/>
          <w:sz w:val="20"/>
          <w:szCs w:val="20"/>
          <w:lang w:val="en-US"/>
        </w:rPr>
        <w:t>21</w:t>
      </w:r>
      <w:r w:rsidR="003A520E">
        <w:rPr>
          <w:rFonts w:ascii="Times New Roman" w:eastAsia="Times New Roman" w:hAnsi="Times New Roman" w:cs="Times New Roman"/>
          <w:sz w:val="20"/>
          <w:szCs w:val="20"/>
          <w:lang w:val="en-US"/>
        </w:rPr>
        <w:t xml:space="preserve"> in accordance with IFRS 16 “Leases”</w:t>
      </w:r>
      <w:r w:rsidRPr="006B41E1">
        <w:rPr>
          <w:rFonts w:ascii="Times New Roman" w:eastAsia="Times New Roman" w:hAnsi="Times New Roman" w:cs="Times New Roman"/>
          <w:sz w:val="20"/>
          <w:szCs w:val="20"/>
          <w:lang w:val="en-US"/>
        </w:rPr>
        <w:t xml:space="preserve">. Lease liabilities were measured at the present value of the remaining lease payments, discounted using the Company’s incremental borrowing rate </w:t>
      </w:r>
      <w:proofErr w:type="gramStart"/>
      <w:r w:rsidRPr="006B41E1">
        <w:rPr>
          <w:rFonts w:ascii="Times New Roman" w:eastAsia="Times New Roman" w:hAnsi="Times New Roman" w:cs="Times New Roman"/>
          <w:sz w:val="20"/>
          <w:szCs w:val="20"/>
          <w:lang w:val="en-US"/>
        </w:rPr>
        <w:t>at</w:t>
      </w:r>
      <w:proofErr w:type="gramEnd"/>
      <w:r w:rsidRPr="006B41E1">
        <w:rPr>
          <w:rFonts w:ascii="Times New Roman" w:eastAsia="Times New Roman" w:hAnsi="Times New Roman" w:cs="Times New Roman"/>
          <w:sz w:val="20"/>
          <w:szCs w:val="20"/>
          <w:lang w:val="en-US"/>
        </w:rPr>
        <w:t xml:space="preserve"> January 1, 20</w:t>
      </w:r>
      <w:r w:rsidR="0093777B">
        <w:rPr>
          <w:rFonts w:ascii="Times New Roman" w:eastAsia="Times New Roman" w:hAnsi="Times New Roman" w:cs="Times New Roman"/>
          <w:sz w:val="20"/>
          <w:szCs w:val="20"/>
          <w:lang w:val="en-US"/>
        </w:rPr>
        <w:t>21</w:t>
      </w:r>
      <w:r w:rsidRPr="006B41E1">
        <w:rPr>
          <w:rFonts w:ascii="Times New Roman" w:eastAsia="Times New Roman" w:hAnsi="Times New Roman" w:cs="Times New Roman"/>
          <w:sz w:val="20"/>
          <w:szCs w:val="20"/>
          <w:lang w:val="en-US"/>
        </w:rPr>
        <w:t>. Right-of-use assets were measured at the amount equal to the lease liabilities, adjusted by the amount of any prepaid or accrued lease payments relating to that lease recognized in the statement of financial position immediately before January 1, 20</w:t>
      </w:r>
      <w:r w:rsidR="001279B1">
        <w:rPr>
          <w:rFonts w:ascii="Times New Roman" w:eastAsia="Times New Roman" w:hAnsi="Times New Roman" w:cs="Times New Roman"/>
          <w:sz w:val="20"/>
          <w:szCs w:val="20"/>
          <w:lang w:val="en-US"/>
        </w:rPr>
        <w:t>21</w:t>
      </w:r>
      <w:r w:rsidRPr="006B41E1">
        <w:rPr>
          <w:rFonts w:ascii="Times New Roman" w:eastAsia="Times New Roman" w:hAnsi="Times New Roman" w:cs="Times New Roman"/>
          <w:sz w:val="20"/>
          <w:szCs w:val="20"/>
          <w:lang w:val="en-US"/>
        </w:rPr>
        <w:t xml:space="preserve">. The lease payments associated with leases for which the lease term ends within 12 months of the date of transition to IFRS and leases for which the underlying asset is of low value have been </w:t>
      </w:r>
      <w:r w:rsidR="00071C58" w:rsidRPr="006B41E1">
        <w:rPr>
          <w:rFonts w:ascii="Times New Roman" w:eastAsia="Times New Roman" w:hAnsi="Times New Roman" w:cs="Times New Roman"/>
          <w:sz w:val="20"/>
          <w:szCs w:val="20"/>
          <w:lang w:val="en-US"/>
        </w:rPr>
        <w:t>recognized</w:t>
      </w:r>
      <w:r w:rsidRPr="006B41E1">
        <w:rPr>
          <w:rFonts w:ascii="Times New Roman" w:eastAsia="Times New Roman" w:hAnsi="Times New Roman" w:cs="Times New Roman"/>
          <w:sz w:val="20"/>
          <w:szCs w:val="20"/>
          <w:lang w:val="en-US"/>
        </w:rPr>
        <w:t xml:space="preserve"> as an expense on either a straight-line basis over the lease term or another systematic basis</w:t>
      </w:r>
      <w:r w:rsidR="00CE56AD">
        <w:rPr>
          <w:rFonts w:ascii="Times New Roman" w:eastAsia="Times New Roman" w:hAnsi="Times New Roman" w:cs="Times New Roman"/>
          <w:sz w:val="20"/>
          <w:szCs w:val="20"/>
          <w:lang w:val="en-US"/>
        </w:rPr>
        <w:t>.</w:t>
      </w:r>
      <w:r w:rsidR="00FB5243">
        <w:rPr>
          <w:rFonts w:ascii="Times New Roman" w:eastAsia="Times New Roman" w:hAnsi="Times New Roman" w:cs="Times New Roman"/>
          <w:sz w:val="20"/>
          <w:szCs w:val="20"/>
          <w:lang w:val="en-US"/>
        </w:rPr>
        <w:t xml:space="preserve"> The transition to IFRS 16 did not result in </w:t>
      </w:r>
      <w:r w:rsidR="004F5B47">
        <w:rPr>
          <w:rFonts w:ascii="Times New Roman" w:eastAsia="Times New Roman" w:hAnsi="Times New Roman" w:cs="Times New Roman"/>
          <w:sz w:val="20"/>
          <w:szCs w:val="20"/>
          <w:lang w:val="en-US"/>
        </w:rPr>
        <w:t xml:space="preserve">any </w:t>
      </w:r>
      <w:r w:rsidR="00FB5243">
        <w:rPr>
          <w:rFonts w:ascii="Times New Roman" w:eastAsia="Times New Roman" w:hAnsi="Times New Roman" w:cs="Times New Roman"/>
          <w:sz w:val="20"/>
          <w:szCs w:val="20"/>
          <w:lang w:val="en-US"/>
        </w:rPr>
        <w:t xml:space="preserve">material impact on the Company’s financial position as </w:t>
      </w:r>
      <w:proofErr w:type="gramStart"/>
      <w:r w:rsidR="00FB5243">
        <w:rPr>
          <w:rFonts w:ascii="Times New Roman" w:eastAsia="Times New Roman" w:hAnsi="Times New Roman" w:cs="Times New Roman"/>
          <w:sz w:val="20"/>
          <w:szCs w:val="20"/>
          <w:lang w:val="en-US"/>
        </w:rPr>
        <w:t>at</w:t>
      </w:r>
      <w:proofErr w:type="gramEnd"/>
      <w:r w:rsidR="00FB5243">
        <w:rPr>
          <w:rFonts w:ascii="Times New Roman" w:eastAsia="Times New Roman" w:hAnsi="Times New Roman" w:cs="Times New Roman"/>
          <w:sz w:val="20"/>
          <w:szCs w:val="20"/>
          <w:lang w:val="en-US"/>
        </w:rPr>
        <w:t xml:space="preserve"> December 31, 2021 and 2020, or operation results for the </w:t>
      </w:r>
      <w:r w:rsidR="00C10237">
        <w:rPr>
          <w:rFonts w:ascii="Times New Roman" w:eastAsia="Times New Roman" w:hAnsi="Times New Roman" w:cs="Times New Roman"/>
          <w:sz w:val="20"/>
          <w:szCs w:val="20"/>
          <w:lang w:val="en-US"/>
        </w:rPr>
        <w:t>six</w:t>
      </w:r>
      <w:r w:rsidR="00FB5243">
        <w:rPr>
          <w:rFonts w:ascii="Times New Roman" w:eastAsia="Times New Roman" w:hAnsi="Times New Roman" w:cs="Times New Roman"/>
          <w:sz w:val="20"/>
          <w:szCs w:val="20"/>
          <w:lang w:val="en-US"/>
        </w:rPr>
        <w:t xml:space="preserve"> months ended </w:t>
      </w:r>
      <w:r w:rsidR="00C10237">
        <w:rPr>
          <w:rFonts w:ascii="Times New Roman" w:eastAsia="Times New Roman" w:hAnsi="Times New Roman" w:cs="Times New Roman"/>
          <w:sz w:val="20"/>
          <w:szCs w:val="20"/>
          <w:lang w:val="en-US"/>
        </w:rPr>
        <w:t>June 30</w:t>
      </w:r>
      <w:r w:rsidR="00FB5243">
        <w:rPr>
          <w:rFonts w:ascii="Times New Roman" w:eastAsia="Times New Roman" w:hAnsi="Times New Roman" w:cs="Times New Roman"/>
          <w:sz w:val="20"/>
          <w:szCs w:val="20"/>
          <w:lang w:val="en-US"/>
        </w:rPr>
        <w:t xml:space="preserve">, 2021, and therefore, no adjustment has been proposed accordingly. </w:t>
      </w:r>
    </w:p>
    <w:p w14:paraId="36DF2086" w14:textId="674A09F7" w:rsidR="003C657E" w:rsidRDefault="003C657E">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E6D2DBC" w14:textId="77777777" w:rsidR="00CE56AD" w:rsidRDefault="00CE56AD" w:rsidP="006B41E1">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10855" w:rsidRPr="00D2099E" w14:paraId="7374FA53" w14:textId="77777777" w:rsidTr="00AE52B2">
        <w:tc>
          <w:tcPr>
            <w:tcW w:w="360" w:type="dxa"/>
            <w:hideMark/>
          </w:tcPr>
          <w:p w14:paraId="343C12ED" w14:textId="77777777" w:rsidR="00D10855" w:rsidRPr="00D2099E" w:rsidRDefault="00D10855"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7FAEE430" w14:textId="77777777" w:rsidR="00D10855" w:rsidRPr="00D2099E" w:rsidRDefault="00D10855"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4DA933EC" w14:textId="77777777" w:rsidR="00D10855" w:rsidRDefault="00D10855" w:rsidP="006B41E1">
      <w:pPr>
        <w:spacing w:after="0" w:line="240" w:lineRule="auto"/>
        <w:ind w:left="720"/>
        <w:jc w:val="both"/>
        <w:rPr>
          <w:rFonts w:ascii="Times New Roman" w:eastAsia="Times New Roman" w:hAnsi="Times New Roman" w:cs="Times New Roman"/>
          <w:sz w:val="20"/>
          <w:szCs w:val="20"/>
          <w:lang w:val="en-US"/>
        </w:rPr>
      </w:pPr>
    </w:p>
    <w:p w14:paraId="449205D7" w14:textId="46EEAE80" w:rsidR="00C32518" w:rsidRDefault="003F08BE" w:rsidP="006B41E1">
      <w:pPr>
        <w:spacing w:after="0" w:line="240" w:lineRule="auto"/>
        <w:ind w:left="720"/>
        <w:jc w:val="both"/>
        <w:rPr>
          <w:rFonts w:ascii="Times New Roman" w:eastAsia="Times New Roman" w:hAnsi="Times New Roman" w:cs="Times New Roman"/>
          <w:sz w:val="20"/>
          <w:szCs w:val="20"/>
          <w:lang w:val="en-US"/>
        </w:rPr>
      </w:pPr>
      <w:r w:rsidRPr="003F08BE">
        <w:rPr>
          <w:rFonts w:ascii="Times New Roman" w:eastAsia="Times New Roman" w:hAnsi="Times New Roman" w:cs="Times New Roman"/>
          <w:sz w:val="20"/>
          <w:szCs w:val="20"/>
          <w:lang w:val="en-US"/>
        </w:rPr>
        <w:t>IFRS 1 allows an entity that used full cost accounting under its previous GAAP to elect, at the time of adoption to IFRS, to measure oil and gas assets in the development and production phases by allocating the amount determined under the entity’s previous GAAP for those assets to the underlying assets pro rata using a reasonable method as of that date. The costs of development and production assets have been separately recorded by the Company for each group of assets.</w:t>
      </w:r>
    </w:p>
    <w:p w14:paraId="52C31B03" w14:textId="27137E4C" w:rsidR="003F08BE" w:rsidRDefault="003F08BE" w:rsidP="006B41E1">
      <w:pPr>
        <w:spacing w:after="0" w:line="240" w:lineRule="auto"/>
        <w:ind w:left="720"/>
        <w:jc w:val="both"/>
        <w:rPr>
          <w:rFonts w:ascii="Times New Roman" w:eastAsia="Times New Roman" w:hAnsi="Times New Roman" w:cs="Times New Roman"/>
          <w:sz w:val="20"/>
          <w:szCs w:val="20"/>
          <w:lang w:val="en-US"/>
        </w:rPr>
      </w:pPr>
    </w:p>
    <w:p w14:paraId="31E0E734" w14:textId="263B5B84" w:rsidR="003F08BE" w:rsidRDefault="003F08BE" w:rsidP="006B41E1">
      <w:pPr>
        <w:spacing w:after="0" w:line="240" w:lineRule="auto"/>
        <w:ind w:left="720"/>
        <w:jc w:val="both"/>
        <w:rPr>
          <w:rFonts w:ascii="Times New Roman" w:eastAsia="Times New Roman" w:hAnsi="Times New Roman" w:cs="Times New Roman"/>
          <w:sz w:val="20"/>
          <w:szCs w:val="20"/>
          <w:lang w:val="en-US"/>
        </w:rPr>
      </w:pPr>
      <w:r w:rsidRPr="003F08BE">
        <w:rPr>
          <w:rFonts w:ascii="Times New Roman" w:eastAsia="Times New Roman" w:hAnsi="Times New Roman" w:cs="Times New Roman"/>
          <w:sz w:val="20"/>
          <w:szCs w:val="20"/>
          <w:lang w:val="en-US"/>
        </w:rPr>
        <w:t>As the Company elected the oil and gas assets IFRS 1 exemption, the asset retirement obligation (“ARO”) exemption available to full cost entities was also elected. This exemption allows for the re-measurement of ARO on IFRS transition with the offset to accumulated deficit.</w:t>
      </w:r>
    </w:p>
    <w:p w14:paraId="4E2F6353" w14:textId="77777777" w:rsidR="003F08BE" w:rsidRDefault="003F08BE" w:rsidP="006B41E1">
      <w:pPr>
        <w:spacing w:after="0" w:line="240" w:lineRule="auto"/>
        <w:ind w:left="720"/>
        <w:jc w:val="both"/>
        <w:rPr>
          <w:rFonts w:ascii="Times New Roman" w:eastAsia="Times New Roman" w:hAnsi="Times New Roman" w:cs="Times New Roman"/>
          <w:sz w:val="20"/>
          <w:szCs w:val="20"/>
          <w:lang w:val="en-US"/>
        </w:rPr>
      </w:pPr>
    </w:p>
    <w:p w14:paraId="59FA7CDA" w14:textId="5C4C9E32" w:rsidR="00A74074" w:rsidRDefault="003F08BE" w:rsidP="006B41E1">
      <w:pPr>
        <w:spacing w:after="0" w:line="240" w:lineRule="auto"/>
        <w:ind w:left="720"/>
        <w:jc w:val="both"/>
        <w:rPr>
          <w:rFonts w:ascii="Times New Roman" w:eastAsia="Times New Roman" w:hAnsi="Times New Roman" w:cs="Times New Roman"/>
          <w:sz w:val="20"/>
          <w:szCs w:val="20"/>
          <w:lang w:val="en-US"/>
        </w:rPr>
      </w:pPr>
      <w:r w:rsidRPr="003F08BE">
        <w:rPr>
          <w:rFonts w:ascii="Times New Roman" w:eastAsia="Times New Roman" w:hAnsi="Times New Roman" w:cs="Times New Roman"/>
          <w:sz w:val="20"/>
          <w:szCs w:val="20"/>
          <w:lang w:val="en-US"/>
        </w:rPr>
        <w:t xml:space="preserve">The Company has elected the IFRS 1 exemption that allows the Company an exemption </w:t>
      </w:r>
      <w:r w:rsidR="001E7E01">
        <w:rPr>
          <w:rFonts w:ascii="Times New Roman" w:eastAsia="Times New Roman" w:hAnsi="Times New Roman" w:cs="Times New Roman"/>
          <w:sz w:val="20"/>
          <w:szCs w:val="20"/>
          <w:lang w:val="en-US"/>
        </w:rPr>
        <w:t xml:space="preserve">from </w:t>
      </w:r>
      <w:proofErr w:type="gramStart"/>
      <w:r w:rsidR="001E7E01">
        <w:rPr>
          <w:rFonts w:ascii="Times New Roman" w:eastAsia="Times New Roman" w:hAnsi="Times New Roman" w:cs="Times New Roman"/>
          <w:sz w:val="20"/>
          <w:szCs w:val="20"/>
          <w:lang w:val="en-US"/>
        </w:rPr>
        <w:t xml:space="preserve">applying </w:t>
      </w:r>
      <w:r w:rsidRPr="003F08BE">
        <w:rPr>
          <w:rFonts w:ascii="Times New Roman" w:eastAsia="Times New Roman" w:hAnsi="Times New Roman" w:cs="Times New Roman"/>
          <w:sz w:val="20"/>
          <w:szCs w:val="20"/>
          <w:lang w:val="en-US"/>
        </w:rPr>
        <w:t xml:space="preserve"> IFRS</w:t>
      </w:r>
      <w:proofErr w:type="gramEnd"/>
      <w:r w:rsidRPr="003F08BE">
        <w:rPr>
          <w:rFonts w:ascii="Times New Roman" w:eastAsia="Times New Roman" w:hAnsi="Times New Roman" w:cs="Times New Roman"/>
          <w:sz w:val="20"/>
          <w:szCs w:val="20"/>
          <w:lang w:val="en-US"/>
        </w:rPr>
        <w:t xml:space="preserve"> 2 “Share-Based Payments” to equity instruments which vested and settled before the Company’s transition date to IFRS.</w:t>
      </w:r>
    </w:p>
    <w:p w14:paraId="3D7A8264" w14:textId="77777777" w:rsidR="00A74074" w:rsidRDefault="00A74074" w:rsidP="006B41E1">
      <w:pPr>
        <w:spacing w:after="0" w:line="240" w:lineRule="auto"/>
        <w:ind w:left="720"/>
        <w:jc w:val="both"/>
        <w:rPr>
          <w:rFonts w:ascii="Times New Roman" w:eastAsia="Times New Roman" w:hAnsi="Times New Roman" w:cs="Times New Roman"/>
          <w:sz w:val="20"/>
          <w:szCs w:val="20"/>
          <w:lang w:val="en-US"/>
        </w:rPr>
      </w:pPr>
    </w:p>
    <w:p w14:paraId="5DA6DF75" w14:textId="025DDC21" w:rsidR="00533E51" w:rsidRDefault="00A74074" w:rsidP="00A74074">
      <w:pPr>
        <w:spacing w:after="0" w:line="240" w:lineRule="auto"/>
        <w:ind w:left="720"/>
        <w:jc w:val="both"/>
        <w:rPr>
          <w:rFonts w:ascii="Times New Roman" w:eastAsia="Times New Roman" w:hAnsi="Times New Roman" w:cs="Times New Roman"/>
          <w:sz w:val="20"/>
          <w:szCs w:val="20"/>
          <w:lang w:val="en-US"/>
        </w:rPr>
      </w:pPr>
      <w:r w:rsidRPr="00A74074">
        <w:rPr>
          <w:rFonts w:ascii="Times New Roman" w:eastAsia="Times New Roman" w:hAnsi="Times New Roman" w:cs="Times New Roman"/>
          <w:sz w:val="20"/>
          <w:szCs w:val="20"/>
          <w:lang w:val="en-US"/>
        </w:rPr>
        <w:t xml:space="preserve">The Company has elected the IFRS 1 exemption that allows the Company an exemption </w:t>
      </w:r>
      <w:r w:rsidR="001E7E01">
        <w:rPr>
          <w:rFonts w:ascii="Times New Roman" w:eastAsia="Times New Roman" w:hAnsi="Times New Roman" w:cs="Times New Roman"/>
          <w:sz w:val="20"/>
          <w:szCs w:val="20"/>
          <w:lang w:val="en-US"/>
        </w:rPr>
        <w:t>from applying</w:t>
      </w:r>
      <w:r w:rsidRPr="00A74074">
        <w:rPr>
          <w:rFonts w:ascii="Times New Roman" w:eastAsia="Times New Roman" w:hAnsi="Times New Roman" w:cs="Times New Roman"/>
          <w:sz w:val="20"/>
          <w:szCs w:val="20"/>
          <w:lang w:val="en-US"/>
        </w:rPr>
        <w:t xml:space="preserve"> IFRS 9 “Financial Instruments” to financial instruments that were derecognized before the date of transition to IFRS on January 1, 2021</w:t>
      </w:r>
      <w:r w:rsidR="00533E51">
        <w:rPr>
          <w:rFonts w:ascii="Times New Roman" w:eastAsia="Times New Roman" w:hAnsi="Times New Roman" w:cs="Times New Roman"/>
          <w:sz w:val="20"/>
          <w:szCs w:val="20"/>
          <w:lang w:val="en-US"/>
        </w:rPr>
        <w:t>.</w:t>
      </w:r>
    </w:p>
    <w:p w14:paraId="62952525" w14:textId="3C5BA5F1" w:rsidR="009377FF" w:rsidRDefault="009377F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22F9EC70" w14:textId="77777777" w:rsidR="00533E51" w:rsidRDefault="00533E51" w:rsidP="00A74074">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1220D4" w:rsidRPr="00D2099E" w14:paraId="6712749D" w14:textId="77777777" w:rsidTr="00AE52B2">
        <w:tc>
          <w:tcPr>
            <w:tcW w:w="360" w:type="dxa"/>
            <w:hideMark/>
          </w:tcPr>
          <w:p w14:paraId="2FC00FB6" w14:textId="77777777" w:rsidR="001220D4" w:rsidRPr="00D2099E" w:rsidRDefault="001220D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762791D4" w14:textId="77777777" w:rsidR="001220D4" w:rsidRPr="00D2099E" w:rsidRDefault="001220D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138E65DA" w14:textId="77777777" w:rsidR="001220D4" w:rsidRDefault="001220D4" w:rsidP="00A74074">
      <w:pPr>
        <w:spacing w:after="0" w:line="240" w:lineRule="auto"/>
        <w:ind w:left="720"/>
        <w:jc w:val="both"/>
        <w:rPr>
          <w:rFonts w:ascii="Times New Roman" w:eastAsia="Times New Roman" w:hAnsi="Times New Roman" w:cs="Times New Roman"/>
          <w:i/>
          <w:iCs/>
          <w:sz w:val="20"/>
          <w:szCs w:val="20"/>
          <w:lang w:val="en-US"/>
        </w:rPr>
      </w:pPr>
    </w:p>
    <w:p w14:paraId="1285E4C6" w14:textId="0E69FFFE" w:rsidR="00872B51" w:rsidRDefault="00533E51" w:rsidP="00A74074">
      <w:pPr>
        <w:spacing w:after="0" w:line="240" w:lineRule="auto"/>
        <w:ind w:left="720"/>
        <w:jc w:val="both"/>
        <w:rPr>
          <w:rFonts w:ascii="Times New Roman" w:eastAsia="Times New Roman" w:hAnsi="Times New Roman" w:cs="Times New Roman"/>
          <w:i/>
          <w:iCs/>
          <w:sz w:val="20"/>
          <w:szCs w:val="20"/>
          <w:lang w:val="en-US"/>
        </w:rPr>
      </w:pPr>
      <w:r w:rsidRPr="00CA4239">
        <w:rPr>
          <w:rFonts w:ascii="Times New Roman" w:eastAsia="Times New Roman" w:hAnsi="Times New Roman" w:cs="Times New Roman"/>
          <w:i/>
          <w:iCs/>
          <w:sz w:val="20"/>
          <w:szCs w:val="20"/>
          <w:lang w:val="en-US"/>
        </w:rPr>
        <w:t xml:space="preserve">Reconciliation of financial position as </w:t>
      </w:r>
      <w:proofErr w:type="gramStart"/>
      <w:r w:rsidRPr="00CA4239">
        <w:rPr>
          <w:rFonts w:ascii="Times New Roman" w:eastAsia="Times New Roman" w:hAnsi="Times New Roman" w:cs="Times New Roman"/>
          <w:i/>
          <w:iCs/>
          <w:sz w:val="20"/>
          <w:szCs w:val="20"/>
          <w:lang w:val="en-US"/>
        </w:rPr>
        <w:t>at</w:t>
      </w:r>
      <w:proofErr w:type="gramEnd"/>
      <w:r w:rsidRPr="00CA4239">
        <w:rPr>
          <w:rFonts w:ascii="Times New Roman" w:eastAsia="Times New Roman" w:hAnsi="Times New Roman" w:cs="Times New Roman"/>
          <w:i/>
          <w:iCs/>
          <w:sz w:val="20"/>
          <w:szCs w:val="20"/>
          <w:lang w:val="en-US"/>
        </w:rPr>
        <w:t xml:space="preserve"> January 1, 2021 (date of transition to IFRS)</w:t>
      </w:r>
    </w:p>
    <w:p w14:paraId="2AD6049E" w14:textId="77777777" w:rsidR="00AC6051" w:rsidRDefault="00AC6051" w:rsidP="00A74074">
      <w:pPr>
        <w:spacing w:after="0" w:line="240" w:lineRule="auto"/>
        <w:ind w:left="720"/>
        <w:jc w:val="both"/>
        <w:rPr>
          <w:rFonts w:ascii="Times New Roman" w:eastAsia="Times New Roman" w:hAnsi="Times New Roman" w:cs="Times New Roman"/>
          <w:i/>
          <w:iCs/>
          <w:sz w:val="20"/>
          <w:szCs w:val="20"/>
          <w:lang w:val="en-US"/>
        </w:rPr>
      </w:pPr>
    </w:p>
    <w:tbl>
      <w:tblPr>
        <w:tblW w:w="10348" w:type="dxa"/>
        <w:tblLook w:val="04A0" w:firstRow="1" w:lastRow="0" w:firstColumn="1" w:lastColumn="0" w:noHBand="0" w:noVBand="1"/>
      </w:tblPr>
      <w:tblGrid>
        <w:gridCol w:w="4101"/>
        <w:gridCol w:w="861"/>
        <w:gridCol w:w="316"/>
        <w:gridCol w:w="1250"/>
        <w:gridCol w:w="316"/>
        <w:gridCol w:w="1800"/>
        <w:gridCol w:w="316"/>
        <w:gridCol w:w="1388"/>
      </w:tblGrid>
      <w:tr w:rsidR="00AC6051" w:rsidRPr="00AC6051" w14:paraId="6BA289D9" w14:textId="77777777" w:rsidTr="00D33273">
        <w:trPr>
          <w:trHeight w:val="528"/>
        </w:trPr>
        <w:tc>
          <w:tcPr>
            <w:tcW w:w="4101" w:type="dxa"/>
            <w:tcBorders>
              <w:top w:val="single" w:sz="12" w:space="0" w:color="auto"/>
              <w:left w:val="nil"/>
              <w:bottom w:val="single" w:sz="12" w:space="0" w:color="auto"/>
              <w:right w:val="nil"/>
            </w:tcBorders>
            <w:shd w:val="clear" w:color="auto" w:fill="auto"/>
            <w:noWrap/>
            <w:vAlign w:val="bottom"/>
            <w:hideMark/>
          </w:tcPr>
          <w:p w14:paraId="48653876" w14:textId="77777777" w:rsidR="00AC6051" w:rsidRPr="00AC6051" w:rsidRDefault="00AC6051" w:rsidP="00AC6051">
            <w:pPr>
              <w:spacing w:after="0" w:line="240" w:lineRule="auto"/>
              <w:rPr>
                <w:rFonts w:ascii="Times New Roman" w:eastAsia="Times New Roman" w:hAnsi="Times New Roman" w:cs="Times New Roman"/>
                <w:sz w:val="24"/>
                <w:szCs w:val="24"/>
                <w:lang w:eastAsia="zh-CN"/>
              </w:rPr>
            </w:pPr>
          </w:p>
        </w:tc>
        <w:tc>
          <w:tcPr>
            <w:tcW w:w="861" w:type="dxa"/>
            <w:tcBorders>
              <w:top w:val="single" w:sz="12" w:space="0" w:color="auto"/>
              <w:left w:val="nil"/>
              <w:bottom w:val="single" w:sz="12" w:space="0" w:color="auto"/>
              <w:right w:val="nil"/>
            </w:tcBorders>
            <w:shd w:val="clear" w:color="auto" w:fill="auto"/>
            <w:noWrap/>
            <w:vAlign w:val="bottom"/>
            <w:hideMark/>
          </w:tcPr>
          <w:p w14:paraId="6E33D4B7" w14:textId="77777777" w:rsidR="00AC6051" w:rsidRPr="00AC6051" w:rsidRDefault="00AC6051" w:rsidP="00AC6051">
            <w:pPr>
              <w:spacing w:after="0" w:line="240" w:lineRule="auto"/>
              <w:jc w:val="right"/>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 xml:space="preserve">Notes </w:t>
            </w:r>
          </w:p>
        </w:tc>
        <w:tc>
          <w:tcPr>
            <w:tcW w:w="316" w:type="dxa"/>
            <w:tcBorders>
              <w:top w:val="single" w:sz="12" w:space="0" w:color="auto"/>
              <w:left w:val="nil"/>
              <w:bottom w:val="single" w:sz="12" w:space="0" w:color="auto"/>
              <w:right w:val="nil"/>
            </w:tcBorders>
            <w:shd w:val="clear" w:color="auto" w:fill="auto"/>
            <w:noWrap/>
            <w:vAlign w:val="bottom"/>
            <w:hideMark/>
          </w:tcPr>
          <w:p w14:paraId="5574661E" w14:textId="77777777" w:rsidR="00AC6051" w:rsidRPr="00AC6051" w:rsidRDefault="00AC6051" w:rsidP="00AC6051">
            <w:pPr>
              <w:spacing w:after="0" w:line="240" w:lineRule="auto"/>
              <w:jc w:val="right"/>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 </w:t>
            </w:r>
          </w:p>
        </w:tc>
        <w:tc>
          <w:tcPr>
            <w:tcW w:w="1250" w:type="dxa"/>
            <w:tcBorders>
              <w:top w:val="single" w:sz="12" w:space="0" w:color="auto"/>
              <w:left w:val="nil"/>
              <w:bottom w:val="single" w:sz="12" w:space="0" w:color="auto"/>
              <w:right w:val="nil"/>
            </w:tcBorders>
            <w:shd w:val="clear" w:color="auto" w:fill="auto"/>
            <w:noWrap/>
            <w:vAlign w:val="bottom"/>
            <w:hideMark/>
          </w:tcPr>
          <w:p w14:paraId="6D7E6DA1" w14:textId="77777777" w:rsidR="00AC6051" w:rsidRPr="00AC6051" w:rsidRDefault="00AC6051" w:rsidP="00AC6051">
            <w:pPr>
              <w:spacing w:after="0" w:line="240" w:lineRule="auto"/>
              <w:jc w:val="right"/>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 xml:space="preserve">US GAAP </w:t>
            </w:r>
          </w:p>
        </w:tc>
        <w:tc>
          <w:tcPr>
            <w:tcW w:w="316" w:type="dxa"/>
            <w:tcBorders>
              <w:top w:val="single" w:sz="12" w:space="0" w:color="auto"/>
              <w:left w:val="nil"/>
              <w:bottom w:val="single" w:sz="12" w:space="0" w:color="auto"/>
              <w:right w:val="nil"/>
            </w:tcBorders>
            <w:shd w:val="clear" w:color="auto" w:fill="auto"/>
            <w:noWrap/>
            <w:vAlign w:val="bottom"/>
            <w:hideMark/>
          </w:tcPr>
          <w:p w14:paraId="2640A670" w14:textId="77777777" w:rsidR="00AC6051" w:rsidRPr="00AC6051" w:rsidRDefault="00AC6051" w:rsidP="00AC6051">
            <w:pPr>
              <w:spacing w:after="0" w:line="240" w:lineRule="auto"/>
              <w:jc w:val="right"/>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 </w:t>
            </w:r>
          </w:p>
        </w:tc>
        <w:tc>
          <w:tcPr>
            <w:tcW w:w="1800" w:type="dxa"/>
            <w:tcBorders>
              <w:top w:val="single" w:sz="12" w:space="0" w:color="auto"/>
              <w:left w:val="nil"/>
              <w:bottom w:val="single" w:sz="12" w:space="0" w:color="auto"/>
              <w:right w:val="nil"/>
            </w:tcBorders>
            <w:shd w:val="clear" w:color="auto" w:fill="auto"/>
            <w:vAlign w:val="bottom"/>
            <w:hideMark/>
          </w:tcPr>
          <w:p w14:paraId="193DCE5D" w14:textId="77777777" w:rsidR="00AC6051" w:rsidRPr="00AC6051" w:rsidRDefault="00AC6051" w:rsidP="00AC6051">
            <w:pPr>
              <w:spacing w:after="0" w:line="240" w:lineRule="auto"/>
              <w:jc w:val="right"/>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Effect of Transition to IFRS</w:t>
            </w:r>
          </w:p>
        </w:tc>
        <w:tc>
          <w:tcPr>
            <w:tcW w:w="316" w:type="dxa"/>
            <w:tcBorders>
              <w:top w:val="single" w:sz="12" w:space="0" w:color="auto"/>
              <w:left w:val="nil"/>
              <w:bottom w:val="single" w:sz="12" w:space="0" w:color="auto"/>
              <w:right w:val="nil"/>
            </w:tcBorders>
            <w:shd w:val="clear" w:color="auto" w:fill="auto"/>
            <w:noWrap/>
            <w:vAlign w:val="bottom"/>
            <w:hideMark/>
          </w:tcPr>
          <w:p w14:paraId="732277AF" w14:textId="77777777" w:rsidR="00AC6051" w:rsidRPr="00AC6051" w:rsidRDefault="00AC6051" w:rsidP="00AC6051">
            <w:pPr>
              <w:spacing w:after="0" w:line="240" w:lineRule="auto"/>
              <w:jc w:val="right"/>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 </w:t>
            </w:r>
          </w:p>
        </w:tc>
        <w:tc>
          <w:tcPr>
            <w:tcW w:w="1388" w:type="dxa"/>
            <w:tcBorders>
              <w:top w:val="single" w:sz="12" w:space="0" w:color="auto"/>
              <w:left w:val="nil"/>
              <w:bottom w:val="single" w:sz="12" w:space="0" w:color="auto"/>
              <w:right w:val="nil"/>
            </w:tcBorders>
            <w:shd w:val="clear" w:color="auto" w:fill="auto"/>
            <w:noWrap/>
            <w:vAlign w:val="bottom"/>
            <w:hideMark/>
          </w:tcPr>
          <w:p w14:paraId="0C5673BB" w14:textId="77777777" w:rsidR="00AC6051" w:rsidRPr="00AC6051" w:rsidRDefault="00AC6051" w:rsidP="00AC6051">
            <w:pPr>
              <w:spacing w:after="0" w:line="240" w:lineRule="auto"/>
              <w:jc w:val="right"/>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IFRS</w:t>
            </w:r>
          </w:p>
        </w:tc>
      </w:tr>
      <w:tr w:rsidR="00AC6051" w:rsidRPr="00AC6051" w14:paraId="1239F38E" w14:textId="77777777" w:rsidTr="00D33273">
        <w:trPr>
          <w:trHeight w:val="255"/>
        </w:trPr>
        <w:tc>
          <w:tcPr>
            <w:tcW w:w="4101" w:type="dxa"/>
            <w:tcBorders>
              <w:top w:val="single" w:sz="12" w:space="0" w:color="auto"/>
              <w:left w:val="nil"/>
              <w:bottom w:val="nil"/>
              <w:right w:val="nil"/>
            </w:tcBorders>
            <w:shd w:val="clear" w:color="auto" w:fill="auto"/>
            <w:noWrap/>
            <w:vAlign w:val="bottom"/>
            <w:hideMark/>
          </w:tcPr>
          <w:p w14:paraId="558F3D85" w14:textId="77777777" w:rsidR="00AC6051" w:rsidRPr="00AC6051" w:rsidRDefault="00AC6051" w:rsidP="00AC6051">
            <w:pPr>
              <w:spacing w:after="0" w:line="240" w:lineRule="auto"/>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ASSETS</w:t>
            </w:r>
          </w:p>
        </w:tc>
        <w:tc>
          <w:tcPr>
            <w:tcW w:w="861" w:type="dxa"/>
            <w:tcBorders>
              <w:top w:val="single" w:sz="12" w:space="0" w:color="auto"/>
              <w:left w:val="nil"/>
              <w:bottom w:val="nil"/>
              <w:right w:val="nil"/>
            </w:tcBorders>
            <w:shd w:val="clear" w:color="auto" w:fill="auto"/>
            <w:noWrap/>
            <w:vAlign w:val="center"/>
            <w:hideMark/>
          </w:tcPr>
          <w:p w14:paraId="73380289" w14:textId="77777777" w:rsidR="00AC6051" w:rsidRPr="00AC6051" w:rsidRDefault="00AC6051" w:rsidP="00AC6051">
            <w:pPr>
              <w:spacing w:after="0" w:line="240" w:lineRule="auto"/>
              <w:rPr>
                <w:rFonts w:ascii="Times New Roman" w:eastAsia="Times New Roman" w:hAnsi="Times New Roman" w:cs="Times New Roman"/>
                <w:b/>
                <w:bCs/>
                <w:color w:val="000000"/>
                <w:sz w:val="20"/>
                <w:szCs w:val="20"/>
                <w:lang w:eastAsia="zh-CN"/>
              </w:rPr>
            </w:pPr>
          </w:p>
        </w:tc>
        <w:tc>
          <w:tcPr>
            <w:tcW w:w="316" w:type="dxa"/>
            <w:tcBorders>
              <w:top w:val="single" w:sz="12" w:space="0" w:color="auto"/>
              <w:left w:val="nil"/>
              <w:bottom w:val="nil"/>
              <w:right w:val="nil"/>
            </w:tcBorders>
            <w:shd w:val="clear" w:color="auto" w:fill="auto"/>
            <w:noWrap/>
            <w:vAlign w:val="center"/>
            <w:hideMark/>
          </w:tcPr>
          <w:p w14:paraId="46C63F33"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single" w:sz="12" w:space="0" w:color="auto"/>
              <w:left w:val="nil"/>
              <w:bottom w:val="nil"/>
              <w:right w:val="nil"/>
            </w:tcBorders>
            <w:shd w:val="clear" w:color="auto" w:fill="auto"/>
            <w:noWrap/>
            <w:vAlign w:val="center"/>
            <w:hideMark/>
          </w:tcPr>
          <w:p w14:paraId="3E736410" w14:textId="77777777" w:rsidR="00AC6051" w:rsidRPr="00AC6051" w:rsidRDefault="00AC6051" w:rsidP="00AC6051">
            <w:pPr>
              <w:spacing w:after="0" w:line="240" w:lineRule="auto"/>
              <w:rPr>
                <w:rFonts w:ascii="Times New Roman" w:eastAsia="Times New Roman" w:hAnsi="Times New Roman" w:cs="Times New Roman"/>
                <w:sz w:val="20"/>
                <w:szCs w:val="20"/>
                <w:lang w:eastAsia="zh-CN"/>
              </w:rPr>
            </w:pPr>
          </w:p>
        </w:tc>
        <w:tc>
          <w:tcPr>
            <w:tcW w:w="316" w:type="dxa"/>
            <w:tcBorders>
              <w:top w:val="single" w:sz="12" w:space="0" w:color="auto"/>
              <w:left w:val="nil"/>
              <w:bottom w:val="nil"/>
              <w:right w:val="nil"/>
            </w:tcBorders>
            <w:shd w:val="clear" w:color="auto" w:fill="auto"/>
            <w:noWrap/>
            <w:vAlign w:val="center"/>
            <w:hideMark/>
          </w:tcPr>
          <w:p w14:paraId="6BD2A02A"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800" w:type="dxa"/>
            <w:tcBorders>
              <w:top w:val="single" w:sz="12" w:space="0" w:color="auto"/>
              <w:left w:val="nil"/>
              <w:bottom w:val="nil"/>
              <w:right w:val="nil"/>
            </w:tcBorders>
            <w:shd w:val="clear" w:color="auto" w:fill="auto"/>
            <w:noWrap/>
            <w:vAlign w:val="center"/>
            <w:hideMark/>
          </w:tcPr>
          <w:p w14:paraId="0A5749BF" w14:textId="77777777" w:rsidR="00AC6051" w:rsidRPr="00AC6051" w:rsidRDefault="00AC6051" w:rsidP="00AC6051">
            <w:pPr>
              <w:spacing w:after="0" w:line="240" w:lineRule="auto"/>
              <w:rPr>
                <w:rFonts w:ascii="Times New Roman" w:eastAsia="Times New Roman" w:hAnsi="Times New Roman" w:cs="Times New Roman"/>
                <w:sz w:val="20"/>
                <w:szCs w:val="20"/>
                <w:lang w:eastAsia="zh-CN"/>
              </w:rPr>
            </w:pPr>
          </w:p>
        </w:tc>
        <w:tc>
          <w:tcPr>
            <w:tcW w:w="316" w:type="dxa"/>
            <w:tcBorders>
              <w:top w:val="single" w:sz="12" w:space="0" w:color="auto"/>
              <w:left w:val="nil"/>
              <w:bottom w:val="nil"/>
              <w:right w:val="nil"/>
            </w:tcBorders>
            <w:shd w:val="clear" w:color="auto" w:fill="auto"/>
            <w:noWrap/>
            <w:vAlign w:val="center"/>
            <w:hideMark/>
          </w:tcPr>
          <w:p w14:paraId="51B4D9CF"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388" w:type="dxa"/>
            <w:tcBorders>
              <w:top w:val="single" w:sz="12" w:space="0" w:color="auto"/>
              <w:left w:val="nil"/>
              <w:bottom w:val="nil"/>
              <w:right w:val="nil"/>
            </w:tcBorders>
            <w:shd w:val="clear" w:color="auto" w:fill="auto"/>
            <w:noWrap/>
            <w:vAlign w:val="center"/>
            <w:hideMark/>
          </w:tcPr>
          <w:p w14:paraId="2214C799" w14:textId="77777777" w:rsidR="00AC6051" w:rsidRPr="00AC6051" w:rsidRDefault="00AC6051" w:rsidP="00AC6051">
            <w:pPr>
              <w:spacing w:after="0" w:line="240" w:lineRule="auto"/>
              <w:rPr>
                <w:rFonts w:ascii="Times New Roman" w:eastAsia="Times New Roman" w:hAnsi="Times New Roman" w:cs="Times New Roman"/>
                <w:sz w:val="20"/>
                <w:szCs w:val="20"/>
                <w:lang w:eastAsia="zh-CN"/>
              </w:rPr>
            </w:pPr>
          </w:p>
        </w:tc>
      </w:tr>
      <w:tr w:rsidR="00AC6051" w:rsidRPr="00AC6051" w14:paraId="07F136EA" w14:textId="77777777" w:rsidTr="00D33273">
        <w:trPr>
          <w:trHeight w:val="255"/>
        </w:trPr>
        <w:tc>
          <w:tcPr>
            <w:tcW w:w="4101" w:type="dxa"/>
            <w:tcBorders>
              <w:top w:val="nil"/>
              <w:left w:val="nil"/>
              <w:bottom w:val="nil"/>
              <w:right w:val="nil"/>
            </w:tcBorders>
            <w:shd w:val="clear" w:color="auto" w:fill="auto"/>
            <w:noWrap/>
            <w:vAlign w:val="bottom"/>
            <w:hideMark/>
          </w:tcPr>
          <w:p w14:paraId="54414030"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Current assets:</w:t>
            </w:r>
          </w:p>
        </w:tc>
        <w:tc>
          <w:tcPr>
            <w:tcW w:w="861" w:type="dxa"/>
            <w:tcBorders>
              <w:top w:val="nil"/>
              <w:left w:val="nil"/>
              <w:bottom w:val="nil"/>
              <w:right w:val="nil"/>
            </w:tcBorders>
            <w:shd w:val="clear" w:color="auto" w:fill="auto"/>
            <w:noWrap/>
            <w:vAlign w:val="center"/>
            <w:hideMark/>
          </w:tcPr>
          <w:p w14:paraId="664854B7"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center"/>
            <w:hideMark/>
          </w:tcPr>
          <w:p w14:paraId="7FE6E42B"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center"/>
            <w:hideMark/>
          </w:tcPr>
          <w:p w14:paraId="57CC30D8" w14:textId="77777777" w:rsidR="00AC6051" w:rsidRPr="00AC6051" w:rsidRDefault="00AC6051" w:rsidP="00AC6051">
            <w:pPr>
              <w:spacing w:after="0" w:line="240" w:lineRule="auto"/>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center"/>
            <w:hideMark/>
          </w:tcPr>
          <w:p w14:paraId="4F7AA59C"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800" w:type="dxa"/>
            <w:tcBorders>
              <w:top w:val="nil"/>
              <w:left w:val="nil"/>
              <w:bottom w:val="nil"/>
              <w:right w:val="nil"/>
            </w:tcBorders>
            <w:shd w:val="clear" w:color="auto" w:fill="auto"/>
            <w:noWrap/>
            <w:vAlign w:val="center"/>
            <w:hideMark/>
          </w:tcPr>
          <w:p w14:paraId="2F303507" w14:textId="77777777" w:rsidR="00AC6051" w:rsidRPr="00AC6051" w:rsidRDefault="00AC6051" w:rsidP="00AC6051">
            <w:pPr>
              <w:spacing w:after="0" w:line="240" w:lineRule="auto"/>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center"/>
            <w:hideMark/>
          </w:tcPr>
          <w:p w14:paraId="676F21D6"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388" w:type="dxa"/>
            <w:tcBorders>
              <w:top w:val="nil"/>
              <w:left w:val="nil"/>
              <w:bottom w:val="nil"/>
              <w:right w:val="nil"/>
            </w:tcBorders>
            <w:shd w:val="clear" w:color="auto" w:fill="auto"/>
            <w:noWrap/>
            <w:vAlign w:val="center"/>
            <w:hideMark/>
          </w:tcPr>
          <w:p w14:paraId="2D71F5D8" w14:textId="77777777" w:rsidR="00AC6051" w:rsidRPr="00AC6051" w:rsidRDefault="00AC6051" w:rsidP="00AC6051">
            <w:pPr>
              <w:spacing w:after="0" w:line="240" w:lineRule="auto"/>
              <w:rPr>
                <w:rFonts w:ascii="Times New Roman" w:eastAsia="Times New Roman" w:hAnsi="Times New Roman" w:cs="Times New Roman"/>
                <w:sz w:val="20"/>
                <w:szCs w:val="20"/>
                <w:lang w:eastAsia="zh-CN"/>
              </w:rPr>
            </w:pPr>
          </w:p>
        </w:tc>
      </w:tr>
      <w:tr w:rsidR="00AC6051" w:rsidRPr="00AC6051" w14:paraId="5CBA8068" w14:textId="77777777" w:rsidTr="00D33273">
        <w:trPr>
          <w:trHeight w:val="255"/>
        </w:trPr>
        <w:tc>
          <w:tcPr>
            <w:tcW w:w="4101" w:type="dxa"/>
            <w:tcBorders>
              <w:top w:val="nil"/>
              <w:left w:val="nil"/>
              <w:bottom w:val="nil"/>
              <w:right w:val="nil"/>
            </w:tcBorders>
            <w:shd w:val="clear" w:color="auto" w:fill="auto"/>
            <w:noWrap/>
            <w:vAlign w:val="bottom"/>
            <w:hideMark/>
          </w:tcPr>
          <w:p w14:paraId="4BD46182"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Cash and cash equivalents</w:t>
            </w:r>
          </w:p>
        </w:tc>
        <w:tc>
          <w:tcPr>
            <w:tcW w:w="861" w:type="dxa"/>
            <w:tcBorders>
              <w:top w:val="nil"/>
              <w:left w:val="nil"/>
              <w:bottom w:val="nil"/>
              <w:right w:val="nil"/>
            </w:tcBorders>
            <w:shd w:val="clear" w:color="auto" w:fill="auto"/>
            <w:noWrap/>
            <w:vAlign w:val="center"/>
            <w:hideMark/>
          </w:tcPr>
          <w:p w14:paraId="2DADA267"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793C0BA7"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250" w:type="dxa"/>
            <w:tcBorders>
              <w:top w:val="nil"/>
              <w:left w:val="nil"/>
              <w:bottom w:val="nil"/>
              <w:right w:val="nil"/>
            </w:tcBorders>
            <w:shd w:val="clear" w:color="auto" w:fill="auto"/>
            <w:noWrap/>
            <w:vAlign w:val="bottom"/>
            <w:hideMark/>
          </w:tcPr>
          <w:p w14:paraId="0F97F564" w14:textId="14CA16A5"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202,712 </w:t>
            </w:r>
          </w:p>
        </w:tc>
        <w:tc>
          <w:tcPr>
            <w:tcW w:w="316" w:type="dxa"/>
            <w:tcBorders>
              <w:top w:val="nil"/>
              <w:left w:val="nil"/>
              <w:bottom w:val="nil"/>
              <w:right w:val="nil"/>
            </w:tcBorders>
            <w:shd w:val="clear" w:color="auto" w:fill="auto"/>
            <w:noWrap/>
            <w:vAlign w:val="bottom"/>
            <w:hideMark/>
          </w:tcPr>
          <w:p w14:paraId="53ADAA36"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800" w:type="dxa"/>
            <w:tcBorders>
              <w:top w:val="nil"/>
              <w:left w:val="nil"/>
              <w:bottom w:val="nil"/>
              <w:right w:val="nil"/>
            </w:tcBorders>
            <w:shd w:val="clear" w:color="auto" w:fill="auto"/>
            <w:noWrap/>
            <w:vAlign w:val="bottom"/>
            <w:hideMark/>
          </w:tcPr>
          <w:p w14:paraId="4867ABE3" w14:textId="7F31FDD2"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4C3A0E3D"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388" w:type="dxa"/>
            <w:tcBorders>
              <w:top w:val="nil"/>
              <w:left w:val="nil"/>
              <w:bottom w:val="nil"/>
              <w:right w:val="nil"/>
            </w:tcBorders>
            <w:shd w:val="clear" w:color="auto" w:fill="auto"/>
            <w:noWrap/>
            <w:vAlign w:val="bottom"/>
            <w:hideMark/>
          </w:tcPr>
          <w:p w14:paraId="6A410DC7" w14:textId="79381F74"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202,712 </w:t>
            </w:r>
          </w:p>
        </w:tc>
      </w:tr>
      <w:tr w:rsidR="00AC6051" w:rsidRPr="00AC6051" w14:paraId="5CBF637B" w14:textId="77777777" w:rsidTr="00D33273">
        <w:trPr>
          <w:trHeight w:val="255"/>
        </w:trPr>
        <w:tc>
          <w:tcPr>
            <w:tcW w:w="4101" w:type="dxa"/>
            <w:tcBorders>
              <w:top w:val="nil"/>
              <w:left w:val="nil"/>
              <w:bottom w:val="nil"/>
              <w:right w:val="nil"/>
            </w:tcBorders>
            <w:shd w:val="clear" w:color="auto" w:fill="auto"/>
            <w:noWrap/>
            <w:vAlign w:val="bottom"/>
            <w:hideMark/>
          </w:tcPr>
          <w:p w14:paraId="79DCEBF2"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Account receivables</w:t>
            </w:r>
          </w:p>
        </w:tc>
        <w:tc>
          <w:tcPr>
            <w:tcW w:w="861" w:type="dxa"/>
            <w:tcBorders>
              <w:top w:val="nil"/>
              <w:left w:val="nil"/>
              <w:bottom w:val="nil"/>
              <w:right w:val="nil"/>
            </w:tcBorders>
            <w:shd w:val="clear" w:color="auto" w:fill="auto"/>
            <w:noWrap/>
            <w:vAlign w:val="center"/>
            <w:hideMark/>
          </w:tcPr>
          <w:p w14:paraId="2B549EC6"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685BCF25"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2526A7A5" w14:textId="4167BFFD"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773,311 </w:t>
            </w:r>
          </w:p>
        </w:tc>
        <w:tc>
          <w:tcPr>
            <w:tcW w:w="316" w:type="dxa"/>
            <w:tcBorders>
              <w:top w:val="nil"/>
              <w:left w:val="nil"/>
              <w:bottom w:val="nil"/>
              <w:right w:val="nil"/>
            </w:tcBorders>
            <w:shd w:val="clear" w:color="auto" w:fill="auto"/>
            <w:noWrap/>
            <w:vAlign w:val="bottom"/>
            <w:hideMark/>
          </w:tcPr>
          <w:p w14:paraId="56FA1951"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53AA10FD" w14:textId="77BD11B4"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3E5AAE93"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37E81020" w14:textId="2413DA5A"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773,311 </w:t>
            </w:r>
          </w:p>
        </w:tc>
      </w:tr>
      <w:tr w:rsidR="00AC6051" w:rsidRPr="00AC6051" w14:paraId="2F191E22" w14:textId="77777777" w:rsidTr="00D33273">
        <w:trPr>
          <w:trHeight w:val="270"/>
        </w:trPr>
        <w:tc>
          <w:tcPr>
            <w:tcW w:w="4101" w:type="dxa"/>
            <w:tcBorders>
              <w:top w:val="nil"/>
              <w:left w:val="nil"/>
              <w:bottom w:val="nil"/>
              <w:right w:val="nil"/>
            </w:tcBorders>
            <w:shd w:val="clear" w:color="auto" w:fill="auto"/>
            <w:noWrap/>
            <w:vAlign w:val="bottom"/>
            <w:hideMark/>
          </w:tcPr>
          <w:p w14:paraId="355846F1"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Prepaid expenses and deposits</w:t>
            </w:r>
          </w:p>
        </w:tc>
        <w:tc>
          <w:tcPr>
            <w:tcW w:w="861" w:type="dxa"/>
            <w:tcBorders>
              <w:top w:val="nil"/>
              <w:left w:val="nil"/>
              <w:bottom w:val="nil"/>
              <w:right w:val="nil"/>
            </w:tcBorders>
            <w:shd w:val="clear" w:color="auto" w:fill="auto"/>
            <w:noWrap/>
            <w:vAlign w:val="center"/>
            <w:hideMark/>
          </w:tcPr>
          <w:p w14:paraId="16A65C8D"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single" w:sz="8" w:space="0" w:color="auto"/>
              <w:right w:val="nil"/>
            </w:tcBorders>
            <w:shd w:val="clear" w:color="auto" w:fill="auto"/>
            <w:noWrap/>
            <w:vAlign w:val="bottom"/>
            <w:hideMark/>
          </w:tcPr>
          <w:p w14:paraId="07394E44"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3C7C2D4B" w14:textId="24BEAF2E"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24,302 </w:t>
            </w:r>
          </w:p>
        </w:tc>
        <w:tc>
          <w:tcPr>
            <w:tcW w:w="316" w:type="dxa"/>
            <w:tcBorders>
              <w:top w:val="nil"/>
              <w:left w:val="nil"/>
              <w:bottom w:val="single" w:sz="8" w:space="0" w:color="auto"/>
              <w:right w:val="nil"/>
            </w:tcBorders>
            <w:shd w:val="clear" w:color="auto" w:fill="auto"/>
            <w:noWrap/>
            <w:vAlign w:val="bottom"/>
            <w:hideMark/>
          </w:tcPr>
          <w:p w14:paraId="02E25EA2"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800" w:type="dxa"/>
            <w:tcBorders>
              <w:top w:val="nil"/>
              <w:left w:val="nil"/>
              <w:bottom w:val="single" w:sz="8" w:space="0" w:color="auto"/>
              <w:right w:val="nil"/>
            </w:tcBorders>
            <w:shd w:val="clear" w:color="auto" w:fill="auto"/>
            <w:noWrap/>
            <w:vAlign w:val="bottom"/>
            <w:hideMark/>
          </w:tcPr>
          <w:p w14:paraId="41550BCC" w14:textId="7EC143E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single" w:sz="8" w:space="0" w:color="auto"/>
              <w:right w:val="nil"/>
            </w:tcBorders>
            <w:shd w:val="clear" w:color="auto" w:fill="auto"/>
            <w:noWrap/>
            <w:vAlign w:val="bottom"/>
            <w:hideMark/>
          </w:tcPr>
          <w:p w14:paraId="76B26B9F"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388" w:type="dxa"/>
            <w:tcBorders>
              <w:top w:val="nil"/>
              <w:left w:val="nil"/>
              <w:bottom w:val="single" w:sz="8" w:space="0" w:color="auto"/>
              <w:right w:val="nil"/>
            </w:tcBorders>
            <w:shd w:val="clear" w:color="auto" w:fill="auto"/>
            <w:noWrap/>
            <w:vAlign w:val="bottom"/>
            <w:hideMark/>
          </w:tcPr>
          <w:p w14:paraId="35D7B3CA" w14:textId="55FD2E4F"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24,302 </w:t>
            </w:r>
          </w:p>
        </w:tc>
      </w:tr>
      <w:tr w:rsidR="00AC6051" w:rsidRPr="00AC6051" w14:paraId="3F0BA1BA" w14:textId="77777777" w:rsidTr="00D33273">
        <w:trPr>
          <w:trHeight w:val="255"/>
        </w:trPr>
        <w:tc>
          <w:tcPr>
            <w:tcW w:w="4101" w:type="dxa"/>
            <w:tcBorders>
              <w:top w:val="nil"/>
              <w:left w:val="nil"/>
              <w:bottom w:val="nil"/>
              <w:right w:val="nil"/>
            </w:tcBorders>
            <w:shd w:val="clear" w:color="auto" w:fill="auto"/>
            <w:noWrap/>
            <w:vAlign w:val="bottom"/>
            <w:hideMark/>
          </w:tcPr>
          <w:p w14:paraId="71A5B858"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Total current assets</w:t>
            </w:r>
          </w:p>
        </w:tc>
        <w:tc>
          <w:tcPr>
            <w:tcW w:w="861" w:type="dxa"/>
            <w:tcBorders>
              <w:top w:val="nil"/>
              <w:left w:val="nil"/>
              <w:bottom w:val="nil"/>
              <w:right w:val="nil"/>
            </w:tcBorders>
            <w:shd w:val="clear" w:color="auto" w:fill="auto"/>
            <w:noWrap/>
            <w:vAlign w:val="center"/>
            <w:hideMark/>
          </w:tcPr>
          <w:p w14:paraId="7D9DF86F"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3050ACE4"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22057654" w14:textId="4F4CA81C"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1,000,325 </w:t>
            </w:r>
          </w:p>
        </w:tc>
        <w:tc>
          <w:tcPr>
            <w:tcW w:w="316" w:type="dxa"/>
            <w:tcBorders>
              <w:top w:val="nil"/>
              <w:left w:val="nil"/>
              <w:bottom w:val="nil"/>
              <w:right w:val="nil"/>
            </w:tcBorders>
            <w:shd w:val="clear" w:color="auto" w:fill="auto"/>
            <w:noWrap/>
            <w:vAlign w:val="bottom"/>
            <w:hideMark/>
          </w:tcPr>
          <w:p w14:paraId="469943A4"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00C4BD3A" w14:textId="5A0A8C6E"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169C1AF6"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7DC30E61" w14:textId="5765B219"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1,000,325 </w:t>
            </w:r>
          </w:p>
        </w:tc>
      </w:tr>
      <w:tr w:rsidR="00AC6051" w:rsidRPr="00AC6051" w14:paraId="637F49E7" w14:textId="77777777" w:rsidTr="00D33273">
        <w:trPr>
          <w:trHeight w:val="255"/>
        </w:trPr>
        <w:tc>
          <w:tcPr>
            <w:tcW w:w="4101" w:type="dxa"/>
            <w:tcBorders>
              <w:top w:val="nil"/>
              <w:left w:val="nil"/>
              <w:bottom w:val="nil"/>
              <w:right w:val="nil"/>
            </w:tcBorders>
            <w:shd w:val="clear" w:color="auto" w:fill="auto"/>
            <w:noWrap/>
            <w:vAlign w:val="bottom"/>
            <w:hideMark/>
          </w:tcPr>
          <w:p w14:paraId="3C482FD1"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Oil and gas properties, net</w:t>
            </w:r>
          </w:p>
        </w:tc>
        <w:tc>
          <w:tcPr>
            <w:tcW w:w="861" w:type="dxa"/>
            <w:tcBorders>
              <w:top w:val="nil"/>
              <w:left w:val="nil"/>
              <w:bottom w:val="nil"/>
              <w:right w:val="nil"/>
            </w:tcBorders>
            <w:shd w:val="clear" w:color="auto" w:fill="auto"/>
            <w:noWrap/>
            <w:vAlign w:val="center"/>
            <w:hideMark/>
          </w:tcPr>
          <w:p w14:paraId="385F3733" w14:textId="6CF7421B" w:rsidR="00AC6051" w:rsidRPr="00AC6051" w:rsidRDefault="00B6753E" w:rsidP="00AC6051">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w:t>
            </w:r>
            <w:r w:rsidR="00AC6051" w:rsidRPr="00AC6051">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(5)</w:t>
            </w:r>
          </w:p>
        </w:tc>
        <w:tc>
          <w:tcPr>
            <w:tcW w:w="316" w:type="dxa"/>
            <w:tcBorders>
              <w:top w:val="nil"/>
              <w:left w:val="nil"/>
              <w:bottom w:val="nil"/>
              <w:right w:val="nil"/>
            </w:tcBorders>
            <w:shd w:val="clear" w:color="auto" w:fill="auto"/>
            <w:noWrap/>
            <w:vAlign w:val="bottom"/>
            <w:hideMark/>
          </w:tcPr>
          <w:p w14:paraId="37D563F0"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1067C1D0" w14:textId="57AD9BD5"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5,346,916 </w:t>
            </w:r>
          </w:p>
        </w:tc>
        <w:tc>
          <w:tcPr>
            <w:tcW w:w="316" w:type="dxa"/>
            <w:tcBorders>
              <w:top w:val="nil"/>
              <w:left w:val="nil"/>
              <w:bottom w:val="nil"/>
              <w:right w:val="nil"/>
            </w:tcBorders>
            <w:shd w:val="clear" w:color="auto" w:fill="auto"/>
            <w:noWrap/>
            <w:vAlign w:val="bottom"/>
            <w:hideMark/>
          </w:tcPr>
          <w:p w14:paraId="7782F0F2"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75627071" w14:textId="67C0DC3C"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(3,</w:t>
            </w:r>
            <w:r w:rsidR="00FA4622">
              <w:rPr>
                <w:rFonts w:ascii="Times New Roman" w:eastAsia="Times New Roman" w:hAnsi="Times New Roman" w:cs="Times New Roman"/>
                <w:color w:val="000000"/>
                <w:sz w:val="20"/>
                <w:szCs w:val="20"/>
                <w:lang w:eastAsia="zh-CN"/>
              </w:rPr>
              <w:t>122,443</w:t>
            </w:r>
            <w:r w:rsidRPr="00AC6051">
              <w:rPr>
                <w:rFonts w:ascii="Times New Roman" w:eastAsia="Times New Roman" w:hAnsi="Times New Roman" w:cs="Times New Roman"/>
                <w:color w:val="000000"/>
                <w:sz w:val="20"/>
                <w:szCs w:val="20"/>
                <w:lang w:eastAsia="zh-CN"/>
              </w:rPr>
              <w:t>)</w:t>
            </w:r>
          </w:p>
        </w:tc>
        <w:tc>
          <w:tcPr>
            <w:tcW w:w="316" w:type="dxa"/>
            <w:tcBorders>
              <w:top w:val="nil"/>
              <w:left w:val="nil"/>
              <w:bottom w:val="nil"/>
              <w:right w:val="nil"/>
            </w:tcBorders>
            <w:shd w:val="clear" w:color="auto" w:fill="auto"/>
            <w:noWrap/>
            <w:vAlign w:val="bottom"/>
            <w:hideMark/>
          </w:tcPr>
          <w:p w14:paraId="5C809B0E"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4CC9599A" w14:textId="6CCDC84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w:t>
            </w:r>
            <w:r w:rsidR="00FA4622">
              <w:rPr>
                <w:rFonts w:ascii="Times New Roman" w:eastAsia="Times New Roman" w:hAnsi="Times New Roman" w:cs="Times New Roman"/>
                <w:color w:val="000000"/>
                <w:sz w:val="20"/>
                <w:szCs w:val="20"/>
                <w:lang w:eastAsia="zh-CN"/>
              </w:rPr>
              <w:t>224,743</w:t>
            </w:r>
            <w:r w:rsidRPr="00AC6051">
              <w:rPr>
                <w:rFonts w:ascii="Times New Roman" w:eastAsia="Times New Roman" w:hAnsi="Times New Roman" w:cs="Times New Roman"/>
                <w:color w:val="000000"/>
                <w:sz w:val="20"/>
                <w:szCs w:val="20"/>
                <w:lang w:eastAsia="zh-CN"/>
              </w:rPr>
              <w:t xml:space="preserve"> </w:t>
            </w:r>
          </w:p>
        </w:tc>
      </w:tr>
      <w:tr w:rsidR="00AC6051" w:rsidRPr="00AC6051" w14:paraId="57DD29FC" w14:textId="77777777" w:rsidTr="00D33273">
        <w:trPr>
          <w:trHeight w:val="255"/>
        </w:trPr>
        <w:tc>
          <w:tcPr>
            <w:tcW w:w="4101" w:type="dxa"/>
            <w:tcBorders>
              <w:top w:val="nil"/>
              <w:left w:val="nil"/>
              <w:bottom w:val="nil"/>
              <w:right w:val="nil"/>
            </w:tcBorders>
            <w:shd w:val="clear" w:color="auto" w:fill="auto"/>
            <w:noWrap/>
            <w:vAlign w:val="bottom"/>
            <w:hideMark/>
          </w:tcPr>
          <w:p w14:paraId="2542FE68"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Exploration and evaluation assets</w:t>
            </w:r>
          </w:p>
        </w:tc>
        <w:tc>
          <w:tcPr>
            <w:tcW w:w="861" w:type="dxa"/>
            <w:tcBorders>
              <w:top w:val="nil"/>
              <w:left w:val="nil"/>
              <w:bottom w:val="nil"/>
              <w:right w:val="nil"/>
            </w:tcBorders>
            <w:shd w:val="clear" w:color="auto" w:fill="auto"/>
            <w:noWrap/>
            <w:vAlign w:val="center"/>
            <w:hideMark/>
          </w:tcPr>
          <w:p w14:paraId="1626AD4E" w14:textId="15EBA930" w:rsidR="00AC6051" w:rsidRPr="00AC6051" w:rsidRDefault="00B6753E" w:rsidP="00AC6051">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w:t>
            </w:r>
          </w:p>
        </w:tc>
        <w:tc>
          <w:tcPr>
            <w:tcW w:w="316" w:type="dxa"/>
            <w:tcBorders>
              <w:top w:val="nil"/>
              <w:left w:val="nil"/>
              <w:bottom w:val="nil"/>
              <w:right w:val="nil"/>
            </w:tcBorders>
            <w:shd w:val="clear" w:color="auto" w:fill="auto"/>
            <w:noWrap/>
            <w:vAlign w:val="bottom"/>
            <w:hideMark/>
          </w:tcPr>
          <w:p w14:paraId="64D354C9"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1A689FDA"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3AC93933"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54A42C8C" w14:textId="2D894DDF"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3,</w:t>
            </w:r>
            <w:r w:rsidR="00FA4622">
              <w:rPr>
                <w:rFonts w:ascii="Times New Roman" w:eastAsia="Times New Roman" w:hAnsi="Times New Roman" w:cs="Times New Roman"/>
                <w:color w:val="000000"/>
                <w:sz w:val="20"/>
                <w:szCs w:val="20"/>
                <w:lang w:eastAsia="zh-CN"/>
              </w:rPr>
              <w:t>122,443</w:t>
            </w:r>
            <w:r w:rsidRPr="00AC6051">
              <w:rPr>
                <w:rFonts w:ascii="Times New Roman" w:eastAsia="Times New Roman" w:hAnsi="Times New Roman" w:cs="Times New Roman"/>
                <w:color w:val="000000"/>
                <w:sz w:val="20"/>
                <w:szCs w:val="20"/>
                <w:lang w:eastAsia="zh-CN"/>
              </w:rPr>
              <w:t xml:space="preserve"> </w:t>
            </w:r>
          </w:p>
        </w:tc>
        <w:tc>
          <w:tcPr>
            <w:tcW w:w="316" w:type="dxa"/>
            <w:tcBorders>
              <w:top w:val="nil"/>
              <w:left w:val="nil"/>
              <w:bottom w:val="nil"/>
              <w:right w:val="nil"/>
            </w:tcBorders>
            <w:shd w:val="clear" w:color="auto" w:fill="auto"/>
            <w:noWrap/>
            <w:vAlign w:val="bottom"/>
            <w:hideMark/>
          </w:tcPr>
          <w:p w14:paraId="394DDA97"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7AC7A3A0" w14:textId="077D2414"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3,</w:t>
            </w:r>
            <w:r w:rsidR="00C7347E">
              <w:rPr>
                <w:rFonts w:ascii="Times New Roman" w:eastAsia="Times New Roman" w:hAnsi="Times New Roman" w:cs="Times New Roman"/>
                <w:color w:val="000000"/>
                <w:sz w:val="20"/>
                <w:szCs w:val="20"/>
                <w:lang w:eastAsia="zh-CN"/>
              </w:rPr>
              <w:t>122,443</w:t>
            </w:r>
            <w:r w:rsidRPr="00AC6051">
              <w:rPr>
                <w:rFonts w:ascii="Times New Roman" w:eastAsia="Times New Roman" w:hAnsi="Times New Roman" w:cs="Times New Roman"/>
                <w:color w:val="000000"/>
                <w:sz w:val="20"/>
                <w:szCs w:val="20"/>
                <w:lang w:eastAsia="zh-CN"/>
              </w:rPr>
              <w:t xml:space="preserve"> </w:t>
            </w:r>
          </w:p>
        </w:tc>
      </w:tr>
      <w:tr w:rsidR="00AC6051" w:rsidRPr="00AC6051" w14:paraId="1A3DE9E7" w14:textId="77777777" w:rsidTr="00D33273">
        <w:trPr>
          <w:trHeight w:val="255"/>
        </w:trPr>
        <w:tc>
          <w:tcPr>
            <w:tcW w:w="4101" w:type="dxa"/>
            <w:tcBorders>
              <w:top w:val="nil"/>
              <w:left w:val="nil"/>
              <w:bottom w:val="nil"/>
              <w:right w:val="nil"/>
            </w:tcBorders>
            <w:shd w:val="clear" w:color="auto" w:fill="auto"/>
            <w:noWrap/>
            <w:vAlign w:val="bottom"/>
            <w:hideMark/>
          </w:tcPr>
          <w:p w14:paraId="5AA081EF"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Property and equipment, net</w:t>
            </w:r>
          </w:p>
        </w:tc>
        <w:tc>
          <w:tcPr>
            <w:tcW w:w="861" w:type="dxa"/>
            <w:tcBorders>
              <w:top w:val="nil"/>
              <w:left w:val="nil"/>
              <w:bottom w:val="nil"/>
              <w:right w:val="nil"/>
            </w:tcBorders>
            <w:shd w:val="clear" w:color="auto" w:fill="auto"/>
            <w:noWrap/>
            <w:vAlign w:val="center"/>
            <w:hideMark/>
          </w:tcPr>
          <w:p w14:paraId="5AA5A269"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1F548843"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08FC3E52" w14:textId="5BBD32DC"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128,257 </w:t>
            </w:r>
          </w:p>
        </w:tc>
        <w:tc>
          <w:tcPr>
            <w:tcW w:w="316" w:type="dxa"/>
            <w:tcBorders>
              <w:top w:val="nil"/>
              <w:left w:val="nil"/>
              <w:bottom w:val="nil"/>
              <w:right w:val="nil"/>
            </w:tcBorders>
            <w:shd w:val="clear" w:color="auto" w:fill="auto"/>
            <w:noWrap/>
            <w:vAlign w:val="bottom"/>
            <w:hideMark/>
          </w:tcPr>
          <w:p w14:paraId="4FEF8A4F"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3399CD38"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2E62B2FD"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1B795EFE" w14:textId="37552418"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128,257 </w:t>
            </w:r>
          </w:p>
        </w:tc>
      </w:tr>
      <w:tr w:rsidR="00AC6051" w:rsidRPr="00AC6051" w14:paraId="2420D01F" w14:textId="77777777" w:rsidTr="00D33273">
        <w:trPr>
          <w:trHeight w:val="270"/>
        </w:trPr>
        <w:tc>
          <w:tcPr>
            <w:tcW w:w="4101" w:type="dxa"/>
            <w:tcBorders>
              <w:top w:val="nil"/>
              <w:left w:val="nil"/>
              <w:bottom w:val="nil"/>
              <w:right w:val="nil"/>
            </w:tcBorders>
            <w:shd w:val="clear" w:color="auto" w:fill="auto"/>
            <w:noWrap/>
            <w:vAlign w:val="bottom"/>
            <w:hideMark/>
          </w:tcPr>
          <w:p w14:paraId="5442FC2A"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Restricted cash</w:t>
            </w:r>
          </w:p>
        </w:tc>
        <w:tc>
          <w:tcPr>
            <w:tcW w:w="861" w:type="dxa"/>
            <w:tcBorders>
              <w:top w:val="nil"/>
              <w:left w:val="nil"/>
              <w:bottom w:val="nil"/>
              <w:right w:val="nil"/>
            </w:tcBorders>
            <w:shd w:val="clear" w:color="auto" w:fill="auto"/>
            <w:noWrap/>
            <w:vAlign w:val="center"/>
            <w:hideMark/>
          </w:tcPr>
          <w:p w14:paraId="28D0A868"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single" w:sz="8" w:space="0" w:color="auto"/>
              <w:right w:val="nil"/>
            </w:tcBorders>
            <w:shd w:val="clear" w:color="auto" w:fill="auto"/>
            <w:noWrap/>
            <w:vAlign w:val="bottom"/>
            <w:hideMark/>
          </w:tcPr>
          <w:p w14:paraId="67D96CC1"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1B2E1330" w14:textId="007F0C0B"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11,763 </w:t>
            </w:r>
          </w:p>
        </w:tc>
        <w:tc>
          <w:tcPr>
            <w:tcW w:w="316" w:type="dxa"/>
            <w:tcBorders>
              <w:top w:val="nil"/>
              <w:left w:val="nil"/>
              <w:bottom w:val="single" w:sz="8" w:space="0" w:color="auto"/>
              <w:right w:val="nil"/>
            </w:tcBorders>
            <w:shd w:val="clear" w:color="auto" w:fill="auto"/>
            <w:noWrap/>
            <w:vAlign w:val="bottom"/>
            <w:hideMark/>
          </w:tcPr>
          <w:p w14:paraId="51A2E191"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800" w:type="dxa"/>
            <w:tcBorders>
              <w:top w:val="nil"/>
              <w:left w:val="nil"/>
              <w:bottom w:val="single" w:sz="8" w:space="0" w:color="auto"/>
              <w:right w:val="nil"/>
            </w:tcBorders>
            <w:shd w:val="clear" w:color="auto" w:fill="auto"/>
            <w:noWrap/>
            <w:vAlign w:val="bottom"/>
            <w:hideMark/>
          </w:tcPr>
          <w:p w14:paraId="70B45C4D"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single" w:sz="8" w:space="0" w:color="auto"/>
              <w:right w:val="nil"/>
            </w:tcBorders>
            <w:shd w:val="clear" w:color="auto" w:fill="auto"/>
            <w:noWrap/>
            <w:vAlign w:val="bottom"/>
            <w:hideMark/>
          </w:tcPr>
          <w:p w14:paraId="5245F400"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388" w:type="dxa"/>
            <w:tcBorders>
              <w:top w:val="nil"/>
              <w:left w:val="nil"/>
              <w:bottom w:val="single" w:sz="8" w:space="0" w:color="auto"/>
              <w:right w:val="nil"/>
            </w:tcBorders>
            <w:shd w:val="clear" w:color="auto" w:fill="auto"/>
            <w:noWrap/>
            <w:vAlign w:val="bottom"/>
            <w:hideMark/>
          </w:tcPr>
          <w:p w14:paraId="60AE91EB" w14:textId="68DACA78"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11,763 </w:t>
            </w:r>
          </w:p>
        </w:tc>
      </w:tr>
      <w:tr w:rsidR="00AC6051" w:rsidRPr="00AC6051" w14:paraId="7ADBC2CE" w14:textId="77777777" w:rsidTr="00D33273">
        <w:trPr>
          <w:trHeight w:val="270"/>
        </w:trPr>
        <w:tc>
          <w:tcPr>
            <w:tcW w:w="4101" w:type="dxa"/>
            <w:tcBorders>
              <w:top w:val="nil"/>
              <w:left w:val="nil"/>
              <w:bottom w:val="nil"/>
              <w:right w:val="nil"/>
            </w:tcBorders>
            <w:shd w:val="clear" w:color="auto" w:fill="auto"/>
            <w:noWrap/>
            <w:vAlign w:val="bottom"/>
            <w:hideMark/>
          </w:tcPr>
          <w:p w14:paraId="19DCF062"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Total assets</w:t>
            </w:r>
          </w:p>
        </w:tc>
        <w:tc>
          <w:tcPr>
            <w:tcW w:w="861" w:type="dxa"/>
            <w:tcBorders>
              <w:top w:val="nil"/>
              <w:left w:val="nil"/>
              <w:bottom w:val="nil"/>
              <w:right w:val="nil"/>
            </w:tcBorders>
            <w:shd w:val="clear" w:color="auto" w:fill="auto"/>
            <w:noWrap/>
            <w:vAlign w:val="center"/>
            <w:hideMark/>
          </w:tcPr>
          <w:p w14:paraId="4BFE9F24"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double" w:sz="6" w:space="0" w:color="000000"/>
              <w:right w:val="nil"/>
            </w:tcBorders>
            <w:shd w:val="clear" w:color="auto" w:fill="auto"/>
            <w:noWrap/>
            <w:vAlign w:val="bottom"/>
            <w:hideMark/>
          </w:tcPr>
          <w:p w14:paraId="022C031F"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250" w:type="dxa"/>
            <w:tcBorders>
              <w:top w:val="nil"/>
              <w:left w:val="nil"/>
              <w:bottom w:val="double" w:sz="6" w:space="0" w:color="auto"/>
              <w:right w:val="nil"/>
            </w:tcBorders>
            <w:shd w:val="clear" w:color="auto" w:fill="auto"/>
            <w:noWrap/>
            <w:vAlign w:val="bottom"/>
            <w:hideMark/>
          </w:tcPr>
          <w:p w14:paraId="6D8063F9" w14:textId="7D7C08DF"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6,487,261 </w:t>
            </w:r>
          </w:p>
        </w:tc>
        <w:tc>
          <w:tcPr>
            <w:tcW w:w="316" w:type="dxa"/>
            <w:tcBorders>
              <w:top w:val="nil"/>
              <w:left w:val="nil"/>
              <w:bottom w:val="double" w:sz="6" w:space="0" w:color="000000"/>
              <w:right w:val="nil"/>
            </w:tcBorders>
            <w:shd w:val="clear" w:color="auto" w:fill="auto"/>
            <w:noWrap/>
            <w:vAlign w:val="bottom"/>
            <w:hideMark/>
          </w:tcPr>
          <w:p w14:paraId="71882BA3"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800" w:type="dxa"/>
            <w:tcBorders>
              <w:top w:val="nil"/>
              <w:left w:val="nil"/>
              <w:bottom w:val="double" w:sz="6" w:space="0" w:color="auto"/>
              <w:right w:val="nil"/>
            </w:tcBorders>
            <w:shd w:val="clear" w:color="auto" w:fill="auto"/>
            <w:noWrap/>
            <w:vAlign w:val="bottom"/>
            <w:hideMark/>
          </w:tcPr>
          <w:p w14:paraId="0FFEF771"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double" w:sz="6" w:space="0" w:color="000000"/>
              <w:right w:val="nil"/>
            </w:tcBorders>
            <w:shd w:val="clear" w:color="auto" w:fill="auto"/>
            <w:noWrap/>
            <w:vAlign w:val="bottom"/>
            <w:hideMark/>
          </w:tcPr>
          <w:p w14:paraId="43675AD4"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388" w:type="dxa"/>
            <w:tcBorders>
              <w:top w:val="nil"/>
              <w:left w:val="nil"/>
              <w:bottom w:val="double" w:sz="6" w:space="0" w:color="auto"/>
              <w:right w:val="nil"/>
            </w:tcBorders>
            <w:shd w:val="clear" w:color="auto" w:fill="auto"/>
            <w:noWrap/>
            <w:vAlign w:val="bottom"/>
            <w:hideMark/>
          </w:tcPr>
          <w:p w14:paraId="6F145A5E" w14:textId="3AB1BA6C"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6,487,261 </w:t>
            </w:r>
          </w:p>
        </w:tc>
      </w:tr>
      <w:tr w:rsidR="00AC6051" w:rsidRPr="00AC6051" w14:paraId="19A6102A" w14:textId="77777777" w:rsidTr="00D33273">
        <w:trPr>
          <w:trHeight w:val="270"/>
        </w:trPr>
        <w:tc>
          <w:tcPr>
            <w:tcW w:w="4101" w:type="dxa"/>
            <w:tcBorders>
              <w:top w:val="nil"/>
              <w:left w:val="nil"/>
              <w:bottom w:val="nil"/>
              <w:right w:val="nil"/>
            </w:tcBorders>
            <w:shd w:val="clear" w:color="auto" w:fill="auto"/>
            <w:noWrap/>
            <w:vAlign w:val="bottom"/>
            <w:hideMark/>
          </w:tcPr>
          <w:p w14:paraId="5BCD4003" w14:textId="77777777" w:rsidR="00AC6051" w:rsidRPr="00AC6051" w:rsidRDefault="00AC6051" w:rsidP="00AC6051">
            <w:pPr>
              <w:spacing w:after="0" w:line="240" w:lineRule="auto"/>
              <w:rPr>
                <w:rFonts w:ascii="Times New Roman" w:eastAsia="Times New Roman" w:hAnsi="Times New Roman" w:cs="Times New Roman"/>
                <w:b/>
                <w:bCs/>
                <w:color w:val="000000"/>
                <w:sz w:val="20"/>
                <w:szCs w:val="20"/>
                <w:lang w:eastAsia="zh-CN"/>
              </w:rPr>
            </w:pPr>
            <w:r w:rsidRPr="00AC6051">
              <w:rPr>
                <w:rFonts w:ascii="Times New Roman" w:eastAsia="Times New Roman" w:hAnsi="Times New Roman" w:cs="Times New Roman"/>
                <w:b/>
                <w:bCs/>
                <w:color w:val="000000"/>
                <w:sz w:val="20"/>
                <w:szCs w:val="20"/>
                <w:lang w:eastAsia="zh-CN"/>
              </w:rPr>
              <w:t>LIABILITIES AND STOCKHOLDERS’ EQUITY</w:t>
            </w:r>
          </w:p>
        </w:tc>
        <w:tc>
          <w:tcPr>
            <w:tcW w:w="861" w:type="dxa"/>
            <w:tcBorders>
              <w:top w:val="nil"/>
              <w:left w:val="nil"/>
              <w:bottom w:val="nil"/>
              <w:right w:val="nil"/>
            </w:tcBorders>
            <w:shd w:val="clear" w:color="auto" w:fill="auto"/>
            <w:noWrap/>
            <w:vAlign w:val="center"/>
            <w:hideMark/>
          </w:tcPr>
          <w:p w14:paraId="6C1D9192" w14:textId="77777777" w:rsidR="00AC6051" w:rsidRPr="00AC6051" w:rsidRDefault="00AC6051" w:rsidP="00AC6051">
            <w:pPr>
              <w:spacing w:after="0" w:line="240" w:lineRule="auto"/>
              <w:rPr>
                <w:rFonts w:ascii="Times New Roman" w:eastAsia="Times New Roman" w:hAnsi="Times New Roman" w:cs="Times New Roman"/>
                <w:b/>
                <w:bCs/>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4566901D"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0AB38EF7"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258058D2"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800" w:type="dxa"/>
            <w:tcBorders>
              <w:top w:val="nil"/>
              <w:left w:val="nil"/>
              <w:bottom w:val="nil"/>
              <w:right w:val="nil"/>
            </w:tcBorders>
            <w:shd w:val="clear" w:color="auto" w:fill="auto"/>
            <w:noWrap/>
            <w:vAlign w:val="bottom"/>
          </w:tcPr>
          <w:p w14:paraId="47DC47E1" w14:textId="7E75B002"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68BE698A"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6BE3B510"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r>
      <w:tr w:rsidR="00AC6051" w:rsidRPr="00AC6051" w14:paraId="767AEA5E" w14:textId="77777777" w:rsidTr="00D33273">
        <w:trPr>
          <w:trHeight w:val="255"/>
        </w:trPr>
        <w:tc>
          <w:tcPr>
            <w:tcW w:w="4101" w:type="dxa"/>
            <w:tcBorders>
              <w:top w:val="nil"/>
              <w:left w:val="nil"/>
              <w:bottom w:val="nil"/>
              <w:right w:val="nil"/>
            </w:tcBorders>
            <w:shd w:val="clear" w:color="auto" w:fill="auto"/>
            <w:noWrap/>
            <w:vAlign w:val="bottom"/>
            <w:hideMark/>
          </w:tcPr>
          <w:p w14:paraId="12C6DDB9"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Current liabilities:</w:t>
            </w:r>
          </w:p>
        </w:tc>
        <w:tc>
          <w:tcPr>
            <w:tcW w:w="861" w:type="dxa"/>
            <w:tcBorders>
              <w:top w:val="nil"/>
              <w:left w:val="nil"/>
              <w:bottom w:val="nil"/>
              <w:right w:val="nil"/>
            </w:tcBorders>
            <w:shd w:val="clear" w:color="auto" w:fill="auto"/>
            <w:noWrap/>
            <w:vAlign w:val="center"/>
            <w:hideMark/>
          </w:tcPr>
          <w:p w14:paraId="7234BA1A"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6BD4649D"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4E24CDE6"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74FBDBED"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800" w:type="dxa"/>
            <w:tcBorders>
              <w:top w:val="nil"/>
              <w:left w:val="nil"/>
              <w:bottom w:val="nil"/>
              <w:right w:val="nil"/>
            </w:tcBorders>
            <w:shd w:val="clear" w:color="auto" w:fill="auto"/>
            <w:noWrap/>
            <w:vAlign w:val="bottom"/>
          </w:tcPr>
          <w:p w14:paraId="7D30F819" w14:textId="03EE349E"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5AAAD197"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66376718"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r>
      <w:tr w:rsidR="00AC6051" w:rsidRPr="00AC6051" w14:paraId="41EFADB8" w14:textId="77777777" w:rsidTr="00D33273">
        <w:trPr>
          <w:trHeight w:val="255"/>
        </w:trPr>
        <w:tc>
          <w:tcPr>
            <w:tcW w:w="4101" w:type="dxa"/>
            <w:tcBorders>
              <w:top w:val="nil"/>
              <w:left w:val="nil"/>
              <w:bottom w:val="nil"/>
              <w:right w:val="nil"/>
            </w:tcBorders>
            <w:shd w:val="clear" w:color="auto" w:fill="auto"/>
            <w:noWrap/>
            <w:vAlign w:val="bottom"/>
            <w:hideMark/>
          </w:tcPr>
          <w:p w14:paraId="647E1281"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Accounts payable and accrued liabilities</w:t>
            </w:r>
          </w:p>
        </w:tc>
        <w:tc>
          <w:tcPr>
            <w:tcW w:w="861" w:type="dxa"/>
            <w:tcBorders>
              <w:top w:val="nil"/>
              <w:left w:val="nil"/>
              <w:bottom w:val="nil"/>
              <w:right w:val="nil"/>
            </w:tcBorders>
            <w:shd w:val="clear" w:color="auto" w:fill="auto"/>
            <w:noWrap/>
            <w:vAlign w:val="center"/>
            <w:hideMark/>
          </w:tcPr>
          <w:p w14:paraId="5398D087"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2884B9F0"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250" w:type="dxa"/>
            <w:tcBorders>
              <w:top w:val="nil"/>
              <w:left w:val="nil"/>
              <w:bottom w:val="nil"/>
              <w:right w:val="nil"/>
            </w:tcBorders>
            <w:shd w:val="clear" w:color="auto" w:fill="auto"/>
            <w:noWrap/>
            <w:vAlign w:val="bottom"/>
            <w:hideMark/>
          </w:tcPr>
          <w:p w14:paraId="06DDFF70" w14:textId="4281F980"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1,496,510 </w:t>
            </w:r>
          </w:p>
        </w:tc>
        <w:tc>
          <w:tcPr>
            <w:tcW w:w="316" w:type="dxa"/>
            <w:tcBorders>
              <w:top w:val="nil"/>
              <w:left w:val="nil"/>
              <w:bottom w:val="nil"/>
              <w:right w:val="nil"/>
            </w:tcBorders>
            <w:shd w:val="clear" w:color="auto" w:fill="auto"/>
            <w:noWrap/>
            <w:vAlign w:val="bottom"/>
            <w:hideMark/>
          </w:tcPr>
          <w:p w14:paraId="0D9D1799"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800" w:type="dxa"/>
            <w:tcBorders>
              <w:top w:val="nil"/>
              <w:left w:val="nil"/>
              <w:bottom w:val="nil"/>
              <w:right w:val="nil"/>
            </w:tcBorders>
            <w:shd w:val="clear" w:color="auto" w:fill="auto"/>
            <w:noWrap/>
            <w:vAlign w:val="bottom"/>
            <w:hideMark/>
          </w:tcPr>
          <w:p w14:paraId="5E9F0CFD"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16C23FE5"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388" w:type="dxa"/>
            <w:tcBorders>
              <w:top w:val="nil"/>
              <w:left w:val="nil"/>
              <w:bottom w:val="nil"/>
              <w:right w:val="nil"/>
            </w:tcBorders>
            <w:shd w:val="clear" w:color="auto" w:fill="auto"/>
            <w:noWrap/>
            <w:vAlign w:val="bottom"/>
            <w:hideMark/>
          </w:tcPr>
          <w:p w14:paraId="351A02F1" w14:textId="53ABF786"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1,496,510 </w:t>
            </w:r>
          </w:p>
        </w:tc>
      </w:tr>
      <w:tr w:rsidR="00AC6051" w:rsidRPr="00AC6051" w14:paraId="42B52F35" w14:textId="77777777" w:rsidTr="00D33273">
        <w:trPr>
          <w:trHeight w:val="255"/>
        </w:trPr>
        <w:tc>
          <w:tcPr>
            <w:tcW w:w="4101" w:type="dxa"/>
            <w:tcBorders>
              <w:top w:val="nil"/>
              <w:left w:val="nil"/>
              <w:bottom w:val="nil"/>
              <w:right w:val="nil"/>
            </w:tcBorders>
            <w:shd w:val="clear" w:color="auto" w:fill="auto"/>
            <w:noWrap/>
            <w:vAlign w:val="bottom"/>
            <w:hideMark/>
          </w:tcPr>
          <w:p w14:paraId="22E84157"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Loans payable - current</w:t>
            </w:r>
          </w:p>
        </w:tc>
        <w:tc>
          <w:tcPr>
            <w:tcW w:w="861" w:type="dxa"/>
            <w:tcBorders>
              <w:top w:val="nil"/>
              <w:left w:val="nil"/>
              <w:bottom w:val="nil"/>
              <w:right w:val="nil"/>
            </w:tcBorders>
            <w:shd w:val="clear" w:color="auto" w:fill="auto"/>
            <w:noWrap/>
            <w:vAlign w:val="center"/>
            <w:hideMark/>
          </w:tcPr>
          <w:p w14:paraId="431F63BF"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2642789F"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5F1A2442" w14:textId="04560BFE"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549,424 </w:t>
            </w:r>
          </w:p>
        </w:tc>
        <w:tc>
          <w:tcPr>
            <w:tcW w:w="316" w:type="dxa"/>
            <w:tcBorders>
              <w:top w:val="nil"/>
              <w:left w:val="nil"/>
              <w:bottom w:val="nil"/>
              <w:right w:val="nil"/>
            </w:tcBorders>
            <w:shd w:val="clear" w:color="auto" w:fill="auto"/>
            <w:noWrap/>
            <w:vAlign w:val="bottom"/>
            <w:hideMark/>
          </w:tcPr>
          <w:p w14:paraId="08EDD02C"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2657D372"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12577D61"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4171B839" w14:textId="406AE92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549,424 </w:t>
            </w:r>
          </w:p>
        </w:tc>
      </w:tr>
      <w:tr w:rsidR="00AC6051" w:rsidRPr="00AC6051" w14:paraId="1CBFD86A" w14:textId="77777777" w:rsidTr="00D33273">
        <w:trPr>
          <w:trHeight w:val="270"/>
        </w:trPr>
        <w:tc>
          <w:tcPr>
            <w:tcW w:w="4101" w:type="dxa"/>
            <w:tcBorders>
              <w:top w:val="nil"/>
              <w:left w:val="nil"/>
              <w:bottom w:val="nil"/>
              <w:right w:val="nil"/>
            </w:tcBorders>
            <w:shd w:val="clear" w:color="auto" w:fill="auto"/>
            <w:noWrap/>
            <w:vAlign w:val="bottom"/>
            <w:hideMark/>
          </w:tcPr>
          <w:p w14:paraId="3BE0EF8D" w14:textId="180172C4" w:rsidR="00AC6051" w:rsidRPr="00AC6051" w:rsidRDefault="007654E9" w:rsidP="00AC6051">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L</w:t>
            </w:r>
            <w:r w:rsidR="00AC6051" w:rsidRPr="00AC6051">
              <w:rPr>
                <w:rFonts w:ascii="Times New Roman" w:eastAsia="Times New Roman" w:hAnsi="Times New Roman" w:cs="Times New Roman"/>
                <w:color w:val="000000"/>
                <w:sz w:val="20"/>
                <w:szCs w:val="20"/>
                <w:lang w:eastAsia="zh-CN"/>
              </w:rPr>
              <w:t>ease liability - current</w:t>
            </w:r>
          </w:p>
        </w:tc>
        <w:tc>
          <w:tcPr>
            <w:tcW w:w="861" w:type="dxa"/>
            <w:tcBorders>
              <w:top w:val="nil"/>
              <w:left w:val="nil"/>
              <w:bottom w:val="nil"/>
              <w:right w:val="nil"/>
            </w:tcBorders>
            <w:shd w:val="clear" w:color="auto" w:fill="auto"/>
            <w:noWrap/>
            <w:vAlign w:val="center"/>
            <w:hideMark/>
          </w:tcPr>
          <w:p w14:paraId="3F52D242"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single" w:sz="8" w:space="0" w:color="auto"/>
              <w:right w:val="nil"/>
            </w:tcBorders>
            <w:shd w:val="clear" w:color="auto" w:fill="auto"/>
            <w:noWrap/>
            <w:vAlign w:val="bottom"/>
            <w:hideMark/>
          </w:tcPr>
          <w:p w14:paraId="6759063D"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5D515150" w14:textId="50E8D12F"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12,116 </w:t>
            </w:r>
          </w:p>
        </w:tc>
        <w:tc>
          <w:tcPr>
            <w:tcW w:w="316" w:type="dxa"/>
            <w:tcBorders>
              <w:top w:val="nil"/>
              <w:left w:val="nil"/>
              <w:bottom w:val="single" w:sz="8" w:space="0" w:color="auto"/>
              <w:right w:val="nil"/>
            </w:tcBorders>
            <w:shd w:val="clear" w:color="auto" w:fill="auto"/>
            <w:noWrap/>
            <w:vAlign w:val="bottom"/>
            <w:hideMark/>
          </w:tcPr>
          <w:p w14:paraId="13A94D45"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800" w:type="dxa"/>
            <w:tcBorders>
              <w:top w:val="nil"/>
              <w:left w:val="nil"/>
              <w:bottom w:val="single" w:sz="8" w:space="0" w:color="auto"/>
              <w:right w:val="nil"/>
            </w:tcBorders>
            <w:shd w:val="clear" w:color="auto" w:fill="auto"/>
            <w:noWrap/>
            <w:vAlign w:val="bottom"/>
            <w:hideMark/>
          </w:tcPr>
          <w:p w14:paraId="6106166C"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single" w:sz="8" w:space="0" w:color="auto"/>
              <w:right w:val="nil"/>
            </w:tcBorders>
            <w:shd w:val="clear" w:color="auto" w:fill="auto"/>
            <w:noWrap/>
            <w:vAlign w:val="bottom"/>
            <w:hideMark/>
          </w:tcPr>
          <w:p w14:paraId="41971C94"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388" w:type="dxa"/>
            <w:tcBorders>
              <w:top w:val="nil"/>
              <w:left w:val="nil"/>
              <w:bottom w:val="single" w:sz="8" w:space="0" w:color="auto"/>
              <w:right w:val="nil"/>
            </w:tcBorders>
            <w:shd w:val="clear" w:color="auto" w:fill="auto"/>
            <w:noWrap/>
            <w:vAlign w:val="bottom"/>
            <w:hideMark/>
          </w:tcPr>
          <w:p w14:paraId="5D303075" w14:textId="02E79E36"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12,116 </w:t>
            </w:r>
          </w:p>
        </w:tc>
      </w:tr>
      <w:tr w:rsidR="00AC6051" w:rsidRPr="00AC6051" w14:paraId="58FFFC27" w14:textId="77777777" w:rsidTr="00D33273">
        <w:trPr>
          <w:trHeight w:val="255"/>
        </w:trPr>
        <w:tc>
          <w:tcPr>
            <w:tcW w:w="4101" w:type="dxa"/>
            <w:tcBorders>
              <w:top w:val="nil"/>
              <w:left w:val="nil"/>
              <w:bottom w:val="nil"/>
              <w:right w:val="nil"/>
            </w:tcBorders>
            <w:shd w:val="clear" w:color="auto" w:fill="auto"/>
            <w:noWrap/>
            <w:vAlign w:val="bottom"/>
            <w:hideMark/>
          </w:tcPr>
          <w:p w14:paraId="06DE212B"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Total current liabilities</w:t>
            </w:r>
          </w:p>
        </w:tc>
        <w:tc>
          <w:tcPr>
            <w:tcW w:w="861" w:type="dxa"/>
            <w:tcBorders>
              <w:top w:val="nil"/>
              <w:left w:val="nil"/>
              <w:bottom w:val="nil"/>
              <w:right w:val="nil"/>
            </w:tcBorders>
            <w:shd w:val="clear" w:color="auto" w:fill="auto"/>
            <w:noWrap/>
            <w:vAlign w:val="center"/>
            <w:hideMark/>
          </w:tcPr>
          <w:p w14:paraId="12AB2D1D"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4BEE77BE"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1674956F" w14:textId="637228FD"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2,058,050 </w:t>
            </w:r>
          </w:p>
        </w:tc>
        <w:tc>
          <w:tcPr>
            <w:tcW w:w="316" w:type="dxa"/>
            <w:tcBorders>
              <w:top w:val="nil"/>
              <w:left w:val="nil"/>
              <w:bottom w:val="nil"/>
              <w:right w:val="nil"/>
            </w:tcBorders>
            <w:shd w:val="clear" w:color="auto" w:fill="auto"/>
            <w:noWrap/>
            <w:vAlign w:val="bottom"/>
            <w:hideMark/>
          </w:tcPr>
          <w:p w14:paraId="11957BE6"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2EBEDF5A"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6B8B4D65"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5A250364" w14:textId="537F8FD3"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2,058,050 </w:t>
            </w:r>
          </w:p>
        </w:tc>
      </w:tr>
      <w:tr w:rsidR="00AC6051" w:rsidRPr="00AC6051" w14:paraId="3ACF09C8" w14:textId="77777777" w:rsidTr="00D33273">
        <w:trPr>
          <w:trHeight w:val="255"/>
        </w:trPr>
        <w:tc>
          <w:tcPr>
            <w:tcW w:w="4101" w:type="dxa"/>
            <w:tcBorders>
              <w:top w:val="nil"/>
              <w:left w:val="nil"/>
              <w:bottom w:val="nil"/>
              <w:right w:val="nil"/>
            </w:tcBorders>
            <w:shd w:val="clear" w:color="auto" w:fill="auto"/>
            <w:noWrap/>
            <w:vAlign w:val="bottom"/>
            <w:hideMark/>
          </w:tcPr>
          <w:p w14:paraId="6F79426D"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Asset retirement obligation</w:t>
            </w:r>
          </w:p>
        </w:tc>
        <w:tc>
          <w:tcPr>
            <w:tcW w:w="861" w:type="dxa"/>
            <w:tcBorders>
              <w:top w:val="nil"/>
              <w:left w:val="nil"/>
              <w:bottom w:val="nil"/>
              <w:right w:val="nil"/>
            </w:tcBorders>
            <w:shd w:val="clear" w:color="auto" w:fill="auto"/>
            <w:noWrap/>
            <w:vAlign w:val="center"/>
            <w:hideMark/>
          </w:tcPr>
          <w:p w14:paraId="19F63CC5" w14:textId="6381E564" w:rsidR="00AC6051" w:rsidRPr="00AC6051" w:rsidRDefault="00B6753E" w:rsidP="00AC6051">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(2)</w:t>
            </w:r>
          </w:p>
        </w:tc>
        <w:tc>
          <w:tcPr>
            <w:tcW w:w="316" w:type="dxa"/>
            <w:tcBorders>
              <w:top w:val="nil"/>
              <w:left w:val="nil"/>
              <w:bottom w:val="nil"/>
              <w:right w:val="nil"/>
            </w:tcBorders>
            <w:shd w:val="clear" w:color="auto" w:fill="auto"/>
            <w:noWrap/>
            <w:vAlign w:val="bottom"/>
            <w:hideMark/>
          </w:tcPr>
          <w:p w14:paraId="16861E12"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323C5D79" w14:textId="029618BD"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4,010,624 </w:t>
            </w:r>
          </w:p>
        </w:tc>
        <w:tc>
          <w:tcPr>
            <w:tcW w:w="316" w:type="dxa"/>
            <w:tcBorders>
              <w:top w:val="nil"/>
              <w:left w:val="nil"/>
              <w:bottom w:val="nil"/>
              <w:right w:val="nil"/>
            </w:tcBorders>
            <w:shd w:val="clear" w:color="auto" w:fill="auto"/>
            <w:noWrap/>
            <w:vAlign w:val="bottom"/>
            <w:hideMark/>
          </w:tcPr>
          <w:p w14:paraId="50DAC8FE"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745D9089"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5,344,798 </w:t>
            </w:r>
          </w:p>
        </w:tc>
        <w:tc>
          <w:tcPr>
            <w:tcW w:w="316" w:type="dxa"/>
            <w:tcBorders>
              <w:top w:val="nil"/>
              <w:left w:val="nil"/>
              <w:bottom w:val="nil"/>
              <w:right w:val="nil"/>
            </w:tcBorders>
            <w:shd w:val="clear" w:color="auto" w:fill="auto"/>
            <w:noWrap/>
            <w:vAlign w:val="bottom"/>
            <w:hideMark/>
          </w:tcPr>
          <w:p w14:paraId="447ED6EC"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5107FF03" w14:textId="02C2838E"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9,355,422 </w:t>
            </w:r>
          </w:p>
        </w:tc>
      </w:tr>
      <w:tr w:rsidR="00AC6051" w:rsidRPr="00AC6051" w14:paraId="4B138A27" w14:textId="77777777" w:rsidTr="00D33273">
        <w:trPr>
          <w:trHeight w:val="255"/>
        </w:trPr>
        <w:tc>
          <w:tcPr>
            <w:tcW w:w="4101" w:type="dxa"/>
            <w:tcBorders>
              <w:top w:val="nil"/>
              <w:left w:val="nil"/>
              <w:bottom w:val="nil"/>
              <w:right w:val="nil"/>
            </w:tcBorders>
            <w:shd w:val="clear" w:color="auto" w:fill="auto"/>
            <w:noWrap/>
            <w:vAlign w:val="bottom"/>
            <w:hideMark/>
          </w:tcPr>
          <w:p w14:paraId="33B70284"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Loans payable</w:t>
            </w:r>
          </w:p>
        </w:tc>
        <w:tc>
          <w:tcPr>
            <w:tcW w:w="861" w:type="dxa"/>
            <w:tcBorders>
              <w:top w:val="nil"/>
              <w:left w:val="nil"/>
              <w:bottom w:val="nil"/>
              <w:right w:val="nil"/>
            </w:tcBorders>
            <w:shd w:val="clear" w:color="auto" w:fill="auto"/>
            <w:noWrap/>
            <w:vAlign w:val="center"/>
            <w:hideMark/>
          </w:tcPr>
          <w:p w14:paraId="0EE85906"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02ABF135"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1951304F" w14:textId="6EDDB6C1"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17,730 </w:t>
            </w:r>
          </w:p>
        </w:tc>
        <w:tc>
          <w:tcPr>
            <w:tcW w:w="316" w:type="dxa"/>
            <w:tcBorders>
              <w:top w:val="nil"/>
              <w:left w:val="nil"/>
              <w:bottom w:val="nil"/>
              <w:right w:val="nil"/>
            </w:tcBorders>
            <w:shd w:val="clear" w:color="auto" w:fill="auto"/>
            <w:noWrap/>
            <w:vAlign w:val="bottom"/>
            <w:hideMark/>
          </w:tcPr>
          <w:p w14:paraId="5AB70710"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3A96E2C7"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4986D0B2"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540125CA" w14:textId="46A3E699"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17,730 </w:t>
            </w:r>
          </w:p>
        </w:tc>
      </w:tr>
      <w:tr w:rsidR="00AC6051" w:rsidRPr="00AC6051" w14:paraId="29F4E600" w14:textId="77777777" w:rsidTr="00D33273">
        <w:trPr>
          <w:trHeight w:val="255"/>
        </w:trPr>
        <w:tc>
          <w:tcPr>
            <w:tcW w:w="4101" w:type="dxa"/>
            <w:tcBorders>
              <w:top w:val="nil"/>
              <w:left w:val="nil"/>
              <w:bottom w:val="nil"/>
              <w:right w:val="nil"/>
            </w:tcBorders>
            <w:shd w:val="clear" w:color="auto" w:fill="auto"/>
            <w:noWrap/>
            <w:vAlign w:val="bottom"/>
            <w:hideMark/>
          </w:tcPr>
          <w:p w14:paraId="47A7D6DB"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Convertible debt</w:t>
            </w:r>
          </w:p>
        </w:tc>
        <w:tc>
          <w:tcPr>
            <w:tcW w:w="861" w:type="dxa"/>
            <w:tcBorders>
              <w:top w:val="nil"/>
              <w:left w:val="nil"/>
              <w:bottom w:val="nil"/>
              <w:right w:val="nil"/>
            </w:tcBorders>
            <w:shd w:val="clear" w:color="auto" w:fill="auto"/>
            <w:noWrap/>
            <w:vAlign w:val="center"/>
            <w:hideMark/>
          </w:tcPr>
          <w:p w14:paraId="0CEA5D7D"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1611344B"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2D0FD759" w14:textId="428F9583"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11,027 </w:t>
            </w:r>
          </w:p>
        </w:tc>
        <w:tc>
          <w:tcPr>
            <w:tcW w:w="316" w:type="dxa"/>
            <w:tcBorders>
              <w:top w:val="nil"/>
              <w:left w:val="nil"/>
              <w:bottom w:val="nil"/>
              <w:right w:val="nil"/>
            </w:tcBorders>
            <w:shd w:val="clear" w:color="auto" w:fill="auto"/>
            <w:noWrap/>
            <w:vAlign w:val="bottom"/>
            <w:hideMark/>
          </w:tcPr>
          <w:p w14:paraId="53C52A5A"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4DF6A14D"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0996E250"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7C74DAA5" w14:textId="7B5CA9B4"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11,027 </w:t>
            </w:r>
          </w:p>
        </w:tc>
      </w:tr>
      <w:tr w:rsidR="00AC6051" w:rsidRPr="00AC6051" w14:paraId="3138018F" w14:textId="77777777" w:rsidTr="00D33273">
        <w:trPr>
          <w:trHeight w:val="255"/>
        </w:trPr>
        <w:tc>
          <w:tcPr>
            <w:tcW w:w="4101" w:type="dxa"/>
            <w:tcBorders>
              <w:top w:val="nil"/>
              <w:left w:val="nil"/>
              <w:bottom w:val="nil"/>
              <w:right w:val="nil"/>
            </w:tcBorders>
            <w:shd w:val="clear" w:color="auto" w:fill="auto"/>
            <w:noWrap/>
            <w:vAlign w:val="bottom"/>
            <w:hideMark/>
          </w:tcPr>
          <w:p w14:paraId="332863CB"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Derivative liability</w:t>
            </w:r>
          </w:p>
        </w:tc>
        <w:tc>
          <w:tcPr>
            <w:tcW w:w="861" w:type="dxa"/>
            <w:tcBorders>
              <w:top w:val="nil"/>
              <w:left w:val="nil"/>
              <w:bottom w:val="nil"/>
              <w:right w:val="nil"/>
            </w:tcBorders>
            <w:shd w:val="clear" w:color="auto" w:fill="auto"/>
            <w:noWrap/>
            <w:vAlign w:val="center"/>
            <w:hideMark/>
          </w:tcPr>
          <w:p w14:paraId="2F893BC3"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3EC67996"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5F334FD9" w14:textId="0D0643DC"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1,804,572 </w:t>
            </w:r>
          </w:p>
        </w:tc>
        <w:tc>
          <w:tcPr>
            <w:tcW w:w="316" w:type="dxa"/>
            <w:tcBorders>
              <w:top w:val="nil"/>
              <w:left w:val="nil"/>
              <w:bottom w:val="nil"/>
              <w:right w:val="nil"/>
            </w:tcBorders>
            <w:shd w:val="clear" w:color="auto" w:fill="auto"/>
            <w:noWrap/>
            <w:vAlign w:val="bottom"/>
            <w:hideMark/>
          </w:tcPr>
          <w:p w14:paraId="4E8B284D"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4B95DE19"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4F7653E6"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097D9133" w14:textId="3E5A318F"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1,804,572 </w:t>
            </w:r>
          </w:p>
        </w:tc>
      </w:tr>
      <w:tr w:rsidR="00AC6051" w:rsidRPr="00AC6051" w14:paraId="38BDA04C" w14:textId="77777777" w:rsidTr="00D33273">
        <w:trPr>
          <w:trHeight w:val="270"/>
        </w:trPr>
        <w:tc>
          <w:tcPr>
            <w:tcW w:w="4101" w:type="dxa"/>
            <w:tcBorders>
              <w:top w:val="nil"/>
              <w:left w:val="nil"/>
              <w:bottom w:val="nil"/>
              <w:right w:val="nil"/>
            </w:tcBorders>
            <w:shd w:val="clear" w:color="auto" w:fill="auto"/>
            <w:noWrap/>
            <w:vAlign w:val="bottom"/>
            <w:hideMark/>
          </w:tcPr>
          <w:p w14:paraId="4CA08EFC"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Lease liability</w:t>
            </w:r>
          </w:p>
        </w:tc>
        <w:tc>
          <w:tcPr>
            <w:tcW w:w="861" w:type="dxa"/>
            <w:tcBorders>
              <w:top w:val="nil"/>
              <w:left w:val="nil"/>
              <w:bottom w:val="nil"/>
              <w:right w:val="nil"/>
            </w:tcBorders>
            <w:shd w:val="clear" w:color="auto" w:fill="auto"/>
            <w:noWrap/>
            <w:vAlign w:val="center"/>
            <w:hideMark/>
          </w:tcPr>
          <w:p w14:paraId="469A30B0"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single" w:sz="8" w:space="0" w:color="auto"/>
              <w:right w:val="nil"/>
            </w:tcBorders>
            <w:shd w:val="clear" w:color="auto" w:fill="auto"/>
            <w:noWrap/>
            <w:vAlign w:val="bottom"/>
            <w:hideMark/>
          </w:tcPr>
          <w:p w14:paraId="244AB34B"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60CD188A" w14:textId="2527BB36"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27,693 </w:t>
            </w:r>
          </w:p>
        </w:tc>
        <w:tc>
          <w:tcPr>
            <w:tcW w:w="316" w:type="dxa"/>
            <w:tcBorders>
              <w:top w:val="nil"/>
              <w:left w:val="nil"/>
              <w:bottom w:val="single" w:sz="8" w:space="0" w:color="auto"/>
              <w:right w:val="nil"/>
            </w:tcBorders>
            <w:shd w:val="clear" w:color="auto" w:fill="auto"/>
            <w:noWrap/>
            <w:vAlign w:val="bottom"/>
            <w:hideMark/>
          </w:tcPr>
          <w:p w14:paraId="37334D3C"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800" w:type="dxa"/>
            <w:tcBorders>
              <w:top w:val="nil"/>
              <w:left w:val="nil"/>
              <w:bottom w:val="single" w:sz="8" w:space="0" w:color="auto"/>
              <w:right w:val="nil"/>
            </w:tcBorders>
            <w:shd w:val="clear" w:color="auto" w:fill="auto"/>
            <w:noWrap/>
            <w:vAlign w:val="bottom"/>
            <w:hideMark/>
          </w:tcPr>
          <w:p w14:paraId="4626CE3D"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single" w:sz="8" w:space="0" w:color="auto"/>
              <w:right w:val="nil"/>
            </w:tcBorders>
            <w:shd w:val="clear" w:color="auto" w:fill="auto"/>
            <w:noWrap/>
            <w:vAlign w:val="bottom"/>
            <w:hideMark/>
          </w:tcPr>
          <w:p w14:paraId="59C2D306"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388" w:type="dxa"/>
            <w:tcBorders>
              <w:top w:val="nil"/>
              <w:left w:val="nil"/>
              <w:bottom w:val="single" w:sz="8" w:space="0" w:color="auto"/>
              <w:right w:val="nil"/>
            </w:tcBorders>
            <w:shd w:val="clear" w:color="auto" w:fill="auto"/>
            <w:noWrap/>
            <w:vAlign w:val="bottom"/>
            <w:hideMark/>
          </w:tcPr>
          <w:p w14:paraId="2226775B" w14:textId="1A12D698"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27,693 </w:t>
            </w:r>
          </w:p>
        </w:tc>
      </w:tr>
      <w:tr w:rsidR="00AC6051" w:rsidRPr="00AC6051" w14:paraId="40E630A7" w14:textId="77777777" w:rsidTr="00D33273">
        <w:trPr>
          <w:trHeight w:val="255"/>
        </w:trPr>
        <w:tc>
          <w:tcPr>
            <w:tcW w:w="4101" w:type="dxa"/>
            <w:tcBorders>
              <w:top w:val="nil"/>
              <w:left w:val="nil"/>
              <w:bottom w:val="nil"/>
              <w:right w:val="nil"/>
            </w:tcBorders>
            <w:shd w:val="clear" w:color="auto" w:fill="auto"/>
            <w:noWrap/>
            <w:vAlign w:val="bottom"/>
            <w:hideMark/>
          </w:tcPr>
          <w:p w14:paraId="5DBB4CF6"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Total liabilities</w:t>
            </w:r>
          </w:p>
        </w:tc>
        <w:tc>
          <w:tcPr>
            <w:tcW w:w="861" w:type="dxa"/>
            <w:tcBorders>
              <w:top w:val="nil"/>
              <w:left w:val="nil"/>
              <w:bottom w:val="nil"/>
              <w:right w:val="nil"/>
            </w:tcBorders>
            <w:shd w:val="clear" w:color="auto" w:fill="auto"/>
            <w:noWrap/>
            <w:vAlign w:val="center"/>
            <w:hideMark/>
          </w:tcPr>
          <w:p w14:paraId="758472E6"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7538D338"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200BFA51" w14:textId="179EF600"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7,929,696 </w:t>
            </w:r>
          </w:p>
        </w:tc>
        <w:tc>
          <w:tcPr>
            <w:tcW w:w="316" w:type="dxa"/>
            <w:tcBorders>
              <w:top w:val="nil"/>
              <w:left w:val="nil"/>
              <w:bottom w:val="nil"/>
              <w:right w:val="nil"/>
            </w:tcBorders>
            <w:shd w:val="clear" w:color="auto" w:fill="auto"/>
            <w:noWrap/>
            <w:vAlign w:val="bottom"/>
            <w:hideMark/>
          </w:tcPr>
          <w:p w14:paraId="068EA95B"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2A03B6D1"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5,344,798 </w:t>
            </w:r>
          </w:p>
        </w:tc>
        <w:tc>
          <w:tcPr>
            <w:tcW w:w="316" w:type="dxa"/>
            <w:tcBorders>
              <w:top w:val="nil"/>
              <w:left w:val="nil"/>
              <w:bottom w:val="nil"/>
              <w:right w:val="nil"/>
            </w:tcBorders>
            <w:shd w:val="clear" w:color="auto" w:fill="auto"/>
            <w:noWrap/>
            <w:vAlign w:val="bottom"/>
            <w:hideMark/>
          </w:tcPr>
          <w:p w14:paraId="6B893096"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0919E155" w14:textId="174E6DCA"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13,274,494 </w:t>
            </w:r>
          </w:p>
        </w:tc>
      </w:tr>
      <w:tr w:rsidR="00AC6051" w:rsidRPr="00AC6051" w14:paraId="6D60A706" w14:textId="77777777" w:rsidTr="00D33273">
        <w:trPr>
          <w:trHeight w:val="255"/>
        </w:trPr>
        <w:tc>
          <w:tcPr>
            <w:tcW w:w="4101" w:type="dxa"/>
            <w:tcBorders>
              <w:top w:val="nil"/>
              <w:left w:val="nil"/>
              <w:bottom w:val="nil"/>
              <w:right w:val="nil"/>
            </w:tcBorders>
            <w:shd w:val="clear" w:color="auto" w:fill="auto"/>
            <w:noWrap/>
            <w:vAlign w:val="bottom"/>
            <w:hideMark/>
          </w:tcPr>
          <w:p w14:paraId="59E5480A" w14:textId="66DDD25A"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Stockholders’ </w:t>
            </w:r>
            <w:r w:rsidR="000E3747">
              <w:rPr>
                <w:rFonts w:ascii="Times New Roman" w:eastAsia="Times New Roman" w:hAnsi="Times New Roman" w:cs="Times New Roman"/>
                <w:color w:val="000000"/>
                <w:sz w:val="20"/>
                <w:szCs w:val="20"/>
                <w:lang w:eastAsia="zh-CN"/>
              </w:rPr>
              <w:t>deficiency</w:t>
            </w:r>
            <w:r w:rsidRPr="00AC6051">
              <w:rPr>
                <w:rFonts w:ascii="Times New Roman" w:eastAsia="Times New Roman" w:hAnsi="Times New Roman" w:cs="Times New Roman"/>
                <w:color w:val="000000"/>
                <w:sz w:val="20"/>
                <w:szCs w:val="20"/>
                <w:lang w:eastAsia="zh-CN"/>
              </w:rPr>
              <w:t>:</w:t>
            </w:r>
          </w:p>
        </w:tc>
        <w:tc>
          <w:tcPr>
            <w:tcW w:w="861" w:type="dxa"/>
            <w:tcBorders>
              <w:top w:val="nil"/>
              <w:left w:val="nil"/>
              <w:bottom w:val="nil"/>
              <w:right w:val="nil"/>
            </w:tcBorders>
            <w:shd w:val="clear" w:color="auto" w:fill="auto"/>
            <w:noWrap/>
            <w:vAlign w:val="center"/>
            <w:hideMark/>
          </w:tcPr>
          <w:p w14:paraId="4C098B83"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2539FF4D"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3D03F73A"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5C304622"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800" w:type="dxa"/>
            <w:tcBorders>
              <w:top w:val="nil"/>
              <w:left w:val="nil"/>
              <w:bottom w:val="nil"/>
              <w:right w:val="nil"/>
            </w:tcBorders>
            <w:shd w:val="clear" w:color="auto" w:fill="auto"/>
            <w:noWrap/>
            <w:vAlign w:val="bottom"/>
            <w:hideMark/>
          </w:tcPr>
          <w:p w14:paraId="42FF6CEE"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5C02B37C"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388" w:type="dxa"/>
            <w:tcBorders>
              <w:top w:val="nil"/>
              <w:left w:val="nil"/>
              <w:bottom w:val="nil"/>
              <w:right w:val="nil"/>
            </w:tcBorders>
            <w:shd w:val="clear" w:color="auto" w:fill="auto"/>
            <w:noWrap/>
            <w:vAlign w:val="bottom"/>
            <w:hideMark/>
          </w:tcPr>
          <w:p w14:paraId="6EAC91C2"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r>
      <w:tr w:rsidR="00AC6051" w:rsidRPr="00AC6051" w14:paraId="2B74ECBF" w14:textId="77777777" w:rsidTr="00D33273">
        <w:trPr>
          <w:trHeight w:val="169"/>
        </w:trPr>
        <w:tc>
          <w:tcPr>
            <w:tcW w:w="4101" w:type="dxa"/>
            <w:tcBorders>
              <w:top w:val="nil"/>
              <w:left w:val="nil"/>
              <w:bottom w:val="nil"/>
              <w:right w:val="nil"/>
            </w:tcBorders>
            <w:shd w:val="clear" w:color="auto" w:fill="auto"/>
            <w:vAlign w:val="bottom"/>
            <w:hideMark/>
          </w:tcPr>
          <w:p w14:paraId="2FF49295" w14:textId="67341480"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Common stock</w:t>
            </w:r>
          </w:p>
        </w:tc>
        <w:tc>
          <w:tcPr>
            <w:tcW w:w="861" w:type="dxa"/>
            <w:tcBorders>
              <w:top w:val="nil"/>
              <w:left w:val="nil"/>
              <w:bottom w:val="nil"/>
              <w:right w:val="nil"/>
            </w:tcBorders>
            <w:shd w:val="clear" w:color="auto" w:fill="auto"/>
            <w:vAlign w:val="center"/>
            <w:hideMark/>
          </w:tcPr>
          <w:p w14:paraId="54A82C47" w14:textId="77777777" w:rsidR="00AC6051" w:rsidRPr="00AC6051" w:rsidRDefault="00AC6051" w:rsidP="00AC6051">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52B78AF1" w14:textId="77777777" w:rsidR="00AC6051" w:rsidRPr="00AC6051" w:rsidRDefault="00AC6051" w:rsidP="00AC6051">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665A0FA6" w14:textId="420BF328"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1,253 </w:t>
            </w:r>
          </w:p>
        </w:tc>
        <w:tc>
          <w:tcPr>
            <w:tcW w:w="316" w:type="dxa"/>
            <w:tcBorders>
              <w:top w:val="nil"/>
              <w:left w:val="nil"/>
              <w:bottom w:val="nil"/>
              <w:right w:val="nil"/>
            </w:tcBorders>
            <w:shd w:val="clear" w:color="auto" w:fill="auto"/>
            <w:noWrap/>
            <w:vAlign w:val="bottom"/>
            <w:hideMark/>
          </w:tcPr>
          <w:p w14:paraId="281733D0"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1D2B8A9B"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2A712032"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50ECE75E" w14:textId="56D5D72D"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1,253 </w:t>
            </w:r>
          </w:p>
        </w:tc>
      </w:tr>
      <w:tr w:rsidR="00AC6051" w:rsidRPr="00AC6051" w14:paraId="764EC6E1" w14:textId="77777777" w:rsidTr="0008506C">
        <w:trPr>
          <w:trHeight w:val="255"/>
        </w:trPr>
        <w:tc>
          <w:tcPr>
            <w:tcW w:w="4101" w:type="dxa"/>
            <w:tcBorders>
              <w:top w:val="nil"/>
              <w:left w:val="nil"/>
              <w:bottom w:val="nil"/>
              <w:right w:val="nil"/>
            </w:tcBorders>
            <w:shd w:val="clear" w:color="auto" w:fill="auto"/>
            <w:noWrap/>
            <w:vAlign w:val="bottom"/>
          </w:tcPr>
          <w:p w14:paraId="3FAB2EEF" w14:textId="65D28A0B" w:rsidR="00AC6051" w:rsidRPr="00AC6051" w:rsidRDefault="003C657E" w:rsidP="00AC6051">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Additional paid-in capital</w:t>
            </w:r>
          </w:p>
        </w:tc>
        <w:tc>
          <w:tcPr>
            <w:tcW w:w="861" w:type="dxa"/>
            <w:tcBorders>
              <w:top w:val="nil"/>
              <w:left w:val="nil"/>
              <w:bottom w:val="nil"/>
              <w:right w:val="nil"/>
            </w:tcBorders>
            <w:shd w:val="clear" w:color="auto" w:fill="auto"/>
            <w:noWrap/>
            <w:vAlign w:val="center"/>
          </w:tcPr>
          <w:p w14:paraId="25344E9C" w14:textId="5906C0B5" w:rsidR="00AC6051" w:rsidRPr="00AC6051" w:rsidRDefault="003C657E" w:rsidP="00AC6051">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w:t>
            </w:r>
          </w:p>
        </w:tc>
        <w:tc>
          <w:tcPr>
            <w:tcW w:w="316" w:type="dxa"/>
            <w:tcBorders>
              <w:top w:val="nil"/>
              <w:left w:val="nil"/>
              <w:bottom w:val="nil"/>
              <w:right w:val="nil"/>
            </w:tcBorders>
            <w:shd w:val="clear" w:color="auto" w:fill="auto"/>
            <w:noWrap/>
            <w:vAlign w:val="bottom"/>
          </w:tcPr>
          <w:p w14:paraId="62B86A98"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tcPr>
          <w:p w14:paraId="57DE44B3" w14:textId="731BC222" w:rsidR="00AC6051" w:rsidRPr="00AC6051" w:rsidRDefault="003C657E" w:rsidP="00AC6051">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27,508,468 </w:t>
            </w:r>
          </w:p>
        </w:tc>
        <w:tc>
          <w:tcPr>
            <w:tcW w:w="316" w:type="dxa"/>
            <w:tcBorders>
              <w:top w:val="nil"/>
              <w:left w:val="nil"/>
              <w:bottom w:val="nil"/>
              <w:right w:val="nil"/>
            </w:tcBorders>
            <w:shd w:val="clear" w:color="auto" w:fill="auto"/>
            <w:noWrap/>
            <w:vAlign w:val="bottom"/>
          </w:tcPr>
          <w:p w14:paraId="04FE6E0F"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tcPr>
          <w:p w14:paraId="2FD0DF8F" w14:textId="0AF37F27" w:rsidR="00AC6051" w:rsidRPr="00AC6051" w:rsidRDefault="003C657E" w:rsidP="00AC6051">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w:t>
            </w:r>
            <w:r w:rsidRPr="00AC6051">
              <w:rPr>
                <w:rFonts w:ascii="Times New Roman" w:eastAsia="Times New Roman" w:hAnsi="Times New Roman" w:cs="Times New Roman"/>
                <w:color w:val="000000"/>
                <w:sz w:val="20"/>
                <w:szCs w:val="20"/>
                <w:lang w:eastAsia="zh-CN"/>
              </w:rPr>
              <w:t>27,508,468</w:t>
            </w:r>
            <w:r>
              <w:rPr>
                <w:rFonts w:ascii="Times New Roman" w:eastAsia="Times New Roman" w:hAnsi="Times New Roman" w:cs="Times New Roman"/>
                <w:color w:val="000000"/>
                <w:sz w:val="20"/>
                <w:szCs w:val="20"/>
                <w:lang w:eastAsia="zh-CN"/>
              </w:rPr>
              <w:t>)</w:t>
            </w:r>
            <w:r w:rsidRPr="00AC6051">
              <w:rPr>
                <w:rFonts w:ascii="Times New Roman" w:eastAsia="Times New Roman" w:hAnsi="Times New Roman" w:cs="Times New Roman"/>
                <w:color w:val="000000"/>
                <w:sz w:val="20"/>
                <w:szCs w:val="20"/>
                <w:lang w:eastAsia="zh-CN"/>
              </w:rPr>
              <w:t xml:space="preserve"> </w:t>
            </w:r>
          </w:p>
        </w:tc>
        <w:tc>
          <w:tcPr>
            <w:tcW w:w="316" w:type="dxa"/>
            <w:tcBorders>
              <w:top w:val="nil"/>
              <w:left w:val="nil"/>
              <w:bottom w:val="nil"/>
              <w:right w:val="nil"/>
            </w:tcBorders>
            <w:shd w:val="clear" w:color="auto" w:fill="auto"/>
            <w:noWrap/>
            <w:vAlign w:val="bottom"/>
          </w:tcPr>
          <w:p w14:paraId="7B1D4DEF" w14:textId="77777777" w:rsidR="00AC6051" w:rsidRPr="00AC6051" w:rsidRDefault="00AC6051" w:rsidP="00AC6051">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tcPr>
          <w:p w14:paraId="2E43B3A0" w14:textId="3A61A4C1" w:rsidR="00AC6051" w:rsidRPr="00AC6051" w:rsidRDefault="003C657E" w:rsidP="00AC6051">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w:t>
            </w:r>
          </w:p>
        </w:tc>
      </w:tr>
      <w:tr w:rsidR="003C657E" w:rsidRPr="00AC6051" w14:paraId="4B64724B" w14:textId="77777777" w:rsidTr="00D33273">
        <w:trPr>
          <w:trHeight w:val="255"/>
        </w:trPr>
        <w:tc>
          <w:tcPr>
            <w:tcW w:w="4101" w:type="dxa"/>
            <w:tcBorders>
              <w:top w:val="nil"/>
              <w:left w:val="nil"/>
              <w:bottom w:val="nil"/>
              <w:right w:val="nil"/>
            </w:tcBorders>
            <w:shd w:val="clear" w:color="auto" w:fill="auto"/>
            <w:noWrap/>
            <w:vAlign w:val="bottom"/>
          </w:tcPr>
          <w:p w14:paraId="6F5EE095" w14:textId="641840B3" w:rsidR="003C657E" w:rsidRDefault="003C657E" w:rsidP="003C657E">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Share premium</w:t>
            </w:r>
          </w:p>
        </w:tc>
        <w:tc>
          <w:tcPr>
            <w:tcW w:w="861" w:type="dxa"/>
            <w:tcBorders>
              <w:top w:val="nil"/>
              <w:left w:val="nil"/>
              <w:bottom w:val="nil"/>
              <w:right w:val="nil"/>
            </w:tcBorders>
            <w:shd w:val="clear" w:color="auto" w:fill="auto"/>
            <w:noWrap/>
            <w:vAlign w:val="center"/>
          </w:tcPr>
          <w:p w14:paraId="25DA9C35" w14:textId="11770FA3" w:rsidR="003C657E" w:rsidRDefault="003C657E" w:rsidP="003C657E">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w:t>
            </w:r>
          </w:p>
        </w:tc>
        <w:tc>
          <w:tcPr>
            <w:tcW w:w="316" w:type="dxa"/>
            <w:tcBorders>
              <w:top w:val="nil"/>
              <w:left w:val="nil"/>
              <w:bottom w:val="nil"/>
              <w:right w:val="nil"/>
            </w:tcBorders>
            <w:shd w:val="clear" w:color="auto" w:fill="auto"/>
            <w:noWrap/>
            <w:vAlign w:val="bottom"/>
          </w:tcPr>
          <w:p w14:paraId="4EA75C45"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tcPr>
          <w:p w14:paraId="058B93B1" w14:textId="75D6E582"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w:t>
            </w:r>
          </w:p>
        </w:tc>
        <w:tc>
          <w:tcPr>
            <w:tcW w:w="316" w:type="dxa"/>
            <w:tcBorders>
              <w:top w:val="nil"/>
              <w:left w:val="nil"/>
              <w:bottom w:val="nil"/>
              <w:right w:val="nil"/>
            </w:tcBorders>
            <w:shd w:val="clear" w:color="auto" w:fill="auto"/>
            <w:noWrap/>
            <w:vAlign w:val="bottom"/>
          </w:tcPr>
          <w:p w14:paraId="56ADB1DC"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tcPr>
          <w:p w14:paraId="608D267A" w14:textId="18ED3C09"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w:t>
            </w:r>
            <w:r w:rsidR="00CA627B" w:rsidRPr="00CA627B">
              <w:rPr>
                <w:rFonts w:ascii="Times New Roman" w:eastAsia="Times New Roman" w:hAnsi="Times New Roman" w:cs="Times New Roman"/>
                <w:color w:val="000000"/>
                <w:sz w:val="20"/>
                <w:szCs w:val="20"/>
                <w:lang w:eastAsia="zh-CN"/>
              </w:rPr>
              <w:t>26,331,369</w:t>
            </w:r>
          </w:p>
        </w:tc>
        <w:tc>
          <w:tcPr>
            <w:tcW w:w="316" w:type="dxa"/>
            <w:tcBorders>
              <w:top w:val="nil"/>
              <w:left w:val="nil"/>
              <w:bottom w:val="nil"/>
              <w:right w:val="nil"/>
            </w:tcBorders>
            <w:shd w:val="clear" w:color="auto" w:fill="auto"/>
            <w:noWrap/>
            <w:vAlign w:val="bottom"/>
          </w:tcPr>
          <w:p w14:paraId="220A0331"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tcPr>
          <w:p w14:paraId="752945B7" w14:textId="33D8AA05"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26,331,369 </w:t>
            </w:r>
          </w:p>
        </w:tc>
      </w:tr>
      <w:tr w:rsidR="003C657E" w:rsidRPr="00AC6051" w14:paraId="718431CA" w14:textId="77777777" w:rsidTr="00D33273">
        <w:trPr>
          <w:trHeight w:val="255"/>
        </w:trPr>
        <w:tc>
          <w:tcPr>
            <w:tcW w:w="4101" w:type="dxa"/>
            <w:tcBorders>
              <w:top w:val="nil"/>
              <w:left w:val="nil"/>
              <w:bottom w:val="nil"/>
              <w:right w:val="nil"/>
            </w:tcBorders>
            <w:shd w:val="clear" w:color="auto" w:fill="auto"/>
            <w:noWrap/>
            <w:vAlign w:val="bottom"/>
            <w:hideMark/>
          </w:tcPr>
          <w:p w14:paraId="4730AA10" w14:textId="77777777"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Stock subscriptions and stock to be issued</w:t>
            </w:r>
          </w:p>
        </w:tc>
        <w:tc>
          <w:tcPr>
            <w:tcW w:w="861" w:type="dxa"/>
            <w:tcBorders>
              <w:top w:val="nil"/>
              <w:left w:val="nil"/>
              <w:bottom w:val="nil"/>
              <w:right w:val="nil"/>
            </w:tcBorders>
            <w:shd w:val="clear" w:color="auto" w:fill="auto"/>
            <w:noWrap/>
            <w:vAlign w:val="center"/>
            <w:hideMark/>
          </w:tcPr>
          <w:p w14:paraId="30F8F943" w14:textId="77777777"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5A7F43D3" w14:textId="77777777" w:rsidR="003C657E" w:rsidRPr="00AC6051" w:rsidRDefault="003C657E" w:rsidP="003C657E">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5F59D03D" w14:textId="7EBEC556"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15,342 </w:t>
            </w:r>
          </w:p>
        </w:tc>
        <w:tc>
          <w:tcPr>
            <w:tcW w:w="316" w:type="dxa"/>
            <w:tcBorders>
              <w:top w:val="nil"/>
              <w:left w:val="nil"/>
              <w:bottom w:val="nil"/>
              <w:right w:val="nil"/>
            </w:tcBorders>
            <w:shd w:val="clear" w:color="auto" w:fill="auto"/>
            <w:noWrap/>
            <w:vAlign w:val="bottom"/>
            <w:hideMark/>
          </w:tcPr>
          <w:p w14:paraId="1396A528"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154A9FB7"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6ADDDB16"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5C2AD041" w14:textId="03F54B40"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15,342 </w:t>
            </w:r>
          </w:p>
        </w:tc>
      </w:tr>
      <w:tr w:rsidR="003C657E" w:rsidRPr="00AC6051" w14:paraId="7FA251F2" w14:textId="77777777" w:rsidTr="00D33273">
        <w:trPr>
          <w:trHeight w:val="255"/>
        </w:trPr>
        <w:tc>
          <w:tcPr>
            <w:tcW w:w="4101" w:type="dxa"/>
            <w:tcBorders>
              <w:top w:val="nil"/>
              <w:left w:val="nil"/>
              <w:bottom w:val="nil"/>
              <w:right w:val="nil"/>
            </w:tcBorders>
            <w:shd w:val="clear" w:color="auto" w:fill="auto"/>
            <w:noWrap/>
            <w:vAlign w:val="bottom"/>
            <w:hideMark/>
          </w:tcPr>
          <w:p w14:paraId="77770CF6" w14:textId="4EFA52AF"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Warrant and option reserve</w:t>
            </w:r>
          </w:p>
        </w:tc>
        <w:tc>
          <w:tcPr>
            <w:tcW w:w="861" w:type="dxa"/>
            <w:tcBorders>
              <w:top w:val="nil"/>
              <w:left w:val="nil"/>
              <w:bottom w:val="nil"/>
              <w:right w:val="nil"/>
            </w:tcBorders>
            <w:shd w:val="clear" w:color="auto" w:fill="auto"/>
            <w:noWrap/>
            <w:vAlign w:val="center"/>
            <w:hideMark/>
          </w:tcPr>
          <w:p w14:paraId="2D393FDD" w14:textId="73B013B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w:t>
            </w:r>
          </w:p>
        </w:tc>
        <w:tc>
          <w:tcPr>
            <w:tcW w:w="316" w:type="dxa"/>
            <w:tcBorders>
              <w:top w:val="nil"/>
              <w:left w:val="nil"/>
              <w:bottom w:val="nil"/>
              <w:right w:val="nil"/>
            </w:tcBorders>
            <w:shd w:val="clear" w:color="auto" w:fill="auto"/>
            <w:noWrap/>
            <w:vAlign w:val="bottom"/>
            <w:hideMark/>
          </w:tcPr>
          <w:p w14:paraId="0853DCED"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144F2932"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3BEC2660"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6D890817"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1,177,099 </w:t>
            </w:r>
          </w:p>
        </w:tc>
        <w:tc>
          <w:tcPr>
            <w:tcW w:w="316" w:type="dxa"/>
            <w:tcBorders>
              <w:top w:val="nil"/>
              <w:left w:val="nil"/>
              <w:bottom w:val="nil"/>
              <w:right w:val="nil"/>
            </w:tcBorders>
            <w:shd w:val="clear" w:color="auto" w:fill="auto"/>
            <w:noWrap/>
            <w:vAlign w:val="bottom"/>
            <w:hideMark/>
          </w:tcPr>
          <w:p w14:paraId="3D0844AE"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013F9777" w14:textId="6360B83B"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1,177,099 </w:t>
            </w:r>
          </w:p>
        </w:tc>
      </w:tr>
      <w:tr w:rsidR="003C657E" w:rsidRPr="00AC6051" w14:paraId="776B4C5A" w14:textId="77777777" w:rsidTr="00D33273">
        <w:trPr>
          <w:trHeight w:val="255"/>
        </w:trPr>
        <w:tc>
          <w:tcPr>
            <w:tcW w:w="4101" w:type="dxa"/>
            <w:tcBorders>
              <w:top w:val="nil"/>
              <w:left w:val="nil"/>
              <w:bottom w:val="nil"/>
              <w:right w:val="nil"/>
            </w:tcBorders>
            <w:shd w:val="clear" w:color="auto" w:fill="auto"/>
            <w:noWrap/>
            <w:vAlign w:val="bottom"/>
            <w:hideMark/>
          </w:tcPr>
          <w:p w14:paraId="112EA715" w14:textId="77777777"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Accumulated other comprehensive loss</w:t>
            </w:r>
          </w:p>
        </w:tc>
        <w:tc>
          <w:tcPr>
            <w:tcW w:w="861" w:type="dxa"/>
            <w:tcBorders>
              <w:top w:val="nil"/>
              <w:left w:val="nil"/>
              <w:bottom w:val="nil"/>
              <w:right w:val="nil"/>
            </w:tcBorders>
            <w:shd w:val="clear" w:color="auto" w:fill="auto"/>
            <w:noWrap/>
            <w:vAlign w:val="center"/>
            <w:hideMark/>
          </w:tcPr>
          <w:p w14:paraId="45CC7A84" w14:textId="77777777"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nil"/>
              <w:right w:val="nil"/>
            </w:tcBorders>
            <w:shd w:val="clear" w:color="auto" w:fill="auto"/>
            <w:noWrap/>
            <w:vAlign w:val="bottom"/>
            <w:hideMark/>
          </w:tcPr>
          <w:p w14:paraId="5084E209" w14:textId="77777777" w:rsidR="003C657E" w:rsidRPr="00AC6051" w:rsidRDefault="003C657E" w:rsidP="003C657E">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14E04312" w14:textId="74F431E8"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(490,172)</w:t>
            </w:r>
          </w:p>
        </w:tc>
        <w:tc>
          <w:tcPr>
            <w:tcW w:w="316" w:type="dxa"/>
            <w:tcBorders>
              <w:top w:val="nil"/>
              <w:left w:val="nil"/>
              <w:bottom w:val="nil"/>
              <w:right w:val="nil"/>
            </w:tcBorders>
            <w:shd w:val="clear" w:color="auto" w:fill="auto"/>
            <w:noWrap/>
            <w:vAlign w:val="bottom"/>
            <w:hideMark/>
          </w:tcPr>
          <w:p w14:paraId="7A79CE2C"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800" w:type="dxa"/>
            <w:tcBorders>
              <w:top w:val="nil"/>
              <w:left w:val="nil"/>
              <w:bottom w:val="nil"/>
              <w:right w:val="nil"/>
            </w:tcBorders>
            <w:shd w:val="clear" w:color="auto" w:fill="auto"/>
            <w:noWrap/>
            <w:vAlign w:val="bottom"/>
            <w:hideMark/>
          </w:tcPr>
          <w:p w14:paraId="2DE75683" w14:textId="209D2F35"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1EEEA20E"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p>
        </w:tc>
        <w:tc>
          <w:tcPr>
            <w:tcW w:w="1388" w:type="dxa"/>
            <w:tcBorders>
              <w:top w:val="nil"/>
              <w:left w:val="nil"/>
              <w:bottom w:val="nil"/>
              <w:right w:val="nil"/>
            </w:tcBorders>
            <w:shd w:val="clear" w:color="auto" w:fill="auto"/>
            <w:noWrap/>
            <w:vAlign w:val="bottom"/>
            <w:hideMark/>
          </w:tcPr>
          <w:p w14:paraId="43CBAAFC" w14:textId="50E71F45"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(490,172)</w:t>
            </w:r>
          </w:p>
        </w:tc>
      </w:tr>
      <w:tr w:rsidR="003C657E" w:rsidRPr="00AC6051" w14:paraId="589ACF43" w14:textId="77777777" w:rsidTr="00D33273">
        <w:trPr>
          <w:trHeight w:val="270"/>
        </w:trPr>
        <w:tc>
          <w:tcPr>
            <w:tcW w:w="4101" w:type="dxa"/>
            <w:tcBorders>
              <w:top w:val="nil"/>
              <w:left w:val="nil"/>
              <w:bottom w:val="nil"/>
              <w:right w:val="nil"/>
            </w:tcBorders>
            <w:shd w:val="clear" w:color="auto" w:fill="auto"/>
            <w:noWrap/>
            <w:vAlign w:val="bottom"/>
            <w:hideMark/>
          </w:tcPr>
          <w:p w14:paraId="6A5D0B7C" w14:textId="77777777"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Accumulated deficit</w:t>
            </w:r>
          </w:p>
        </w:tc>
        <w:tc>
          <w:tcPr>
            <w:tcW w:w="861" w:type="dxa"/>
            <w:tcBorders>
              <w:top w:val="nil"/>
              <w:left w:val="nil"/>
              <w:bottom w:val="nil"/>
              <w:right w:val="nil"/>
            </w:tcBorders>
            <w:shd w:val="clear" w:color="auto" w:fill="auto"/>
            <w:noWrap/>
            <w:vAlign w:val="center"/>
            <w:hideMark/>
          </w:tcPr>
          <w:p w14:paraId="0E8E7861" w14:textId="77777777"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single" w:sz="8" w:space="0" w:color="auto"/>
              <w:right w:val="nil"/>
            </w:tcBorders>
            <w:shd w:val="clear" w:color="auto" w:fill="auto"/>
            <w:noWrap/>
            <w:vAlign w:val="bottom"/>
            <w:hideMark/>
          </w:tcPr>
          <w:p w14:paraId="0AACDD09"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24A853CD" w14:textId="4E278362"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(28,477,326)</w:t>
            </w:r>
          </w:p>
        </w:tc>
        <w:tc>
          <w:tcPr>
            <w:tcW w:w="316" w:type="dxa"/>
            <w:tcBorders>
              <w:top w:val="nil"/>
              <w:left w:val="nil"/>
              <w:bottom w:val="single" w:sz="8" w:space="0" w:color="auto"/>
              <w:right w:val="nil"/>
            </w:tcBorders>
            <w:shd w:val="clear" w:color="auto" w:fill="auto"/>
            <w:noWrap/>
            <w:vAlign w:val="bottom"/>
            <w:hideMark/>
          </w:tcPr>
          <w:p w14:paraId="68A3956B"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800" w:type="dxa"/>
            <w:tcBorders>
              <w:top w:val="nil"/>
              <w:left w:val="nil"/>
              <w:bottom w:val="single" w:sz="8" w:space="0" w:color="auto"/>
              <w:right w:val="nil"/>
            </w:tcBorders>
            <w:shd w:val="clear" w:color="auto" w:fill="auto"/>
            <w:noWrap/>
            <w:vAlign w:val="bottom"/>
            <w:hideMark/>
          </w:tcPr>
          <w:p w14:paraId="66A821AE"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(5,344,798)</w:t>
            </w:r>
          </w:p>
        </w:tc>
        <w:tc>
          <w:tcPr>
            <w:tcW w:w="316" w:type="dxa"/>
            <w:tcBorders>
              <w:top w:val="nil"/>
              <w:left w:val="nil"/>
              <w:bottom w:val="single" w:sz="8" w:space="0" w:color="auto"/>
              <w:right w:val="nil"/>
            </w:tcBorders>
            <w:shd w:val="clear" w:color="auto" w:fill="auto"/>
            <w:noWrap/>
            <w:vAlign w:val="bottom"/>
            <w:hideMark/>
          </w:tcPr>
          <w:p w14:paraId="5B20FB0F"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388" w:type="dxa"/>
            <w:tcBorders>
              <w:top w:val="nil"/>
              <w:left w:val="nil"/>
              <w:bottom w:val="single" w:sz="8" w:space="0" w:color="auto"/>
              <w:right w:val="nil"/>
            </w:tcBorders>
            <w:shd w:val="clear" w:color="auto" w:fill="auto"/>
            <w:noWrap/>
            <w:vAlign w:val="bottom"/>
            <w:hideMark/>
          </w:tcPr>
          <w:p w14:paraId="1B4C490A" w14:textId="4AFCD42A"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(33,822,124)</w:t>
            </w:r>
          </w:p>
        </w:tc>
      </w:tr>
      <w:tr w:rsidR="003C657E" w:rsidRPr="00AC6051" w14:paraId="517CA940" w14:textId="77777777" w:rsidTr="00D33273">
        <w:trPr>
          <w:trHeight w:val="270"/>
        </w:trPr>
        <w:tc>
          <w:tcPr>
            <w:tcW w:w="4101" w:type="dxa"/>
            <w:tcBorders>
              <w:top w:val="nil"/>
              <w:left w:val="nil"/>
              <w:bottom w:val="nil"/>
              <w:right w:val="nil"/>
            </w:tcBorders>
            <w:shd w:val="clear" w:color="auto" w:fill="auto"/>
            <w:noWrap/>
            <w:vAlign w:val="bottom"/>
            <w:hideMark/>
          </w:tcPr>
          <w:p w14:paraId="460E13E2" w14:textId="66DBC4A6"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Total stockholders’ </w:t>
            </w:r>
            <w:r>
              <w:rPr>
                <w:rFonts w:ascii="Times New Roman" w:eastAsia="Times New Roman" w:hAnsi="Times New Roman" w:cs="Times New Roman"/>
                <w:color w:val="000000"/>
                <w:sz w:val="20"/>
                <w:szCs w:val="20"/>
                <w:lang w:eastAsia="zh-CN"/>
              </w:rPr>
              <w:t>deficiency</w:t>
            </w:r>
          </w:p>
        </w:tc>
        <w:tc>
          <w:tcPr>
            <w:tcW w:w="861" w:type="dxa"/>
            <w:tcBorders>
              <w:top w:val="nil"/>
              <w:left w:val="nil"/>
              <w:bottom w:val="nil"/>
              <w:right w:val="nil"/>
            </w:tcBorders>
            <w:shd w:val="clear" w:color="auto" w:fill="auto"/>
            <w:noWrap/>
            <w:vAlign w:val="center"/>
            <w:hideMark/>
          </w:tcPr>
          <w:p w14:paraId="251D9713" w14:textId="77777777"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single" w:sz="8" w:space="0" w:color="auto"/>
              <w:right w:val="nil"/>
            </w:tcBorders>
            <w:shd w:val="clear" w:color="auto" w:fill="auto"/>
            <w:noWrap/>
            <w:vAlign w:val="bottom"/>
            <w:hideMark/>
          </w:tcPr>
          <w:p w14:paraId="7B3982CC"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685BD693" w14:textId="3BCCA8F8"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(1,442,435)</w:t>
            </w:r>
          </w:p>
        </w:tc>
        <w:tc>
          <w:tcPr>
            <w:tcW w:w="316" w:type="dxa"/>
            <w:tcBorders>
              <w:top w:val="nil"/>
              <w:left w:val="nil"/>
              <w:bottom w:val="single" w:sz="8" w:space="0" w:color="auto"/>
              <w:right w:val="nil"/>
            </w:tcBorders>
            <w:shd w:val="clear" w:color="auto" w:fill="auto"/>
            <w:noWrap/>
            <w:vAlign w:val="bottom"/>
            <w:hideMark/>
          </w:tcPr>
          <w:p w14:paraId="2643B905"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800" w:type="dxa"/>
            <w:tcBorders>
              <w:top w:val="nil"/>
              <w:left w:val="nil"/>
              <w:bottom w:val="single" w:sz="8" w:space="0" w:color="auto"/>
              <w:right w:val="nil"/>
            </w:tcBorders>
            <w:shd w:val="clear" w:color="auto" w:fill="auto"/>
            <w:noWrap/>
            <w:vAlign w:val="bottom"/>
            <w:hideMark/>
          </w:tcPr>
          <w:p w14:paraId="0F1DB2B6"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(5,344,798)</w:t>
            </w:r>
          </w:p>
        </w:tc>
        <w:tc>
          <w:tcPr>
            <w:tcW w:w="316" w:type="dxa"/>
            <w:tcBorders>
              <w:top w:val="nil"/>
              <w:left w:val="nil"/>
              <w:bottom w:val="single" w:sz="8" w:space="0" w:color="auto"/>
              <w:right w:val="nil"/>
            </w:tcBorders>
            <w:shd w:val="clear" w:color="auto" w:fill="auto"/>
            <w:noWrap/>
            <w:vAlign w:val="bottom"/>
            <w:hideMark/>
          </w:tcPr>
          <w:p w14:paraId="015DA4F2"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w:t>
            </w:r>
          </w:p>
        </w:tc>
        <w:tc>
          <w:tcPr>
            <w:tcW w:w="1388" w:type="dxa"/>
            <w:tcBorders>
              <w:top w:val="nil"/>
              <w:left w:val="nil"/>
              <w:bottom w:val="single" w:sz="8" w:space="0" w:color="auto"/>
              <w:right w:val="nil"/>
            </w:tcBorders>
            <w:shd w:val="clear" w:color="auto" w:fill="auto"/>
            <w:noWrap/>
            <w:vAlign w:val="bottom"/>
            <w:hideMark/>
          </w:tcPr>
          <w:p w14:paraId="008D8D91" w14:textId="65C71DFF"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(6,787,233)</w:t>
            </w:r>
          </w:p>
        </w:tc>
      </w:tr>
      <w:tr w:rsidR="003C657E" w:rsidRPr="00AC6051" w14:paraId="1FA1B911" w14:textId="77777777" w:rsidTr="00D33273">
        <w:trPr>
          <w:trHeight w:val="270"/>
        </w:trPr>
        <w:tc>
          <w:tcPr>
            <w:tcW w:w="4101" w:type="dxa"/>
            <w:tcBorders>
              <w:top w:val="nil"/>
              <w:left w:val="nil"/>
              <w:bottom w:val="nil"/>
              <w:right w:val="nil"/>
            </w:tcBorders>
            <w:shd w:val="clear" w:color="auto" w:fill="auto"/>
            <w:noWrap/>
            <w:vAlign w:val="bottom"/>
            <w:hideMark/>
          </w:tcPr>
          <w:p w14:paraId="3675DCB8" w14:textId="1813FB1C"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Total liabilities and stockholders’ </w:t>
            </w:r>
            <w:r>
              <w:rPr>
                <w:rFonts w:ascii="Times New Roman" w:eastAsia="Times New Roman" w:hAnsi="Times New Roman" w:cs="Times New Roman"/>
                <w:color w:val="000000"/>
                <w:sz w:val="20"/>
                <w:szCs w:val="20"/>
                <w:lang w:eastAsia="zh-CN"/>
              </w:rPr>
              <w:t>deficiency</w:t>
            </w:r>
          </w:p>
        </w:tc>
        <w:tc>
          <w:tcPr>
            <w:tcW w:w="861" w:type="dxa"/>
            <w:tcBorders>
              <w:top w:val="nil"/>
              <w:left w:val="nil"/>
              <w:bottom w:val="nil"/>
              <w:right w:val="nil"/>
            </w:tcBorders>
            <w:shd w:val="clear" w:color="auto" w:fill="auto"/>
            <w:noWrap/>
            <w:vAlign w:val="center"/>
            <w:hideMark/>
          </w:tcPr>
          <w:p w14:paraId="62A14F9D" w14:textId="77777777" w:rsidR="003C657E" w:rsidRPr="00AC6051" w:rsidRDefault="003C657E" w:rsidP="003C657E">
            <w:pPr>
              <w:spacing w:after="0" w:line="240" w:lineRule="auto"/>
              <w:rPr>
                <w:rFonts w:ascii="Times New Roman" w:eastAsia="Times New Roman" w:hAnsi="Times New Roman" w:cs="Times New Roman"/>
                <w:color w:val="000000"/>
                <w:sz w:val="20"/>
                <w:szCs w:val="20"/>
                <w:lang w:eastAsia="zh-CN"/>
              </w:rPr>
            </w:pPr>
          </w:p>
        </w:tc>
        <w:tc>
          <w:tcPr>
            <w:tcW w:w="316" w:type="dxa"/>
            <w:tcBorders>
              <w:top w:val="nil"/>
              <w:left w:val="nil"/>
              <w:bottom w:val="double" w:sz="6" w:space="0" w:color="auto"/>
              <w:right w:val="nil"/>
            </w:tcBorders>
            <w:shd w:val="clear" w:color="auto" w:fill="auto"/>
            <w:noWrap/>
            <w:vAlign w:val="bottom"/>
            <w:hideMark/>
          </w:tcPr>
          <w:p w14:paraId="617832E5"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250" w:type="dxa"/>
            <w:tcBorders>
              <w:top w:val="nil"/>
              <w:left w:val="nil"/>
              <w:bottom w:val="double" w:sz="6" w:space="0" w:color="auto"/>
              <w:right w:val="nil"/>
            </w:tcBorders>
            <w:shd w:val="clear" w:color="auto" w:fill="auto"/>
            <w:noWrap/>
            <w:vAlign w:val="bottom"/>
            <w:hideMark/>
          </w:tcPr>
          <w:p w14:paraId="5B455481" w14:textId="391F069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6,487,261 </w:t>
            </w:r>
          </w:p>
        </w:tc>
        <w:tc>
          <w:tcPr>
            <w:tcW w:w="316" w:type="dxa"/>
            <w:tcBorders>
              <w:top w:val="nil"/>
              <w:left w:val="nil"/>
              <w:bottom w:val="double" w:sz="6" w:space="0" w:color="auto"/>
              <w:right w:val="nil"/>
            </w:tcBorders>
            <w:shd w:val="clear" w:color="auto" w:fill="auto"/>
            <w:noWrap/>
            <w:vAlign w:val="bottom"/>
            <w:hideMark/>
          </w:tcPr>
          <w:p w14:paraId="0DC7C67D"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800" w:type="dxa"/>
            <w:tcBorders>
              <w:top w:val="nil"/>
              <w:left w:val="nil"/>
              <w:bottom w:val="double" w:sz="6" w:space="0" w:color="auto"/>
              <w:right w:val="nil"/>
            </w:tcBorders>
            <w:shd w:val="clear" w:color="auto" w:fill="auto"/>
            <w:noWrap/>
            <w:vAlign w:val="bottom"/>
            <w:hideMark/>
          </w:tcPr>
          <w:p w14:paraId="441652EC"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double" w:sz="6" w:space="0" w:color="auto"/>
              <w:right w:val="nil"/>
            </w:tcBorders>
            <w:shd w:val="clear" w:color="auto" w:fill="auto"/>
            <w:noWrap/>
            <w:vAlign w:val="bottom"/>
            <w:hideMark/>
          </w:tcPr>
          <w:p w14:paraId="2777F357" w14:textId="77777777"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w:t>
            </w:r>
          </w:p>
        </w:tc>
        <w:tc>
          <w:tcPr>
            <w:tcW w:w="1388" w:type="dxa"/>
            <w:tcBorders>
              <w:top w:val="nil"/>
              <w:left w:val="nil"/>
              <w:bottom w:val="double" w:sz="6" w:space="0" w:color="auto"/>
              <w:right w:val="nil"/>
            </w:tcBorders>
            <w:shd w:val="clear" w:color="auto" w:fill="auto"/>
            <w:noWrap/>
            <w:vAlign w:val="bottom"/>
            <w:hideMark/>
          </w:tcPr>
          <w:p w14:paraId="3FBF0EA5" w14:textId="62306C6A" w:rsidR="003C657E" w:rsidRPr="00AC6051" w:rsidRDefault="003C657E" w:rsidP="003C657E">
            <w:pPr>
              <w:spacing w:after="0" w:line="240" w:lineRule="auto"/>
              <w:jc w:val="right"/>
              <w:rPr>
                <w:rFonts w:ascii="Times New Roman" w:eastAsia="Times New Roman" w:hAnsi="Times New Roman" w:cs="Times New Roman"/>
                <w:color w:val="000000"/>
                <w:sz w:val="20"/>
                <w:szCs w:val="20"/>
                <w:lang w:eastAsia="zh-CN"/>
              </w:rPr>
            </w:pPr>
            <w:r w:rsidRPr="00AC6051">
              <w:rPr>
                <w:rFonts w:ascii="Times New Roman" w:eastAsia="Times New Roman" w:hAnsi="Times New Roman" w:cs="Times New Roman"/>
                <w:color w:val="000000"/>
                <w:sz w:val="20"/>
                <w:szCs w:val="20"/>
                <w:lang w:eastAsia="zh-CN"/>
              </w:rPr>
              <w:t xml:space="preserve">    6,487,261 </w:t>
            </w:r>
          </w:p>
        </w:tc>
      </w:tr>
    </w:tbl>
    <w:p w14:paraId="0CFA1CEB" w14:textId="33485018" w:rsidR="00872B51" w:rsidRDefault="00872B51" w:rsidP="00A74074">
      <w:pPr>
        <w:spacing w:after="0" w:line="240" w:lineRule="auto"/>
        <w:ind w:left="720"/>
        <w:jc w:val="both"/>
        <w:rPr>
          <w:rFonts w:ascii="Times New Roman" w:eastAsia="Times New Roman" w:hAnsi="Times New Roman" w:cs="Times New Roman"/>
          <w:i/>
          <w:iCs/>
          <w:sz w:val="20"/>
          <w:szCs w:val="20"/>
          <w:lang w:val="en-US"/>
        </w:rPr>
      </w:pPr>
    </w:p>
    <w:p w14:paraId="4089C7CD" w14:textId="77777777" w:rsidR="009377FF" w:rsidRDefault="009377FF">
      <w:r>
        <w:br w:type="page"/>
      </w:r>
    </w:p>
    <w:p w14:paraId="32648A0E" w14:textId="77777777" w:rsidR="00A40CEC" w:rsidRDefault="00A40CEC" w:rsidP="00D247F4">
      <w:pPr>
        <w:spacing w:after="0" w:line="240" w:lineRule="auto"/>
        <w:ind w:left="720"/>
        <w:jc w:val="both"/>
        <w:rPr>
          <w:rFonts w:ascii="Times New Roman" w:eastAsia="Times New Roman" w:hAnsi="Times New Roman" w:cs="Times New Roman"/>
          <w:i/>
          <w:iCs/>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1220D4" w:rsidRPr="00D2099E" w14:paraId="2F66661F" w14:textId="77777777" w:rsidTr="00AE52B2">
        <w:tc>
          <w:tcPr>
            <w:tcW w:w="360" w:type="dxa"/>
            <w:hideMark/>
          </w:tcPr>
          <w:p w14:paraId="15CFE8B9" w14:textId="77777777" w:rsidR="001220D4" w:rsidRPr="00D2099E" w:rsidRDefault="001220D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641FB4C2" w14:textId="77777777" w:rsidR="001220D4" w:rsidRPr="00D2099E" w:rsidRDefault="001220D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6020DD06" w14:textId="77777777" w:rsidR="001220D4" w:rsidRDefault="001220D4" w:rsidP="00D247F4">
      <w:pPr>
        <w:spacing w:after="0" w:line="240" w:lineRule="auto"/>
        <w:ind w:left="720"/>
        <w:jc w:val="both"/>
        <w:rPr>
          <w:rFonts w:ascii="Times New Roman" w:eastAsia="Times New Roman" w:hAnsi="Times New Roman" w:cs="Times New Roman"/>
          <w:i/>
          <w:iCs/>
          <w:sz w:val="20"/>
          <w:szCs w:val="20"/>
          <w:lang w:val="en-US"/>
        </w:rPr>
      </w:pPr>
    </w:p>
    <w:p w14:paraId="2F4F74BC" w14:textId="2CD77143" w:rsidR="00DE6017" w:rsidRDefault="00D247F4" w:rsidP="00D247F4">
      <w:pPr>
        <w:spacing w:after="0" w:line="240" w:lineRule="auto"/>
        <w:ind w:left="720"/>
        <w:jc w:val="both"/>
        <w:rPr>
          <w:rFonts w:ascii="Times New Roman" w:eastAsia="Times New Roman" w:hAnsi="Times New Roman" w:cs="Times New Roman"/>
          <w:i/>
          <w:iCs/>
          <w:sz w:val="20"/>
          <w:szCs w:val="20"/>
          <w:lang w:val="en-US"/>
        </w:rPr>
      </w:pPr>
      <w:r w:rsidRPr="00130A49">
        <w:rPr>
          <w:rFonts w:ascii="Times New Roman" w:eastAsia="Times New Roman" w:hAnsi="Times New Roman" w:cs="Times New Roman"/>
          <w:i/>
          <w:iCs/>
          <w:sz w:val="20"/>
          <w:szCs w:val="20"/>
          <w:lang w:val="en-US"/>
        </w:rPr>
        <w:t xml:space="preserve">Reconciliation of financial position as </w:t>
      </w:r>
      <w:proofErr w:type="gramStart"/>
      <w:r w:rsidRPr="00130A49">
        <w:rPr>
          <w:rFonts w:ascii="Times New Roman" w:eastAsia="Times New Roman" w:hAnsi="Times New Roman" w:cs="Times New Roman"/>
          <w:i/>
          <w:iCs/>
          <w:sz w:val="20"/>
          <w:szCs w:val="20"/>
          <w:lang w:val="en-US"/>
        </w:rPr>
        <w:t>at</w:t>
      </w:r>
      <w:proofErr w:type="gramEnd"/>
      <w:r w:rsidRPr="00130A49">
        <w:rPr>
          <w:rFonts w:ascii="Times New Roman" w:eastAsia="Times New Roman" w:hAnsi="Times New Roman" w:cs="Times New Roman"/>
          <w:i/>
          <w:iCs/>
          <w:sz w:val="20"/>
          <w:szCs w:val="20"/>
          <w:lang w:val="en-US"/>
        </w:rPr>
        <w:t xml:space="preserve"> </w:t>
      </w:r>
      <w:r>
        <w:rPr>
          <w:rFonts w:ascii="Times New Roman" w:eastAsia="Times New Roman" w:hAnsi="Times New Roman" w:cs="Times New Roman"/>
          <w:i/>
          <w:iCs/>
          <w:sz w:val="20"/>
          <w:szCs w:val="20"/>
          <w:lang w:val="en-US"/>
        </w:rPr>
        <w:t>December 31,</w:t>
      </w:r>
      <w:r w:rsidRPr="00130A49">
        <w:rPr>
          <w:rFonts w:ascii="Times New Roman" w:eastAsia="Times New Roman" w:hAnsi="Times New Roman" w:cs="Times New Roman"/>
          <w:i/>
          <w:iCs/>
          <w:sz w:val="20"/>
          <w:szCs w:val="20"/>
          <w:lang w:val="en-US"/>
        </w:rPr>
        <w:t xml:space="preserve"> 2021 </w:t>
      </w:r>
    </w:p>
    <w:tbl>
      <w:tblPr>
        <w:tblW w:w="10138" w:type="dxa"/>
        <w:tblLook w:val="04A0" w:firstRow="1" w:lastRow="0" w:firstColumn="1" w:lastColumn="0" w:noHBand="0" w:noVBand="1"/>
      </w:tblPr>
      <w:tblGrid>
        <w:gridCol w:w="4253"/>
        <w:gridCol w:w="1184"/>
        <w:gridCol w:w="319"/>
        <w:gridCol w:w="1250"/>
        <w:gridCol w:w="316"/>
        <w:gridCol w:w="1250"/>
        <w:gridCol w:w="316"/>
        <w:gridCol w:w="1250"/>
      </w:tblGrid>
      <w:tr w:rsidR="00EA792F" w:rsidRPr="00EA792F" w14:paraId="798410E5" w14:textId="77777777" w:rsidTr="0008506C">
        <w:trPr>
          <w:trHeight w:val="780"/>
        </w:trPr>
        <w:tc>
          <w:tcPr>
            <w:tcW w:w="4253" w:type="dxa"/>
            <w:tcBorders>
              <w:top w:val="single" w:sz="12" w:space="0" w:color="auto"/>
              <w:left w:val="nil"/>
              <w:bottom w:val="single" w:sz="12" w:space="0" w:color="auto"/>
              <w:right w:val="nil"/>
            </w:tcBorders>
            <w:shd w:val="clear" w:color="auto" w:fill="auto"/>
            <w:noWrap/>
            <w:vAlign w:val="bottom"/>
            <w:hideMark/>
          </w:tcPr>
          <w:p w14:paraId="1224728A" w14:textId="77777777" w:rsidR="00EA792F" w:rsidRPr="00EA792F" w:rsidRDefault="00EA792F" w:rsidP="00EA792F">
            <w:pPr>
              <w:spacing w:after="0" w:line="240" w:lineRule="auto"/>
              <w:rPr>
                <w:rFonts w:ascii="Times New Roman" w:eastAsia="Times New Roman" w:hAnsi="Times New Roman" w:cs="Times New Roman"/>
                <w:sz w:val="24"/>
                <w:szCs w:val="24"/>
                <w:lang w:eastAsia="zh-CN"/>
              </w:rPr>
            </w:pPr>
          </w:p>
        </w:tc>
        <w:tc>
          <w:tcPr>
            <w:tcW w:w="1184" w:type="dxa"/>
            <w:tcBorders>
              <w:top w:val="single" w:sz="12" w:space="0" w:color="auto"/>
              <w:left w:val="nil"/>
              <w:bottom w:val="single" w:sz="12" w:space="0" w:color="auto"/>
              <w:right w:val="nil"/>
            </w:tcBorders>
            <w:shd w:val="clear" w:color="auto" w:fill="auto"/>
            <w:noWrap/>
            <w:vAlign w:val="bottom"/>
            <w:hideMark/>
          </w:tcPr>
          <w:p w14:paraId="1B4AD9FF" w14:textId="77777777" w:rsidR="00EA792F" w:rsidRPr="00EA792F" w:rsidRDefault="00EA792F" w:rsidP="00EA792F">
            <w:pPr>
              <w:spacing w:after="0" w:line="240" w:lineRule="auto"/>
              <w:jc w:val="right"/>
              <w:rPr>
                <w:rFonts w:ascii="Times New Roman" w:eastAsia="Times New Roman" w:hAnsi="Times New Roman" w:cs="Times New Roman"/>
                <w:b/>
                <w:bCs/>
                <w:color w:val="000000"/>
                <w:sz w:val="20"/>
                <w:szCs w:val="20"/>
                <w:lang w:eastAsia="zh-CN"/>
              </w:rPr>
            </w:pPr>
            <w:r w:rsidRPr="00EA792F">
              <w:rPr>
                <w:rFonts w:ascii="Times New Roman" w:eastAsia="Times New Roman" w:hAnsi="Times New Roman" w:cs="Times New Roman"/>
                <w:b/>
                <w:bCs/>
                <w:color w:val="000000"/>
                <w:sz w:val="20"/>
                <w:szCs w:val="20"/>
                <w:lang w:eastAsia="zh-CN"/>
              </w:rPr>
              <w:t xml:space="preserve">Notes </w:t>
            </w:r>
          </w:p>
        </w:tc>
        <w:tc>
          <w:tcPr>
            <w:tcW w:w="319" w:type="dxa"/>
            <w:tcBorders>
              <w:top w:val="single" w:sz="12" w:space="0" w:color="auto"/>
              <w:left w:val="nil"/>
              <w:bottom w:val="single" w:sz="12" w:space="0" w:color="auto"/>
              <w:right w:val="nil"/>
            </w:tcBorders>
            <w:shd w:val="clear" w:color="auto" w:fill="auto"/>
            <w:noWrap/>
            <w:vAlign w:val="bottom"/>
            <w:hideMark/>
          </w:tcPr>
          <w:p w14:paraId="2199D884" w14:textId="77777777" w:rsidR="00EA792F" w:rsidRPr="00EA792F" w:rsidRDefault="00EA792F" w:rsidP="00EA792F">
            <w:pPr>
              <w:spacing w:after="0" w:line="240" w:lineRule="auto"/>
              <w:jc w:val="right"/>
              <w:rPr>
                <w:rFonts w:ascii="Times New Roman" w:eastAsia="Times New Roman" w:hAnsi="Times New Roman" w:cs="Times New Roman"/>
                <w:b/>
                <w:bCs/>
                <w:color w:val="000000"/>
                <w:sz w:val="20"/>
                <w:szCs w:val="20"/>
                <w:lang w:eastAsia="zh-CN"/>
              </w:rPr>
            </w:pPr>
            <w:r w:rsidRPr="00EA792F">
              <w:rPr>
                <w:rFonts w:ascii="Times New Roman" w:eastAsia="Times New Roman" w:hAnsi="Times New Roman" w:cs="Times New Roman"/>
                <w:b/>
                <w:bCs/>
                <w:color w:val="000000"/>
                <w:sz w:val="20"/>
                <w:szCs w:val="20"/>
                <w:lang w:eastAsia="zh-CN"/>
              </w:rPr>
              <w:t> </w:t>
            </w:r>
          </w:p>
        </w:tc>
        <w:tc>
          <w:tcPr>
            <w:tcW w:w="1250" w:type="dxa"/>
            <w:tcBorders>
              <w:top w:val="single" w:sz="12" w:space="0" w:color="auto"/>
              <w:left w:val="nil"/>
              <w:bottom w:val="single" w:sz="12" w:space="0" w:color="auto"/>
              <w:right w:val="nil"/>
            </w:tcBorders>
            <w:shd w:val="clear" w:color="auto" w:fill="auto"/>
            <w:noWrap/>
            <w:vAlign w:val="bottom"/>
            <w:hideMark/>
          </w:tcPr>
          <w:p w14:paraId="2614015E" w14:textId="77777777" w:rsidR="00EA792F" w:rsidRPr="00EA792F" w:rsidRDefault="00EA792F" w:rsidP="00EA792F">
            <w:pPr>
              <w:spacing w:after="0" w:line="240" w:lineRule="auto"/>
              <w:jc w:val="right"/>
              <w:rPr>
                <w:rFonts w:ascii="Times New Roman" w:eastAsia="Times New Roman" w:hAnsi="Times New Roman" w:cs="Times New Roman"/>
                <w:b/>
                <w:bCs/>
                <w:color w:val="000000"/>
                <w:sz w:val="20"/>
                <w:szCs w:val="20"/>
                <w:lang w:eastAsia="zh-CN"/>
              </w:rPr>
            </w:pPr>
            <w:r w:rsidRPr="00EA792F">
              <w:rPr>
                <w:rFonts w:ascii="Times New Roman" w:eastAsia="Times New Roman" w:hAnsi="Times New Roman" w:cs="Times New Roman"/>
                <w:b/>
                <w:bCs/>
                <w:color w:val="000000"/>
                <w:sz w:val="20"/>
                <w:szCs w:val="20"/>
                <w:lang w:eastAsia="zh-CN"/>
              </w:rPr>
              <w:t>US GAAP</w:t>
            </w:r>
          </w:p>
        </w:tc>
        <w:tc>
          <w:tcPr>
            <w:tcW w:w="316" w:type="dxa"/>
            <w:tcBorders>
              <w:top w:val="single" w:sz="12" w:space="0" w:color="auto"/>
              <w:left w:val="nil"/>
              <w:bottom w:val="single" w:sz="12" w:space="0" w:color="auto"/>
              <w:right w:val="nil"/>
            </w:tcBorders>
            <w:shd w:val="clear" w:color="auto" w:fill="auto"/>
            <w:noWrap/>
            <w:vAlign w:val="bottom"/>
            <w:hideMark/>
          </w:tcPr>
          <w:p w14:paraId="68853C93" w14:textId="77777777" w:rsidR="00EA792F" w:rsidRPr="00EA792F" w:rsidRDefault="00EA792F" w:rsidP="00EA792F">
            <w:pPr>
              <w:spacing w:after="0" w:line="240" w:lineRule="auto"/>
              <w:jc w:val="right"/>
              <w:rPr>
                <w:rFonts w:ascii="Times New Roman" w:eastAsia="Times New Roman" w:hAnsi="Times New Roman" w:cs="Times New Roman"/>
                <w:b/>
                <w:bCs/>
                <w:color w:val="000000"/>
                <w:sz w:val="20"/>
                <w:szCs w:val="20"/>
                <w:lang w:eastAsia="zh-CN"/>
              </w:rPr>
            </w:pPr>
            <w:r w:rsidRPr="00EA792F">
              <w:rPr>
                <w:rFonts w:ascii="Times New Roman" w:eastAsia="Times New Roman" w:hAnsi="Times New Roman" w:cs="Times New Roman"/>
                <w:b/>
                <w:bCs/>
                <w:color w:val="000000"/>
                <w:sz w:val="20"/>
                <w:szCs w:val="20"/>
                <w:lang w:eastAsia="zh-CN"/>
              </w:rPr>
              <w:t> </w:t>
            </w:r>
          </w:p>
        </w:tc>
        <w:tc>
          <w:tcPr>
            <w:tcW w:w="1250" w:type="dxa"/>
            <w:tcBorders>
              <w:top w:val="single" w:sz="12" w:space="0" w:color="auto"/>
              <w:left w:val="nil"/>
              <w:bottom w:val="single" w:sz="12" w:space="0" w:color="auto"/>
              <w:right w:val="nil"/>
            </w:tcBorders>
            <w:shd w:val="clear" w:color="auto" w:fill="auto"/>
            <w:vAlign w:val="bottom"/>
            <w:hideMark/>
          </w:tcPr>
          <w:p w14:paraId="5A71D3E7" w14:textId="77777777" w:rsidR="00EA792F" w:rsidRPr="00EA792F" w:rsidRDefault="00EA792F" w:rsidP="00EA792F">
            <w:pPr>
              <w:spacing w:after="0" w:line="240" w:lineRule="auto"/>
              <w:jc w:val="right"/>
              <w:rPr>
                <w:rFonts w:ascii="Times New Roman" w:eastAsia="Times New Roman" w:hAnsi="Times New Roman" w:cs="Times New Roman"/>
                <w:b/>
                <w:bCs/>
                <w:color w:val="000000"/>
                <w:sz w:val="20"/>
                <w:szCs w:val="20"/>
                <w:lang w:eastAsia="zh-CN"/>
              </w:rPr>
            </w:pPr>
            <w:r w:rsidRPr="00EA792F">
              <w:rPr>
                <w:rFonts w:ascii="Times New Roman" w:eastAsia="Times New Roman" w:hAnsi="Times New Roman" w:cs="Times New Roman"/>
                <w:b/>
                <w:bCs/>
                <w:color w:val="000000"/>
                <w:sz w:val="20"/>
                <w:szCs w:val="20"/>
                <w:lang w:eastAsia="zh-CN"/>
              </w:rPr>
              <w:t>Effect of Transition to IFRS</w:t>
            </w:r>
          </w:p>
        </w:tc>
        <w:tc>
          <w:tcPr>
            <w:tcW w:w="316" w:type="dxa"/>
            <w:tcBorders>
              <w:top w:val="single" w:sz="12" w:space="0" w:color="auto"/>
              <w:left w:val="nil"/>
              <w:bottom w:val="single" w:sz="12" w:space="0" w:color="auto"/>
              <w:right w:val="nil"/>
            </w:tcBorders>
            <w:shd w:val="clear" w:color="auto" w:fill="auto"/>
            <w:noWrap/>
            <w:vAlign w:val="bottom"/>
            <w:hideMark/>
          </w:tcPr>
          <w:p w14:paraId="5BDB3276" w14:textId="77777777" w:rsidR="00EA792F" w:rsidRPr="00EA792F" w:rsidRDefault="00EA792F" w:rsidP="00EA792F">
            <w:pPr>
              <w:spacing w:after="0" w:line="240" w:lineRule="auto"/>
              <w:jc w:val="right"/>
              <w:rPr>
                <w:rFonts w:ascii="Times New Roman" w:eastAsia="Times New Roman" w:hAnsi="Times New Roman" w:cs="Times New Roman"/>
                <w:b/>
                <w:bCs/>
                <w:color w:val="000000"/>
                <w:sz w:val="20"/>
                <w:szCs w:val="20"/>
                <w:lang w:eastAsia="zh-CN"/>
              </w:rPr>
            </w:pPr>
            <w:r w:rsidRPr="00EA792F">
              <w:rPr>
                <w:rFonts w:ascii="Times New Roman" w:eastAsia="Times New Roman" w:hAnsi="Times New Roman" w:cs="Times New Roman"/>
                <w:b/>
                <w:bCs/>
                <w:color w:val="000000"/>
                <w:sz w:val="20"/>
                <w:szCs w:val="20"/>
                <w:lang w:eastAsia="zh-CN"/>
              </w:rPr>
              <w:t> </w:t>
            </w:r>
          </w:p>
        </w:tc>
        <w:tc>
          <w:tcPr>
            <w:tcW w:w="1250" w:type="dxa"/>
            <w:tcBorders>
              <w:top w:val="single" w:sz="12" w:space="0" w:color="auto"/>
              <w:left w:val="nil"/>
              <w:bottom w:val="single" w:sz="12" w:space="0" w:color="auto"/>
              <w:right w:val="nil"/>
            </w:tcBorders>
            <w:shd w:val="clear" w:color="auto" w:fill="auto"/>
            <w:noWrap/>
            <w:vAlign w:val="bottom"/>
            <w:hideMark/>
          </w:tcPr>
          <w:p w14:paraId="032BC824" w14:textId="77777777" w:rsidR="00EA792F" w:rsidRPr="00EA792F" w:rsidRDefault="00EA792F" w:rsidP="00EA792F">
            <w:pPr>
              <w:spacing w:after="0" w:line="240" w:lineRule="auto"/>
              <w:jc w:val="right"/>
              <w:rPr>
                <w:rFonts w:ascii="Times New Roman" w:eastAsia="Times New Roman" w:hAnsi="Times New Roman" w:cs="Times New Roman"/>
                <w:b/>
                <w:bCs/>
                <w:color w:val="000000"/>
                <w:sz w:val="20"/>
                <w:szCs w:val="20"/>
                <w:lang w:eastAsia="zh-CN"/>
              </w:rPr>
            </w:pPr>
            <w:r w:rsidRPr="00EA792F">
              <w:rPr>
                <w:rFonts w:ascii="Times New Roman" w:eastAsia="Times New Roman" w:hAnsi="Times New Roman" w:cs="Times New Roman"/>
                <w:b/>
                <w:bCs/>
                <w:color w:val="000000"/>
                <w:sz w:val="20"/>
                <w:szCs w:val="20"/>
                <w:lang w:eastAsia="zh-CN"/>
              </w:rPr>
              <w:t>IFRS</w:t>
            </w:r>
          </w:p>
        </w:tc>
      </w:tr>
      <w:tr w:rsidR="00713D57" w:rsidRPr="00EA792F" w14:paraId="032B6D29" w14:textId="77777777" w:rsidTr="0008506C">
        <w:trPr>
          <w:trHeight w:val="255"/>
        </w:trPr>
        <w:tc>
          <w:tcPr>
            <w:tcW w:w="4253" w:type="dxa"/>
            <w:tcBorders>
              <w:top w:val="single" w:sz="12" w:space="0" w:color="auto"/>
              <w:left w:val="nil"/>
              <w:bottom w:val="nil"/>
              <w:right w:val="nil"/>
            </w:tcBorders>
            <w:shd w:val="clear" w:color="auto" w:fill="auto"/>
            <w:noWrap/>
            <w:vAlign w:val="bottom"/>
            <w:hideMark/>
          </w:tcPr>
          <w:p w14:paraId="26C8CAB9" w14:textId="77777777" w:rsidR="00EA792F" w:rsidRPr="00EA792F" w:rsidRDefault="00EA792F" w:rsidP="00EA792F">
            <w:pPr>
              <w:spacing w:after="0" w:line="240" w:lineRule="auto"/>
              <w:rPr>
                <w:rFonts w:ascii="Times New Roman" w:eastAsia="Times New Roman" w:hAnsi="Times New Roman" w:cs="Times New Roman"/>
                <w:b/>
                <w:bCs/>
                <w:color w:val="000000"/>
                <w:sz w:val="20"/>
                <w:szCs w:val="20"/>
                <w:lang w:eastAsia="zh-CN"/>
              </w:rPr>
            </w:pPr>
            <w:r w:rsidRPr="00EA792F">
              <w:rPr>
                <w:rFonts w:ascii="Times New Roman" w:eastAsia="Times New Roman" w:hAnsi="Times New Roman" w:cs="Times New Roman"/>
                <w:b/>
                <w:bCs/>
                <w:color w:val="000000"/>
                <w:sz w:val="20"/>
                <w:szCs w:val="20"/>
                <w:lang w:eastAsia="zh-CN"/>
              </w:rPr>
              <w:t>ASSETS</w:t>
            </w:r>
          </w:p>
        </w:tc>
        <w:tc>
          <w:tcPr>
            <w:tcW w:w="1184" w:type="dxa"/>
            <w:tcBorders>
              <w:top w:val="single" w:sz="12" w:space="0" w:color="auto"/>
              <w:left w:val="nil"/>
              <w:bottom w:val="nil"/>
              <w:right w:val="nil"/>
            </w:tcBorders>
            <w:shd w:val="clear" w:color="auto" w:fill="auto"/>
            <w:noWrap/>
            <w:vAlign w:val="bottom"/>
            <w:hideMark/>
          </w:tcPr>
          <w:p w14:paraId="0015D222" w14:textId="77777777" w:rsidR="00EA792F" w:rsidRPr="00EA792F" w:rsidRDefault="00EA792F" w:rsidP="00EA792F">
            <w:pPr>
              <w:spacing w:after="0" w:line="240" w:lineRule="auto"/>
              <w:rPr>
                <w:rFonts w:ascii="Times New Roman" w:eastAsia="Times New Roman" w:hAnsi="Times New Roman" w:cs="Times New Roman"/>
                <w:b/>
                <w:bCs/>
                <w:color w:val="000000"/>
                <w:sz w:val="20"/>
                <w:szCs w:val="20"/>
                <w:lang w:eastAsia="zh-CN"/>
              </w:rPr>
            </w:pPr>
          </w:p>
        </w:tc>
        <w:tc>
          <w:tcPr>
            <w:tcW w:w="319" w:type="dxa"/>
            <w:tcBorders>
              <w:top w:val="single" w:sz="12" w:space="0" w:color="auto"/>
              <w:left w:val="nil"/>
              <w:bottom w:val="nil"/>
              <w:right w:val="nil"/>
            </w:tcBorders>
            <w:shd w:val="clear" w:color="auto" w:fill="auto"/>
            <w:noWrap/>
            <w:vAlign w:val="bottom"/>
            <w:hideMark/>
          </w:tcPr>
          <w:p w14:paraId="602B1B4C"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single" w:sz="12" w:space="0" w:color="auto"/>
              <w:left w:val="nil"/>
              <w:bottom w:val="nil"/>
              <w:right w:val="nil"/>
            </w:tcBorders>
            <w:shd w:val="clear" w:color="auto" w:fill="auto"/>
            <w:noWrap/>
            <w:vAlign w:val="bottom"/>
            <w:hideMark/>
          </w:tcPr>
          <w:p w14:paraId="70C30E3F"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single" w:sz="12" w:space="0" w:color="auto"/>
              <w:left w:val="nil"/>
              <w:bottom w:val="nil"/>
              <w:right w:val="nil"/>
            </w:tcBorders>
            <w:shd w:val="clear" w:color="auto" w:fill="auto"/>
            <w:noWrap/>
            <w:vAlign w:val="bottom"/>
            <w:hideMark/>
          </w:tcPr>
          <w:p w14:paraId="060673FC"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single" w:sz="12" w:space="0" w:color="auto"/>
              <w:left w:val="nil"/>
              <w:bottom w:val="nil"/>
              <w:right w:val="nil"/>
            </w:tcBorders>
            <w:shd w:val="clear" w:color="auto" w:fill="auto"/>
            <w:noWrap/>
            <w:vAlign w:val="bottom"/>
            <w:hideMark/>
          </w:tcPr>
          <w:p w14:paraId="409C5001"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single" w:sz="12" w:space="0" w:color="auto"/>
              <w:left w:val="nil"/>
              <w:bottom w:val="nil"/>
              <w:right w:val="nil"/>
            </w:tcBorders>
            <w:shd w:val="clear" w:color="auto" w:fill="auto"/>
            <w:noWrap/>
            <w:vAlign w:val="bottom"/>
            <w:hideMark/>
          </w:tcPr>
          <w:p w14:paraId="47B61ED0"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single" w:sz="12" w:space="0" w:color="auto"/>
              <w:left w:val="nil"/>
              <w:bottom w:val="nil"/>
              <w:right w:val="nil"/>
            </w:tcBorders>
            <w:shd w:val="clear" w:color="auto" w:fill="auto"/>
            <w:noWrap/>
            <w:vAlign w:val="bottom"/>
            <w:hideMark/>
          </w:tcPr>
          <w:p w14:paraId="30C8F358"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r>
      <w:tr w:rsidR="00713D57" w:rsidRPr="00EA792F" w14:paraId="004FBAA5" w14:textId="77777777" w:rsidTr="0008506C">
        <w:trPr>
          <w:trHeight w:val="255"/>
        </w:trPr>
        <w:tc>
          <w:tcPr>
            <w:tcW w:w="4253" w:type="dxa"/>
            <w:tcBorders>
              <w:top w:val="nil"/>
              <w:left w:val="nil"/>
              <w:bottom w:val="nil"/>
              <w:right w:val="nil"/>
            </w:tcBorders>
            <w:shd w:val="clear" w:color="auto" w:fill="auto"/>
            <w:noWrap/>
            <w:vAlign w:val="bottom"/>
            <w:hideMark/>
          </w:tcPr>
          <w:p w14:paraId="47614428"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Current assets:</w:t>
            </w:r>
          </w:p>
        </w:tc>
        <w:tc>
          <w:tcPr>
            <w:tcW w:w="1184" w:type="dxa"/>
            <w:tcBorders>
              <w:top w:val="nil"/>
              <w:left w:val="nil"/>
              <w:bottom w:val="nil"/>
              <w:right w:val="nil"/>
            </w:tcBorders>
            <w:shd w:val="clear" w:color="auto" w:fill="auto"/>
            <w:noWrap/>
            <w:vAlign w:val="bottom"/>
            <w:hideMark/>
          </w:tcPr>
          <w:p w14:paraId="7980821A"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520C1BE7"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35973B85"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05D3258D"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10544999"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0C982EFA"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454EEFBB"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r>
      <w:tr w:rsidR="00713D57" w:rsidRPr="00EA792F" w14:paraId="383B8B9E" w14:textId="77777777" w:rsidTr="0008506C">
        <w:trPr>
          <w:trHeight w:val="255"/>
        </w:trPr>
        <w:tc>
          <w:tcPr>
            <w:tcW w:w="4253" w:type="dxa"/>
            <w:tcBorders>
              <w:top w:val="nil"/>
              <w:left w:val="nil"/>
              <w:bottom w:val="nil"/>
              <w:right w:val="nil"/>
            </w:tcBorders>
            <w:shd w:val="clear" w:color="auto" w:fill="auto"/>
            <w:noWrap/>
            <w:vAlign w:val="bottom"/>
            <w:hideMark/>
          </w:tcPr>
          <w:p w14:paraId="0DB7FA07"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Cash and cash equivalents</w:t>
            </w:r>
          </w:p>
        </w:tc>
        <w:tc>
          <w:tcPr>
            <w:tcW w:w="1184" w:type="dxa"/>
            <w:tcBorders>
              <w:top w:val="nil"/>
              <w:left w:val="nil"/>
              <w:bottom w:val="nil"/>
              <w:right w:val="nil"/>
            </w:tcBorders>
            <w:shd w:val="clear" w:color="auto" w:fill="auto"/>
            <w:noWrap/>
            <w:vAlign w:val="bottom"/>
            <w:hideMark/>
          </w:tcPr>
          <w:p w14:paraId="65FF86DB"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16E55D21"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nil"/>
              <w:right w:val="nil"/>
            </w:tcBorders>
            <w:shd w:val="clear" w:color="auto" w:fill="auto"/>
            <w:noWrap/>
            <w:vAlign w:val="bottom"/>
            <w:hideMark/>
          </w:tcPr>
          <w:p w14:paraId="7832714F" w14:textId="3F50600D"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1,026,990 </w:t>
            </w:r>
          </w:p>
        </w:tc>
        <w:tc>
          <w:tcPr>
            <w:tcW w:w="316" w:type="dxa"/>
            <w:tcBorders>
              <w:top w:val="nil"/>
              <w:left w:val="nil"/>
              <w:bottom w:val="nil"/>
              <w:right w:val="nil"/>
            </w:tcBorders>
            <w:shd w:val="clear" w:color="auto" w:fill="auto"/>
            <w:noWrap/>
            <w:vAlign w:val="bottom"/>
            <w:hideMark/>
          </w:tcPr>
          <w:p w14:paraId="4231D7FD"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nil"/>
              <w:right w:val="nil"/>
            </w:tcBorders>
            <w:shd w:val="clear" w:color="auto" w:fill="auto"/>
            <w:noWrap/>
            <w:vAlign w:val="bottom"/>
            <w:hideMark/>
          </w:tcPr>
          <w:p w14:paraId="0D37DB28"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32DF43A1"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nil"/>
              <w:right w:val="nil"/>
            </w:tcBorders>
            <w:shd w:val="clear" w:color="auto" w:fill="auto"/>
            <w:noWrap/>
            <w:vAlign w:val="bottom"/>
            <w:hideMark/>
          </w:tcPr>
          <w:p w14:paraId="3A3256DF" w14:textId="6A3752F6"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1,026,990 </w:t>
            </w:r>
          </w:p>
        </w:tc>
      </w:tr>
      <w:tr w:rsidR="00713D57" w:rsidRPr="00EA792F" w14:paraId="2387B7EE" w14:textId="77777777" w:rsidTr="0008506C">
        <w:trPr>
          <w:trHeight w:val="255"/>
        </w:trPr>
        <w:tc>
          <w:tcPr>
            <w:tcW w:w="4253" w:type="dxa"/>
            <w:tcBorders>
              <w:top w:val="nil"/>
              <w:left w:val="nil"/>
              <w:bottom w:val="nil"/>
              <w:right w:val="nil"/>
            </w:tcBorders>
            <w:shd w:val="clear" w:color="auto" w:fill="auto"/>
            <w:noWrap/>
            <w:vAlign w:val="bottom"/>
            <w:hideMark/>
          </w:tcPr>
          <w:p w14:paraId="5F6807BC"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Accounts receivable</w:t>
            </w:r>
          </w:p>
        </w:tc>
        <w:tc>
          <w:tcPr>
            <w:tcW w:w="1184" w:type="dxa"/>
            <w:tcBorders>
              <w:top w:val="nil"/>
              <w:left w:val="nil"/>
              <w:bottom w:val="nil"/>
              <w:right w:val="nil"/>
            </w:tcBorders>
            <w:shd w:val="clear" w:color="auto" w:fill="auto"/>
            <w:noWrap/>
            <w:vAlign w:val="bottom"/>
            <w:hideMark/>
          </w:tcPr>
          <w:p w14:paraId="34FDA13F"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011FC196"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3A5246D9" w14:textId="11B8B16E"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709,805 </w:t>
            </w:r>
          </w:p>
        </w:tc>
        <w:tc>
          <w:tcPr>
            <w:tcW w:w="316" w:type="dxa"/>
            <w:tcBorders>
              <w:top w:val="nil"/>
              <w:left w:val="nil"/>
              <w:bottom w:val="nil"/>
              <w:right w:val="nil"/>
            </w:tcBorders>
            <w:shd w:val="clear" w:color="auto" w:fill="auto"/>
            <w:noWrap/>
            <w:vAlign w:val="bottom"/>
            <w:hideMark/>
          </w:tcPr>
          <w:p w14:paraId="0174C4E2"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77B1CD11"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7B150381"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70345AAE" w14:textId="6354FE73"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709,805 </w:t>
            </w:r>
          </w:p>
        </w:tc>
      </w:tr>
      <w:tr w:rsidR="00713D57" w:rsidRPr="00EA792F" w14:paraId="2ECC19DD" w14:textId="77777777" w:rsidTr="0008506C">
        <w:trPr>
          <w:trHeight w:val="270"/>
        </w:trPr>
        <w:tc>
          <w:tcPr>
            <w:tcW w:w="4253" w:type="dxa"/>
            <w:tcBorders>
              <w:top w:val="nil"/>
              <w:left w:val="nil"/>
              <w:bottom w:val="nil"/>
              <w:right w:val="nil"/>
            </w:tcBorders>
            <w:shd w:val="clear" w:color="auto" w:fill="auto"/>
            <w:noWrap/>
            <w:vAlign w:val="bottom"/>
            <w:hideMark/>
          </w:tcPr>
          <w:p w14:paraId="28A7DC89"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Prepaid expenses and deposits</w:t>
            </w:r>
          </w:p>
        </w:tc>
        <w:tc>
          <w:tcPr>
            <w:tcW w:w="1184" w:type="dxa"/>
            <w:tcBorders>
              <w:top w:val="nil"/>
              <w:left w:val="nil"/>
              <w:bottom w:val="nil"/>
              <w:right w:val="nil"/>
            </w:tcBorders>
            <w:shd w:val="clear" w:color="auto" w:fill="auto"/>
            <w:noWrap/>
            <w:vAlign w:val="bottom"/>
            <w:hideMark/>
          </w:tcPr>
          <w:p w14:paraId="4AC43AA7"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single" w:sz="8" w:space="0" w:color="auto"/>
              <w:right w:val="nil"/>
            </w:tcBorders>
            <w:shd w:val="clear" w:color="auto" w:fill="auto"/>
            <w:noWrap/>
            <w:vAlign w:val="bottom"/>
            <w:hideMark/>
          </w:tcPr>
          <w:p w14:paraId="650AEC1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6F0F0205" w14:textId="1F567893"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95,503 </w:t>
            </w:r>
          </w:p>
        </w:tc>
        <w:tc>
          <w:tcPr>
            <w:tcW w:w="316" w:type="dxa"/>
            <w:tcBorders>
              <w:top w:val="nil"/>
              <w:left w:val="nil"/>
              <w:bottom w:val="single" w:sz="8" w:space="0" w:color="auto"/>
              <w:right w:val="nil"/>
            </w:tcBorders>
            <w:shd w:val="clear" w:color="auto" w:fill="auto"/>
            <w:noWrap/>
            <w:vAlign w:val="bottom"/>
            <w:hideMark/>
          </w:tcPr>
          <w:p w14:paraId="2DCD5C59"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3A5C96C7"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single" w:sz="8" w:space="0" w:color="auto"/>
              <w:right w:val="nil"/>
            </w:tcBorders>
            <w:shd w:val="clear" w:color="auto" w:fill="auto"/>
            <w:noWrap/>
            <w:vAlign w:val="bottom"/>
            <w:hideMark/>
          </w:tcPr>
          <w:p w14:paraId="0D111EF9"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64DDDF4B" w14:textId="393DB0D6"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95,503 </w:t>
            </w:r>
          </w:p>
        </w:tc>
      </w:tr>
      <w:tr w:rsidR="00713D57" w:rsidRPr="00EA792F" w14:paraId="6122BBFD" w14:textId="77777777" w:rsidTr="0008506C">
        <w:trPr>
          <w:trHeight w:val="255"/>
        </w:trPr>
        <w:tc>
          <w:tcPr>
            <w:tcW w:w="4253" w:type="dxa"/>
            <w:tcBorders>
              <w:top w:val="nil"/>
              <w:left w:val="nil"/>
              <w:bottom w:val="nil"/>
              <w:right w:val="nil"/>
            </w:tcBorders>
            <w:shd w:val="clear" w:color="auto" w:fill="auto"/>
            <w:noWrap/>
            <w:vAlign w:val="bottom"/>
            <w:hideMark/>
          </w:tcPr>
          <w:p w14:paraId="6708F00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Total current assets</w:t>
            </w:r>
          </w:p>
        </w:tc>
        <w:tc>
          <w:tcPr>
            <w:tcW w:w="1184" w:type="dxa"/>
            <w:tcBorders>
              <w:top w:val="nil"/>
              <w:left w:val="nil"/>
              <w:bottom w:val="nil"/>
              <w:right w:val="nil"/>
            </w:tcBorders>
            <w:shd w:val="clear" w:color="auto" w:fill="auto"/>
            <w:noWrap/>
            <w:vAlign w:val="bottom"/>
            <w:hideMark/>
          </w:tcPr>
          <w:p w14:paraId="5CEE0879"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32C7FD6C"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3D51EE8D" w14:textId="248EAE10"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1,832,298 </w:t>
            </w:r>
          </w:p>
        </w:tc>
        <w:tc>
          <w:tcPr>
            <w:tcW w:w="316" w:type="dxa"/>
            <w:tcBorders>
              <w:top w:val="nil"/>
              <w:left w:val="nil"/>
              <w:bottom w:val="nil"/>
              <w:right w:val="nil"/>
            </w:tcBorders>
            <w:shd w:val="clear" w:color="auto" w:fill="auto"/>
            <w:noWrap/>
            <w:vAlign w:val="bottom"/>
            <w:hideMark/>
          </w:tcPr>
          <w:p w14:paraId="0B397AA8"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372333E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5C8C1471"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4F90ADF" w14:textId="7FBE22E2"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1,832,298 </w:t>
            </w:r>
          </w:p>
        </w:tc>
      </w:tr>
      <w:tr w:rsidR="00713D57" w:rsidRPr="00EA792F" w14:paraId="5042C56E" w14:textId="77777777" w:rsidTr="0008506C">
        <w:trPr>
          <w:trHeight w:val="255"/>
        </w:trPr>
        <w:tc>
          <w:tcPr>
            <w:tcW w:w="4253" w:type="dxa"/>
            <w:tcBorders>
              <w:top w:val="nil"/>
              <w:left w:val="nil"/>
              <w:bottom w:val="nil"/>
              <w:right w:val="nil"/>
            </w:tcBorders>
            <w:shd w:val="clear" w:color="auto" w:fill="auto"/>
            <w:noWrap/>
            <w:vAlign w:val="bottom"/>
            <w:hideMark/>
          </w:tcPr>
          <w:p w14:paraId="25CA08B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Oil and gas properties, net</w:t>
            </w:r>
          </w:p>
        </w:tc>
        <w:tc>
          <w:tcPr>
            <w:tcW w:w="1184" w:type="dxa"/>
            <w:tcBorders>
              <w:top w:val="nil"/>
              <w:left w:val="nil"/>
              <w:bottom w:val="nil"/>
              <w:right w:val="nil"/>
            </w:tcBorders>
            <w:shd w:val="clear" w:color="auto" w:fill="auto"/>
            <w:noWrap/>
            <w:vAlign w:val="bottom"/>
            <w:hideMark/>
          </w:tcPr>
          <w:p w14:paraId="52BE0D61"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(1), (2), (5) </w:t>
            </w:r>
          </w:p>
        </w:tc>
        <w:tc>
          <w:tcPr>
            <w:tcW w:w="319" w:type="dxa"/>
            <w:tcBorders>
              <w:top w:val="nil"/>
              <w:left w:val="nil"/>
              <w:bottom w:val="nil"/>
              <w:right w:val="nil"/>
            </w:tcBorders>
            <w:shd w:val="clear" w:color="auto" w:fill="auto"/>
            <w:noWrap/>
            <w:vAlign w:val="bottom"/>
            <w:hideMark/>
          </w:tcPr>
          <w:p w14:paraId="60143075"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193D9C4" w14:textId="0D70B32F"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5,172,943 </w:t>
            </w:r>
          </w:p>
        </w:tc>
        <w:tc>
          <w:tcPr>
            <w:tcW w:w="316" w:type="dxa"/>
            <w:tcBorders>
              <w:top w:val="nil"/>
              <w:left w:val="nil"/>
              <w:bottom w:val="nil"/>
              <w:right w:val="nil"/>
            </w:tcBorders>
            <w:shd w:val="clear" w:color="auto" w:fill="auto"/>
            <w:noWrap/>
            <w:vAlign w:val="bottom"/>
            <w:hideMark/>
          </w:tcPr>
          <w:p w14:paraId="2015DED7"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2129F26" w14:textId="74CDF631"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(3,752,330)</w:t>
            </w:r>
          </w:p>
        </w:tc>
        <w:tc>
          <w:tcPr>
            <w:tcW w:w="316" w:type="dxa"/>
            <w:tcBorders>
              <w:top w:val="nil"/>
              <w:left w:val="nil"/>
              <w:bottom w:val="nil"/>
              <w:right w:val="nil"/>
            </w:tcBorders>
            <w:shd w:val="clear" w:color="auto" w:fill="auto"/>
            <w:noWrap/>
            <w:vAlign w:val="bottom"/>
            <w:hideMark/>
          </w:tcPr>
          <w:p w14:paraId="1F7026E6"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2C90F639" w14:textId="7584E4B5"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1,420,613 </w:t>
            </w:r>
          </w:p>
        </w:tc>
      </w:tr>
      <w:tr w:rsidR="00713D57" w:rsidRPr="00EA792F" w14:paraId="00A0DA02" w14:textId="77777777" w:rsidTr="0008506C">
        <w:trPr>
          <w:trHeight w:val="255"/>
        </w:trPr>
        <w:tc>
          <w:tcPr>
            <w:tcW w:w="4253" w:type="dxa"/>
            <w:tcBorders>
              <w:top w:val="nil"/>
              <w:left w:val="nil"/>
              <w:bottom w:val="nil"/>
              <w:right w:val="nil"/>
            </w:tcBorders>
            <w:shd w:val="clear" w:color="auto" w:fill="auto"/>
            <w:noWrap/>
            <w:vAlign w:val="bottom"/>
            <w:hideMark/>
          </w:tcPr>
          <w:p w14:paraId="2C9CF18E"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Exploration and evaluation assets</w:t>
            </w:r>
          </w:p>
        </w:tc>
        <w:tc>
          <w:tcPr>
            <w:tcW w:w="1184" w:type="dxa"/>
            <w:tcBorders>
              <w:top w:val="nil"/>
              <w:left w:val="nil"/>
              <w:bottom w:val="nil"/>
              <w:right w:val="nil"/>
            </w:tcBorders>
            <w:shd w:val="clear" w:color="auto" w:fill="auto"/>
            <w:noWrap/>
            <w:vAlign w:val="bottom"/>
            <w:hideMark/>
          </w:tcPr>
          <w:p w14:paraId="1BEB95A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(1)</w:t>
            </w:r>
          </w:p>
        </w:tc>
        <w:tc>
          <w:tcPr>
            <w:tcW w:w="319" w:type="dxa"/>
            <w:tcBorders>
              <w:top w:val="nil"/>
              <w:left w:val="nil"/>
              <w:bottom w:val="nil"/>
              <w:right w:val="nil"/>
            </w:tcBorders>
            <w:shd w:val="clear" w:color="auto" w:fill="auto"/>
            <w:noWrap/>
            <w:vAlign w:val="bottom"/>
            <w:hideMark/>
          </w:tcPr>
          <w:p w14:paraId="37D7E814"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70EF0FA5"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1E38189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6915199F" w14:textId="257E73C5"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3,116,146 </w:t>
            </w:r>
          </w:p>
        </w:tc>
        <w:tc>
          <w:tcPr>
            <w:tcW w:w="316" w:type="dxa"/>
            <w:tcBorders>
              <w:top w:val="nil"/>
              <w:left w:val="nil"/>
              <w:bottom w:val="nil"/>
              <w:right w:val="nil"/>
            </w:tcBorders>
            <w:shd w:val="clear" w:color="auto" w:fill="auto"/>
            <w:noWrap/>
            <w:vAlign w:val="bottom"/>
            <w:hideMark/>
          </w:tcPr>
          <w:p w14:paraId="6984D9C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28A297A8" w14:textId="2FA3150B"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3,116,146 </w:t>
            </w:r>
          </w:p>
        </w:tc>
      </w:tr>
      <w:tr w:rsidR="00713D57" w:rsidRPr="00EA792F" w14:paraId="0E274A0B" w14:textId="77777777" w:rsidTr="0008506C">
        <w:trPr>
          <w:trHeight w:val="255"/>
        </w:trPr>
        <w:tc>
          <w:tcPr>
            <w:tcW w:w="4253" w:type="dxa"/>
            <w:tcBorders>
              <w:top w:val="nil"/>
              <w:left w:val="nil"/>
              <w:bottom w:val="nil"/>
              <w:right w:val="nil"/>
            </w:tcBorders>
            <w:shd w:val="clear" w:color="auto" w:fill="auto"/>
            <w:noWrap/>
            <w:vAlign w:val="bottom"/>
            <w:hideMark/>
          </w:tcPr>
          <w:p w14:paraId="35D82744"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Property and equipment, net</w:t>
            </w:r>
          </w:p>
        </w:tc>
        <w:tc>
          <w:tcPr>
            <w:tcW w:w="1184" w:type="dxa"/>
            <w:tcBorders>
              <w:top w:val="nil"/>
              <w:left w:val="nil"/>
              <w:bottom w:val="nil"/>
              <w:right w:val="nil"/>
            </w:tcBorders>
            <w:shd w:val="clear" w:color="auto" w:fill="auto"/>
            <w:noWrap/>
            <w:vAlign w:val="bottom"/>
            <w:hideMark/>
          </w:tcPr>
          <w:p w14:paraId="40671972"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4E480321"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3BACE53A" w14:textId="17BF5D8A"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147,134 </w:t>
            </w:r>
          </w:p>
        </w:tc>
        <w:tc>
          <w:tcPr>
            <w:tcW w:w="316" w:type="dxa"/>
            <w:tcBorders>
              <w:top w:val="nil"/>
              <w:left w:val="nil"/>
              <w:bottom w:val="nil"/>
              <w:right w:val="nil"/>
            </w:tcBorders>
            <w:shd w:val="clear" w:color="auto" w:fill="auto"/>
            <w:noWrap/>
            <w:vAlign w:val="bottom"/>
            <w:hideMark/>
          </w:tcPr>
          <w:p w14:paraId="72E2AC8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7D0265D3" w14:textId="43BD8A03"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6009504D"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605A9587" w14:textId="1CA8C293"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147,134 </w:t>
            </w:r>
          </w:p>
        </w:tc>
      </w:tr>
      <w:tr w:rsidR="00713D57" w:rsidRPr="00EA792F" w14:paraId="196DAFEA" w14:textId="77777777" w:rsidTr="0008506C">
        <w:trPr>
          <w:trHeight w:val="270"/>
        </w:trPr>
        <w:tc>
          <w:tcPr>
            <w:tcW w:w="4253" w:type="dxa"/>
            <w:tcBorders>
              <w:top w:val="nil"/>
              <w:left w:val="nil"/>
              <w:bottom w:val="nil"/>
              <w:right w:val="nil"/>
            </w:tcBorders>
            <w:shd w:val="clear" w:color="auto" w:fill="auto"/>
            <w:noWrap/>
            <w:vAlign w:val="bottom"/>
            <w:hideMark/>
          </w:tcPr>
          <w:p w14:paraId="14502DF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Restricted cash</w:t>
            </w:r>
          </w:p>
        </w:tc>
        <w:tc>
          <w:tcPr>
            <w:tcW w:w="1184" w:type="dxa"/>
            <w:tcBorders>
              <w:top w:val="nil"/>
              <w:left w:val="nil"/>
              <w:bottom w:val="nil"/>
              <w:right w:val="nil"/>
            </w:tcBorders>
            <w:shd w:val="clear" w:color="auto" w:fill="auto"/>
            <w:noWrap/>
            <w:vAlign w:val="bottom"/>
            <w:hideMark/>
          </w:tcPr>
          <w:p w14:paraId="6300F9E8"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single" w:sz="8" w:space="0" w:color="auto"/>
              <w:right w:val="nil"/>
            </w:tcBorders>
            <w:shd w:val="clear" w:color="auto" w:fill="auto"/>
            <w:noWrap/>
            <w:vAlign w:val="bottom"/>
            <w:hideMark/>
          </w:tcPr>
          <w:p w14:paraId="37801F8F"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49478877" w14:textId="60FCB8A9"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5,438 </w:t>
            </w:r>
          </w:p>
        </w:tc>
        <w:tc>
          <w:tcPr>
            <w:tcW w:w="316" w:type="dxa"/>
            <w:tcBorders>
              <w:top w:val="nil"/>
              <w:left w:val="nil"/>
              <w:bottom w:val="single" w:sz="8" w:space="0" w:color="auto"/>
              <w:right w:val="nil"/>
            </w:tcBorders>
            <w:shd w:val="clear" w:color="auto" w:fill="auto"/>
            <w:noWrap/>
            <w:vAlign w:val="bottom"/>
            <w:hideMark/>
          </w:tcPr>
          <w:p w14:paraId="584B1D1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54A6D4DD"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single" w:sz="8" w:space="0" w:color="auto"/>
              <w:right w:val="nil"/>
            </w:tcBorders>
            <w:shd w:val="clear" w:color="auto" w:fill="auto"/>
            <w:noWrap/>
            <w:vAlign w:val="bottom"/>
            <w:hideMark/>
          </w:tcPr>
          <w:p w14:paraId="1F410B43"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1D59CF2D" w14:textId="6C472CBA"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5,438 </w:t>
            </w:r>
          </w:p>
        </w:tc>
      </w:tr>
      <w:tr w:rsidR="00713D57" w:rsidRPr="00EA792F" w14:paraId="1BE84E11" w14:textId="77777777" w:rsidTr="0008506C">
        <w:trPr>
          <w:trHeight w:val="270"/>
        </w:trPr>
        <w:tc>
          <w:tcPr>
            <w:tcW w:w="4253" w:type="dxa"/>
            <w:tcBorders>
              <w:top w:val="nil"/>
              <w:left w:val="nil"/>
              <w:bottom w:val="nil"/>
              <w:right w:val="nil"/>
            </w:tcBorders>
            <w:shd w:val="clear" w:color="auto" w:fill="auto"/>
            <w:noWrap/>
            <w:vAlign w:val="bottom"/>
            <w:hideMark/>
          </w:tcPr>
          <w:p w14:paraId="20027130"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Total assets</w:t>
            </w:r>
          </w:p>
        </w:tc>
        <w:tc>
          <w:tcPr>
            <w:tcW w:w="1184" w:type="dxa"/>
            <w:tcBorders>
              <w:top w:val="nil"/>
              <w:left w:val="nil"/>
              <w:bottom w:val="nil"/>
              <w:right w:val="nil"/>
            </w:tcBorders>
            <w:shd w:val="clear" w:color="auto" w:fill="auto"/>
            <w:noWrap/>
            <w:vAlign w:val="bottom"/>
            <w:hideMark/>
          </w:tcPr>
          <w:p w14:paraId="18BCF55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double" w:sz="6" w:space="0" w:color="auto"/>
              <w:right w:val="nil"/>
            </w:tcBorders>
            <w:shd w:val="clear" w:color="auto" w:fill="auto"/>
            <w:noWrap/>
            <w:vAlign w:val="bottom"/>
            <w:hideMark/>
          </w:tcPr>
          <w:p w14:paraId="241DA9B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double" w:sz="6" w:space="0" w:color="auto"/>
              <w:right w:val="nil"/>
            </w:tcBorders>
            <w:shd w:val="clear" w:color="auto" w:fill="auto"/>
            <w:noWrap/>
            <w:vAlign w:val="bottom"/>
            <w:hideMark/>
          </w:tcPr>
          <w:p w14:paraId="21054693" w14:textId="69883EE8"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7,157,813 </w:t>
            </w:r>
          </w:p>
        </w:tc>
        <w:tc>
          <w:tcPr>
            <w:tcW w:w="316" w:type="dxa"/>
            <w:tcBorders>
              <w:top w:val="nil"/>
              <w:left w:val="nil"/>
              <w:bottom w:val="double" w:sz="6" w:space="0" w:color="auto"/>
              <w:right w:val="nil"/>
            </w:tcBorders>
            <w:shd w:val="clear" w:color="auto" w:fill="auto"/>
            <w:noWrap/>
            <w:vAlign w:val="bottom"/>
            <w:hideMark/>
          </w:tcPr>
          <w:p w14:paraId="62712E7F"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double" w:sz="6" w:space="0" w:color="auto"/>
              <w:right w:val="nil"/>
            </w:tcBorders>
            <w:shd w:val="clear" w:color="auto" w:fill="auto"/>
            <w:noWrap/>
            <w:vAlign w:val="bottom"/>
            <w:hideMark/>
          </w:tcPr>
          <w:p w14:paraId="2B11A7B6" w14:textId="531FEEDF"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(636,184)</w:t>
            </w:r>
          </w:p>
        </w:tc>
        <w:tc>
          <w:tcPr>
            <w:tcW w:w="316" w:type="dxa"/>
            <w:tcBorders>
              <w:top w:val="nil"/>
              <w:left w:val="nil"/>
              <w:bottom w:val="double" w:sz="6" w:space="0" w:color="auto"/>
              <w:right w:val="nil"/>
            </w:tcBorders>
            <w:shd w:val="clear" w:color="auto" w:fill="auto"/>
            <w:noWrap/>
            <w:vAlign w:val="bottom"/>
            <w:hideMark/>
          </w:tcPr>
          <w:p w14:paraId="5F5BC855"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double" w:sz="6" w:space="0" w:color="auto"/>
              <w:right w:val="nil"/>
            </w:tcBorders>
            <w:shd w:val="clear" w:color="auto" w:fill="auto"/>
            <w:noWrap/>
            <w:vAlign w:val="bottom"/>
            <w:hideMark/>
          </w:tcPr>
          <w:p w14:paraId="5F214F33" w14:textId="153F1F1E"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6,521,629 </w:t>
            </w:r>
          </w:p>
        </w:tc>
      </w:tr>
      <w:tr w:rsidR="00713D57" w:rsidRPr="00EA792F" w14:paraId="652F29A8" w14:textId="77777777" w:rsidTr="00A225B5">
        <w:trPr>
          <w:trHeight w:val="270"/>
        </w:trPr>
        <w:tc>
          <w:tcPr>
            <w:tcW w:w="7006" w:type="dxa"/>
            <w:gridSpan w:val="4"/>
            <w:tcBorders>
              <w:top w:val="nil"/>
              <w:left w:val="nil"/>
              <w:bottom w:val="nil"/>
              <w:right w:val="nil"/>
            </w:tcBorders>
            <w:shd w:val="clear" w:color="auto" w:fill="auto"/>
            <w:noWrap/>
            <w:vAlign w:val="bottom"/>
            <w:hideMark/>
          </w:tcPr>
          <w:p w14:paraId="6A23A4C3" w14:textId="5A80FC9C" w:rsidR="00713D57" w:rsidRPr="00EA792F" w:rsidRDefault="00713D57" w:rsidP="0008506C">
            <w:pPr>
              <w:spacing w:after="0" w:line="240" w:lineRule="auto"/>
              <w:rPr>
                <w:rFonts w:ascii="Times New Roman" w:eastAsia="Times New Roman" w:hAnsi="Times New Roman" w:cs="Times New Roman"/>
                <w:sz w:val="20"/>
                <w:szCs w:val="20"/>
                <w:lang w:eastAsia="zh-CN"/>
              </w:rPr>
            </w:pPr>
            <w:r w:rsidRPr="00EA792F">
              <w:rPr>
                <w:rFonts w:ascii="Times New Roman" w:eastAsia="Times New Roman" w:hAnsi="Times New Roman" w:cs="Times New Roman"/>
                <w:b/>
                <w:bCs/>
                <w:color w:val="000000"/>
                <w:sz w:val="20"/>
                <w:szCs w:val="20"/>
                <w:lang w:eastAsia="zh-CN"/>
              </w:rPr>
              <w:t>LIABILITIES AND STOCKHOLDERS’ EQUITY</w:t>
            </w:r>
          </w:p>
        </w:tc>
        <w:tc>
          <w:tcPr>
            <w:tcW w:w="316" w:type="dxa"/>
            <w:tcBorders>
              <w:top w:val="nil"/>
              <w:left w:val="nil"/>
              <w:bottom w:val="nil"/>
              <w:right w:val="nil"/>
            </w:tcBorders>
            <w:shd w:val="clear" w:color="auto" w:fill="auto"/>
            <w:noWrap/>
            <w:vAlign w:val="bottom"/>
            <w:hideMark/>
          </w:tcPr>
          <w:p w14:paraId="7474CA31" w14:textId="77777777" w:rsidR="00713D57" w:rsidRPr="00EA792F" w:rsidRDefault="00713D57"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3F7DB595" w14:textId="77777777" w:rsidR="00713D57" w:rsidRPr="00EA792F" w:rsidRDefault="00713D57"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54ABF1AA" w14:textId="77777777" w:rsidR="00713D57" w:rsidRPr="00EA792F" w:rsidRDefault="00713D57"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6362ED1C" w14:textId="77777777" w:rsidR="00713D57" w:rsidRPr="00EA792F" w:rsidRDefault="00713D57" w:rsidP="00EA792F">
            <w:pPr>
              <w:spacing w:after="0" w:line="240" w:lineRule="auto"/>
              <w:jc w:val="right"/>
              <w:rPr>
                <w:rFonts w:ascii="Times New Roman" w:eastAsia="Times New Roman" w:hAnsi="Times New Roman" w:cs="Times New Roman"/>
                <w:sz w:val="20"/>
                <w:szCs w:val="20"/>
                <w:lang w:eastAsia="zh-CN"/>
              </w:rPr>
            </w:pPr>
          </w:p>
        </w:tc>
      </w:tr>
      <w:tr w:rsidR="00713D57" w:rsidRPr="00EA792F" w14:paraId="58863A6E" w14:textId="77777777" w:rsidTr="0008506C">
        <w:trPr>
          <w:trHeight w:val="255"/>
        </w:trPr>
        <w:tc>
          <w:tcPr>
            <w:tcW w:w="4253" w:type="dxa"/>
            <w:tcBorders>
              <w:top w:val="nil"/>
              <w:left w:val="nil"/>
              <w:bottom w:val="nil"/>
              <w:right w:val="nil"/>
            </w:tcBorders>
            <w:shd w:val="clear" w:color="auto" w:fill="auto"/>
            <w:noWrap/>
            <w:vAlign w:val="bottom"/>
            <w:hideMark/>
          </w:tcPr>
          <w:p w14:paraId="5D5DEDBE"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Current liabilities:</w:t>
            </w:r>
          </w:p>
        </w:tc>
        <w:tc>
          <w:tcPr>
            <w:tcW w:w="1184" w:type="dxa"/>
            <w:tcBorders>
              <w:top w:val="nil"/>
              <w:left w:val="nil"/>
              <w:bottom w:val="nil"/>
              <w:right w:val="nil"/>
            </w:tcBorders>
            <w:shd w:val="clear" w:color="auto" w:fill="auto"/>
            <w:noWrap/>
            <w:vAlign w:val="bottom"/>
            <w:hideMark/>
          </w:tcPr>
          <w:p w14:paraId="77767873"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16F7B93C"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3889E42D"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1D0360BA"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25A272E6"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641EA54A"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06B7E985"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r>
      <w:tr w:rsidR="00713D57" w:rsidRPr="00EA792F" w14:paraId="4C985D72" w14:textId="77777777" w:rsidTr="0008506C">
        <w:trPr>
          <w:trHeight w:val="255"/>
        </w:trPr>
        <w:tc>
          <w:tcPr>
            <w:tcW w:w="4253" w:type="dxa"/>
            <w:tcBorders>
              <w:top w:val="nil"/>
              <w:left w:val="nil"/>
              <w:bottom w:val="nil"/>
              <w:right w:val="nil"/>
            </w:tcBorders>
            <w:shd w:val="clear" w:color="auto" w:fill="auto"/>
            <w:noWrap/>
            <w:vAlign w:val="bottom"/>
            <w:hideMark/>
          </w:tcPr>
          <w:p w14:paraId="307C60C2"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Accounts payable and accrued liabilities</w:t>
            </w:r>
          </w:p>
        </w:tc>
        <w:tc>
          <w:tcPr>
            <w:tcW w:w="1184" w:type="dxa"/>
            <w:tcBorders>
              <w:top w:val="nil"/>
              <w:left w:val="nil"/>
              <w:bottom w:val="nil"/>
              <w:right w:val="nil"/>
            </w:tcBorders>
            <w:shd w:val="clear" w:color="auto" w:fill="auto"/>
            <w:noWrap/>
            <w:vAlign w:val="bottom"/>
            <w:hideMark/>
          </w:tcPr>
          <w:p w14:paraId="2E98C14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353C841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nil"/>
              <w:right w:val="nil"/>
            </w:tcBorders>
            <w:shd w:val="clear" w:color="auto" w:fill="auto"/>
            <w:noWrap/>
            <w:vAlign w:val="bottom"/>
            <w:hideMark/>
          </w:tcPr>
          <w:p w14:paraId="6DA4F78B" w14:textId="3662B59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852,481 </w:t>
            </w:r>
          </w:p>
        </w:tc>
        <w:tc>
          <w:tcPr>
            <w:tcW w:w="316" w:type="dxa"/>
            <w:tcBorders>
              <w:top w:val="nil"/>
              <w:left w:val="nil"/>
              <w:bottom w:val="nil"/>
              <w:right w:val="nil"/>
            </w:tcBorders>
            <w:shd w:val="clear" w:color="auto" w:fill="auto"/>
            <w:noWrap/>
            <w:vAlign w:val="bottom"/>
            <w:hideMark/>
          </w:tcPr>
          <w:p w14:paraId="6CB9736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nil"/>
              <w:right w:val="nil"/>
            </w:tcBorders>
            <w:shd w:val="clear" w:color="auto" w:fill="auto"/>
            <w:noWrap/>
            <w:vAlign w:val="bottom"/>
            <w:hideMark/>
          </w:tcPr>
          <w:p w14:paraId="218C08A9"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14350CB2"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nil"/>
              <w:right w:val="nil"/>
            </w:tcBorders>
            <w:shd w:val="clear" w:color="auto" w:fill="auto"/>
            <w:noWrap/>
            <w:vAlign w:val="bottom"/>
            <w:hideMark/>
          </w:tcPr>
          <w:p w14:paraId="5234BF36" w14:textId="497B50B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852,481 </w:t>
            </w:r>
          </w:p>
        </w:tc>
      </w:tr>
      <w:tr w:rsidR="00713D57" w:rsidRPr="00EA792F" w14:paraId="6214BA39" w14:textId="77777777" w:rsidTr="0008506C">
        <w:trPr>
          <w:trHeight w:val="255"/>
        </w:trPr>
        <w:tc>
          <w:tcPr>
            <w:tcW w:w="4253" w:type="dxa"/>
            <w:tcBorders>
              <w:top w:val="nil"/>
              <w:left w:val="nil"/>
              <w:bottom w:val="nil"/>
              <w:right w:val="nil"/>
            </w:tcBorders>
            <w:shd w:val="clear" w:color="auto" w:fill="auto"/>
            <w:noWrap/>
            <w:vAlign w:val="bottom"/>
            <w:hideMark/>
          </w:tcPr>
          <w:p w14:paraId="0C45CEA9"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Loans payable </w:t>
            </w:r>
          </w:p>
        </w:tc>
        <w:tc>
          <w:tcPr>
            <w:tcW w:w="1184" w:type="dxa"/>
            <w:tcBorders>
              <w:top w:val="nil"/>
              <w:left w:val="nil"/>
              <w:bottom w:val="nil"/>
              <w:right w:val="nil"/>
            </w:tcBorders>
            <w:shd w:val="clear" w:color="auto" w:fill="auto"/>
            <w:noWrap/>
            <w:vAlign w:val="bottom"/>
            <w:hideMark/>
          </w:tcPr>
          <w:p w14:paraId="6D15E09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7B56E237"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4F31497F" w14:textId="351A7F6D"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630,534 </w:t>
            </w:r>
          </w:p>
        </w:tc>
        <w:tc>
          <w:tcPr>
            <w:tcW w:w="316" w:type="dxa"/>
            <w:tcBorders>
              <w:top w:val="nil"/>
              <w:left w:val="nil"/>
              <w:bottom w:val="nil"/>
              <w:right w:val="nil"/>
            </w:tcBorders>
            <w:shd w:val="clear" w:color="auto" w:fill="auto"/>
            <w:noWrap/>
            <w:vAlign w:val="bottom"/>
            <w:hideMark/>
          </w:tcPr>
          <w:p w14:paraId="30DD6E2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39D84A14"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399EAEAB"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179FA1F4" w14:textId="34BB162A"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630,534 </w:t>
            </w:r>
          </w:p>
        </w:tc>
      </w:tr>
      <w:tr w:rsidR="00713D57" w:rsidRPr="00EA792F" w14:paraId="52B6F496" w14:textId="77777777" w:rsidTr="0008506C">
        <w:trPr>
          <w:trHeight w:val="270"/>
        </w:trPr>
        <w:tc>
          <w:tcPr>
            <w:tcW w:w="4253" w:type="dxa"/>
            <w:tcBorders>
              <w:top w:val="nil"/>
              <w:left w:val="nil"/>
              <w:bottom w:val="nil"/>
              <w:right w:val="nil"/>
            </w:tcBorders>
            <w:shd w:val="clear" w:color="auto" w:fill="auto"/>
            <w:noWrap/>
            <w:vAlign w:val="bottom"/>
            <w:hideMark/>
          </w:tcPr>
          <w:p w14:paraId="5038F978"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Lease liability </w:t>
            </w:r>
          </w:p>
        </w:tc>
        <w:tc>
          <w:tcPr>
            <w:tcW w:w="1184" w:type="dxa"/>
            <w:tcBorders>
              <w:top w:val="nil"/>
              <w:left w:val="nil"/>
              <w:bottom w:val="nil"/>
              <w:right w:val="nil"/>
            </w:tcBorders>
            <w:shd w:val="clear" w:color="auto" w:fill="auto"/>
            <w:noWrap/>
            <w:vAlign w:val="bottom"/>
            <w:hideMark/>
          </w:tcPr>
          <w:p w14:paraId="34C7457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single" w:sz="8" w:space="0" w:color="auto"/>
              <w:right w:val="nil"/>
            </w:tcBorders>
            <w:shd w:val="clear" w:color="auto" w:fill="auto"/>
            <w:noWrap/>
            <w:vAlign w:val="bottom"/>
            <w:hideMark/>
          </w:tcPr>
          <w:p w14:paraId="5BC19E88"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2DEBA43E" w14:textId="681E55F5"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6,732 </w:t>
            </w:r>
          </w:p>
        </w:tc>
        <w:tc>
          <w:tcPr>
            <w:tcW w:w="316" w:type="dxa"/>
            <w:tcBorders>
              <w:top w:val="nil"/>
              <w:left w:val="nil"/>
              <w:bottom w:val="single" w:sz="8" w:space="0" w:color="auto"/>
              <w:right w:val="nil"/>
            </w:tcBorders>
            <w:shd w:val="clear" w:color="auto" w:fill="auto"/>
            <w:noWrap/>
            <w:vAlign w:val="bottom"/>
            <w:hideMark/>
          </w:tcPr>
          <w:p w14:paraId="4408BA63"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1DE335F8"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single" w:sz="8" w:space="0" w:color="auto"/>
              <w:right w:val="nil"/>
            </w:tcBorders>
            <w:shd w:val="clear" w:color="auto" w:fill="auto"/>
            <w:noWrap/>
            <w:vAlign w:val="bottom"/>
            <w:hideMark/>
          </w:tcPr>
          <w:p w14:paraId="309A21F1"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2414F2E5" w14:textId="67B6B793"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6,732 </w:t>
            </w:r>
          </w:p>
        </w:tc>
      </w:tr>
      <w:tr w:rsidR="00713D57" w:rsidRPr="00EA792F" w14:paraId="4962EAE3" w14:textId="77777777" w:rsidTr="0008506C">
        <w:trPr>
          <w:trHeight w:val="255"/>
        </w:trPr>
        <w:tc>
          <w:tcPr>
            <w:tcW w:w="4253" w:type="dxa"/>
            <w:tcBorders>
              <w:top w:val="nil"/>
              <w:left w:val="nil"/>
              <w:bottom w:val="nil"/>
              <w:right w:val="nil"/>
            </w:tcBorders>
            <w:shd w:val="clear" w:color="auto" w:fill="auto"/>
            <w:noWrap/>
            <w:vAlign w:val="bottom"/>
            <w:hideMark/>
          </w:tcPr>
          <w:p w14:paraId="4FD1FD93"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Total current liabilities</w:t>
            </w:r>
          </w:p>
        </w:tc>
        <w:tc>
          <w:tcPr>
            <w:tcW w:w="1184" w:type="dxa"/>
            <w:tcBorders>
              <w:top w:val="nil"/>
              <w:left w:val="nil"/>
              <w:bottom w:val="nil"/>
              <w:right w:val="nil"/>
            </w:tcBorders>
            <w:shd w:val="clear" w:color="auto" w:fill="auto"/>
            <w:noWrap/>
            <w:vAlign w:val="bottom"/>
            <w:hideMark/>
          </w:tcPr>
          <w:p w14:paraId="45F9DD7F"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1DB33CF6"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00366B75" w14:textId="60A4DDD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1,489,747 </w:t>
            </w:r>
          </w:p>
        </w:tc>
        <w:tc>
          <w:tcPr>
            <w:tcW w:w="316" w:type="dxa"/>
            <w:tcBorders>
              <w:top w:val="nil"/>
              <w:left w:val="nil"/>
              <w:bottom w:val="nil"/>
              <w:right w:val="nil"/>
            </w:tcBorders>
            <w:shd w:val="clear" w:color="auto" w:fill="auto"/>
            <w:noWrap/>
            <w:vAlign w:val="bottom"/>
            <w:hideMark/>
          </w:tcPr>
          <w:p w14:paraId="42C522E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1FD99327"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78EEF1B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1BCF72B" w14:textId="4785C85F"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1,489,747 </w:t>
            </w:r>
          </w:p>
        </w:tc>
      </w:tr>
      <w:tr w:rsidR="00713D57" w:rsidRPr="00EA792F" w14:paraId="6DF0402E" w14:textId="77777777" w:rsidTr="0008506C">
        <w:trPr>
          <w:trHeight w:val="255"/>
        </w:trPr>
        <w:tc>
          <w:tcPr>
            <w:tcW w:w="4253" w:type="dxa"/>
            <w:tcBorders>
              <w:top w:val="nil"/>
              <w:left w:val="nil"/>
              <w:bottom w:val="nil"/>
              <w:right w:val="nil"/>
            </w:tcBorders>
            <w:shd w:val="clear" w:color="auto" w:fill="auto"/>
            <w:noWrap/>
            <w:vAlign w:val="bottom"/>
            <w:hideMark/>
          </w:tcPr>
          <w:p w14:paraId="031054A7"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Asset retirement obligation</w:t>
            </w:r>
          </w:p>
        </w:tc>
        <w:tc>
          <w:tcPr>
            <w:tcW w:w="1184" w:type="dxa"/>
            <w:tcBorders>
              <w:top w:val="nil"/>
              <w:left w:val="nil"/>
              <w:bottom w:val="nil"/>
              <w:right w:val="nil"/>
            </w:tcBorders>
            <w:shd w:val="clear" w:color="auto" w:fill="auto"/>
            <w:noWrap/>
            <w:vAlign w:val="bottom"/>
            <w:hideMark/>
          </w:tcPr>
          <w:p w14:paraId="248C4963"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(2)</w:t>
            </w:r>
          </w:p>
        </w:tc>
        <w:tc>
          <w:tcPr>
            <w:tcW w:w="319" w:type="dxa"/>
            <w:tcBorders>
              <w:top w:val="nil"/>
              <w:left w:val="nil"/>
              <w:bottom w:val="nil"/>
              <w:right w:val="nil"/>
            </w:tcBorders>
            <w:shd w:val="clear" w:color="auto" w:fill="auto"/>
            <w:noWrap/>
            <w:vAlign w:val="bottom"/>
            <w:hideMark/>
          </w:tcPr>
          <w:p w14:paraId="34E80FB8"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45AFCB87" w14:textId="2F387949"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4,426,978 </w:t>
            </w:r>
          </w:p>
        </w:tc>
        <w:tc>
          <w:tcPr>
            <w:tcW w:w="316" w:type="dxa"/>
            <w:tcBorders>
              <w:top w:val="nil"/>
              <w:left w:val="nil"/>
              <w:bottom w:val="nil"/>
              <w:right w:val="nil"/>
            </w:tcBorders>
            <w:shd w:val="clear" w:color="auto" w:fill="auto"/>
            <w:noWrap/>
            <w:vAlign w:val="bottom"/>
            <w:hideMark/>
          </w:tcPr>
          <w:p w14:paraId="041FD10A"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53A31BB0" w14:textId="30A51425"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4,566,130 </w:t>
            </w:r>
          </w:p>
        </w:tc>
        <w:tc>
          <w:tcPr>
            <w:tcW w:w="316" w:type="dxa"/>
            <w:tcBorders>
              <w:top w:val="nil"/>
              <w:left w:val="nil"/>
              <w:bottom w:val="nil"/>
              <w:right w:val="nil"/>
            </w:tcBorders>
            <w:shd w:val="clear" w:color="auto" w:fill="auto"/>
            <w:noWrap/>
            <w:vAlign w:val="bottom"/>
            <w:hideMark/>
          </w:tcPr>
          <w:p w14:paraId="336A0B7A"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6470750" w14:textId="11BCF3E3"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8,993,108 </w:t>
            </w:r>
          </w:p>
        </w:tc>
      </w:tr>
      <w:tr w:rsidR="00713D57" w:rsidRPr="00EA792F" w14:paraId="180ACB8F" w14:textId="77777777" w:rsidTr="0008506C">
        <w:trPr>
          <w:trHeight w:val="255"/>
        </w:trPr>
        <w:tc>
          <w:tcPr>
            <w:tcW w:w="4253" w:type="dxa"/>
            <w:tcBorders>
              <w:top w:val="nil"/>
              <w:left w:val="nil"/>
              <w:bottom w:val="nil"/>
              <w:right w:val="nil"/>
            </w:tcBorders>
            <w:shd w:val="clear" w:color="auto" w:fill="auto"/>
            <w:noWrap/>
            <w:vAlign w:val="bottom"/>
            <w:hideMark/>
          </w:tcPr>
          <w:p w14:paraId="34DB26CA"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Loans payable </w:t>
            </w:r>
          </w:p>
        </w:tc>
        <w:tc>
          <w:tcPr>
            <w:tcW w:w="1184" w:type="dxa"/>
            <w:tcBorders>
              <w:top w:val="nil"/>
              <w:left w:val="nil"/>
              <w:bottom w:val="nil"/>
              <w:right w:val="nil"/>
            </w:tcBorders>
            <w:shd w:val="clear" w:color="auto" w:fill="auto"/>
            <w:noWrap/>
            <w:vAlign w:val="bottom"/>
            <w:hideMark/>
          </w:tcPr>
          <w:p w14:paraId="566BD372"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019BA1DF"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4A9D993D" w14:textId="082AB02E"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18,513 </w:t>
            </w:r>
          </w:p>
        </w:tc>
        <w:tc>
          <w:tcPr>
            <w:tcW w:w="316" w:type="dxa"/>
            <w:tcBorders>
              <w:top w:val="nil"/>
              <w:left w:val="nil"/>
              <w:bottom w:val="nil"/>
              <w:right w:val="nil"/>
            </w:tcBorders>
            <w:shd w:val="clear" w:color="auto" w:fill="auto"/>
            <w:noWrap/>
            <w:vAlign w:val="bottom"/>
            <w:hideMark/>
          </w:tcPr>
          <w:p w14:paraId="1B0C9FF7"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4E618DC3"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0F88532D"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7BEB96F2" w14:textId="38351878"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18,513 </w:t>
            </w:r>
          </w:p>
        </w:tc>
      </w:tr>
      <w:tr w:rsidR="00713D57" w:rsidRPr="00EA792F" w14:paraId="2C42C74E" w14:textId="77777777" w:rsidTr="0008506C">
        <w:trPr>
          <w:trHeight w:val="255"/>
        </w:trPr>
        <w:tc>
          <w:tcPr>
            <w:tcW w:w="4253" w:type="dxa"/>
            <w:tcBorders>
              <w:top w:val="nil"/>
              <w:left w:val="nil"/>
              <w:bottom w:val="nil"/>
              <w:right w:val="nil"/>
            </w:tcBorders>
            <w:shd w:val="clear" w:color="auto" w:fill="auto"/>
            <w:noWrap/>
            <w:vAlign w:val="bottom"/>
            <w:hideMark/>
          </w:tcPr>
          <w:p w14:paraId="712FFA59"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Derivative liability</w:t>
            </w:r>
          </w:p>
        </w:tc>
        <w:tc>
          <w:tcPr>
            <w:tcW w:w="1184" w:type="dxa"/>
            <w:tcBorders>
              <w:top w:val="nil"/>
              <w:left w:val="nil"/>
              <w:bottom w:val="nil"/>
              <w:right w:val="nil"/>
            </w:tcBorders>
            <w:shd w:val="clear" w:color="auto" w:fill="auto"/>
            <w:noWrap/>
            <w:vAlign w:val="bottom"/>
            <w:hideMark/>
          </w:tcPr>
          <w:p w14:paraId="58A41A86"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2A9A59A0"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7E6D2BE2" w14:textId="46E05786"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472,899 </w:t>
            </w:r>
          </w:p>
        </w:tc>
        <w:tc>
          <w:tcPr>
            <w:tcW w:w="316" w:type="dxa"/>
            <w:tcBorders>
              <w:top w:val="nil"/>
              <w:left w:val="nil"/>
              <w:bottom w:val="nil"/>
              <w:right w:val="nil"/>
            </w:tcBorders>
            <w:shd w:val="clear" w:color="auto" w:fill="auto"/>
            <w:noWrap/>
            <w:vAlign w:val="bottom"/>
            <w:hideMark/>
          </w:tcPr>
          <w:p w14:paraId="3D39785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60CB339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6E881833"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76155AA1" w14:textId="01F6A50D"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472,899 </w:t>
            </w:r>
          </w:p>
        </w:tc>
      </w:tr>
      <w:tr w:rsidR="00713D57" w:rsidRPr="00EA792F" w14:paraId="42B4B4FC" w14:textId="77777777" w:rsidTr="0008506C">
        <w:trPr>
          <w:trHeight w:val="270"/>
        </w:trPr>
        <w:tc>
          <w:tcPr>
            <w:tcW w:w="4253" w:type="dxa"/>
            <w:tcBorders>
              <w:top w:val="nil"/>
              <w:left w:val="nil"/>
              <w:bottom w:val="nil"/>
              <w:right w:val="nil"/>
            </w:tcBorders>
            <w:shd w:val="clear" w:color="auto" w:fill="auto"/>
            <w:noWrap/>
            <w:vAlign w:val="bottom"/>
            <w:hideMark/>
          </w:tcPr>
          <w:p w14:paraId="18E4B5B5"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Lease liability  </w:t>
            </w:r>
          </w:p>
        </w:tc>
        <w:tc>
          <w:tcPr>
            <w:tcW w:w="1184" w:type="dxa"/>
            <w:tcBorders>
              <w:top w:val="nil"/>
              <w:left w:val="nil"/>
              <w:bottom w:val="nil"/>
              <w:right w:val="nil"/>
            </w:tcBorders>
            <w:shd w:val="clear" w:color="auto" w:fill="auto"/>
            <w:noWrap/>
            <w:vAlign w:val="bottom"/>
            <w:hideMark/>
          </w:tcPr>
          <w:p w14:paraId="191BA757"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single" w:sz="8" w:space="0" w:color="auto"/>
              <w:right w:val="nil"/>
            </w:tcBorders>
            <w:shd w:val="clear" w:color="auto" w:fill="auto"/>
            <w:noWrap/>
            <w:vAlign w:val="bottom"/>
            <w:hideMark/>
          </w:tcPr>
          <w:p w14:paraId="54EF6C2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0013F852" w14:textId="3A9DD3C6"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8,592 </w:t>
            </w:r>
          </w:p>
        </w:tc>
        <w:tc>
          <w:tcPr>
            <w:tcW w:w="316" w:type="dxa"/>
            <w:tcBorders>
              <w:top w:val="nil"/>
              <w:left w:val="nil"/>
              <w:bottom w:val="single" w:sz="8" w:space="0" w:color="auto"/>
              <w:right w:val="nil"/>
            </w:tcBorders>
            <w:shd w:val="clear" w:color="auto" w:fill="auto"/>
            <w:noWrap/>
            <w:vAlign w:val="bottom"/>
            <w:hideMark/>
          </w:tcPr>
          <w:p w14:paraId="192A1C76"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7F9296F5"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single" w:sz="8" w:space="0" w:color="auto"/>
              <w:right w:val="nil"/>
            </w:tcBorders>
            <w:shd w:val="clear" w:color="auto" w:fill="auto"/>
            <w:noWrap/>
            <w:vAlign w:val="bottom"/>
            <w:hideMark/>
          </w:tcPr>
          <w:p w14:paraId="35B6366D"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2A52B9F5" w14:textId="2CF94F4C"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8,592 </w:t>
            </w:r>
          </w:p>
        </w:tc>
      </w:tr>
      <w:tr w:rsidR="00713D57" w:rsidRPr="00EA792F" w14:paraId="0BF4782E" w14:textId="77777777" w:rsidTr="0008506C">
        <w:trPr>
          <w:trHeight w:val="255"/>
        </w:trPr>
        <w:tc>
          <w:tcPr>
            <w:tcW w:w="4253" w:type="dxa"/>
            <w:tcBorders>
              <w:top w:val="nil"/>
              <w:left w:val="nil"/>
              <w:bottom w:val="nil"/>
              <w:right w:val="nil"/>
            </w:tcBorders>
            <w:shd w:val="clear" w:color="auto" w:fill="auto"/>
            <w:noWrap/>
            <w:vAlign w:val="bottom"/>
            <w:hideMark/>
          </w:tcPr>
          <w:p w14:paraId="298FFE3E"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Total liabilities</w:t>
            </w:r>
          </w:p>
        </w:tc>
        <w:tc>
          <w:tcPr>
            <w:tcW w:w="1184" w:type="dxa"/>
            <w:tcBorders>
              <w:top w:val="nil"/>
              <w:left w:val="nil"/>
              <w:bottom w:val="nil"/>
              <w:right w:val="nil"/>
            </w:tcBorders>
            <w:shd w:val="clear" w:color="auto" w:fill="auto"/>
            <w:noWrap/>
            <w:vAlign w:val="bottom"/>
            <w:hideMark/>
          </w:tcPr>
          <w:p w14:paraId="14194A12"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293B5B33"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65267204" w14:textId="52B3640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6,416,729 </w:t>
            </w:r>
          </w:p>
        </w:tc>
        <w:tc>
          <w:tcPr>
            <w:tcW w:w="316" w:type="dxa"/>
            <w:tcBorders>
              <w:top w:val="nil"/>
              <w:left w:val="nil"/>
              <w:bottom w:val="nil"/>
              <w:right w:val="nil"/>
            </w:tcBorders>
            <w:shd w:val="clear" w:color="auto" w:fill="auto"/>
            <w:noWrap/>
            <w:vAlign w:val="bottom"/>
            <w:hideMark/>
          </w:tcPr>
          <w:p w14:paraId="0EF0F007"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4C34F796" w14:textId="46D23B3F"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4,566,130 </w:t>
            </w:r>
          </w:p>
        </w:tc>
        <w:tc>
          <w:tcPr>
            <w:tcW w:w="316" w:type="dxa"/>
            <w:tcBorders>
              <w:top w:val="nil"/>
              <w:left w:val="nil"/>
              <w:bottom w:val="nil"/>
              <w:right w:val="nil"/>
            </w:tcBorders>
            <w:shd w:val="clear" w:color="auto" w:fill="auto"/>
            <w:noWrap/>
            <w:vAlign w:val="bottom"/>
            <w:hideMark/>
          </w:tcPr>
          <w:p w14:paraId="270B146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6F1B78C1" w14:textId="1529B1D5"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10,982,859 </w:t>
            </w:r>
          </w:p>
        </w:tc>
      </w:tr>
      <w:tr w:rsidR="00713D57" w:rsidRPr="00EA792F" w14:paraId="0F938903" w14:textId="77777777" w:rsidTr="0008506C">
        <w:trPr>
          <w:trHeight w:val="255"/>
        </w:trPr>
        <w:tc>
          <w:tcPr>
            <w:tcW w:w="4253" w:type="dxa"/>
            <w:tcBorders>
              <w:top w:val="nil"/>
              <w:left w:val="nil"/>
              <w:bottom w:val="nil"/>
              <w:right w:val="nil"/>
            </w:tcBorders>
            <w:shd w:val="clear" w:color="auto" w:fill="auto"/>
            <w:noWrap/>
            <w:vAlign w:val="bottom"/>
            <w:hideMark/>
          </w:tcPr>
          <w:p w14:paraId="3CB33E20" w14:textId="3F2E7EB4"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Stockholders’ equity</w:t>
            </w:r>
            <w:r w:rsidR="00163C9E">
              <w:rPr>
                <w:rFonts w:ascii="Times New Roman" w:eastAsia="Times New Roman" w:hAnsi="Times New Roman" w:cs="Times New Roman"/>
                <w:color w:val="000000"/>
                <w:sz w:val="20"/>
                <w:szCs w:val="20"/>
                <w:lang w:eastAsia="zh-CN"/>
              </w:rPr>
              <w:t xml:space="preserve"> (deficiency)</w:t>
            </w:r>
            <w:r w:rsidRPr="00EA792F">
              <w:rPr>
                <w:rFonts w:ascii="Times New Roman" w:eastAsia="Times New Roman" w:hAnsi="Times New Roman" w:cs="Times New Roman"/>
                <w:color w:val="000000"/>
                <w:sz w:val="20"/>
                <w:szCs w:val="20"/>
                <w:lang w:eastAsia="zh-CN"/>
              </w:rPr>
              <w:t>:</w:t>
            </w:r>
          </w:p>
        </w:tc>
        <w:tc>
          <w:tcPr>
            <w:tcW w:w="1184" w:type="dxa"/>
            <w:tcBorders>
              <w:top w:val="nil"/>
              <w:left w:val="nil"/>
              <w:bottom w:val="nil"/>
              <w:right w:val="nil"/>
            </w:tcBorders>
            <w:shd w:val="clear" w:color="auto" w:fill="auto"/>
            <w:noWrap/>
            <w:vAlign w:val="bottom"/>
            <w:hideMark/>
          </w:tcPr>
          <w:p w14:paraId="43631B0E"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4C11C239"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6054F240"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35DE7085"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318F6E0B"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316" w:type="dxa"/>
            <w:tcBorders>
              <w:top w:val="nil"/>
              <w:left w:val="nil"/>
              <w:bottom w:val="nil"/>
              <w:right w:val="nil"/>
            </w:tcBorders>
            <w:shd w:val="clear" w:color="auto" w:fill="auto"/>
            <w:noWrap/>
            <w:vAlign w:val="bottom"/>
            <w:hideMark/>
          </w:tcPr>
          <w:p w14:paraId="667D59A9"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71E5950A"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r>
      <w:tr w:rsidR="00713D57" w:rsidRPr="00EA792F" w14:paraId="2DB9D3C9" w14:textId="77777777" w:rsidTr="0008506C">
        <w:trPr>
          <w:trHeight w:val="255"/>
        </w:trPr>
        <w:tc>
          <w:tcPr>
            <w:tcW w:w="4253" w:type="dxa"/>
            <w:tcBorders>
              <w:top w:val="nil"/>
              <w:left w:val="nil"/>
              <w:bottom w:val="nil"/>
              <w:right w:val="nil"/>
            </w:tcBorders>
            <w:shd w:val="clear" w:color="auto" w:fill="auto"/>
            <w:noWrap/>
            <w:vAlign w:val="bottom"/>
            <w:hideMark/>
          </w:tcPr>
          <w:p w14:paraId="29FBEC9E"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Common stock </w:t>
            </w:r>
          </w:p>
        </w:tc>
        <w:tc>
          <w:tcPr>
            <w:tcW w:w="1184" w:type="dxa"/>
            <w:tcBorders>
              <w:top w:val="nil"/>
              <w:left w:val="nil"/>
              <w:bottom w:val="nil"/>
              <w:right w:val="nil"/>
            </w:tcBorders>
            <w:shd w:val="clear" w:color="auto" w:fill="auto"/>
            <w:noWrap/>
            <w:vAlign w:val="bottom"/>
            <w:hideMark/>
          </w:tcPr>
          <w:p w14:paraId="40B1298A"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67935930"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1AD18046" w14:textId="386AF7A8"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1,828 </w:t>
            </w:r>
          </w:p>
        </w:tc>
        <w:tc>
          <w:tcPr>
            <w:tcW w:w="316" w:type="dxa"/>
            <w:tcBorders>
              <w:top w:val="nil"/>
              <w:left w:val="nil"/>
              <w:bottom w:val="nil"/>
              <w:right w:val="nil"/>
            </w:tcBorders>
            <w:shd w:val="clear" w:color="auto" w:fill="auto"/>
            <w:noWrap/>
            <w:vAlign w:val="bottom"/>
            <w:hideMark/>
          </w:tcPr>
          <w:p w14:paraId="7232BE3D"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1FB92EEF" w14:textId="73CAC2A7" w:rsidR="00EA792F" w:rsidRPr="00EA792F" w:rsidRDefault="007E3BE0" w:rsidP="00EA792F">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6" w:type="dxa"/>
            <w:tcBorders>
              <w:top w:val="nil"/>
              <w:left w:val="nil"/>
              <w:bottom w:val="nil"/>
              <w:right w:val="nil"/>
            </w:tcBorders>
            <w:shd w:val="clear" w:color="auto" w:fill="auto"/>
            <w:noWrap/>
            <w:vAlign w:val="bottom"/>
            <w:hideMark/>
          </w:tcPr>
          <w:p w14:paraId="1E4A5B92"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25A7B43A" w14:textId="611DB8F4"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1,828 </w:t>
            </w:r>
          </w:p>
        </w:tc>
      </w:tr>
      <w:tr w:rsidR="00713D57" w:rsidRPr="00EA792F" w14:paraId="06BBF018" w14:textId="77777777" w:rsidTr="0008506C">
        <w:trPr>
          <w:trHeight w:val="255"/>
        </w:trPr>
        <w:tc>
          <w:tcPr>
            <w:tcW w:w="4253" w:type="dxa"/>
            <w:tcBorders>
              <w:top w:val="nil"/>
              <w:left w:val="nil"/>
              <w:bottom w:val="nil"/>
              <w:right w:val="nil"/>
            </w:tcBorders>
            <w:shd w:val="clear" w:color="auto" w:fill="auto"/>
            <w:noWrap/>
            <w:vAlign w:val="bottom"/>
            <w:hideMark/>
          </w:tcPr>
          <w:p w14:paraId="4CFEA122"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Additional paid-in capital</w:t>
            </w:r>
          </w:p>
        </w:tc>
        <w:tc>
          <w:tcPr>
            <w:tcW w:w="1184" w:type="dxa"/>
            <w:tcBorders>
              <w:top w:val="nil"/>
              <w:left w:val="nil"/>
              <w:bottom w:val="nil"/>
              <w:right w:val="nil"/>
            </w:tcBorders>
            <w:shd w:val="clear" w:color="auto" w:fill="auto"/>
            <w:noWrap/>
            <w:vAlign w:val="bottom"/>
            <w:hideMark/>
          </w:tcPr>
          <w:p w14:paraId="5F786A65"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(3), (4) </w:t>
            </w:r>
          </w:p>
        </w:tc>
        <w:tc>
          <w:tcPr>
            <w:tcW w:w="319" w:type="dxa"/>
            <w:tcBorders>
              <w:top w:val="nil"/>
              <w:left w:val="nil"/>
              <w:bottom w:val="nil"/>
              <w:right w:val="nil"/>
            </w:tcBorders>
            <w:shd w:val="clear" w:color="auto" w:fill="auto"/>
            <w:noWrap/>
            <w:vAlign w:val="bottom"/>
            <w:hideMark/>
          </w:tcPr>
          <w:p w14:paraId="299684C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E6F8E59" w14:textId="67B00169"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33,295,413 </w:t>
            </w:r>
          </w:p>
        </w:tc>
        <w:tc>
          <w:tcPr>
            <w:tcW w:w="316" w:type="dxa"/>
            <w:tcBorders>
              <w:top w:val="nil"/>
              <w:left w:val="nil"/>
              <w:bottom w:val="nil"/>
              <w:right w:val="nil"/>
            </w:tcBorders>
            <w:shd w:val="clear" w:color="auto" w:fill="auto"/>
            <w:noWrap/>
            <w:vAlign w:val="bottom"/>
            <w:hideMark/>
          </w:tcPr>
          <w:p w14:paraId="68B4A294"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74CDF515" w14:textId="36A54F5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(33,295,413)</w:t>
            </w:r>
          </w:p>
        </w:tc>
        <w:tc>
          <w:tcPr>
            <w:tcW w:w="316" w:type="dxa"/>
            <w:tcBorders>
              <w:top w:val="nil"/>
              <w:left w:val="nil"/>
              <w:bottom w:val="nil"/>
              <w:right w:val="nil"/>
            </w:tcBorders>
            <w:shd w:val="clear" w:color="auto" w:fill="auto"/>
            <w:noWrap/>
            <w:vAlign w:val="bottom"/>
            <w:hideMark/>
          </w:tcPr>
          <w:p w14:paraId="1C40275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6432AA4B"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r>
      <w:tr w:rsidR="00713D57" w:rsidRPr="00EA792F" w14:paraId="579D55B9" w14:textId="77777777" w:rsidTr="0008506C">
        <w:trPr>
          <w:trHeight w:val="255"/>
        </w:trPr>
        <w:tc>
          <w:tcPr>
            <w:tcW w:w="4253" w:type="dxa"/>
            <w:tcBorders>
              <w:top w:val="nil"/>
              <w:left w:val="nil"/>
              <w:bottom w:val="nil"/>
              <w:right w:val="nil"/>
            </w:tcBorders>
            <w:shd w:val="clear" w:color="auto" w:fill="auto"/>
            <w:noWrap/>
            <w:vAlign w:val="bottom"/>
            <w:hideMark/>
          </w:tcPr>
          <w:p w14:paraId="72F66AF5"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Share premium </w:t>
            </w:r>
          </w:p>
        </w:tc>
        <w:tc>
          <w:tcPr>
            <w:tcW w:w="1184" w:type="dxa"/>
            <w:tcBorders>
              <w:top w:val="nil"/>
              <w:left w:val="nil"/>
              <w:bottom w:val="nil"/>
              <w:right w:val="nil"/>
            </w:tcBorders>
            <w:shd w:val="clear" w:color="auto" w:fill="auto"/>
            <w:noWrap/>
            <w:vAlign w:val="bottom"/>
            <w:hideMark/>
          </w:tcPr>
          <w:p w14:paraId="72723994"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(3), (4) </w:t>
            </w:r>
          </w:p>
        </w:tc>
        <w:tc>
          <w:tcPr>
            <w:tcW w:w="319" w:type="dxa"/>
            <w:tcBorders>
              <w:top w:val="nil"/>
              <w:left w:val="nil"/>
              <w:bottom w:val="nil"/>
              <w:right w:val="nil"/>
            </w:tcBorders>
            <w:shd w:val="clear" w:color="auto" w:fill="auto"/>
            <w:noWrap/>
            <w:vAlign w:val="bottom"/>
            <w:hideMark/>
          </w:tcPr>
          <w:p w14:paraId="2317D748"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64AAAA03"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02493286"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4D23F4B4" w14:textId="00883093"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32,175,293 </w:t>
            </w:r>
          </w:p>
        </w:tc>
        <w:tc>
          <w:tcPr>
            <w:tcW w:w="316" w:type="dxa"/>
            <w:tcBorders>
              <w:top w:val="nil"/>
              <w:left w:val="nil"/>
              <w:bottom w:val="nil"/>
              <w:right w:val="nil"/>
            </w:tcBorders>
            <w:shd w:val="clear" w:color="auto" w:fill="auto"/>
            <w:noWrap/>
            <w:vAlign w:val="bottom"/>
            <w:hideMark/>
          </w:tcPr>
          <w:p w14:paraId="776F75C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A075D92" w14:textId="60829C4C"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32,175,293 </w:t>
            </w:r>
          </w:p>
        </w:tc>
      </w:tr>
      <w:tr w:rsidR="00713D57" w:rsidRPr="00EA792F" w14:paraId="5FDC4CB0" w14:textId="77777777" w:rsidTr="0008506C">
        <w:trPr>
          <w:trHeight w:val="255"/>
        </w:trPr>
        <w:tc>
          <w:tcPr>
            <w:tcW w:w="4253" w:type="dxa"/>
            <w:tcBorders>
              <w:top w:val="nil"/>
              <w:left w:val="nil"/>
              <w:bottom w:val="nil"/>
              <w:right w:val="nil"/>
            </w:tcBorders>
            <w:shd w:val="clear" w:color="auto" w:fill="auto"/>
            <w:noWrap/>
            <w:vAlign w:val="bottom"/>
            <w:hideMark/>
          </w:tcPr>
          <w:p w14:paraId="49EE7013"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Notes and amounts receivable for equity issued</w:t>
            </w:r>
          </w:p>
        </w:tc>
        <w:tc>
          <w:tcPr>
            <w:tcW w:w="1184" w:type="dxa"/>
            <w:tcBorders>
              <w:top w:val="nil"/>
              <w:left w:val="nil"/>
              <w:bottom w:val="nil"/>
              <w:right w:val="nil"/>
            </w:tcBorders>
            <w:shd w:val="clear" w:color="auto" w:fill="auto"/>
            <w:noWrap/>
            <w:vAlign w:val="bottom"/>
            <w:hideMark/>
          </w:tcPr>
          <w:p w14:paraId="5B4E68E2"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6A1A9A17"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19964517" w14:textId="56E1CAB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(1,193,641)</w:t>
            </w:r>
          </w:p>
        </w:tc>
        <w:tc>
          <w:tcPr>
            <w:tcW w:w="316" w:type="dxa"/>
            <w:tcBorders>
              <w:top w:val="nil"/>
              <w:left w:val="nil"/>
              <w:bottom w:val="nil"/>
              <w:right w:val="nil"/>
            </w:tcBorders>
            <w:shd w:val="clear" w:color="auto" w:fill="auto"/>
            <w:noWrap/>
            <w:vAlign w:val="bottom"/>
            <w:hideMark/>
          </w:tcPr>
          <w:p w14:paraId="34E549F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5B525A12"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0156553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68109977" w14:textId="48D5D17A"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(1,193,641)</w:t>
            </w:r>
          </w:p>
        </w:tc>
      </w:tr>
      <w:tr w:rsidR="00713D57" w:rsidRPr="00EA792F" w14:paraId="6C9E7334" w14:textId="77777777" w:rsidTr="0008506C">
        <w:trPr>
          <w:trHeight w:val="255"/>
        </w:trPr>
        <w:tc>
          <w:tcPr>
            <w:tcW w:w="4253" w:type="dxa"/>
            <w:tcBorders>
              <w:top w:val="nil"/>
              <w:left w:val="nil"/>
              <w:bottom w:val="nil"/>
              <w:right w:val="nil"/>
            </w:tcBorders>
            <w:shd w:val="clear" w:color="auto" w:fill="auto"/>
            <w:noWrap/>
            <w:vAlign w:val="bottom"/>
            <w:hideMark/>
          </w:tcPr>
          <w:p w14:paraId="2176D4CE" w14:textId="48F9488B" w:rsidR="00EA792F" w:rsidRPr="00EA792F" w:rsidRDefault="007E3BE0" w:rsidP="00EA792F">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 xml:space="preserve">Warrant and option </w:t>
            </w:r>
            <w:r w:rsidR="00EA792F" w:rsidRPr="00EA792F">
              <w:rPr>
                <w:rFonts w:ascii="Times New Roman" w:eastAsia="Times New Roman" w:hAnsi="Times New Roman" w:cs="Times New Roman"/>
                <w:color w:val="000000"/>
                <w:sz w:val="20"/>
                <w:szCs w:val="20"/>
                <w:lang w:eastAsia="zh-CN"/>
              </w:rPr>
              <w:t>reserve</w:t>
            </w:r>
          </w:p>
        </w:tc>
        <w:tc>
          <w:tcPr>
            <w:tcW w:w="1184" w:type="dxa"/>
            <w:tcBorders>
              <w:top w:val="nil"/>
              <w:left w:val="nil"/>
              <w:bottom w:val="nil"/>
              <w:right w:val="nil"/>
            </w:tcBorders>
            <w:shd w:val="clear" w:color="auto" w:fill="auto"/>
            <w:noWrap/>
            <w:vAlign w:val="bottom"/>
            <w:hideMark/>
          </w:tcPr>
          <w:p w14:paraId="66CEA6A5"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(3)</w:t>
            </w:r>
          </w:p>
        </w:tc>
        <w:tc>
          <w:tcPr>
            <w:tcW w:w="319" w:type="dxa"/>
            <w:tcBorders>
              <w:top w:val="nil"/>
              <w:left w:val="nil"/>
              <w:bottom w:val="nil"/>
              <w:right w:val="nil"/>
            </w:tcBorders>
            <w:shd w:val="clear" w:color="auto" w:fill="auto"/>
            <w:noWrap/>
            <w:vAlign w:val="bottom"/>
            <w:hideMark/>
          </w:tcPr>
          <w:p w14:paraId="20DBF08B"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30A7CDDA"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3090F75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446E9C74" w14:textId="41CDDF3A"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1,040,779 </w:t>
            </w:r>
          </w:p>
        </w:tc>
        <w:tc>
          <w:tcPr>
            <w:tcW w:w="316" w:type="dxa"/>
            <w:tcBorders>
              <w:top w:val="nil"/>
              <w:left w:val="nil"/>
              <w:bottom w:val="nil"/>
              <w:right w:val="nil"/>
            </w:tcBorders>
            <w:shd w:val="clear" w:color="auto" w:fill="auto"/>
            <w:noWrap/>
            <w:vAlign w:val="bottom"/>
            <w:hideMark/>
          </w:tcPr>
          <w:p w14:paraId="6274D6AB"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375C57BB" w14:textId="713F1F0D"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1,040,779 </w:t>
            </w:r>
          </w:p>
        </w:tc>
      </w:tr>
      <w:tr w:rsidR="00713D57" w:rsidRPr="00EA792F" w14:paraId="49ED836A" w14:textId="77777777" w:rsidTr="0008506C">
        <w:trPr>
          <w:trHeight w:val="255"/>
        </w:trPr>
        <w:tc>
          <w:tcPr>
            <w:tcW w:w="4253" w:type="dxa"/>
            <w:tcBorders>
              <w:top w:val="nil"/>
              <w:left w:val="nil"/>
              <w:bottom w:val="nil"/>
              <w:right w:val="nil"/>
            </w:tcBorders>
            <w:shd w:val="clear" w:color="auto" w:fill="auto"/>
            <w:noWrap/>
            <w:vAlign w:val="bottom"/>
            <w:hideMark/>
          </w:tcPr>
          <w:p w14:paraId="15B67CAB"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Shares to be cancelled</w:t>
            </w:r>
          </w:p>
        </w:tc>
        <w:tc>
          <w:tcPr>
            <w:tcW w:w="1184" w:type="dxa"/>
            <w:tcBorders>
              <w:top w:val="nil"/>
              <w:left w:val="nil"/>
              <w:bottom w:val="nil"/>
              <w:right w:val="nil"/>
            </w:tcBorders>
            <w:shd w:val="clear" w:color="auto" w:fill="auto"/>
            <w:noWrap/>
            <w:vAlign w:val="bottom"/>
            <w:hideMark/>
          </w:tcPr>
          <w:p w14:paraId="14D95975"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71498CDB"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2DADA5F8" w14:textId="0FDC04DC"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5,323 </w:t>
            </w:r>
          </w:p>
        </w:tc>
        <w:tc>
          <w:tcPr>
            <w:tcW w:w="316" w:type="dxa"/>
            <w:tcBorders>
              <w:top w:val="nil"/>
              <w:left w:val="nil"/>
              <w:bottom w:val="nil"/>
              <w:right w:val="nil"/>
            </w:tcBorders>
            <w:shd w:val="clear" w:color="auto" w:fill="auto"/>
            <w:noWrap/>
            <w:vAlign w:val="bottom"/>
            <w:hideMark/>
          </w:tcPr>
          <w:p w14:paraId="79C4F109"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135FCD39"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5D50CD5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7FE33176" w14:textId="0A54C824"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5,323 </w:t>
            </w:r>
          </w:p>
        </w:tc>
      </w:tr>
      <w:tr w:rsidR="00713D57" w:rsidRPr="00EA792F" w14:paraId="7F85C5D9" w14:textId="77777777" w:rsidTr="0008506C">
        <w:trPr>
          <w:trHeight w:val="255"/>
        </w:trPr>
        <w:tc>
          <w:tcPr>
            <w:tcW w:w="4253" w:type="dxa"/>
            <w:tcBorders>
              <w:top w:val="nil"/>
              <w:left w:val="nil"/>
              <w:bottom w:val="nil"/>
              <w:right w:val="nil"/>
            </w:tcBorders>
            <w:shd w:val="clear" w:color="auto" w:fill="auto"/>
            <w:noWrap/>
            <w:vAlign w:val="bottom"/>
            <w:hideMark/>
          </w:tcPr>
          <w:p w14:paraId="37D7439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Obligation to Issue Shares</w:t>
            </w:r>
          </w:p>
        </w:tc>
        <w:tc>
          <w:tcPr>
            <w:tcW w:w="1184" w:type="dxa"/>
            <w:tcBorders>
              <w:top w:val="nil"/>
              <w:left w:val="nil"/>
              <w:bottom w:val="nil"/>
              <w:right w:val="nil"/>
            </w:tcBorders>
            <w:shd w:val="clear" w:color="auto" w:fill="auto"/>
            <w:noWrap/>
            <w:vAlign w:val="bottom"/>
            <w:hideMark/>
          </w:tcPr>
          <w:p w14:paraId="5849AA29"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1D11D5B7"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504099C2" w14:textId="72612814"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7,450 </w:t>
            </w:r>
          </w:p>
        </w:tc>
        <w:tc>
          <w:tcPr>
            <w:tcW w:w="316" w:type="dxa"/>
            <w:tcBorders>
              <w:top w:val="nil"/>
              <w:left w:val="nil"/>
              <w:bottom w:val="nil"/>
              <w:right w:val="nil"/>
            </w:tcBorders>
            <w:shd w:val="clear" w:color="auto" w:fill="auto"/>
            <w:noWrap/>
            <w:vAlign w:val="bottom"/>
            <w:hideMark/>
          </w:tcPr>
          <w:p w14:paraId="59577DD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C84980D"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55C9DB80"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3BF6A0DB" w14:textId="2C170BA9"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7,450 </w:t>
            </w:r>
          </w:p>
        </w:tc>
      </w:tr>
      <w:tr w:rsidR="00713D57" w:rsidRPr="00EA792F" w14:paraId="05901A61" w14:textId="77777777" w:rsidTr="0008506C">
        <w:trPr>
          <w:trHeight w:val="255"/>
        </w:trPr>
        <w:tc>
          <w:tcPr>
            <w:tcW w:w="4253" w:type="dxa"/>
            <w:tcBorders>
              <w:top w:val="nil"/>
              <w:left w:val="nil"/>
              <w:bottom w:val="nil"/>
              <w:right w:val="nil"/>
            </w:tcBorders>
            <w:shd w:val="clear" w:color="auto" w:fill="auto"/>
            <w:noWrap/>
            <w:vAlign w:val="bottom"/>
            <w:hideMark/>
          </w:tcPr>
          <w:p w14:paraId="4A04234C"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Accumulated other comprehensive loss</w:t>
            </w:r>
          </w:p>
        </w:tc>
        <w:tc>
          <w:tcPr>
            <w:tcW w:w="1184" w:type="dxa"/>
            <w:tcBorders>
              <w:top w:val="nil"/>
              <w:left w:val="nil"/>
              <w:bottom w:val="nil"/>
              <w:right w:val="nil"/>
            </w:tcBorders>
            <w:shd w:val="clear" w:color="auto" w:fill="auto"/>
            <w:noWrap/>
            <w:vAlign w:val="bottom"/>
            <w:hideMark/>
          </w:tcPr>
          <w:p w14:paraId="1BCAF20E"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nil"/>
              <w:right w:val="nil"/>
            </w:tcBorders>
            <w:shd w:val="clear" w:color="auto" w:fill="auto"/>
            <w:noWrap/>
            <w:vAlign w:val="bottom"/>
            <w:hideMark/>
          </w:tcPr>
          <w:p w14:paraId="53B4B596" w14:textId="77777777" w:rsidR="00EA792F" w:rsidRPr="00EA792F" w:rsidRDefault="00EA792F" w:rsidP="00EA792F">
            <w:pPr>
              <w:spacing w:after="0" w:line="240" w:lineRule="auto"/>
              <w:jc w:val="right"/>
              <w:rPr>
                <w:rFonts w:ascii="Times New Roman" w:eastAsia="Times New Roman" w:hAnsi="Times New Roman" w:cs="Times New Roman"/>
                <w:sz w:val="20"/>
                <w:szCs w:val="20"/>
                <w:lang w:eastAsia="zh-CN"/>
              </w:rPr>
            </w:pPr>
          </w:p>
        </w:tc>
        <w:tc>
          <w:tcPr>
            <w:tcW w:w="1250" w:type="dxa"/>
            <w:tcBorders>
              <w:top w:val="nil"/>
              <w:left w:val="nil"/>
              <w:bottom w:val="nil"/>
              <w:right w:val="nil"/>
            </w:tcBorders>
            <w:shd w:val="clear" w:color="auto" w:fill="auto"/>
            <w:noWrap/>
            <w:vAlign w:val="bottom"/>
            <w:hideMark/>
          </w:tcPr>
          <w:p w14:paraId="56A725AA" w14:textId="6677438A"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(847,412)</w:t>
            </w:r>
          </w:p>
        </w:tc>
        <w:tc>
          <w:tcPr>
            <w:tcW w:w="316" w:type="dxa"/>
            <w:tcBorders>
              <w:top w:val="nil"/>
              <w:left w:val="nil"/>
              <w:bottom w:val="nil"/>
              <w:right w:val="nil"/>
            </w:tcBorders>
            <w:shd w:val="clear" w:color="auto" w:fill="auto"/>
            <w:noWrap/>
            <w:vAlign w:val="bottom"/>
            <w:hideMark/>
          </w:tcPr>
          <w:p w14:paraId="655CD35B"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352539C7"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70265A76"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p>
        </w:tc>
        <w:tc>
          <w:tcPr>
            <w:tcW w:w="1250" w:type="dxa"/>
            <w:tcBorders>
              <w:top w:val="nil"/>
              <w:left w:val="nil"/>
              <w:bottom w:val="nil"/>
              <w:right w:val="nil"/>
            </w:tcBorders>
            <w:shd w:val="clear" w:color="auto" w:fill="auto"/>
            <w:noWrap/>
            <w:vAlign w:val="bottom"/>
            <w:hideMark/>
          </w:tcPr>
          <w:p w14:paraId="0A695289" w14:textId="6C194DC2"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(847,412)</w:t>
            </w:r>
          </w:p>
        </w:tc>
      </w:tr>
      <w:tr w:rsidR="00713D57" w:rsidRPr="00EA792F" w14:paraId="18A28A82" w14:textId="77777777" w:rsidTr="0008506C">
        <w:trPr>
          <w:trHeight w:val="270"/>
        </w:trPr>
        <w:tc>
          <w:tcPr>
            <w:tcW w:w="4253" w:type="dxa"/>
            <w:tcBorders>
              <w:top w:val="nil"/>
              <w:left w:val="nil"/>
              <w:bottom w:val="nil"/>
              <w:right w:val="nil"/>
            </w:tcBorders>
            <w:shd w:val="clear" w:color="auto" w:fill="auto"/>
            <w:noWrap/>
            <w:vAlign w:val="bottom"/>
            <w:hideMark/>
          </w:tcPr>
          <w:p w14:paraId="0450AF18"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Accumulated deficit</w:t>
            </w:r>
          </w:p>
        </w:tc>
        <w:tc>
          <w:tcPr>
            <w:tcW w:w="1184" w:type="dxa"/>
            <w:tcBorders>
              <w:top w:val="nil"/>
              <w:left w:val="nil"/>
              <w:bottom w:val="nil"/>
              <w:right w:val="nil"/>
            </w:tcBorders>
            <w:shd w:val="clear" w:color="auto" w:fill="auto"/>
            <w:noWrap/>
            <w:vAlign w:val="bottom"/>
            <w:hideMark/>
          </w:tcPr>
          <w:p w14:paraId="2659D382"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single" w:sz="8" w:space="0" w:color="auto"/>
              <w:right w:val="nil"/>
            </w:tcBorders>
            <w:shd w:val="clear" w:color="auto" w:fill="auto"/>
            <w:noWrap/>
            <w:vAlign w:val="bottom"/>
            <w:hideMark/>
          </w:tcPr>
          <w:p w14:paraId="5F13E702"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19922E31" w14:textId="3FF08862"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(30,527,877)</w:t>
            </w:r>
          </w:p>
        </w:tc>
        <w:tc>
          <w:tcPr>
            <w:tcW w:w="316" w:type="dxa"/>
            <w:tcBorders>
              <w:top w:val="nil"/>
              <w:left w:val="nil"/>
              <w:bottom w:val="single" w:sz="8" w:space="0" w:color="auto"/>
              <w:right w:val="nil"/>
            </w:tcBorders>
            <w:shd w:val="clear" w:color="auto" w:fill="auto"/>
            <w:noWrap/>
            <w:vAlign w:val="bottom"/>
            <w:hideMark/>
          </w:tcPr>
          <w:p w14:paraId="1802C7F3"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3DBD66F5" w14:textId="285898C2"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(5,122,973)</w:t>
            </w:r>
          </w:p>
        </w:tc>
        <w:tc>
          <w:tcPr>
            <w:tcW w:w="316" w:type="dxa"/>
            <w:tcBorders>
              <w:top w:val="nil"/>
              <w:left w:val="nil"/>
              <w:bottom w:val="single" w:sz="8" w:space="0" w:color="auto"/>
              <w:right w:val="nil"/>
            </w:tcBorders>
            <w:shd w:val="clear" w:color="auto" w:fill="auto"/>
            <w:noWrap/>
            <w:vAlign w:val="bottom"/>
            <w:hideMark/>
          </w:tcPr>
          <w:p w14:paraId="262388E4"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3C475C09" w14:textId="72204222"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(35,650,850)</w:t>
            </w:r>
          </w:p>
        </w:tc>
      </w:tr>
      <w:tr w:rsidR="00713D57" w:rsidRPr="00EA792F" w14:paraId="2618DE8F" w14:textId="77777777" w:rsidTr="0008506C">
        <w:trPr>
          <w:trHeight w:val="270"/>
        </w:trPr>
        <w:tc>
          <w:tcPr>
            <w:tcW w:w="4253" w:type="dxa"/>
            <w:tcBorders>
              <w:top w:val="nil"/>
              <w:left w:val="nil"/>
              <w:bottom w:val="nil"/>
              <w:right w:val="nil"/>
            </w:tcBorders>
            <w:shd w:val="clear" w:color="auto" w:fill="auto"/>
            <w:noWrap/>
            <w:vAlign w:val="bottom"/>
            <w:hideMark/>
          </w:tcPr>
          <w:p w14:paraId="2EA84A69" w14:textId="621794F6"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Total stockholders’ </w:t>
            </w:r>
            <w:r w:rsidR="00B04639">
              <w:rPr>
                <w:rFonts w:ascii="Times New Roman" w:eastAsia="Times New Roman" w:hAnsi="Times New Roman" w:cs="Times New Roman"/>
                <w:color w:val="000000"/>
                <w:sz w:val="20"/>
                <w:szCs w:val="20"/>
                <w:lang w:eastAsia="zh-CN"/>
              </w:rPr>
              <w:t>equity (</w:t>
            </w:r>
            <w:r w:rsidRPr="00EA792F">
              <w:rPr>
                <w:rFonts w:ascii="Times New Roman" w:eastAsia="Times New Roman" w:hAnsi="Times New Roman" w:cs="Times New Roman"/>
                <w:color w:val="000000"/>
                <w:sz w:val="20"/>
                <w:szCs w:val="20"/>
                <w:lang w:eastAsia="zh-CN"/>
              </w:rPr>
              <w:t>deficiency</w:t>
            </w:r>
            <w:r w:rsidR="00B04639">
              <w:rPr>
                <w:rFonts w:ascii="Times New Roman" w:eastAsia="Times New Roman" w:hAnsi="Times New Roman" w:cs="Times New Roman"/>
                <w:color w:val="000000"/>
                <w:sz w:val="20"/>
                <w:szCs w:val="20"/>
                <w:lang w:eastAsia="zh-CN"/>
              </w:rPr>
              <w:t>)</w:t>
            </w:r>
          </w:p>
        </w:tc>
        <w:tc>
          <w:tcPr>
            <w:tcW w:w="1184" w:type="dxa"/>
            <w:tcBorders>
              <w:top w:val="nil"/>
              <w:left w:val="nil"/>
              <w:bottom w:val="nil"/>
              <w:right w:val="nil"/>
            </w:tcBorders>
            <w:shd w:val="clear" w:color="auto" w:fill="auto"/>
            <w:noWrap/>
            <w:vAlign w:val="bottom"/>
            <w:hideMark/>
          </w:tcPr>
          <w:p w14:paraId="093B65EE"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single" w:sz="8" w:space="0" w:color="auto"/>
              <w:right w:val="nil"/>
            </w:tcBorders>
            <w:shd w:val="clear" w:color="auto" w:fill="auto"/>
            <w:noWrap/>
            <w:vAlign w:val="bottom"/>
            <w:hideMark/>
          </w:tcPr>
          <w:p w14:paraId="46C20F63"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1DD51E16" w14:textId="28D1F743"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741,084 </w:t>
            </w:r>
          </w:p>
        </w:tc>
        <w:tc>
          <w:tcPr>
            <w:tcW w:w="316" w:type="dxa"/>
            <w:tcBorders>
              <w:top w:val="nil"/>
              <w:left w:val="nil"/>
              <w:bottom w:val="single" w:sz="8" w:space="0" w:color="auto"/>
              <w:right w:val="nil"/>
            </w:tcBorders>
            <w:shd w:val="clear" w:color="auto" w:fill="auto"/>
            <w:noWrap/>
            <w:vAlign w:val="bottom"/>
            <w:hideMark/>
          </w:tcPr>
          <w:p w14:paraId="13EFF2A9"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773CE780" w14:textId="22393C1D"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(5,202,314)</w:t>
            </w:r>
          </w:p>
        </w:tc>
        <w:tc>
          <w:tcPr>
            <w:tcW w:w="316" w:type="dxa"/>
            <w:tcBorders>
              <w:top w:val="nil"/>
              <w:left w:val="nil"/>
              <w:bottom w:val="single" w:sz="8" w:space="0" w:color="auto"/>
              <w:right w:val="nil"/>
            </w:tcBorders>
            <w:shd w:val="clear" w:color="auto" w:fill="auto"/>
            <w:noWrap/>
            <w:vAlign w:val="bottom"/>
            <w:hideMark/>
          </w:tcPr>
          <w:p w14:paraId="768A1CD9"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w:t>
            </w:r>
          </w:p>
        </w:tc>
        <w:tc>
          <w:tcPr>
            <w:tcW w:w="1250" w:type="dxa"/>
            <w:tcBorders>
              <w:top w:val="nil"/>
              <w:left w:val="nil"/>
              <w:bottom w:val="single" w:sz="8" w:space="0" w:color="auto"/>
              <w:right w:val="nil"/>
            </w:tcBorders>
            <w:shd w:val="clear" w:color="auto" w:fill="auto"/>
            <w:noWrap/>
            <w:vAlign w:val="bottom"/>
            <w:hideMark/>
          </w:tcPr>
          <w:p w14:paraId="2B819AB5" w14:textId="12A6E684"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(4,461,230)</w:t>
            </w:r>
          </w:p>
        </w:tc>
      </w:tr>
      <w:tr w:rsidR="00713D57" w:rsidRPr="00EA792F" w14:paraId="5D6192E0" w14:textId="77777777" w:rsidTr="0008506C">
        <w:trPr>
          <w:trHeight w:val="270"/>
        </w:trPr>
        <w:tc>
          <w:tcPr>
            <w:tcW w:w="4253" w:type="dxa"/>
            <w:tcBorders>
              <w:top w:val="nil"/>
              <w:left w:val="nil"/>
              <w:bottom w:val="nil"/>
              <w:right w:val="nil"/>
            </w:tcBorders>
            <w:shd w:val="clear" w:color="auto" w:fill="auto"/>
            <w:noWrap/>
            <w:vAlign w:val="bottom"/>
            <w:hideMark/>
          </w:tcPr>
          <w:p w14:paraId="231ECE65" w14:textId="7921D0AB"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Total liabilities and stockholders’ </w:t>
            </w:r>
            <w:r w:rsidR="00B86A9C">
              <w:rPr>
                <w:rFonts w:ascii="Times New Roman" w:eastAsia="Times New Roman" w:hAnsi="Times New Roman" w:cs="Times New Roman"/>
                <w:color w:val="000000"/>
                <w:sz w:val="20"/>
                <w:szCs w:val="20"/>
                <w:lang w:eastAsia="zh-CN"/>
              </w:rPr>
              <w:t>equity (</w:t>
            </w:r>
            <w:r w:rsidRPr="00EA792F">
              <w:rPr>
                <w:rFonts w:ascii="Times New Roman" w:eastAsia="Times New Roman" w:hAnsi="Times New Roman" w:cs="Times New Roman"/>
                <w:color w:val="000000"/>
                <w:sz w:val="20"/>
                <w:szCs w:val="20"/>
                <w:lang w:eastAsia="zh-CN"/>
              </w:rPr>
              <w:t>deficiency</w:t>
            </w:r>
            <w:r w:rsidR="00B86A9C">
              <w:rPr>
                <w:rFonts w:ascii="Times New Roman" w:eastAsia="Times New Roman" w:hAnsi="Times New Roman" w:cs="Times New Roman"/>
                <w:color w:val="000000"/>
                <w:sz w:val="20"/>
                <w:szCs w:val="20"/>
                <w:lang w:eastAsia="zh-CN"/>
              </w:rPr>
              <w:t>)</w:t>
            </w:r>
            <w:r w:rsidRPr="00EA792F">
              <w:rPr>
                <w:rFonts w:ascii="Times New Roman" w:eastAsia="Times New Roman" w:hAnsi="Times New Roman" w:cs="Times New Roman"/>
                <w:color w:val="000000"/>
                <w:sz w:val="20"/>
                <w:szCs w:val="20"/>
                <w:lang w:eastAsia="zh-CN"/>
              </w:rPr>
              <w:t xml:space="preserve"> </w:t>
            </w:r>
          </w:p>
        </w:tc>
        <w:tc>
          <w:tcPr>
            <w:tcW w:w="1184" w:type="dxa"/>
            <w:tcBorders>
              <w:top w:val="nil"/>
              <w:left w:val="nil"/>
              <w:bottom w:val="nil"/>
              <w:right w:val="nil"/>
            </w:tcBorders>
            <w:shd w:val="clear" w:color="auto" w:fill="auto"/>
            <w:noWrap/>
            <w:vAlign w:val="bottom"/>
            <w:hideMark/>
          </w:tcPr>
          <w:p w14:paraId="6FE0C63D" w14:textId="77777777" w:rsidR="00EA792F" w:rsidRPr="00EA792F" w:rsidRDefault="00EA792F" w:rsidP="00EA792F">
            <w:pPr>
              <w:spacing w:after="0" w:line="240" w:lineRule="auto"/>
              <w:rPr>
                <w:rFonts w:ascii="Times New Roman" w:eastAsia="Times New Roman" w:hAnsi="Times New Roman" w:cs="Times New Roman"/>
                <w:color w:val="000000"/>
                <w:sz w:val="20"/>
                <w:szCs w:val="20"/>
                <w:lang w:eastAsia="zh-CN"/>
              </w:rPr>
            </w:pPr>
          </w:p>
        </w:tc>
        <w:tc>
          <w:tcPr>
            <w:tcW w:w="319" w:type="dxa"/>
            <w:tcBorders>
              <w:top w:val="nil"/>
              <w:left w:val="nil"/>
              <w:bottom w:val="double" w:sz="6" w:space="0" w:color="auto"/>
              <w:right w:val="nil"/>
            </w:tcBorders>
            <w:shd w:val="clear" w:color="auto" w:fill="auto"/>
            <w:noWrap/>
            <w:vAlign w:val="bottom"/>
            <w:hideMark/>
          </w:tcPr>
          <w:p w14:paraId="1D22124A"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double" w:sz="6" w:space="0" w:color="auto"/>
              <w:right w:val="nil"/>
            </w:tcBorders>
            <w:shd w:val="clear" w:color="auto" w:fill="auto"/>
            <w:noWrap/>
            <w:vAlign w:val="bottom"/>
            <w:hideMark/>
          </w:tcPr>
          <w:p w14:paraId="3F246BBD" w14:textId="0B825BD6"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7,157,813 </w:t>
            </w:r>
          </w:p>
        </w:tc>
        <w:tc>
          <w:tcPr>
            <w:tcW w:w="316" w:type="dxa"/>
            <w:tcBorders>
              <w:top w:val="nil"/>
              <w:left w:val="nil"/>
              <w:bottom w:val="double" w:sz="6" w:space="0" w:color="auto"/>
              <w:right w:val="nil"/>
            </w:tcBorders>
            <w:shd w:val="clear" w:color="auto" w:fill="auto"/>
            <w:noWrap/>
            <w:vAlign w:val="bottom"/>
            <w:hideMark/>
          </w:tcPr>
          <w:p w14:paraId="7345F6BE"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double" w:sz="6" w:space="0" w:color="auto"/>
              <w:right w:val="nil"/>
            </w:tcBorders>
            <w:shd w:val="clear" w:color="auto" w:fill="auto"/>
            <w:noWrap/>
            <w:vAlign w:val="bottom"/>
            <w:hideMark/>
          </w:tcPr>
          <w:p w14:paraId="5E17C2FE" w14:textId="3197159F"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(636,184)</w:t>
            </w:r>
          </w:p>
        </w:tc>
        <w:tc>
          <w:tcPr>
            <w:tcW w:w="316" w:type="dxa"/>
            <w:tcBorders>
              <w:top w:val="nil"/>
              <w:left w:val="nil"/>
              <w:bottom w:val="double" w:sz="6" w:space="0" w:color="auto"/>
              <w:right w:val="nil"/>
            </w:tcBorders>
            <w:shd w:val="clear" w:color="auto" w:fill="auto"/>
            <w:noWrap/>
            <w:vAlign w:val="bottom"/>
            <w:hideMark/>
          </w:tcPr>
          <w:p w14:paraId="50A080BC" w14:textId="77777777"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w:t>
            </w:r>
          </w:p>
        </w:tc>
        <w:tc>
          <w:tcPr>
            <w:tcW w:w="1250" w:type="dxa"/>
            <w:tcBorders>
              <w:top w:val="nil"/>
              <w:left w:val="nil"/>
              <w:bottom w:val="double" w:sz="6" w:space="0" w:color="auto"/>
              <w:right w:val="nil"/>
            </w:tcBorders>
            <w:shd w:val="clear" w:color="auto" w:fill="auto"/>
            <w:noWrap/>
            <w:vAlign w:val="bottom"/>
            <w:hideMark/>
          </w:tcPr>
          <w:p w14:paraId="38778CCE" w14:textId="129651F6" w:rsidR="00EA792F" w:rsidRPr="00EA792F" w:rsidRDefault="00EA792F" w:rsidP="00EA792F">
            <w:pPr>
              <w:spacing w:after="0" w:line="240" w:lineRule="auto"/>
              <w:jc w:val="right"/>
              <w:rPr>
                <w:rFonts w:ascii="Times New Roman" w:eastAsia="Times New Roman" w:hAnsi="Times New Roman" w:cs="Times New Roman"/>
                <w:color w:val="000000"/>
                <w:sz w:val="20"/>
                <w:szCs w:val="20"/>
                <w:lang w:eastAsia="zh-CN"/>
              </w:rPr>
            </w:pPr>
            <w:r w:rsidRPr="00EA792F">
              <w:rPr>
                <w:rFonts w:ascii="Times New Roman" w:eastAsia="Times New Roman" w:hAnsi="Times New Roman" w:cs="Times New Roman"/>
                <w:color w:val="000000"/>
                <w:sz w:val="20"/>
                <w:szCs w:val="20"/>
                <w:lang w:eastAsia="zh-CN"/>
              </w:rPr>
              <w:t xml:space="preserve">   6,521,629 </w:t>
            </w:r>
          </w:p>
        </w:tc>
      </w:tr>
    </w:tbl>
    <w:p w14:paraId="17FB4280" w14:textId="77777777" w:rsidR="00D247F4" w:rsidRDefault="00D247F4" w:rsidP="00D247F4">
      <w:pPr>
        <w:spacing w:after="0" w:line="240" w:lineRule="auto"/>
        <w:ind w:left="720"/>
        <w:jc w:val="both"/>
        <w:rPr>
          <w:rFonts w:ascii="Times New Roman" w:eastAsia="Times New Roman" w:hAnsi="Times New Roman" w:cs="Times New Roman"/>
          <w:i/>
          <w:iCs/>
          <w:sz w:val="20"/>
          <w:szCs w:val="20"/>
          <w:lang w:val="en-US"/>
        </w:rPr>
      </w:pPr>
    </w:p>
    <w:p w14:paraId="64C3D654" w14:textId="77777777" w:rsidR="00080193" w:rsidRDefault="00080193" w:rsidP="00A74074">
      <w:pPr>
        <w:spacing w:after="0" w:line="240" w:lineRule="auto"/>
        <w:ind w:left="720"/>
        <w:jc w:val="both"/>
        <w:rPr>
          <w:rFonts w:ascii="Times New Roman" w:eastAsia="Times New Roman" w:hAnsi="Times New Roman" w:cs="Times New Roman"/>
          <w:i/>
          <w:iCs/>
          <w:sz w:val="20"/>
          <w:szCs w:val="20"/>
          <w:lang w:val="en-US"/>
        </w:rPr>
      </w:pPr>
    </w:p>
    <w:p w14:paraId="5C5F51F3" w14:textId="77777777" w:rsidR="00A40CEC" w:rsidRDefault="00A40CEC" w:rsidP="00A74074">
      <w:pPr>
        <w:spacing w:after="0" w:line="240" w:lineRule="auto"/>
        <w:ind w:left="720"/>
        <w:jc w:val="both"/>
        <w:rPr>
          <w:rFonts w:ascii="Times New Roman" w:eastAsia="Times New Roman" w:hAnsi="Times New Roman" w:cs="Times New Roman"/>
          <w:i/>
          <w:iCs/>
          <w:sz w:val="20"/>
          <w:szCs w:val="20"/>
          <w:lang w:val="en-US"/>
        </w:rPr>
      </w:pPr>
      <w:bookmarkStart w:id="4" w:name="RANGE!B6"/>
      <w:bookmarkEnd w:id="4"/>
    </w:p>
    <w:p w14:paraId="25362995" w14:textId="77777777" w:rsidR="00A40CEC" w:rsidRDefault="00A40CEC">
      <w:pPr>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br w:type="page"/>
      </w:r>
    </w:p>
    <w:p w14:paraId="14E666DB" w14:textId="77777777" w:rsidR="00A40CEC" w:rsidRDefault="00A40CEC" w:rsidP="00A74074">
      <w:pPr>
        <w:spacing w:after="0" w:line="240" w:lineRule="auto"/>
        <w:ind w:left="720"/>
        <w:jc w:val="both"/>
        <w:rPr>
          <w:rFonts w:ascii="Times New Roman" w:eastAsia="Times New Roman" w:hAnsi="Times New Roman" w:cs="Times New Roman"/>
          <w:i/>
          <w:iCs/>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1220D4" w:rsidRPr="00D2099E" w14:paraId="1428B5C7" w14:textId="77777777" w:rsidTr="00AE52B2">
        <w:tc>
          <w:tcPr>
            <w:tcW w:w="360" w:type="dxa"/>
            <w:hideMark/>
          </w:tcPr>
          <w:p w14:paraId="14E8A39B" w14:textId="77777777" w:rsidR="001220D4" w:rsidRPr="00D2099E" w:rsidRDefault="001220D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3BD92336" w14:textId="77777777" w:rsidR="001220D4" w:rsidRPr="00D2099E" w:rsidRDefault="001220D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670ABFD0" w14:textId="77777777" w:rsidR="001220D4" w:rsidRDefault="001220D4" w:rsidP="00A74074">
      <w:pPr>
        <w:spacing w:after="0" w:line="240" w:lineRule="auto"/>
        <w:ind w:left="720"/>
        <w:jc w:val="both"/>
        <w:rPr>
          <w:rFonts w:ascii="Times New Roman" w:eastAsia="Times New Roman" w:hAnsi="Times New Roman" w:cs="Times New Roman"/>
          <w:i/>
          <w:iCs/>
          <w:sz w:val="20"/>
          <w:szCs w:val="20"/>
          <w:lang w:val="en-US"/>
        </w:rPr>
      </w:pPr>
    </w:p>
    <w:p w14:paraId="1200C46B" w14:textId="5A7D03FE" w:rsidR="00A40CEC" w:rsidRDefault="00A40CEC" w:rsidP="00A74074">
      <w:pPr>
        <w:spacing w:after="0" w:line="240" w:lineRule="auto"/>
        <w:ind w:left="720"/>
        <w:jc w:val="both"/>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t>R</w:t>
      </w:r>
      <w:r w:rsidRPr="00130A49">
        <w:rPr>
          <w:rFonts w:ascii="Times New Roman" w:eastAsia="Times New Roman" w:hAnsi="Times New Roman" w:cs="Times New Roman"/>
          <w:i/>
          <w:iCs/>
          <w:sz w:val="20"/>
          <w:szCs w:val="20"/>
          <w:lang w:val="en-US"/>
        </w:rPr>
        <w:t xml:space="preserve">econciliation of </w:t>
      </w:r>
      <w:r>
        <w:rPr>
          <w:rFonts w:ascii="Times New Roman" w:eastAsia="Times New Roman" w:hAnsi="Times New Roman" w:cs="Times New Roman"/>
          <w:i/>
          <w:iCs/>
          <w:sz w:val="20"/>
          <w:szCs w:val="20"/>
          <w:lang w:val="en-US"/>
        </w:rPr>
        <w:t xml:space="preserve">operation results for the </w:t>
      </w:r>
      <w:r w:rsidR="004210B9">
        <w:rPr>
          <w:rFonts w:ascii="Times New Roman" w:eastAsia="Times New Roman" w:hAnsi="Times New Roman" w:cs="Times New Roman"/>
          <w:i/>
          <w:iCs/>
          <w:sz w:val="20"/>
          <w:szCs w:val="20"/>
          <w:lang w:val="en-US"/>
        </w:rPr>
        <w:t>six</w:t>
      </w:r>
      <w:r>
        <w:rPr>
          <w:rFonts w:ascii="Times New Roman" w:eastAsia="Times New Roman" w:hAnsi="Times New Roman" w:cs="Times New Roman"/>
          <w:i/>
          <w:iCs/>
          <w:sz w:val="20"/>
          <w:szCs w:val="20"/>
          <w:lang w:val="en-US"/>
        </w:rPr>
        <w:t xml:space="preserve"> months ended </w:t>
      </w:r>
      <w:r w:rsidR="004210B9">
        <w:rPr>
          <w:rFonts w:ascii="Times New Roman" w:eastAsia="Times New Roman" w:hAnsi="Times New Roman" w:cs="Times New Roman"/>
          <w:i/>
          <w:iCs/>
          <w:sz w:val="20"/>
          <w:szCs w:val="20"/>
          <w:lang w:val="en-US"/>
        </w:rPr>
        <w:t>June 30</w:t>
      </w:r>
      <w:r>
        <w:rPr>
          <w:rFonts w:ascii="Times New Roman" w:eastAsia="Times New Roman" w:hAnsi="Times New Roman" w:cs="Times New Roman"/>
          <w:i/>
          <w:iCs/>
          <w:sz w:val="20"/>
          <w:szCs w:val="20"/>
          <w:lang w:val="en-US"/>
        </w:rPr>
        <w:t>, 2021</w:t>
      </w:r>
      <w:r w:rsidRPr="00130A49">
        <w:rPr>
          <w:rFonts w:ascii="Times New Roman" w:eastAsia="Times New Roman" w:hAnsi="Times New Roman" w:cs="Times New Roman"/>
          <w:i/>
          <w:iCs/>
          <w:sz w:val="20"/>
          <w:szCs w:val="20"/>
          <w:lang w:val="en-US"/>
        </w:rPr>
        <w:t xml:space="preserve"> </w:t>
      </w:r>
    </w:p>
    <w:p w14:paraId="72260A8E" w14:textId="2B5CE862" w:rsidR="004210B9" w:rsidRDefault="004210B9" w:rsidP="004210B9">
      <w:pPr>
        <w:spacing w:after="0" w:line="240" w:lineRule="auto"/>
        <w:jc w:val="both"/>
        <w:rPr>
          <w:rFonts w:ascii="Times New Roman" w:eastAsia="Times New Roman" w:hAnsi="Times New Roman" w:cs="Times New Roman"/>
          <w:i/>
          <w:iCs/>
          <w:sz w:val="20"/>
          <w:szCs w:val="20"/>
          <w:lang w:val="en-US"/>
        </w:rPr>
      </w:pPr>
    </w:p>
    <w:tbl>
      <w:tblPr>
        <w:tblW w:w="9736" w:type="dxa"/>
        <w:tblLook w:val="04A0" w:firstRow="1" w:lastRow="0" w:firstColumn="1" w:lastColumn="0" w:noHBand="0" w:noVBand="1"/>
      </w:tblPr>
      <w:tblGrid>
        <w:gridCol w:w="4120"/>
        <w:gridCol w:w="842"/>
        <w:gridCol w:w="418"/>
        <w:gridCol w:w="1216"/>
        <w:gridCol w:w="380"/>
        <w:gridCol w:w="1164"/>
        <w:gridCol w:w="380"/>
        <w:gridCol w:w="1216"/>
      </w:tblGrid>
      <w:tr w:rsidR="004210B9" w:rsidRPr="00A40CEC" w14:paraId="4836B34E" w14:textId="77777777" w:rsidTr="00064A08">
        <w:trPr>
          <w:trHeight w:val="613"/>
        </w:trPr>
        <w:tc>
          <w:tcPr>
            <w:tcW w:w="4120" w:type="dxa"/>
            <w:tcBorders>
              <w:top w:val="single" w:sz="12" w:space="0" w:color="auto"/>
              <w:left w:val="nil"/>
              <w:bottom w:val="single" w:sz="12" w:space="0" w:color="auto"/>
              <w:right w:val="nil"/>
            </w:tcBorders>
            <w:shd w:val="clear" w:color="auto" w:fill="auto"/>
            <w:noWrap/>
            <w:vAlign w:val="bottom"/>
            <w:hideMark/>
          </w:tcPr>
          <w:p w14:paraId="162442D5" w14:textId="77777777" w:rsidR="004210B9" w:rsidRPr="00A40CEC" w:rsidRDefault="004210B9" w:rsidP="006443C5">
            <w:pPr>
              <w:spacing w:after="0" w:line="240" w:lineRule="auto"/>
              <w:rPr>
                <w:rFonts w:ascii="Times New Roman" w:eastAsia="Times New Roman" w:hAnsi="Times New Roman" w:cs="Times New Roman"/>
                <w:sz w:val="24"/>
                <w:szCs w:val="24"/>
                <w:lang w:eastAsia="zh-CN"/>
              </w:rPr>
            </w:pPr>
          </w:p>
        </w:tc>
        <w:tc>
          <w:tcPr>
            <w:tcW w:w="842" w:type="dxa"/>
            <w:tcBorders>
              <w:top w:val="single" w:sz="12" w:space="0" w:color="auto"/>
              <w:left w:val="nil"/>
              <w:bottom w:val="single" w:sz="12" w:space="0" w:color="auto"/>
              <w:right w:val="nil"/>
            </w:tcBorders>
            <w:shd w:val="clear" w:color="auto" w:fill="auto"/>
            <w:noWrap/>
            <w:vAlign w:val="bottom"/>
            <w:hideMark/>
          </w:tcPr>
          <w:p w14:paraId="0824A0A7" w14:textId="77777777" w:rsidR="004210B9" w:rsidRPr="00A40CEC" w:rsidRDefault="004210B9" w:rsidP="006443C5">
            <w:pPr>
              <w:spacing w:after="0" w:line="240" w:lineRule="auto"/>
              <w:jc w:val="right"/>
              <w:rPr>
                <w:rFonts w:ascii="Times New Roman" w:eastAsia="Times New Roman" w:hAnsi="Times New Roman" w:cs="Times New Roman"/>
                <w:b/>
                <w:bCs/>
                <w:color w:val="000000"/>
                <w:sz w:val="20"/>
                <w:szCs w:val="20"/>
                <w:lang w:eastAsia="zh-CN"/>
              </w:rPr>
            </w:pPr>
            <w:r w:rsidRPr="00A40CEC">
              <w:rPr>
                <w:rFonts w:ascii="Times New Roman" w:eastAsia="Times New Roman" w:hAnsi="Times New Roman" w:cs="Times New Roman"/>
                <w:b/>
                <w:bCs/>
                <w:color w:val="000000"/>
                <w:sz w:val="20"/>
                <w:szCs w:val="20"/>
                <w:lang w:eastAsia="zh-CN"/>
              </w:rPr>
              <w:t>Notes</w:t>
            </w:r>
          </w:p>
        </w:tc>
        <w:tc>
          <w:tcPr>
            <w:tcW w:w="418" w:type="dxa"/>
            <w:tcBorders>
              <w:top w:val="single" w:sz="12" w:space="0" w:color="auto"/>
              <w:left w:val="nil"/>
              <w:bottom w:val="single" w:sz="12" w:space="0" w:color="auto"/>
              <w:right w:val="nil"/>
            </w:tcBorders>
            <w:shd w:val="clear" w:color="auto" w:fill="auto"/>
            <w:noWrap/>
            <w:vAlign w:val="bottom"/>
            <w:hideMark/>
          </w:tcPr>
          <w:p w14:paraId="0033CDC9" w14:textId="77777777" w:rsidR="004210B9" w:rsidRPr="00A40CEC" w:rsidRDefault="004210B9" w:rsidP="006443C5">
            <w:pPr>
              <w:spacing w:after="0" w:line="240" w:lineRule="auto"/>
              <w:jc w:val="right"/>
              <w:rPr>
                <w:rFonts w:ascii="Times New Roman" w:eastAsia="Times New Roman" w:hAnsi="Times New Roman" w:cs="Times New Roman"/>
                <w:b/>
                <w:bCs/>
                <w:color w:val="000000"/>
                <w:sz w:val="20"/>
                <w:szCs w:val="20"/>
                <w:lang w:eastAsia="zh-CN"/>
              </w:rPr>
            </w:pPr>
            <w:r w:rsidRPr="00A40CEC">
              <w:rPr>
                <w:rFonts w:ascii="Times New Roman" w:eastAsia="Times New Roman" w:hAnsi="Times New Roman" w:cs="Times New Roman"/>
                <w:b/>
                <w:bCs/>
                <w:color w:val="000000"/>
                <w:sz w:val="20"/>
                <w:szCs w:val="20"/>
                <w:lang w:eastAsia="zh-CN"/>
              </w:rPr>
              <w:t> </w:t>
            </w:r>
          </w:p>
        </w:tc>
        <w:tc>
          <w:tcPr>
            <w:tcW w:w="1216" w:type="dxa"/>
            <w:tcBorders>
              <w:top w:val="single" w:sz="12" w:space="0" w:color="auto"/>
              <w:left w:val="nil"/>
              <w:bottom w:val="single" w:sz="12" w:space="0" w:color="auto"/>
              <w:right w:val="nil"/>
            </w:tcBorders>
            <w:shd w:val="clear" w:color="auto" w:fill="auto"/>
            <w:noWrap/>
            <w:vAlign w:val="bottom"/>
            <w:hideMark/>
          </w:tcPr>
          <w:p w14:paraId="5E6A4473" w14:textId="77777777" w:rsidR="004210B9" w:rsidRPr="00A40CEC" w:rsidRDefault="004210B9" w:rsidP="006443C5">
            <w:pPr>
              <w:spacing w:after="0" w:line="240" w:lineRule="auto"/>
              <w:jc w:val="right"/>
              <w:rPr>
                <w:rFonts w:ascii="Times New Roman" w:eastAsia="Times New Roman" w:hAnsi="Times New Roman" w:cs="Times New Roman"/>
                <w:b/>
                <w:bCs/>
                <w:color w:val="000000"/>
                <w:sz w:val="20"/>
                <w:szCs w:val="20"/>
                <w:lang w:eastAsia="zh-CN"/>
              </w:rPr>
            </w:pPr>
            <w:r w:rsidRPr="00A40CEC">
              <w:rPr>
                <w:rFonts w:ascii="Times New Roman" w:eastAsia="Times New Roman" w:hAnsi="Times New Roman" w:cs="Times New Roman"/>
                <w:b/>
                <w:bCs/>
                <w:color w:val="000000"/>
                <w:sz w:val="20"/>
                <w:szCs w:val="20"/>
                <w:lang w:eastAsia="zh-CN"/>
              </w:rPr>
              <w:t xml:space="preserve"> US GAAP </w:t>
            </w:r>
          </w:p>
        </w:tc>
        <w:tc>
          <w:tcPr>
            <w:tcW w:w="380" w:type="dxa"/>
            <w:tcBorders>
              <w:top w:val="single" w:sz="12" w:space="0" w:color="auto"/>
              <w:left w:val="nil"/>
              <w:bottom w:val="single" w:sz="12" w:space="0" w:color="auto"/>
              <w:right w:val="nil"/>
            </w:tcBorders>
            <w:shd w:val="clear" w:color="auto" w:fill="auto"/>
            <w:noWrap/>
            <w:vAlign w:val="bottom"/>
            <w:hideMark/>
          </w:tcPr>
          <w:p w14:paraId="2DD0E4F8" w14:textId="77777777" w:rsidR="004210B9" w:rsidRPr="00A40CEC" w:rsidRDefault="004210B9" w:rsidP="006443C5">
            <w:pPr>
              <w:spacing w:after="0" w:line="240" w:lineRule="auto"/>
              <w:jc w:val="right"/>
              <w:rPr>
                <w:rFonts w:ascii="Times New Roman" w:eastAsia="Times New Roman" w:hAnsi="Times New Roman" w:cs="Times New Roman"/>
                <w:b/>
                <w:bCs/>
                <w:color w:val="000000"/>
                <w:sz w:val="20"/>
                <w:szCs w:val="20"/>
                <w:lang w:eastAsia="zh-CN"/>
              </w:rPr>
            </w:pPr>
            <w:r w:rsidRPr="00A40CEC">
              <w:rPr>
                <w:rFonts w:ascii="Times New Roman" w:eastAsia="Times New Roman" w:hAnsi="Times New Roman" w:cs="Times New Roman"/>
                <w:b/>
                <w:bCs/>
                <w:color w:val="000000"/>
                <w:sz w:val="20"/>
                <w:szCs w:val="20"/>
                <w:lang w:eastAsia="zh-CN"/>
              </w:rPr>
              <w:t> </w:t>
            </w:r>
          </w:p>
        </w:tc>
        <w:tc>
          <w:tcPr>
            <w:tcW w:w="1164" w:type="dxa"/>
            <w:tcBorders>
              <w:top w:val="single" w:sz="12" w:space="0" w:color="auto"/>
              <w:left w:val="nil"/>
              <w:bottom w:val="single" w:sz="12" w:space="0" w:color="auto"/>
              <w:right w:val="nil"/>
            </w:tcBorders>
            <w:shd w:val="clear" w:color="auto" w:fill="auto"/>
            <w:vAlign w:val="bottom"/>
            <w:hideMark/>
          </w:tcPr>
          <w:p w14:paraId="41ECC341" w14:textId="77777777" w:rsidR="004210B9" w:rsidRPr="00A40CEC" w:rsidRDefault="004210B9" w:rsidP="006443C5">
            <w:pPr>
              <w:spacing w:after="0" w:line="240" w:lineRule="auto"/>
              <w:jc w:val="right"/>
              <w:rPr>
                <w:rFonts w:ascii="Times New Roman" w:eastAsia="Times New Roman" w:hAnsi="Times New Roman" w:cs="Times New Roman"/>
                <w:b/>
                <w:bCs/>
                <w:color w:val="000000"/>
                <w:sz w:val="20"/>
                <w:szCs w:val="20"/>
                <w:lang w:eastAsia="zh-CN"/>
              </w:rPr>
            </w:pPr>
            <w:r w:rsidRPr="00A40CEC">
              <w:rPr>
                <w:rFonts w:ascii="Times New Roman" w:eastAsia="Times New Roman" w:hAnsi="Times New Roman" w:cs="Times New Roman"/>
                <w:b/>
                <w:bCs/>
                <w:color w:val="000000"/>
                <w:sz w:val="20"/>
                <w:szCs w:val="20"/>
                <w:lang w:eastAsia="zh-CN"/>
              </w:rPr>
              <w:t xml:space="preserve"> Effect of Transition to IFRS </w:t>
            </w:r>
          </w:p>
        </w:tc>
        <w:tc>
          <w:tcPr>
            <w:tcW w:w="380" w:type="dxa"/>
            <w:tcBorders>
              <w:top w:val="single" w:sz="12" w:space="0" w:color="auto"/>
              <w:left w:val="nil"/>
              <w:bottom w:val="single" w:sz="12" w:space="0" w:color="auto"/>
              <w:right w:val="nil"/>
            </w:tcBorders>
            <w:shd w:val="clear" w:color="auto" w:fill="auto"/>
            <w:noWrap/>
            <w:vAlign w:val="bottom"/>
            <w:hideMark/>
          </w:tcPr>
          <w:p w14:paraId="330B6131" w14:textId="77777777" w:rsidR="004210B9" w:rsidRPr="00A40CEC" w:rsidRDefault="004210B9" w:rsidP="006443C5">
            <w:pPr>
              <w:spacing w:after="0" w:line="240" w:lineRule="auto"/>
              <w:jc w:val="right"/>
              <w:rPr>
                <w:rFonts w:ascii="Times New Roman" w:eastAsia="Times New Roman" w:hAnsi="Times New Roman" w:cs="Times New Roman"/>
                <w:b/>
                <w:bCs/>
                <w:color w:val="000000"/>
                <w:sz w:val="20"/>
                <w:szCs w:val="20"/>
                <w:lang w:eastAsia="zh-CN"/>
              </w:rPr>
            </w:pPr>
            <w:r w:rsidRPr="00A40CEC">
              <w:rPr>
                <w:rFonts w:ascii="Times New Roman" w:eastAsia="Times New Roman" w:hAnsi="Times New Roman" w:cs="Times New Roman"/>
                <w:b/>
                <w:bCs/>
                <w:color w:val="000000"/>
                <w:sz w:val="20"/>
                <w:szCs w:val="20"/>
                <w:lang w:eastAsia="zh-CN"/>
              </w:rPr>
              <w:t> </w:t>
            </w:r>
          </w:p>
        </w:tc>
        <w:tc>
          <w:tcPr>
            <w:tcW w:w="1216" w:type="dxa"/>
            <w:tcBorders>
              <w:top w:val="single" w:sz="12" w:space="0" w:color="auto"/>
              <w:left w:val="nil"/>
              <w:bottom w:val="single" w:sz="12" w:space="0" w:color="auto"/>
              <w:right w:val="nil"/>
            </w:tcBorders>
            <w:shd w:val="clear" w:color="auto" w:fill="auto"/>
            <w:noWrap/>
            <w:vAlign w:val="bottom"/>
            <w:hideMark/>
          </w:tcPr>
          <w:p w14:paraId="569C60B4" w14:textId="77777777" w:rsidR="004210B9" w:rsidRPr="00A40CEC" w:rsidRDefault="004210B9" w:rsidP="006443C5">
            <w:pPr>
              <w:spacing w:after="0" w:line="240" w:lineRule="auto"/>
              <w:jc w:val="right"/>
              <w:rPr>
                <w:rFonts w:ascii="Times New Roman" w:eastAsia="Times New Roman" w:hAnsi="Times New Roman" w:cs="Times New Roman"/>
                <w:b/>
                <w:bCs/>
                <w:color w:val="000000"/>
                <w:sz w:val="20"/>
                <w:szCs w:val="20"/>
                <w:lang w:eastAsia="zh-CN"/>
              </w:rPr>
            </w:pPr>
            <w:r w:rsidRPr="00A40CEC">
              <w:rPr>
                <w:rFonts w:ascii="Times New Roman" w:eastAsia="Times New Roman" w:hAnsi="Times New Roman" w:cs="Times New Roman"/>
                <w:b/>
                <w:bCs/>
                <w:color w:val="000000"/>
                <w:sz w:val="20"/>
                <w:szCs w:val="20"/>
                <w:lang w:eastAsia="zh-CN"/>
              </w:rPr>
              <w:t xml:space="preserve"> IFRS </w:t>
            </w:r>
          </w:p>
        </w:tc>
      </w:tr>
      <w:tr w:rsidR="004210B9" w:rsidRPr="00A40CEC" w14:paraId="554EDC01" w14:textId="77777777" w:rsidTr="00064A08">
        <w:trPr>
          <w:trHeight w:val="255"/>
        </w:trPr>
        <w:tc>
          <w:tcPr>
            <w:tcW w:w="4120" w:type="dxa"/>
            <w:tcBorders>
              <w:top w:val="single" w:sz="12" w:space="0" w:color="auto"/>
              <w:left w:val="nil"/>
              <w:bottom w:val="nil"/>
              <w:right w:val="nil"/>
            </w:tcBorders>
            <w:shd w:val="clear" w:color="auto" w:fill="auto"/>
            <w:noWrap/>
            <w:vAlign w:val="bottom"/>
            <w:hideMark/>
          </w:tcPr>
          <w:p w14:paraId="75898FF9"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Revenue</w:t>
            </w:r>
          </w:p>
        </w:tc>
        <w:tc>
          <w:tcPr>
            <w:tcW w:w="842" w:type="dxa"/>
            <w:tcBorders>
              <w:top w:val="single" w:sz="12" w:space="0" w:color="auto"/>
              <w:left w:val="nil"/>
              <w:bottom w:val="nil"/>
              <w:right w:val="nil"/>
            </w:tcBorders>
            <w:shd w:val="clear" w:color="auto" w:fill="auto"/>
            <w:noWrap/>
            <w:vAlign w:val="center"/>
            <w:hideMark/>
          </w:tcPr>
          <w:p w14:paraId="39653F17"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single" w:sz="12" w:space="0" w:color="auto"/>
              <w:left w:val="nil"/>
              <w:bottom w:val="nil"/>
              <w:right w:val="nil"/>
            </w:tcBorders>
            <w:shd w:val="clear" w:color="auto" w:fill="auto"/>
            <w:noWrap/>
            <w:vAlign w:val="center"/>
            <w:hideMark/>
          </w:tcPr>
          <w:p w14:paraId="7C32241A" w14:textId="77777777" w:rsidR="004210B9" w:rsidRPr="00A40CEC"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single" w:sz="12" w:space="0" w:color="auto"/>
              <w:left w:val="nil"/>
              <w:bottom w:val="nil"/>
              <w:right w:val="nil"/>
            </w:tcBorders>
            <w:shd w:val="clear" w:color="auto" w:fill="auto"/>
            <w:noWrap/>
            <w:vAlign w:val="center"/>
            <w:hideMark/>
          </w:tcPr>
          <w:p w14:paraId="2A9FF5FA" w14:textId="77777777" w:rsidR="004210B9" w:rsidRPr="00A40CEC"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single" w:sz="12" w:space="0" w:color="auto"/>
              <w:left w:val="nil"/>
              <w:bottom w:val="nil"/>
              <w:right w:val="nil"/>
            </w:tcBorders>
            <w:shd w:val="clear" w:color="auto" w:fill="auto"/>
            <w:noWrap/>
            <w:vAlign w:val="center"/>
            <w:hideMark/>
          </w:tcPr>
          <w:p w14:paraId="55AC4D76" w14:textId="77777777" w:rsidR="004210B9" w:rsidRPr="00A40CEC" w:rsidRDefault="004210B9" w:rsidP="006443C5">
            <w:pPr>
              <w:spacing w:after="0" w:line="240" w:lineRule="auto"/>
              <w:rPr>
                <w:rFonts w:ascii="Times New Roman" w:eastAsia="Times New Roman" w:hAnsi="Times New Roman" w:cs="Times New Roman"/>
                <w:sz w:val="20"/>
                <w:szCs w:val="20"/>
                <w:lang w:eastAsia="zh-CN"/>
              </w:rPr>
            </w:pPr>
          </w:p>
        </w:tc>
        <w:tc>
          <w:tcPr>
            <w:tcW w:w="1164" w:type="dxa"/>
            <w:tcBorders>
              <w:top w:val="single" w:sz="12" w:space="0" w:color="auto"/>
              <w:left w:val="nil"/>
              <w:bottom w:val="nil"/>
              <w:right w:val="nil"/>
            </w:tcBorders>
            <w:shd w:val="clear" w:color="auto" w:fill="auto"/>
            <w:noWrap/>
            <w:vAlign w:val="center"/>
            <w:hideMark/>
          </w:tcPr>
          <w:p w14:paraId="4E24994F" w14:textId="77777777" w:rsidR="004210B9" w:rsidRPr="00A40CEC"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single" w:sz="12" w:space="0" w:color="auto"/>
              <w:left w:val="nil"/>
              <w:bottom w:val="nil"/>
              <w:right w:val="nil"/>
            </w:tcBorders>
            <w:shd w:val="clear" w:color="auto" w:fill="auto"/>
            <w:noWrap/>
            <w:vAlign w:val="center"/>
            <w:hideMark/>
          </w:tcPr>
          <w:p w14:paraId="6D1A45B0" w14:textId="77777777" w:rsidR="004210B9" w:rsidRPr="00A40CEC" w:rsidRDefault="004210B9" w:rsidP="006443C5">
            <w:pPr>
              <w:spacing w:after="0" w:line="240" w:lineRule="auto"/>
              <w:rPr>
                <w:rFonts w:ascii="Times New Roman" w:eastAsia="Times New Roman" w:hAnsi="Times New Roman" w:cs="Times New Roman"/>
                <w:sz w:val="20"/>
                <w:szCs w:val="20"/>
                <w:lang w:eastAsia="zh-CN"/>
              </w:rPr>
            </w:pPr>
          </w:p>
        </w:tc>
        <w:tc>
          <w:tcPr>
            <w:tcW w:w="1216" w:type="dxa"/>
            <w:tcBorders>
              <w:top w:val="single" w:sz="12" w:space="0" w:color="auto"/>
              <w:left w:val="nil"/>
              <w:bottom w:val="nil"/>
              <w:right w:val="nil"/>
            </w:tcBorders>
            <w:shd w:val="clear" w:color="auto" w:fill="auto"/>
            <w:noWrap/>
            <w:vAlign w:val="center"/>
            <w:hideMark/>
          </w:tcPr>
          <w:p w14:paraId="23F0508C" w14:textId="77777777" w:rsidR="004210B9" w:rsidRPr="00A40CEC" w:rsidRDefault="004210B9" w:rsidP="006443C5">
            <w:pPr>
              <w:spacing w:after="0" w:line="240" w:lineRule="auto"/>
              <w:rPr>
                <w:rFonts w:ascii="Times New Roman" w:eastAsia="Times New Roman" w:hAnsi="Times New Roman" w:cs="Times New Roman"/>
                <w:sz w:val="20"/>
                <w:szCs w:val="20"/>
                <w:lang w:eastAsia="zh-CN"/>
              </w:rPr>
            </w:pPr>
          </w:p>
        </w:tc>
      </w:tr>
      <w:tr w:rsidR="004210B9" w:rsidRPr="00A40CEC" w14:paraId="22C6A0EF" w14:textId="77777777" w:rsidTr="00064A08">
        <w:trPr>
          <w:trHeight w:val="270"/>
        </w:trPr>
        <w:tc>
          <w:tcPr>
            <w:tcW w:w="4120" w:type="dxa"/>
            <w:tcBorders>
              <w:top w:val="nil"/>
              <w:left w:val="nil"/>
              <w:bottom w:val="nil"/>
              <w:right w:val="nil"/>
            </w:tcBorders>
            <w:shd w:val="clear" w:color="auto" w:fill="auto"/>
            <w:noWrap/>
            <w:vAlign w:val="bottom"/>
            <w:hideMark/>
          </w:tcPr>
          <w:p w14:paraId="4D5B07B3"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Oil and natural gas sales</w:t>
            </w:r>
          </w:p>
        </w:tc>
        <w:tc>
          <w:tcPr>
            <w:tcW w:w="842" w:type="dxa"/>
            <w:tcBorders>
              <w:top w:val="nil"/>
              <w:left w:val="nil"/>
              <w:bottom w:val="nil"/>
              <w:right w:val="nil"/>
            </w:tcBorders>
            <w:shd w:val="clear" w:color="auto" w:fill="auto"/>
            <w:noWrap/>
            <w:vAlign w:val="center"/>
            <w:hideMark/>
          </w:tcPr>
          <w:p w14:paraId="3843491A"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08583394"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3ABF7308" w14:textId="659D9D4B" w:rsidR="004210B9" w:rsidRPr="00A40CEC" w:rsidRDefault="004210B9" w:rsidP="006443C5">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1,957,817</w:t>
            </w:r>
            <w:r w:rsidRPr="00A40CEC">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single" w:sz="8" w:space="0" w:color="auto"/>
              <w:right w:val="nil"/>
            </w:tcBorders>
            <w:shd w:val="clear" w:color="auto" w:fill="auto"/>
            <w:noWrap/>
            <w:vAlign w:val="bottom"/>
            <w:hideMark/>
          </w:tcPr>
          <w:p w14:paraId="5DACD192"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w:t>
            </w:r>
          </w:p>
        </w:tc>
        <w:tc>
          <w:tcPr>
            <w:tcW w:w="1164" w:type="dxa"/>
            <w:tcBorders>
              <w:top w:val="nil"/>
              <w:left w:val="nil"/>
              <w:bottom w:val="single" w:sz="8" w:space="0" w:color="auto"/>
              <w:right w:val="nil"/>
            </w:tcBorders>
            <w:shd w:val="clear" w:color="auto" w:fill="auto"/>
            <w:noWrap/>
            <w:vAlign w:val="bottom"/>
            <w:hideMark/>
          </w:tcPr>
          <w:p w14:paraId="49F0BBCF" w14:textId="77777777" w:rsidR="004210B9" w:rsidRPr="00A40CEC"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single" w:sz="8" w:space="0" w:color="auto"/>
              <w:right w:val="nil"/>
            </w:tcBorders>
            <w:shd w:val="clear" w:color="auto" w:fill="auto"/>
            <w:noWrap/>
            <w:vAlign w:val="bottom"/>
            <w:hideMark/>
          </w:tcPr>
          <w:p w14:paraId="3361D203"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4AC28073" w14:textId="56BC526F" w:rsidR="004210B9" w:rsidRPr="00A40CEC" w:rsidRDefault="00242CA7" w:rsidP="006443C5">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1,957,817</w:t>
            </w:r>
          </w:p>
        </w:tc>
      </w:tr>
      <w:tr w:rsidR="004210B9" w:rsidRPr="00A40CEC" w14:paraId="7DBD14E4" w14:textId="77777777" w:rsidTr="00064A08">
        <w:trPr>
          <w:trHeight w:val="255"/>
        </w:trPr>
        <w:tc>
          <w:tcPr>
            <w:tcW w:w="4120" w:type="dxa"/>
            <w:tcBorders>
              <w:top w:val="nil"/>
              <w:left w:val="nil"/>
              <w:bottom w:val="nil"/>
              <w:right w:val="nil"/>
            </w:tcBorders>
            <w:shd w:val="clear" w:color="auto" w:fill="auto"/>
            <w:noWrap/>
            <w:vAlign w:val="bottom"/>
            <w:hideMark/>
          </w:tcPr>
          <w:p w14:paraId="3918AC8B"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Cost and expenses</w:t>
            </w:r>
          </w:p>
        </w:tc>
        <w:tc>
          <w:tcPr>
            <w:tcW w:w="842" w:type="dxa"/>
            <w:tcBorders>
              <w:top w:val="nil"/>
              <w:left w:val="nil"/>
              <w:bottom w:val="nil"/>
              <w:right w:val="nil"/>
            </w:tcBorders>
            <w:shd w:val="clear" w:color="auto" w:fill="auto"/>
            <w:noWrap/>
            <w:vAlign w:val="center"/>
            <w:hideMark/>
          </w:tcPr>
          <w:p w14:paraId="02A0216C" w14:textId="77777777" w:rsidR="004210B9" w:rsidRPr="00A40CEC"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542EE64E" w14:textId="77777777" w:rsidR="004210B9" w:rsidRPr="00A40CEC"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26460F6A" w14:textId="77777777" w:rsidR="004210B9" w:rsidRPr="00A40CEC"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68CA0E27" w14:textId="77777777" w:rsidR="004210B9" w:rsidRPr="00A40CEC" w:rsidRDefault="004210B9" w:rsidP="006443C5">
            <w:pPr>
              <w:spacing w:after="0" w:line="240" w:lineRule="auto"/>
              <w:jc w:val="right"/>
              <w:rPr>
                <w:rFonts w:ascii="Times New Roman" w:eastAsia="Times New Roman" w:hAnsi="Times New Roman" w:cs="Times New Roman"/>
                <w:sz w:val="20"/>
                <w:szCs w:val="20"/>
                <w:lang w:eastAsia="zh-CN"/>
              </w:rPr>
            </w:pPr>
          </w:p>
        </w:tc>
        <w:tc>
          <w:tcPr>
            <w:tcW w:w="1164" w:type="dxa"/>
            <w:tcBorders>
              <w:top w:val="nil"/>
              <w:left w:val="nil"/>
              <w:bottom w:val="nil"/>
              <w:right w:val="nil"/>
            </w:tcBorders>
            <w:shd w:val="clear" w:color="auto" w:fill="auto"/>
            <w:noWrap/>
            <w:vAlign w:val="bottom"/>
            <w:hideMark/>
          </w:tcPr>
          <w:p w14:paraId="2A8DD44C" w14:textId="77777777" w:rsidR="004210B9" w:rsidRPr="00A40CEC"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1E163131" w14:textId="77777777" w:rsidR="004210B9" w:rsidRPr="00A40CEC"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5469E683" w14:textId="77777777" w:rsidR="004210B9" w:rsidRPr="00A40CEC" w:rsidRDefault="004210B9" w:rsidP="006443C5">
            <w:pPr>
              <w:spacing w:after="0" w:line="240" w:lineRule="auto"/>
              <w:rPr>
                <w:rFonts w:ascii="Times New Roman" w:eastAsia="Times New Roman" w:hAnsi="Times New Roman" w:cs="Times New Roman"/>
                <w:sz w:val="20"/>
                <w:szCs w:val="20"/>
                <w:lang w:eastAsia="zh-CN"/>
              </w:rPr>
            </w:pPr>
          </w:p>
        </w:tc>
      </w:tr>
      <w:tr w:rsidR="00242CA7" w:rsidRPr="00A40CEC" w14:paraId="02AC2120" w14:textId="77777777" w:rsidTr="00064A08">
        <w:trPr>
          <w:trHeight w:val="255"/>
        </w:trPr>
        <w:tc>
          <w:tcPr>
            <w:tcW w:w="4120" w:type="dxa"/>
            <w:tcBorders>
              <w:top w:val="nil"/>
              <w:left w:val="nil"/>
              <w:bottom w:val="nil"/>
              <w:right w:val="nil"/>
            </w:tcBorders>
            <w:shd w:val="clear" w:color="auto" w:fill="auto"/>
            <w:noWrap/>
            <w:vAlign w:val="bottom"/>
            <w:hideMark/>
          </w:tcPr>
          <w:p w14:paraId="59D75ED8" w14:textId="77777777" w:rsidR="00242CA7" w:rsidRPr="00A40CEC" w:rsidRDefault="00242CA7" w:rsidP="00242CA7">
            <w:pPr>
              <w:spacing w:after="0" w:line="240" w:lineRule="auto"/>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Production</w:t>
            </w:r>
          </w:p>
        </w:tc>
        <w:tc>
          <w:tcPr>
            <w:tcW w:w="842" w:type="dxa"/>
            <w:tcBorders>
              <w:top w:val="nil"/>
              <w:left w:val="nil"/>
              <w:bottom w:val="nil"/>
              <w:right w:val="nil"/>
            </w:tcBorders>
            <w:shd w:val="clear" w:color="auto" w:fill="auto"/>
            <w:noWrap/>
            <w:vAlign w:val="center"/>
            <w:hideMark/>
          </w:tcPr>
          <w:p w14:paraId="365E7397" w14:textId="77777777" w:rsidR="00242CA7" w:rsidRPr="00A40CEC"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608529A4" w14:textId="77777777" w:rsidR="00242CA7" w:rsidRPr="00A40CEC" w:rsidRDefault="00242CA7" w:rsidP="00242CA7">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6F9B64D9" w14:textId="101862FA" w:rsidR="00242CA7" w:rsidRPr="00A40CEC" w:rsidRDefault="00242CA7" w:rsidP="00242CA7">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1,234,134</w:t>
            </w:r>
            <w:r w:rsidRPr="00A40CEC">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nil"/>
              <w:right w:val="nil"/>
            </w:tcBorders>
            <w:shd w:val="clear" w:color="auto" w:fill="auto"/>
            <w:noWrap/>
            <w:vAlign w:val="bottom"/>
            <w:hideMark/>
          </w:tcPr>
          <w:p w14:paraId="3778C4BB" w14:textId="77777777" w:rsidR="00242CA7" w:rsidRPr="00A40CEC"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2F2002FD" w14:textId="77777777" w:rsidR="00242CA7" w:rsidRPr="00A40CEC"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A40CEC">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nil"/>
              <w:right w:val="nil"/>
            </w:tcBorders>
            <w:shd w:val="clear" w:color="auto" w:fill="auto"/>
            <w:noWrap/>
            <w:vAlign w:val="bottom"/>
            <w:hideMark/>
          </w:tcPr>
          <w:p w14:paraId="7A1F8191" w14:textId="77777777" w:rsidR="00242CA7" w:rsidRPr="00A40CEC"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25BA99D4" w14:textId="1458C561" w:rsidR="00242CA7" w:rsidRPr="00A40CEC" w:rsidRDefault="00242CA7" w:rsidP="00242CA7">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1,234,134</w:t>
            </w:r>
            <w:r w:rsidRPr="00A40CEC">
              <w:rPr>
                <w:rFonts w:ascii="Times New Roman" w:eastAsia="Times New Roman" w:hAnsi="Times New Roman" w:cs="Times New Roman"/>
                <w:color w:val="000000"/>
                <w:sz w:val="20"/>
                <w:szCs w:val="20"/>
                <w:lang w:eastAsia="zh-CN"/>
              </w:rPr>
              <w:t xml:space="preserve"> </w:t>
            </w:r>
          </w:p>
        </w:tc>
      </w:tr>
      <w:tr w:rsidR="00242CA7" w:rsidRPr="004210B9" w14:paraId="31E36F2D" w14:textId="77777777" w:rsidTr="00064A08">
        <w:trPr>
          <w:trHeight w:val="255"/>
        </w:trPr>
        <w:tc>
          <w:tcPr>
            <w:tcW w:w="4120" w:type="dxa"/>
            <w:tcBorders>
              <w:top w:val="nil"/>
              <w:left w:val="nil"/>
              <w:bottom w:val="nil"/>
              <w:right w:val="nil"/>
            </w:tcBorders>
            <w:shd w:val="clear" w:color="auto" w:fill="auto"/>
            <w:noWrap/>
            <w:vAlign w:val="bottom"/>
            <w:hideMark/>
          </w:tcPr>
          <w:p w14:paraId="207F8A90"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Depletion</w:t>
            </w:r>
          </w:p>
        </w:tc>
        <w:tc>
          <w:tcPr>
            <w:tcW w:w="842" w:type="dxa"/>
            <w:tcBorders>
              <w:top w:val="nil"/>
              <w:left w:val="nil"/>
              <w:bottom w:val="nil"/>
              <w:right w:val="nil"/>
            </w:tcBorders>
            <w:shd w:val="clear" w:color="auto" w:fill="auto"/>
            <w:noWrap/>
            <w:vAlign w:val="center"/>
            <w:hideMark/>
          </w:tcPr>
          <w:p w14:paraId="57F38A29"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(5)</w:t>
            </w:r>
          </w:p>
        </w:tc>
        <w:tc>
          <w:tcPr>
            <w:tcW w:w="418" w:type="dxa"/>
            <w:tcBorders>
              <w:top w:val="nil"/>
              <w:left w:val="nil"/>
              <w:bottom w:val="nil"/>
              <w:right w:val="nil"/>
            </w:tcBorders>
            <w:shd w:val="clear" w:color="auto" w:fill="auto"/>
            <w:noWrap/>
            <w:vAlign w:val="bottom"/>
            <w:hideMark/>
          </w:tcPr>
          <w:p w14:paraId="35081B31"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1307E78B" w14:textId="260084CD"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135,573</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nil"/>
              <w:right w:val="nil"/>
            </w:tcBorders>
            <w:shd w:val="clear" w:color="auto" w:fill="auto"/>
            <w:noWrap/>
            <w:vAlign w:val="bottom"/>
            <w:hideMark/>
          </w:tcPr>
          <w:p w14:paraId="314A7093"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0FCD9045" w14:textId="7D8E70B1"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98,140</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nil"/>
              <w:right w:val="nil"/>
            </w:tcBorders>
            <w:shd w:val="clear" w:color="auto" w:fill="auto"/>
            <w:noWrap/>
            <w:vAlign w:val="bottom"/>
            <w:hideMark/>
          </w:tcPr>
          <w:p w14:paraId="5C246AE0"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7C24FBF9" w14:textId="0197478A"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233,713</w:t>
            </w:r>
            <w:r w:rsidRPr="00242CA7">
              <w:rPr>
                <w:rFonts w:ascii="Times New Roman" w:eastAsia="Times New Roman" w:hAnsi="Times New Roman" w:cs="Times New Roman"/>
                <w:color w:val="000000"/>
                <w:sz w:val="20"/>
                <w:szCs w:val="20"/>
                <w:lang w:eastAsia="zh-CN"/>
              </w:rPr>
              <w:t xml:space="preserve"> </w:t>
            </w:r>
          </w:p>
        </w:tc>
      </w:tr>
      <w:tr w:rsidR="00242CA7" w:rsidRPr="004210B9" w14:paraId="37A5AFB6" w14:textId="77777777" w:rsidTr="00064A08">
        <w:trPr>
          <w:trHeight w:val="255"/>
        </w:trPr>
        <w:tc>
          <w:tcPr>
            <w:tcW w:w="4120" w:type="dxa"/>
            <w:tcBorders>
              <w:top w:val="nil"/>
              <w:left w:val="nil"/>
              <w:bottom w:val="nil"/>
              <w:right w:val="nil"/>
            </w:tcBorders>
            <w:shd w:val="clear" w:color="auto" w:fill="auto"/>
            <w:noWrap/>
            <w:vAlign w:val="bottom"/>
            <w:hideMark/>
          </w:tcPr>
          <w:p w14:paraId="7D2CE497"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Depreciation</w:t>
            </w:r>
          </w:p>
        </w:tc>
        <w:tc>
          <w:tcPr>
            <w:tcW w:w="842" w:type="dxa"/>
            <w:tcBorders>
              <w:top w:val="nil"/>
              <w:left w:val="nil"/>
              <w:bottom w:val="nil"/>
              <w:right w:val="nil"/>
            </w:tcBorders>
            <w:shd w:val="clear" w:color="auto" w:fill="auto"/>
            <w:noWrap/>
            <w:vAlign w:val="center"/>
            <w:hideMark/>
          </w:tcPr>
          <w:p w14:paraId="3E4A6D7E"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48573F55" w14:textId="77777777" w:rsidR="00242CA7" w:rsidRPr="00242CA7" w:rsidRDefault="00242CA7" w:rsidP="00242CA7">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5625816F" w14:textId="6A1E44C3"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13,808</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nil"/>
              <w:right w:val="nil"/>
            </w:tcBorders>
            <w:shd w:val="clear" w:color="auto" w:fill="auto"/>
            <w:noWrap/>
            <w:vAlign w:val="bottom"/>
            <w:hideMark/>
          </w:tcPr>
          <w:p w14:paraId="77E36C31"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6ABA9114"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nil"/>
              <w:right w:val="nil"/>
            </w:tcBorders>
            <w:shd w:val="clear" w:color="auto" w:fill="auto"/>
            <w:noWrap/>
            <w:vAlign w:val="bottom"/>
            <w:hideMark/>
          </w:tcPr>
          <w:p w14:paraId="125CA115"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069C5CED" w14:textId="209F06E8"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13,808</w:t>
            </w:r>
            <w:r w:rsidRPr="00242CA7">
              <w:rPr>
                <w:rFonts w:ascii="Times New Roman" w:eastAsia="Times New Roman" w:hAnsi="Times New Roman" w:cs="Times New Roman"/>
                <w:color w:val="000000"/>
                <w:sz w:val="20"/>
                <w:szCs w:val="20"/>
                <w:lang w:eastAsia="zh-CN"/>
              </w:rPr>
              <w:t xml:space="preserve"> </w:t>
            </w:r>
          </w:p>
        </w:tc>
      </w:tr>
      <w:tr w:rsidR="00242CA7" w:rsidRPr="004210B9" w14:paraId="47A926C0" w14:textId="77777777" w:rsidTr="00064A08">
        <w:trPr>
          <w:trHeight w:val="255"/>
        </w:trPr>
        <w:tc>
          <w:tcPr>
            <w:tcW w:w="4120" w:type="dxa"/>
            <w:tcBorders>
              <w:top w:val="nil"/>
              <w:left w:val="nil"/>
              <w:bottom w:val="nil"/>
              <w:right w:val="nil"/>
            </w:tcBorders>
            <w:shd w:val="clear" w:color="auto" w:fill="auto"/>
            <w:noWrap/>
            <w:vAlign w:val="bottom"/>
            <w:hideMark/>
          </w:tcPr>
          <w:p w14:paraId="6A52BB1F"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Accretion of asset retirement obligation</w:t>
            </w:r>
          </w:p>
        </w:tc>
        <w:tc>
          <w:tcPr>
            <w:tcW w:w="842" w:type="dxa"/>
            <w:tcBorders>
              <w:top w:val="nil"/>
              <w:left w:val="nil"/>
              <w:bottom w:val="nil"/>
              <w:right w:val="nil"/>
            </w:tcBorders>
            <w:shd w:val="clear" w:color="auto" w:fill="auto"/>
            <w:noWrap/>
            <w:vAlign w:val="center"/>
            <w:hideMark/>
          </w:tcPr>
          <w:p w14:paraId="02E18495"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(2)</w:t>
            </w:r>
          </w:p>
        </w:tc>
        <w:tc>
          <w:tcPr>
            <w:tcW w:w="418" w:type="dxa"/>
            <w:tcBorders>
              <w:top w:val="nil"/>
              <w:left w:val="nil"/>
              <w:bottom w:val="nil"/>
              <w:right w:val="nil"/>
            </w:tcBorders>
            <w:shd w:val="clear" w:color="auto" w:fill="auto"/>
            <w:noWrap/>
            <w:vAlign w:val="bottom"/>
            <w:hideMark/>
          </w:tcPr>
          <w:p w14:paraId="20A80652"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6907487D" w14:textId="35981A6E"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203,038</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nil"/>
              <w:right w:val="nil"/>
            </w:tcBorders>
            <w:shd w:val="clear" w:color="auto" w:fill="auto"/>
            <w:noWrap/>
            <w:vAlign w:val="bottom"/>
            <w:hideMark/>
          </w:tcPr>
          <w:p w14:paraId="5774C5F1"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35DA82EC" w14:textId="0C02B593"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157,211</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nil"/>
              <w:right w:val="nil"/>
            </w:tcBorders>
            <w:shd w:val="clear" w:color="auto" w:fill="auto"/>
            <w:noWrap/>
            <w:vAlign w:val="bottom"/>
            <w:hideMark/>
          </w:tcPr>
          <w:p w14:paraId="1ADD5F71"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39A3455F" w14:textId="206DDC5A"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45,827</w:t>
            </w:r>
            <w:r w:rsidRPr="00242CA7">
              <w:rPr>
                <w:rFonts w:ascii="Times New Roman" w:eastAsia="Times New Roman" w:hAnsi="Times New Roman" w:cs="Times New Roman"/>
                <w:color w:val="000000"/>
                <w:sz w:val="20"/>
                <w:szCs w:val="20"/>
                <w:lang w:eastAsia="zh-CN"/>
              </w:rPr>
              <w:t xml:space="preserve"> </w:t>
            </w:r>
          </w:p>
        </w:tc>
      </w:tr>
      <w:tr w:rsidR="00242CA7" w:rsidRPr="004210B9" w14:paraId="1AC09903" w14:textId="77777777" w:rsidTr="00242CA7">
        <w:trPr>
          <w:trHeight w:val="255"/>
        </w:trPr>
        <w:tc>
          <w:tcPr>
            <w:tcW w:w="4120" w:type="dxa"/>
            <w:tcBorders>
              <w:top w:val="nil"/>
              <w:left w:val="nil"/>
              <w:bottom w:val="nil"/>
              <w:right w:val="nil"/>
            </w:tcBorders>
            <w:shd w:val="clear" w:color="auto" w:fill="auto"/>
            <w:noWrap/>
            <w:vAlign w:val="bottom"/>
          </w:tcPr>
          <w:p w14:paraId="3B5B5A64" w14:textId="4BC50A2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Investor relations</w:t>
            </w:r>
          </w:p>
        </w:tc>
        <w:tc>
          <w:tcPr>
            <w:tcW w:w="842" w:type="dxa"/>
            <w:tcBorders>
              <w:top w:val="nil"/>
              <w:left w:val="nil"/>
              <w:bottom w:val="nil"/>
              <w:right w:val="nil"/>
            </w:tcBorders>
            <w:shd w:val="clear" w:color="auto" w:fill="auto"/>
            <w:noWrap/>
            <w:vAlign w:val="center"/>
          </w:tcPr>
          <w:p w14:paraId="3AA7852C"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tcPr>
          <w:p w14:paraId="47ACB077"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tcPr>
          <w:p w14:paraId="46FAAA02" w14:textId="043DE8BE"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723,574</w:t>
            </w:r>
          </w:p>
        </w:tc>
        <w:tc>
          <w:tcPr>
            <w:tcW w:w="380" w:type="dxa"/>
            <w:tcBorders>
              <w:top w:val="nil"/>
              <w:left w:val="nil"/>
              <w:bottom w:val="nil"/>
              <w:right w:val="nil"/>
            </w:tcBorders>
            <w:shd w:val="clear" w:color="auto" w:fill="auto"/>
            <w:noWrap/>
            <w:vAlign w:val="bottom"/>
          </w:tcPr>
          <w:p w14:paraId="1958F455"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tcPr>
          <w:p w14:paraId="04A2200C"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380" w:type="dxa"/>
            <w:tcBorders>
              <w:top w:val="nil"/>
              <w:left w:val="nil"/>
              <w:bottom w:val="nil"/>
              <w:right w:val="nil"/>
            </w:tcBorders>
            <w:shd w:val="clear" w:color="auto" w:fill="auto"/>
            <w:noWrap/>
            <w:vAlign w:val="bottom"/>
          </w:tcPr>
          <w:p w14:paraId="5AB4248E"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tcPr>
          <w:p w14:paraId="4BEB3E44" w14:textId="0AFE2E72"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723,574</w:t>
            </w:r>
          </w:p>
        </w:tc>
      </w:tr>
      <w:tr w:rsidR="00242CA7" w:rsidRPr="004210B9" w14:paraId="41374F0F" w14:textId="77777777" w:rsidTr="00064A08">
        <w:trPr>
          <w:trHeight w:val="255"/>
        </w:trPr>
        <w:tc>
          <w:tcPr>
            <w:tcW w:w="4120" w:type="dxa"/>
            <w:tcBorders>
              <w:top w:val="nil"/>
              <w:left w:val="nil"/>
              <w:bottom w:val="nil"/>
              <w:right w:val="nil"/>
            </w:tcBorders>
            <w:shd w:val="clear" w:color="auto" w:fill="auto"/>
            <w:noWrap/>
            <w:vAlign w:val="bottom"/>
            <w:hideMark/>
          </w:tcPr>
          <w:p w14:paraId="3F407A67"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Stock based compensation</w:t>
            </w:r>
          </w:p>
        </w:tc>
        <w:tc>
          <w:tcPr>
            <w:tcW w:w="842" w:type="dxa"/>
            <w:tcBorders>
              <w:top w:val="nil"/>
              <w:left w:val="nil"/>
              <w:bottom w:val="nil"/>
              <w:right w:val="nil"/>
            </w:tcBorders>
            <w:shd w:val="clear" w:color="auto" w:fill="auto"/>
            <w:noWrap/>
            <w:vAlign w:val="center"/>
            <w:hideMark/>
          </w:tcPr>
          <w:p w14:paraId="27A4956A"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7004CEBC" w14:textId="77777777" w:rsidR="00242CA7" w:rsidRPr="00242CA7" w:rsidRDefault="00242CA7" w:rsidP="00242CA7">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037BEA3A" w14:textId="271457D5"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161,291</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nil"/>
              <w:right w:val="nil"/>
            </w:tcBorders>
            <w:shd w:val="clear" w:color="auto" w:fill="auto"/>
            <w:noWrap/>
            <w:vAlign w:val="bottom"/>
            <w:hideMark/>
          </w:tcPr>
          <w:p w14:paraId="43D56426"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6C6FDEAB"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nil"/>
              <w:right w:val="nil"/>
            </w:tcBorders>
            <w:shd w:val="clear" w:color="auto" w:fill="auto"/>
            <w:noWrap/>
            <w:vAlign w:val="bottom"/>
            <w:hideMark/>
          </w:tcPr>
          <w:p w14:paraId="1ABE304C"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0D4F95ED" w14:textId="7B97C9BD"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161,291</w:t>
            </w:r>
            <w:r w:rsidRPr="00242CA7">
              <w:rPr>
                <w:rFonts w:ascii="Times New Roman" w:eastAsia="Times New Roman" w:hAnsi="Times New Roman" w:cs="Times New Roman"/>
                <w:color w:val="000000"/>
                <w:sz w:val="20"/>
                <w:szCs w:val="20"/>
                <w:lang w:eastAsia="zh-CN"/>
              </w:rPr>
              <w:t xml:space="preserve">          </w:t>
            </w:r>
          </w:p>
        </w:tc>
      </w:tr>
      <w:tr w:rsidR="00242CA7" w:rsidRPr="004210B9" w14:paraId="6CEFC10E" w14:textId="77777777" w:rsidTr="00064A08">
        <w:trPr>
          <w:trHeight w:val="270"/>
        </w:trPr>
        <w:tc>
          <w:tcPr>
            <w:tcW w:w="4120" w:type="dxa"/>
            <w:tcBorders>
              <w:top w:val="nil"/>
              <w:left w:val="nil"/>
              <w:bottom w:val="nil"/>
              <w:right w:val="nil"/>
            </w:tcBorders>
            <w:shd w:val="clear" w:color="auto" w:fill="auto"/>
            <w:noWrap/>
            <w:vAlign w:val="bottom"/>
            <w:hideMark/>
          </w:tcPr>
          <w:p w14:paraId="01E0C181"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General and administrative</w:t>
            </w:r>
          </w:p>
        </w:tc>
        <w:tc>
          <w:tcPr>
            <w:tcW w:w="842" w:type="dxa"/>
            <w:tcBorders>
              <w:top w:val="nil"/>
              <w:left w:val="nil"/>
              <w:bottom w:val="nil"/>
              <w:right w:val="nil"/>
            </w:tcBorders>
            <w:shd w:val="clear" w:color="auto" w:fill="auto"/>
            <w:noWrap/>
            <w:vAlign w:val="center"/>
            <w:hideMark/>
          </w:tcPr>
          <w:p w14:paraId="266C172E"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1BC204BA"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7D3C02D9" w14:textId="393059D3"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1,030,803</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single" w:sz="8" w:space="0" w:color="auto"/>
              <w:right w:val="nil"/>
            </w:tcBorders>
            <w:shd w:val="clear" w:color="auto" w:fill="auto"/>
            <w:noWrap/>
            <w:vAlign w:val="bottom"/>
            <w:hideMark/>
          </w:tcPr>
          <w:p w14:paraId="02463047"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164" w:type="dxa"/>
            <w:tcBorders>
              <w:top w:val="nil"/>
              <w:left w:val="nil"/>
              <w:bottom w:val="single" w:sz="8" w:space="0" w:color="auto"/>
              <w:right w:val="nil"/>
            </w:tcBorders>
            <w:shd w:val="clear" w:color="auto" w:fill="auto"/>
            <w:noWrap/>
            <w:vAlign w:val="bottom"/>
            <w:hideMark/>
          </w:tcPr>
          <w:p w14:paraId="59B6C791"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single" w:sz="8" w:space="0" w:color="auto"/>
              <w:right w:val="nil"/>
            </w:tcBorders>
            <w:shd w:val="clear" w:color="auto" w:fill="auto"/>
            <w:noWrap/>
            <w:vAlign w:val="bottom"/>
            <w:hideMark/>
          </w:tcPr>
          <w:p w14:paraId="5412F339"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7609B19D" w14:textId="2BF44AC6"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1,030,803</w:t>
            </w:r>
            <w:r w:rsidRPr="00242CA7">
              <w:rPr>
                <w:rFonts w:ascii="Times New Roman" w:eastAsia="Times New Roman" w:hAnsi="Times New Roman" w:cs="Times New Roman"/>
                <w:color w:val="000000"/>
                <w:sz w:val="20"/>
                <w:szCs w:val="20"/>
                <w:lang w:eastAsia="zh-CN"/>
              </w:rPr>
              <w:t xml:space="preserve"> </w:t>
            </w:r>
          </w:p>
        </w:tc>
      </w:tr>
      <w:tr w:rsidR="004210B9" w:rsidRPr="004210B9" w14:paraId="2E3C477A" w14:textId="77777777" w:rsidTr="00064A08">
        <w:trPr>
          <w:trHeight w:val="270"/>
        </w:trPr>
        <w:tc>
          <w:tcPr>
            <w:tcW w:w="4120" w:type="dxa"/>
            <w:tcBorders>
              <w:top w:val="nil"/>
              <w:left w:val="nil"/>
              <w:bottom w:val="nil"/>
              <w:right w:val="nil"/>
            </w:tcBorders>
            <w:shd w:val="clear" w:color="auto" w:fill="auto"/>
            <w:noWrap/>
            <w:vAlign w:val="bottom"/>
            <w:hideMark/>
          </w:tcPr>
          <w:p w14:paraId="44CE1B04"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Total expenses</w:t>
            </w:r>
          </w:p>
        </w:tc>
        <w:tc>
          <w:tcPr>
            <w:tcW w:w="842" w:type="dxa"/>
            <w:tcBorders>
              <w:top w:val="nil"/>
              <w:left w:val="nil"/>
              <w:bottom w:val="nil"/>
              <w:right w:val="nil"/>
            </w:tcBorders>
            <w:shd w:val="clear" w:color="auto" w:fill="auto"/>
            <w:noWrap/>
            <w:vAlign w:val="center"/>
            <w:hideMark/>
          </w:tcPr>
          <w:p w14:paraId="31EF35B5"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40EC1EA5"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3D607B21" w14:textId="1F8CE434"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3,502,221</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single" w:sz="8" w:space="0" w:color="auto"/>
              <w:right w:val="nil"/>
            </w:tcBorders>
            <w:shd w:val="clear" w:color="auto" w:fill="auto"/>
            <w:noWrap/>
            <w:vAlign w:val="bottom"/>
            <w:hideMark/>
          </w:tcPr>
          <w:p w14:paraId="39607D00"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164" w:type="dxa"/>
            <w:tcBorders>
              <w:top w:val="nil"/>
              <w:left w:val="nil"/>
              <w:bottom w:val="single" w:sz="8" w:space="0" w:color="auto"/>
              <w:right w:val="nil"/>
            </w:tcBorders>
            <w:shd w:val="clear" w:color="auto" w:fill="auto"/>
            <w:noWrap/>
            <w:vAlign w:val="bottom"/>
            <w:hideMark/>
          </w:tcPr>
          <w:p w14:paraId="45A844F0" w14:textId="7B829716"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59,071</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single" w:sz="8" w:space="0" w:color="auto"/>
              <w:right w:val="nil"/>
            </w:tcBorders>
            <w:shd w:val="clear" w:color="auto" w:fill="auto"/>
            <w:noWrap/>
            <w:vAlign w:val="bottom"/>
            <w:hideMark/>
          </w:tcPr>
          <w:p w14:paraId="63698028"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6166579F" w14:textId="092D2C19"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3,443,150</w:t>
            </w:r>
            <w:r w:rsidRPr="00242CA7">
              <w:rPr>
                <w:rFonts w:ascii="Times New Roman" w:eastAsia="Times New Roman" w:hAnsi="Times New Roman" w:cs="Times New Roman"/>
                <w:color w:val="000000"/>
                <w:sz w:val="20"/>
                <w:szCs w:val="20"/>
                <w:lang w:eastAsia="zh-CN"/>
              </w:rPr>
              <w:t xml:space="preserve"> </w:t>
            </w:r>
          </w:p>
        </w:tc>
      </w:tr>
      <w:tr w:rsidR="004210B9" w:rsidRPr="004210B9" w14:paraId="4EE63CBD" w14:textId="77777777" w:rsidTr="00064A08">
        <w:trPr>
          <w:trHeight w:val="270"/>
        </w:trPr>
        <w:tc>
          <w:tcPr>
            <w:tcW w:w="4120" w:type="dxa"/>
            <w:tcBorders>
              <w:top w:val="nil"/>
              <w:left w:val="nil"/>
              <w:bottom w:val="nil"/>
              <w:right w:val="nil"/>
            </w:tcBorders>
            <w:shd w:val="clear" w:color="auto" w:fill="auto"/>
            <w:noWrap/>
            <w:vAlign w:val="bottom"/>
            <w:hideMark/>
          </w:tcPr>
          <w:p w14:paraId="598EEF8E"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Loss before other income (expenses)</w:t>
            </w:r>
          </w:p>
        </w:tc>
        <w:tc>
          <w:tcPr>
            <w:tcW w:w="842" w:type="dxa"/>
            <w:tcBorders>
              <w:top w:val="nil"/>
              <w:left w:val="nil"/>
              <w:bottom w:val="nil"/>
              <w:right w:val="nil"/>
            </w:tcBorders>
            <w:shd w:val="clear" w:color="auto" w:fill="auto"/>
            <w:noWrap/>
            <w:vAlign w:val="center"/>
            <w:hideMark/>
          </w:tcPr>
          <w:p w14:paraId="5B890B6D"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33884391"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0D94EBE5" w14:textId="3756BA6F"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r w:rsidR="00242CA7">
              <w:rPr>
                <w:rFonts w:ascii="Times New Roman" w:eastAsia="Times New Roman" w:hAnsi="Times New Roman" w:cs="Times New Roman"/>
                <w:color w:val="000000"/>
                <w:sz w:val="20"/>
                <w:szCs w:val="20"/>
                <w:lang w:eastAsia="zh-CN"/>
              </w:rPr>
              <w:t>1,544,404</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single" w:sz="8" w:space="0" w:color="auto"/>
              <w:right w:val="nil"/>
            </w:tcBorders>
            <w:shd w:val="clear" w:color="auto" w:fill="auto"/>
            <w:noWrap/>
            <w:vAlign w:val="bottom"/>
            <w:hideMark/>
          </w:tcPr>
          <w:p w14:paraId="252A57FB"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164" w:type="dxa"/>
            <w:tcBorders>
              <w:top w:val="nil"/>
              <w:left w:val="nil"/>
              <w:bottom w:val="single" w:sz="8" w:space="0" w:color="auto"/>
              <w:right w:val="nil"/>
            </w:tcBorders>
            <w:shd w:val="clear" w:color="auto" w:fill="auto"/>
            <w:noWrap/>
            <w:vAlign w:val="bottom"/>
            <w:hideMark/>
          </w:tcPr>
          <w:p w14:paraId="647DFCF7" w14:textId="355E64E0"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59,071</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single" w:sz="8" w:space="0" w:color="auto"/>
              <w:right w:val="nil"/>
            </w:tcBorders>
            <w:shd w:val="clear" w:color="auto" w:fill="auto"/>
            <w:noWrap/>
            <w:vAlign w:val="bottom"/>
            <w:hideMark/>
          </w:tcPr>
          <w:p w14:paraId="505E8631"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554EE64F" w14:textId="2A949F48"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1,485,333</w:t>
            </w:r>
            <w:r w:rsidRPr="00242CA7">
              <w:rPr>
                <w:rFonts w:ascii="Times New Roman" w:eastAsia="Times New Roman" w:hAnsi="Times New Roman" w:cs="Times New Roman"/>
                <w:color w:val="000000"/>
                <w:sz w:val="20"/>
                <w:szCs w:val="20"/>
                <w:lang w:eastAsia="zh-CN"/>
              </w:rPr>
              <w:t>)</w:t>
            </w:r>
          </w:p>
        </w:tc>
      </w:tr>
      <w:tr w:rsidR="004210B9" w:rsidRPr="004210B9" w14:paraId="599462CD" w14:textId="77777777" w:rsidTr="00064A08">
        <w:trPr>
          <w:trHeight w:val="255"/>
        </w:trPr>
        <w:tc>
          <w:tcPr>
            <w:tcW w:w="4120" w:type="dxa"/>
            <w:tcBorders>
              <w:top w:val="nil"/>
              <w:left w:val="nil"/>
              <w:bottom w:val="nil"/>
              <w:right w:val="nil"/>
            </w:tcBorders>
            <w:shd w:val="clear" w:color="auto" w:fill="auto"/>
            <w:noWrap/>
            <w:vAlign w:val="bottom"/>
            <w:hideMark/>
          </w:tcPr>
          <w:p w14:paraId="71B508E8"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Other income (expenses)</w:t>
            </w:r>
          </w:p>
        </w:tc>
        <w:tc>
          <w:tcPr>
            <w:tcW w:w="842" w:type="dxa"/>
            <w:tcBorders>
              <w:top w:val="nil"/>
              <w:left w:val="nil"/>
              <w:bottom w:val="nil"/>
              <w:right w:val="nil"/>
            </w:tcBorders>
            <w:shd w:val="clear" w:color="auto" w:fill="auto"/>
            <w:noWrap/>
            <w:vAlign w:val="center"/>
            <w:hideMark/>
          </w:tcPr>
          <w:p w14:paraId="49239BD9"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761EBF80"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14A59261"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2EED56E6"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164" w:type="dxa"/>
            <w:tcBorders>
              <w:top w:val="nil"/>
              <w:left w:val="nil"/>
              <w:bottom w:val="nil"/>
              <w:right w:val="nil"/>
            </w:tcBorders>
            <w:shd w:val="clear" w:color="auto" w:fill="auto"/>
            <w:noWrap/>
            <w:vAlign w:val="bottom"/>
            <w:hideMark/>
          </w:tcPr>
          <w:p w14:paraId="622B9037"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3C4885F1"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454740F9"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r>
      <w:tr w:rsidR="00242CA7" w:rsidRPr="004210B9" w14:paraId="4908A3E4" w14:textId="77777777" w:rsidTr="00064A08">
        <w:trPr>
          <w:trHeight w:val="255"/>
        </w:trPr>
        <w:tc>
          <w:tcPr>
            <w:tcW w:w="4120" w:type="dxa"/>
            <w:tcBorders>
              <w:top w:val="nil"/>
              <w:left w:val="nil"/>
              <w:bottom w:val="nil"/>
              <w:right w:val="nil"/>
            </w:tcBorders>
            <w:shd w:val="clear" w:color="auto" w:fill="auto"/>
            <w:noWrap/>
            <w:vAlign w:val="bottom"/>
            <w:hideMark/>
          </w:tcPr>
          <w:p w14:paraId="2C9F4437"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Interest expense</w:t>
            </w:r>
          </w:p>
        </w:tc>
        <w:tc>
          <w:tcPr>
            <w:tcW w:w="842" w:type="dxa"/>
            <w:tcBorders>
              <w:top w:val="nil"/>
              <w:left w:val="nil"/>
              <w:bottom w:val="nil"/>
              <w:right w:val="nil"/>
            </w:tcBorders>
            <w:shd w:val="clear" w:color="auto" w:fill="auto"/>
            <w:noWrap/>
            <w:vAlign w:val="center"/>
            <w:hideMark/>
          </w:tcPr>
          <w:p w14:paraId="7508C17A"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6BF35ACE" w14:textId="77777777" w:rsidR="00242CA7" w:rsidRPr="00242CA7" w:rsidRDefault="00242CA7" w:rsidP="00242CA7">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71EF89D8" w14:textId="4C647326"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73,755</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nil"/>
              <w:right w:val="nil"/>
            </w:tcBorders>
            <w:shd w:val="clear" w:color="auto" w:fill="auto"/>
            <w:noWrap/>
            <w:vAlign w:val="bottom"/>
            <w:hideMark/>
          </w:tcPr>
          <w:p w14:paraId="0D880ACC"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3712FA2B"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nil"/>
              <w:right w:val="nil"/>
            </w:tcBorders>
            <w:shd w:val="clear" w:color="auto" w:fill="auto"/>
            <w:noWrap/>
            <w:vAlign w:val="bottom"/>
            <w:hideMark/>
          </w:tcPr>
          <w:p w14:paraId="6E141717"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13C6B489" w14:textId="692C7EE5"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73,755</w:t>
            </w:r>
            <w:r w:rsidRPr="00242CA7">
              <w:rPr>
                <w:rFonts w:ascii="Times New Roman" w:eastAsia="Times New Roman" w:hAnsi="Times New Roman" w:cs="Times New Roman"/>
                <w:color w:val="000000"/>
                <w:sz w:val="20"/>
                <w:szCs w:val="20"/>
                <w:lang w:eastAsia="zh-CN"/>
              </w:rPr>
              <w:t>)</w:t>
            </w:r>
          </w:p>
        </w:tc>
      </w:tr>
      <w:tr w:rsidR="00242CA7" w:rsidRPr="004210B9" w14:paraId="6A352B89" w14:textId="77777777" w:rsidTr="00064A08">
        <w:trPr>
          <w:trHeight w:val="255"/>
        </w:trPr>
        <w:tc>
          <w:tcPr>
            <w:tcW w:w="4120" w:type="dxa"/>
            <w:tcBorders>
              <w:top w:val="nil"/>
              <w:left w:val="nil"/>
              <w:bottom w:val="nil"/>
              <w:right w:val="nil"/>
            </w:tcBorders>
            <w:shd w:val="clear" w:color="auto" w:fill="auto"/>
            <w:noWrap/>
            <w:vAlign w:val="bottom"/>
            <w:hideMark/>
          </w:tcPr>
          <w:p w14:paraId="6B843D8A"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Interest income</w:t>
            </w:r>
          </w:p>
        </w:tc>
        <w:tc>
          <w:tcPr>
            <w:tcW w:w="842" w:type="dxa"/>
            <w:tcBorders>
              <w:top w:val="nil"/>
              <w:left w:val="nil"/>
              <w:bottom w:val="nil"/>
              <w:right w:val="nil"/>
            </w:tcBorders>
            <w:shd w:val="clear" w:color="auto" w:fill="auto"/>
            <w:noWrap/>
            <w:vAlign w:val="center"/>
            <w:hideMark/>
          </w:tcPr>
          <w:p w14:paraId="4B39BD8F"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0129FC7B" w14:textId="77777777" w:rsidR="00242CA7" w:rsidRPr="00242CA7" w:rsidRDefault="00242CA7" w:rsidP="00242CA7">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42C7B2E1" w14:textId="3C6AF39E"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10,930</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nil"/>
              <w:right w:val="nil"/>
            </w:tcBorders>
            <w:shd w:val="clear" w:color="auto" w:fill="auto"/>
            <w:noWrap/>
            <w:vAlign w:val="bottom"/>
            <w:hideMark/>
          </w:tcPr>
          <w:p w14:paraId="0226446D"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111BAAA5"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nil"/>
              <w:right w:val="nil"/>
            </w:tcBorders>
            <w:shd w:val="clear" w:color="auto" w:fill="auto"/>
            <w:noWrap/>
            <w:vAlign w:val="bottom"/>
            <w:hideMark/>
          </w:tcPr>
          <w:p w14:paraId="6D6E3363"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37B65DB1" w14:textId="6EF41E9F"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10,930</w:t>
            </w:r>
            <w:r w:rsidRPr="00242CA7">
              <w:rPr>
                <w:rFonts w:ascii="Times New Roman" w:eastAsia="Times New Roman" w:hAnsi="Times New Roman" w:cs="Times New Roman"/>
                <w:color w:val="000000"/>
                <w:sz w:val="20"/>
                <w:szCs w:val="20"/>
                <w:lang w:eastAsia="zh-CN"/>
              </w:rPr>
              <w:t xml:space="preserve"> </w:t>
            </w:r>
          </w:p>
        </w:tc>
      </w:tr>
      <w:tr w:rsidR="00242CA7" w:rsidRPr="004210B9" w14:paraId="402731D6" w14:textId="77777777" w:rsidTr="00064A08">
        <w:trPr>
          <w:trHeight w:val="255"/>
        </w:trPr>
        <w:tc>
          <w:tcPr>
            <w:tcW w:w="4120" w:type="dxa"/>
            <w:tcBorders>
              <w:top w:val="nil"/>
              <w:left w:val="nil"/>
              <w:bottom w:val="nil"/>
              <w:right w:val="nil"/>
            </w:tcBorders>
            <w:shd w:val="clear" w:color="auto" w:fill="auto"/>
            <w:noWrap/>
            <w:vAlign w:val="bottom"/>
            <w:hideMark/>
          </w:tcPr>
          <w:p w14:paraId="14D4179D"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Finance cost</w:t>
            </w:r>
          </w:p>
        </w:tc>
        <w:tc>
          <w:tcPr>
            <w:tcW w:w="842" w:type="dxa"/>
            <w:tcBorders>
              <w:top w:val="nil"/>
              <w:left w:val="nil"/>
              <w:bottom w:val="nil"/>
              <w:right w:val="nil"/>
            </w:tcBorders>
            <w:shd w:val="clear" w:color="auto" w:fill="auto"/>
            <w:noWrap/>
            <w:vAlign w:val="center"/>
            <w:hideMark/>
          </w:tcPr>
          <w:p w14:paraId="279AAAA4"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73912FCA" w14:textId="77777777" w:rsidR="00242CA7" w:rsidRPr="00242CA7" w:rsidRDefault="00242CA7" w:rsidP="00242CA7">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23E34CE6" w14:textId="27A2296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49</w:t>
            </w:r>
            <w:r w:rsidRPr="00242CA7">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382</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nil"/>
              <w:right w:val="nil"/>
            </w:tcBorders>
            <w:shd w:val="clear" w:color="auto" w:fill="auto"/>
            <w:noWrap/>
            <w:vAlign w:val="bottom"/>
            <w:hideMark/>
          </w:tcPr>
          <w:p w14:paraId="6209D869"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2EC03193"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nil"/>
              <w:right w:val="nil"/>
            </w:tcBorders>
            <w:shd w:val="clear" w:color="auto" w:fill="auto"/>
            <w:noWrap/>
            <w:vAlign w:val="bottom"/>
            <w:hideMark/>
          </w:tcPr>
          <w:p w14:paraId="1E3AB0CB"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4C9D0DCC" w14:textId="26C7A0B9"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49</w:t>
            </w:r>
            <w:r w:rsidRPr="00242CA7">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382</w:t>
            </w:r>
            <w:r w:rsidRPr="00242CA7">
              <w:rPr>
                <w:rFonts w:ascii="Times New Roman" w:eastAsia="Times New Roman" w:hAnsi="Times New Roman" w:cs="Times New Roman"/>
                <w:color w:val="000000"/>
                <w:sz w:val="20"/>
                <w:szCs w:val="20"/>
                <w:lang w:eastAsia="zh-CN"/>
              </w:rPr>
              <w:t>)</w:t>
            </w:r>
          </w:p>
        </w:tc>
      </w:tr>
      <w:tr w:rsidR="00242CA7" w:rsidRPr="004210B9" w14:paraId="316C4F62" w14:textId="77777777" w:rsidTr="00064A08">
        <w:trPr>
          <w:trHeight w:val="255"/>
        </w:trPr>
        <w:tc>
          <w:tcPr>
            <w:tcW w:w="4120" w:type="dxa"/>
            <w:tcBorders>
              <w:top w:val="nil"/>
              <w:left w:val="nil"/>
              <w:bottom w:val="nil"/>
              <w:right w:val="nil"/>
            </w:tcBorders>
            <w:shd w:val="clear" w:color="auto" w:fill="auto"/>
            <w:noWrap/>
            <w:vAlign w:val="bottom"/>
            <w:hideMark/>
          </w:tcPr>
          <w:p w14:paraId="3AAFB9B5"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Foreign exchange loss</w:t>
            </w:r>
          </w:p>
        </w:tc>
        <w:tc>
          <w:tcPr>
            <w:tcW w:w="842" w:type="dxa"/>
            <w:tcBorders>
              <w:top w:val="nil"/>
              <w:left w:val="nil"/>
              <w:bottom w:val="nil"/>
              <w:right w:val="nil"/>
            </w:tcBorders>
            <w:shd w:val="clear" w:color="auto" w:fill="auto"/>
            <w:noWrap/>
            <w:vAlign w:val="center"/>
            <w:hideMark/>
          </w:tcPr>
          <w:p w14:paraId="02741BDD"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3B5DAF39" w14:textId="77777777" w:rsidR="00242CA7" w:rsidRPr="00242CA7" w:rsidRDefault="00242CA7" w:rsidP="00242CA7">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1417F18F" w14:textId="242DD899"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918</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nil"/>
              <w:right w:val="nil"/>
            </w:tcBorders>
            <w:shd w:val="clear" w:color="auto" w:fill="auto"/>
            <w:noWrap/>
            <w:vAlign w:val="bottom"/>
            <w:hideMark/>
          </w:tcPr>
          <w:p w14:paraId="759AA8E1"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494DA6D7"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nil"/>
              <w:right w:val="nil"/>
            </w:tcBorders>
            <w:shd w:val="clear" w:color="auto" w:fill="auto"/>
            <w:noWrap/>
            <w:vAlign w:val="bottom"/>
            <w:hideMark/>
          </w:tcPr>
          <w:p w14:paraId="43065D8C"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663F9CB9" w14:textId="30725C71"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918</w:t>
            </w:r>
            <w:r w:rsidRPr="00242CA7">
              <w:rPr>
                <w:rFonts w:ascii="Times New Roman" w:eastAsia="Times New Roman" w:hAnsi="Times New Roman" w:cs="Times New Roman"/>
                <w:color w:val="000000"/>
                <w:sz w:val="20"/>
                <w:szCs w:val="20"/>
                <w:lang w:eastAsia="zh-CN"/>
              </w:rPr>
              <w:t>)</w:t>
            </w:r>
          </w:p>
        </w:tc>
      </w:tr>
      <w:tr w:rsidR="00242CA7" w:rsidRPr="004210B9" w14:paraId="49185D2D" w14:textId="77777777" w:rsidTr="00064A08">
        <w:trPr>
          <w:trHeight w:val="255"/>
        </w:trPr>
        <w:tc>
          <w:tcPr>
            <w:tcW w:w="4120" w:type="dxa"/>
            <w:tcBorders>
              <w:top w:val="nil"/>
              <w:left w:val="nil"/>
              <w:bottom w:val="nil"/>
              <w:right w:val="nil"/>
            </w:tcBorders>
            <w:shd w:val="clear" w:color="auto" w:fill="auto"/>
            <w:noWrap/>
            <w:vAlign w:val="bottom"/>
            <w:hideMark/>
          </w:tcPr>
          <w:p w14:paraId="232E24D7"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Other expense</w:t>
            </w:r>
          </w:p>
        </w:tc>
        <w:tc>
          <w:tcPr>
            <w:tcW w:w="842" w:type="dxa"/>
            <w:tcBorders>
              <w:top w:val="nil"/>
              <w:left w:val="nil"/>
              <w:bottom w:val="nil"/>
              <w:right w:val="nil"/>
            </w:tcBorders>
            <w:shd w:val="clear" w:color="auto" w:fill="auto"/>
            <w:noWrap/>
            <w:vAlign w:val="center"/>
            <w:hideMark/>
          </w:tcPr>
          <w:p w14:paraId="3C481576"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346C230A" w14:textId="77777777" w:rsidR="00242CA7" w:rsidRPr="00242CA7" w:rsidRDefault="00242CA7" w:rsidP="00242CA7">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338901F0"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(36)</w:t>
            </w:r>
          </w:p>
        </w:tc>
        <w:tc>
          <w:tcPr>
            <w:tcW w:w="380" w:type="dxa"/>
            <w:tcBorders>
              <w:top w:val="nil"/>
              <w:left w:val="nil"/>
              <w:bottom w:val="nil"/>
              <w:right w:val="nil"/>
            </w:tcBorders>
            <w:shd w:val="clear" w:color="auto" w:fill="auto"/>
            <w:noWrap/>
            <w:vAlign w:val="bottom"/>
            <w:hideMark/>
          </w:tcPr>
          <w:p w14:paraId="2A1C1CB8"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13869218"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nil"/>
              <w:right w:val="nil"/>
            </w:tcBorders>
            <w:shd w:val="clear" w:color="auto" w:fill="auto"/>
            <w:noWrap/>
            <w:vAlign w:val="bottom"/>
            <w:hideMark/>
          </w:tcPr>
          <w:p w14:paraId="2C9F4EA1"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76983AE5" w14:textId="79226621"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(36)</w:t>
            </w:r>
          </w:p>
        </w:tc>
      </w:tr>
      <w:tr w:rsidR="00242CA7" w:rsidRPr="004210B9" w14:paraId="07DE8989" w14:textId="77777777" w:rsidTr="00064A08">
        <w:trPr>
          <w:trHeight w:val="255"/>
        </w:trPr>
        <w:tc>
          <w:tcPr>
            <w:tcW w:w="4120" w:type="dxa"/>
            <w:tcBorders>
              <w:top w:val="nil"/>
              <w:left w:val="nil"/>
              <w:bottom w:val="nil"/>
              <w:right w:val="nil"/>
            </w:tcBorders>
            <w:shd w:val="clear" w:color="auto" w:fill="auto"/>
            <w:noWrap/>
            <w:vAlign w:val="bottom"/>
            <w:hideMark/>
          </w:tcPr>
          <w:p w14:paraId="46BB5619"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Loss on debt extinguishment</w:t>
            </w:r>
          </w:p>
        </w:tc>
        <w:tc>
          <w:tcPr>
            <w:tcW w:w="842" w:type="dxa"/>
            <w:tcBorders>
              <w:top w:val="nil"/>
              <w:left w:val="nil"/>
              <w:bottom w:val="nil"/>
              <w:right w:val="nil"/>
            </w:tcBorders>
            <w:shd w:val="clear" w:color="auto" w:fill="auto"/>
            <w:noWrap/>
            <w:vAlign w:val="center"/>
            <w:hideMark/>
          </w:tcPr>
          <w:p w14:paraId="1BE2D341"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(4)</w:t>
            </w:r>
          </w:p>
        </w:tc>
        <w:tc>
          <w:tcPr>
            <w:tcW w:w="418" w:type="dxa"/>
            <w:tcBorders>
              <w:top w:val="nil"/>
              <w:left w:val="nil"/>
              <w:bottom w:val="nil"/>
              <w:right w:val="nil"/>
            </w:tcBorders>
            <w:shd w:val="clear" w:color="auto" w:fill="auto"/>
            <w:noWrap/>
            <w:vAlign w:val="bottom"/>
            <w:hideMark/>
          </w:tcPr>
          <w:p w14:paraId="67CF13BE"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0E354388" w14:textId="71AA8AE0"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225,006</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nil"/>
              <w:right w:val="nil"/>
            </w:tcBorders>
            <w:shd w:val="clear" w:color="auto" w:fill="auto"/>
            <w:noWrap/>
            <w:vAlign w:val="bottom"/>
            <w:hideMark/>
          </w:tcPr>
          <w:p w14:paraId="2C6C7447"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164" w:type="dxa"/>
            <w:tcBorders>
              <w:top w:val="nil"/>
              <w:left w:val="nil"/>
              <w:bottom w:val="nil"/>
              <w:right w:val="nil"/>
            </w:tcBorders>
            <w:shd w:val="clear" w:color="auto" w:fill="auto"/>
            <w:noWrap/>
            <w:vAlign w:val="bottom"/>
            <w:hideMark/>
          </w:tcPr>
          <w:p w14:paraId="57B5804A"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79,341 </w:t>
            </w:r>
          </w:p>
        </w:tc>
        <w:tc>
          <w:tcPr>
            <w:tcW w:w="380" w:type="dxa"/>
            <w:tcBorders>
              <w:top w:val="nil"/>
              <w:left w:val="nil"/>
              <w:bottom w:val="nil"/>
              <w:right w:val="nil"/>
            </w:tcBorders>
            <w:shd w:val="clear" w:color="auto" w:fill="auto"/>
            <w:noWrap/>
            <w:vAlign w:val="bottom"/>
            <w:hideMark/>
          </w:tcPr>
          <w:p w14:paraId="69076F12"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p>
        </w:tc>
        <w:tc>
          <w:tcPr>
            <w:tcW w:w="1216" w:type="dxa"/>
            <w:tcBorders>
              <w:top w:val="nil"/>
              <w:left w:val="nil"/>
              <w:bottom w:val="nil"/>
              <w:right w:val="nil"/>
            </w:tcBorders>
            <w:shd w:val="clear" w:color="auto" w:fill="auto"/>
            <w:noWrap/>
            <w:vAlign w:val="bottom"/>
            <w:hideMark/>
          </w:tcPr>
          <w:p w14:paraId="5D3CFDB9" w14:textId="7484B5DC"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145,665</w:t>
            </w:r>
            <w:r w:rsidRPr="00242CA7">
              <w:rPr>
                <w:rFonts w:ascii="Times New Roman" w:eastAsia="Times New Roman" w:hAnsi="Times New Roman" w:cs="Times New Roman"/>
                <w:color w:val="000000"/>
                <w:sz w:val="20"/>
                <w:szCs w:val="20"/>
                <w:lang w:eastAsia="zh-CN"/>
              </w:rPr>
              <w:t>)</w:t>
            </w:r>
          </w:p>
        </w:tc>
      </w:tr>
      <w:tr w:rsidR="00242CA7" w:rsidRPr="004210B9" w14:paraId="5A8C8C43" w14:textId="77777777" w:rsidTr="00064A08">
        <w:trPr>
          <w:trHeight w:val="270"/>
        </w:trPr>
        <w:tc>
          <w:tcPr>
            <w:tcW w:w="4120" w:type="dxa"/>
            <w:tcBorders>
              <w:top w:val="nil"/>
              <w:left w:val="nil"/>
              <w:bottom w:val="nil"/>
              <w:right w:val="nil"/>
            </w:tcBorders>
            <w:shd w:val="clear" w:color="auto" w:fill="auto"/>
            <w:noWrap/>
            <w:vAlign w:val="bottom"/>
            <w:hideMark/>
          </w:tcPr>
          <w:p w14:paraId="7F4F12C0"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Change in fair value of derivative liability</w:t>
            </w:r>
          </w:p>
        </w:tc>
        <w:tc>
          <w:tcPr>
            <w:tcW w:w="842" w:type="dxa"/>
            <w:tcBorders>
              <w:top w:val="nil"/>
              <w:left w:val="nil"/>
              <w:bottom w:val="nil"/>
              <w:right w:val="nil"/>
            </w:tcBorders>
            <w:shd w:val="clear" w:color="auto" w:fill="auto"/>
            <w:noWrap/>
            <w:vAlign w:val="center"/>
            <w:hideMark/>
          </w:tcPr>
          <w:p w14:paraId="178F429E"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6DFB6C68"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617AB6C8" w14:textId="4EC46984"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5,698,468</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single" w:sz="8" w:space="0" w:color="auto"/>
              <w:right w:val="nil"/>
            </w:tcBorders>
            <w:shd w:val="clear" w:color="auto" w:fill="auto"/>
            <w:noWrap/>
            <w:vAlign w:val="bottom"/>
            <w:hideMark/>
          </w:tcPr>
          <w:p w14:paraId="3BC3112A"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164" w:type="dxa"/>
            <w:tcBorders>
              <w:top w:val="nil"/>
              <w:left w:val="nil"/>
              <w:bottom w:val="single" w:sz="8" w:space="0" w:color="auto"/>
              <w:right w:val="nil"/>
            </w:tcBorders>
            <w:shd w:val="clear" w:color="auto" w:fill="auto"/>
            <w:noWrap/>
            <w:vAlign w:val="bottom"/>
            <w:hideMark/>
          </w:tcPr>
          <w:p w14:paraId="4576516C" w14:textId="7777777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single" w:sz="8" w:space="0" w:color="auto"/>
              <w:right w:val="nil"/>
            </w:tcBorders>
            <w:shd w:val="clear" w:color="auto" w:fill="auto"/>
            <w:noWrap/>
            <w:vAlign w:val="bottom"/>
            <w:hideMark/>
          </w:tcPr>
          <w:p w14:paraId="671E7BEA" w14:textId="77777777" w:rsidR="00242CA7" w:rsidRPr="00242CA7" w:rsidRDefault="00242CA7" w:rsidP="00242CA7">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1784BE7D" w14:textId="48A82217" w:rsidR="00242CA7" w:rsidRPr="00242CA7" w:rsidRDefault="00242CA7" w:rsidP="00242CA7">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5,698,468</w:t>
            </w:r>
            <w:r w:rsidRPr="00242CA7">
              <w:rPr>
                <w:rFonts w:ascii="Times New Roman" w:eastAsia="Times New Roman" w:hAnsi="Times New Roman" w:cs="Times New Roman"/>
                <w:color w:val="000000"/>
                <w:sz w:val="20"/>
                <w:szCs w:val="20"/>
                <w:lang w:eastAsia="zh-CN"/>
              </w:rPr>
              <w:t>)</w:t>
            </w:r>
          </w:p>
        </w:tc>
      </w:tr>
      <w:tr w:rsidR="004210B9" w:rsidRPr="004210B9" w14:paraId="3F950440" w14:textId="77777777" w:rsidTr="00064A08">
        <w:trPr>
          <w:trHeight w:val="270"/>
        </w:trPr>
        <w:tc>
          <w:tcPr>
            <w:tcW w:w="4120" w:type="dxa"/>
            <w:tcBorders>
              <w:top w:val="nil"/>
              <w:left w:val="nil"/>
              <w:bottom w:val="nil"/>
              <w:right w:val="nil"/>
            </w:tcBorders>
            <w:shd w:val="clear" w:color="auto" w:fill="auto"/>
            <w:noWrap/>
            <w:vAlign w:val="bottom"/>
            <w:hideMark/>
          </w:tcPr>
          <w:p w14:paraId="5CEDD1C9"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Total other expenses</w:t>
            </w:r>
          </w:p>
        </w:tc>
        <w:tc>
          <w:tcPr>
            <w:tcW w:w="842" w:type="dxa"/>
            <w:tcBorders>
              <w:top w:val="nil"/>
              <w:left w:val="nil"/>
              <w:bottom w:val="nil"/>
              <w:right w:val="nil"/>
            </w:tcBorders>
            <w:shd w:val="clear" w:color="auto" w:fill="auto"/>
            <w:noWrap/>
            <w:vAlign w:val="center"/>
            <w:hideMark/>
          </w:tcPr>
          <w:p w14:paraId="2A95F7FE"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56579B4C"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79ED8C25" w14:textId="61BC0D19"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6,036,635</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single" w:sz="8" w:space="0" w:color="auto"/>
              <w:right w:val="nil"/>
            </w:tcBorders>
            <w:shd w:val="clear" w:color="auto" w:fill="auto"/>
            <w:noWrap/>
            <w:vAlign w:val="bottom"/>
            <w:hideMark/>
          </w:tcPr>
          <w:p w14:paraId="292669F8"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164" w:type="dxa"/>
            <w:tcBorders>
              <w:top w:val="nil"/>
              <w:left w:val="nil"/>
              <w:bottom w:val="single" w:sz="8" w:space="0" w:color="auto"/>
              <w:right w:val="nil"/>
            </w:tcBorders>
            <w:shd w:val="clear" w:color="auto" w:fill="auto"/>
            <w:noWrap/>
            <w:vAlign w:val="bottom"/>
            <w:hideMark/>
          </w:tcPr>
          <w:p w14:paraId="41BC12C1" w14:textId="77777777"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79,341 </w:t>
            </w:r>
          </w:p>
        </w:tc>
        <w:tc>
          <w:tcPr>
            <w:tcW w:w="380" w:type="dxa"/>
            <w:tcBorders>
              <w:top w:val="nil"/>
              <w:left w:val="nil"/>
              <w:bottom w:val="single" w:sz="8" w:space="0" w:color="auto"/>
              <w:right w:val="nil"/>
            </w:tcBorders>
            <w:shd w:val="clear" w:color="auto" w:fill="auto"/>
            <w:noWrap/>
            <w:vAlign w:val="bottom"/>
            <w:hideMark/>
          </w:tcPr>
          <w:p w14:paraId="672850C6"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10AFB3E5" w14:textId="3569B59E"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5,957,294</w:t>
            </w:r>
            <w:r w:rsidRPr="00242CA7">
              <w:rPr>
                <w:rFonts w:ascii="Times New Roman" w:eastAsia="Times New Roman" w:hAnsi="Times New Roman" w:cs="Times New Roman"/>
                <w:color w:val="000000"/>
                <w:sz w:val="20"/>
                <w:szCs w:val="20"/>
                <w:lang w:eastAsia="zh-CN"/>
              </w:rPr>
              <w:t>)</w:t>
            </w:r>
          </w:p>
        </w:tc>
      </w:tr>
      <w:tr w:rsidR="004210B9" w:rsidRPr="004210B9" w14:paraId="2E6B7C1C" w14:textId="77777777" w:rsidTr="00064A08">
        <w:trPr>
          <w:trHeight w:val="270"/>
        </w:trPr>
        <w:tc>
          <w:tcPr>
            <w:tcW w:w="4120" w:type="dxa"/>
            <w:tcBorders>
              <w:top w:val="nil"/>
              <w:left w:val="nil"/>
              <w:bottom w:val="nil"/>
              <w:right w:val="nil"/>
            </w:tcBorders>
            <w:shd w:val="clear" w:color="auto" w:fill="auto"/>
            <w:noWrap/>
            <w:vAlign w:val="bottom"/>
            <w:hideMark/>
          </w:tcPr>
          <w:p w14:paraId="52D0DD98"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Net loss for the period</w:t>
            </w:r>
          </w:p>
        </w:tc>
        <w:tc>
          <w:tcPr>
            <w:tcW w:w="842" w:type="dxa"/>
            <w:tcBorders>
              <w:top w:val="nil"/>
              <w:left w:val="nil"/>
              <w:bottom w:val="nil"/>
              <w:right w:val="nil"/>
            </w:tcBorders>
            <w:shd w:val="clear" w:color="auto" w:fill="auto"/>
            <w:noWrap/>
            <w:vAlign w:val="center"/>
            <w:hideMark/>
          </w:tcPr>
          <w:p w14:paraId="31D201F6"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60A209DD"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436158C6" w14:textId="23D6EDFB"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7,581,039</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single" w:sz="8" w:space="0" w:color="auto"/>
              <w:right w:val="nil"/>
            </w:tcBorders>
            <w:shd w:val="clear" w:color="auto" w:fill="auto"/>
            <w:noWrap/>
            <w:vAlign w:val="bottom"/>
            <w:hideMark/>
          </w:tcPr>
          <w:p w14:paraId="08977694"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164" w:type="dxa"/>
            <w:tcBorders>
              <w:top w:val="nil"/>
              <w:left w:val="nil"/>
              <w:bottom w:val="single" w:sz="8" w:space="0" w:color="auto"/>
              <w:right w:val="nil"/>
            </w:tcBorders>
            <w:shd w:val="clear" w:color="auto" w:fill="auto"/>
            <w:noWrap/>
            <w:vAlign w:val="bottom"/>
            <w:hideMark/>
          </w:tcPr>
          <w:p w14:paraId="35ACCCA8" w14:textId="4559678B"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1</w:t>
            </w:r>
            <w:r w:rsidR="00242CA7">
              <w:rPr>
                <w:rFonts w:ascii="Times New Roman" w:eastAsia="Times New Roman" w:hAnsi="Times New Roman" w:cs="Times New Roman"/>
                <w:color w:val="000000"/>
                <w:sz w:val="20"/>
                <w:szCs w:val="20"/>
                <w:lang w:eastAsia="zh-CN"/>
              </w:rPr>
              <w:t>38</w:t>
            </w:r>
            <w:r w:rsidRPr="00242CA7">
              <w:rPr>
                <w:rFonts w:ascii="Times New Roman" w:eastAsia="Times New Roman" w:hAnsi="Times New Roman" w:cs="Times New Roman"/>
                <w:color w:val="000000"/>
                <w:sz w:val="20"/>
                <w:szCs w:val="20"/>
                <w:lang w:eastAsia="zh-CN"/>
              </w:rPr>
              <w:t>,</w:t>
            </w:r>
            <w:r w:rsidR="00242CA7">
              <w:rPr>
                <w:rFonts w:ascii="Times New Roman" w:eastAsia="Times New Roman" w:hAnsi="Times New Roman" w:cs="Times New Roman"/>
                <w:color w:val="000000"/>
                <w:sz w:val="20"/>
                <w:szCs w:val="20"/>
                <w:lang w:eastAsia="zh-CN"/>
              </w:rPr>
              <w:t>412</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single" w:sz="8" w:space="0" w:color="auto"/>
              <w:right w:val="nil"/>
            </w:tcBorders>
            <w:shd w:val="clear" w:color="auto" w:fill="auto"/>
            <w:noWrap/>
            <w:vAlign w:val="bottom"/>
            <w:hideMark/>
          </w:tcPr>
          <w:p w14:paraId="4134080C"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042584FC" w14:textId="752F7658"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7,442,627</w:t>
            </w:r>
            <w:r w:rsidRPr="00242CA7">
              <w:rPr>
                <w:rFonts w:ascii="Times New Roman" w:eastAsia="Times New Roman" w:hAnsi="Times New Roman" w:cs="Times New Roman"/>
                <w:color w:val="000000"/>
                <w:sz w:val="20"/>
                <w:szCs w:val="20"/>
                <w:lang w:eastAsia="zh-CN"/>
              </w:rPr>
              <w:t>)</w:t>
            </w:r>
          </w:p>
        </w:tc>
      </w:tr>
      <w:tr w:rsidR="004210B9" w:rsidRPr="004210B9" w14:paraId="3EB8E306" w14:textId="77777777" w:rsidTr="00064A08">
        <w:trPr>
          <w:trHeight w:val="255"/>
        </w:trPr>
        <w:tc>
          <w:tcPr>
            <w:tcW w:w="4120" w:type="dxa"/>
            <w:tcBorders>
              <w:top w:val="nil"/>
              <w:left w:val="nil"/>
              <w:bottom w:val="nil"/>
              <w:right w:val="nil"/>
            </w:tcBorders>
            <w:shd w:val="clear" w:color="auto" w:fill="auto"/>
            <w:noWrap/>
            <w:vAlign w:val="bottom"/>
            <w:hideMark/>
          </w:tcPr>
          <w:p w14:paraId="6C84F95D" w14:textId="77777777"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p>
        </w:tc>
        <w:tc>
          <w:tcPr>
            <w:tcW w:w="842" w:type="dxa"/>
            <w:tcBorders>
              <w:top w:val="nil"/>
              <w:left w:val="nil"/>
              <w:bottom w:val="nil"/>
              <w:right w:val="nil"/>
            </w:tcBorders>
            <w:shd w:val="clear" w:color="auto" w:fill="auto"/>
            <w:noWrap/>
            <w:vAlign w:val="center"/>
            <w:hideMark/>
          </w:tcPr>
          <w:p w14:paraId="445F51A8"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418" w:type="dxa"/>
            <w:tcBorders>
              <w:top w:val="nil"/>
              <w:left w:val="nil"/>
              <w:bottom w:val="nil"/>
              <w:right w:val="nil"/>
            </w:tcBorders>
            <w:shd w:val="clear" w:color="auto" w:fill="auto"/>
            <w:noWrap/>
            <w:vAlign w:val="bottom"/>
            <w:hideMark/>
          </w:tcPr>
          <w:p w14:paraId="17CC7107"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1918C89A"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66D4721E"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164" w:type="dxa"/>
            <w:tcBorders>
              <w:top w:val="nil"/>
              <w:left w:val="nil"/>
              <w:bottom w:val="nil"/>
              <w:right w:val="nil"/>
            </w:tcBorders>
            <w:shd w:val="clear" w:color="auto" w:fill="auto"/>
            <w:noWrap/>
            <w:vAlign w:val="bottom"/>
            <w:hideMark/>
          </w:tcPr>
          <w:p w14:paraId="7F2ACF3F"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285DA8BD"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2C1F1016"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r>
      <w:tr w:rsidR="004210B9" w:rsidRPr="004210B9" w14:paraId="31572E23" w14:textId="77777777" w:rsidTr="00064A08">
        <w:trPr>
          <w:trHeight w:val="270"/>
        </w:trPr>
        <w:tc>
          <w:tcPr>
            <w:tcW w:w="4120" w:type="dxa"/>
            <w:tcBorders>
              <w:top w:val="nil"/>
              <w:left w:val="nil"/>
              <w:bottom w:val="nil"/>
              <w:right w:val="nil"/>
            </w:tcBorders>
            <w:shd w:val="clear" w:color="auto" w:fill="auto"/>
            <w:noWrap/>
            <w:vAlign w:val="bottom"/>
            <w:hideMark/>
          </w:tcPr>
          <w:p w14:paraId="55EA3E83"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Loss per share</w:t>
            </w:r>
          </w:p>
        </w:tc>
        <w:tc>
          <w:tcPr>
            <w:tcW w:w="842" w:type="dxa"/>
            <w:tcBorders>
              <w:top w:val="nil"/>
              <w:left w:val="nil"/>
              <w:bottom w:val="nil"/>
              <w:right w:val="nil"/>
            </w:tcBorders>
            <w:shd w:val="clear" w:color="auto" w:fill="auto"/>
            <w:noWrap/>
            <w:vAlign w:val="center"/>
            <w:hideMark/>
          </w:tcPr>
          <w:p w14:paraId="166CFF8F"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6E94CDDD"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5DAA8AF9" w14:textId="094F1158"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(0.0</w:t>
            </w:r>
            <w:r w:rsidR="00242CA7">
              <w:rPr>
                <w:rFonts w:ascii="Times New Roman" w:eastAsia="Times New Roman" w:hAnsi="Times New Roman" w:cs="Times New Roman"/>
                <w:color w:val="000000"/>
                <w:sz w:val="20"/>
                <w:szCs w:val="20"/>
                <w:lang w:eastAsia="zh-CN"/>
              </w:rPr>
              <w:t>5</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single" w:sz="8" w:space="0" w:color="auto"/>
              <w:right w:val="nil"/>
            </w:tcBorders>
            <w:shd w:val="clear" w:color="auto" w:fill="auto"/>
            <w:noWrap/>
            <w:vAlign w:val="bottom"/>
            <w:hideMark/>
          </w:tcPr>
          <w:p w14:paraId="72A25DAD"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164" w:type="dxa"/>
            <w:tcBorders>
              <w:top w:val="nil"/>
              <w:left w:val="nil"/>
              <w:bottom w:val="single" w:sz="8" w:space="0" w:color="auto"/>
              <w:right w:val="nil"/>
            </w:tcBorders>
            <w:shd w:val="clear" w:color="auto" w:fill="auto"/>
            <w:noWrap/>
            <w:vAlign w:val="bottom"/>
            <w:hideMark/>
          </w:tcPr>
          <w:p w14:paraId="59F0B347" w14:textId="77777777"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single" w:sz="8" w:space="0" w:color="auto"/>
              <w:right w:val="nil"/>
            </w:tcBorders>
            <w:shd w:val="clear" w:color="auto" w:fill="auto"/>
            <w:noWrap/>
            <w:vAlign w:val="bottom"/>
            <w:hideMark/>
          </w:tcPr>
          <w:p w14:paraId="021A8755"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4EC687DE" w14:textId="1829B55F"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(0.0</w:t>
            </w:r>
            <w:r w:rsidR="00242CA7">
              <w:rPr>
                <w:rFonts w:ascii="Times New Roman" w:eastAsia="Times New Roman" w:hAnsi="Times New Roman" w:cs="Times New Roman"/>
                <w:color w:val="000000"/>
                <w:sz w:val="20"/>
                <w:szCs w:val="20"/>
                <w:lang w:eastAsia="zh-CN"/>
              </w:rPr>
              <w:t>5</w:t>
            </w:r>
            <w:r w:rsidRPr="00242CA7">
              <w:rPr>
                <w:rFonts w:ascii="Times New Roman" w:eastAsia="Times New Roman" w:hAnsi="Times New Roman" w:cs="Times New Roman"/>
                <w:color w:val="000000"/>
                <w:sz w:val="20"/>
                <w:szCs w:val="20"/>
                <w:lang w:eastAsia="zh-CN"/>
              </w:rPr>
              <w:t>)</w:t>
            </w:r>
          </w:p>
        </w:tc>
      </w:tr>
      <w:tr w:rsidR="004210B9" w:rsidRPr="004210B9" w14:paraId="2B7D172B" w14:textId="77777777" w:rsidTr="00064A08">
        <w:trPr>
          <w:trHeight w:val="270"/>
        </w:trPr>
        <w:tc>
          <w:tcPr>
            <w:tcW w:w="4120" w:type="dxa"/>
            <w:tcBorders>
              <w:top w:val="nil"/>
              <w:left w:val="nil"/>
              <w:bottom w:val="nil"/>
              <w:right w:val="nil"/>
            </w:tcBorders>
            <w:shd w:val="clear" w:color="auto" w:fill="auto"/>
            <w:noWrap/>
            <w:vAlign w:val="bottom"/>
            <w:hideMark/>
          </w:tcPr>
          <w:p w14:paraId="7891C110"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Weighted average number of shares outstanding</w:t>
            </w:r>
          </w:p>
        </w:tc>
        <w:tc>
          <w:tcPr>
            <w:tcW w:w="842" w:type="dxa"/>
            <w:tcBorders>
              <w:top w:val="nil"/>
              <w:left w:val="nil"/>
              <w:bottom w:val="nil"/>
              <w:right w:val="nil"/>
            </w:tcBorders>
            <w:shd w:val="clear" w:color="auto" w:fill="auto"/>
            <w:noWrap/>
            <w:vAlign w:val="center"/>
            <w:hideMark/>
          </w:tcPr>
          <w:p w14:paraId="0AA8868A"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7E3E1C31"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2FCC8F9E" w14:textId="4060A644" w:rsidR="004210B9" w:rsidRPr="00242CA7" w:rsidRDefault="00242CA7" w:rsidP="006443C5">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142,003,395</w:t>
            </w:r>
            <w:r w:rsidR="004210B9"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single" w:sz="8" w:space="0" w:color="auto"/>
              <w:right w:val="nil"/>
            </w:tcBorders>
            <w:shd w:val="clear" w:color="auto" w:fill="auto"/>
            <w:noWrap/>
            <w:vAlign w:val="bottom"/>
            <w:hideMark/>
          </w:tcPr>
          <w:p w14:paraId="55AE7823"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164" w:type="dxa"/>
            <w:tcBorders>
              <w:top w:val="nil"/>
              <w:left w:val="nil"/>
              <w:bottom w:val="single" w:sz="8" w:space="0" w:color="auto"/>
              <w:right w:val="nil"/>
            </w:tcBorders>
            <w:shd w:val="clear" w:color="auto" w:fill="auto"/>
            <w:noWrap/>
            <w:vAlign w:val="bottom"/>
            <w:hideMark/>
          </w:tcPr>
          <w:p w14:paraId="2143CB75" w14:textId="77777777"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single" w:sz="8" w:space="0" w:color="auto"/>
              <w:right w:val="nil"/>
            </w:tcBorders>
            <w:shd w:val="clear" w:color="auto" w:fill="auto"/>
            <w:noWrap/>
            <w:vAlign w:val="bottom"/>
            <w:hideMark/>
          </w:tcPr>
          <w:p w14:paraId="40E0FAD4"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w:t>
            </w:r>
          </w:p>
        </w:tc>
        <w:tc>
          <w:tcPr>
            <w:tcW w:w="1216" w:type="dxa"/>
            <w:tcBorders>
              <w:top w:val="nil"/>
              <w:left w:val="nil"/>
              <w:bottom w:val="single" w:sz="8" w:space="0" w:color="auto"/>
              <w:right w:val="nil"/>
            </w:tcBorders>
            <w:shd w:val="clear" w:color="auto" w:fill="auto"/>
            <w:noWrap/>
            <w:vAlign w:val="bottom"/>
            <w:hideMark/>
          </w:tcPr>
          <w:p w14:paraId="1203811E" w14:textId="25AD7DE3" w:rsidR="004210B9" w:rsidRPr="00242CA7" w:rsidRDefault="00242CA7" w:rsidP="006443C5">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142,003,395</w:t>
            </w:r>
            <w:r w:rsidR="004210B9" w:rsidRPr="00242CA7">
              <w:rPr>
                <w:rFonts w:ascii="Times New Roman" w:eastAsia="Times New Roman" w:hAnsi="Times New Roman" w:cs="Times New Roman"/>
                <w:color w:val="000000"/>
                <w:sz w:val="20"/>
                <w:szCs w:val="20"/>
                <w:lang w:eastAsia="zh-CN"/>
              </w:rPr>
              <w:t xml:space="preserve"> </w:t>
            </w:r>
          </w:p>
        </w:tc>
      </w:tr>
      <w:tr w:rsidR="004210B9" w:rsidRPr="004210B9" w14:paraId="113BAACD" w14:textId="77777777" w:rsidTr="00064A08">
        <w:trPr>
          <w:trHeight w:val="255"/>
        </w:trPr>
        <w:tc>
          <w:tcPr>
            <w:tcW w:w="4120" w:type="dxa"/>
            <w:tcBorders>
              <w:top w:val="nil"/>
              <w:left w:val="nil"/>
              <w:bottom w:val="nil"/>
              <w:right w:val="nil"/>
            </w:tcBorders>
            <w:shd w:val="clear" w:color="auto" w:fill="auto"/>
            <w:noWrap/>
            <w:vAlign w:val="bottom"/>
            <w:hideMark/>
          </w:tcPr>
          <w:p w14:paraId="78EE9A18" w14:textId="77777777"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p>
        </w:tc>
        <w:tc>
          <w:tcPr>
            <w:tcW w:w="842" w:type="dxa"/>
            <w:tcBorders>
              <w:top w:val="nil"/>
              <w:left w:val="nil"/>
              <w:bottom w:val="nil"/>
              <w:right w:val="nil"/>
            </w:tcBorders>
            <w:shd w:val="clear" w:color="auto" w:fill="auto"/>
            <w:noWrap/>
            <w:vAlign w:val="center"/>
            <w:hideMark/>
          </w:tcPr>
          <w:p w14:paraId="749A83E0"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418" w:type="dxa"/>
            <w:tcBorders>
              <w:top w:val="nil"/>
              <w:left w:val="nil"/>
              <w:bottom w:val="nil"/>
              <w:right w:val="nil"/>
            </w:tcBorders>
            <w:shd w:val="clear" w:color="auto" w:fill="auto"/>
            <w:noWrap/>
            <w:vAlign w:val="bottom"/>
            <w:hideMark/>
          </w:tcPr>
          <w:p w14:paraId="66C21DA3"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3FF7DA65"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228228EA"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164" w:type="dxa"/>
            <w:tcBorders>
              <w:top w:val="nil"/>
              <w:left w:val="nil"/>
              <w:bottom w:val="nil"/>
              <w:right w:val="nil"/>
            </w:tcBorders>
            <w:shd w:val="clear" w:color="auto" w:fill="auto"/>
            <w:noWrap/>
            <w:vAlign w:val="bottom"/>
            <w:hideMark/>
          </w:tcPr>
          <w:p w14:paraId="766852C6"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1B3C77DC"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79CEE532"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r>
      <w:tr w:rsidR="004210B9" w:rsidRPr="004210B9" w14:paraId="2EB9508B" w14:textId="77777777" w:rsidTr="00064A08">
        <w:trPr>
          <w:trHeight w:val="255"/>
        </w:trPr>
        <w:tc>
          <w:tcPr>
            <w:tcW w:w="4120" w:type="dxa"/>
            <w:tcBorders>
              <w:top w:val="nil"/>
              <w:left w:val="nil"/>
              <w:bottom w:val="nil"/>
              <w:right w:val="nil"/>
            </w:tcBorders>
            <w:shd w:val="clear" w:color="auto" w:fill="auto"/>
            <w:noWrap/>
            <w:vAlign w:val="bottom"/>
            <w:hideMark/>
          </w:tcPr>
          <w:p w14:paraId="391422DC"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Other comprehensive loss</w:t>
            </w:r>
          </w:p>
        </w:tc>
        <w:tc>
          <w:tcPr>
            <w:tcW w:w="842" w:type="dxa"/>
            <w:tcBorders>
              <w:top w:val="nil"/>
              <w:left w:val="nil"/>
              <w:bottom w:val="nil"/>
              <w:right w:val="nil"/>
            </w:tcBorders>
            <w:shd w:val="clear" w:color="auto" w:fill="auto"/>
            <w:noWrap/>
            <w:vAlign w:val="center"/>
            <w:hideMark/>
          </w:tcPr>
          <w:p w14:paraId="548A2817"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nil"/>
              <w:right w:val="nil"/>
            </w:tcBorders>
            <w:shd w:val="clear" w:color="auto" w:fill="auto"/>
            <w:noWrap/>
            <w:vAlign w:val="bottom"/>
            <w:hideMark/>
          </w:tcPr>
          <w:p w14:paraId="5330CFD9"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12A29B57"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032E147A"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164" w:type="dxa"/>
            <w:tcBorders>
              <w:top w:val="nil"/>
              <w:left w:val="nil"/>
              <w:bottom w:val="nil"/>
              <w:right w:val="nil"/>
            </w:tcBorders>
            <w:shd w:val="clear" w:color="auto" w:fill="auto"/>
            <w:noWrap/>
            <w:vAlign w:val="bottom"/>
            <w:hideMark/>
          </w:tcPr>
          <w:p w14:paraId="19D444D2"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c>
          <w:tcPr>
            <w:tcW w:w="380" w:type="dxa"/>
            <w:tcBorders>
              <w:top w:val="nil"/>
              <w:left w:val="nil"/>
              <w:bottom w:val="nil"/>
              <w:right w:val="nil"/>
            </w:tcBorders>
            <w:shd w:val="clear" w:color="auto" w:fill="auto"/>
            <w:noWrap/>
            <w:vAlign w:val="bottom"/>
            <w:hideMark/>
          </w:tcPr>
          <w:p w14:paraId="7F60DE1D" w14:textId="77777777" w:rsidR="004210B9" w:rsidRPr="00242CA7" w:rsidRDefault="004210B9" w:rsidP="006443C5">
            <w:pPr>
              <w:spacing w:after="0" w:line="240" w:lineRule="auto"/>
              <w:jc w:val="right"/>
              <w:rPr>
                <w:rFonts w:ascii="Times New Roman" w:eastAsia="Times New Roman" w:hAnsi="Times New Roman" w:cs="Times New Roman"/>
                <w:sz w:val="20"/>
                <w:szCs w:val="20"/>
                <w:lang w:eastAsia="zh-CN"/>
              </w:rPr>
            </w:pPr>
          </w:p>
        </w:tc>
        <w:tc>
          <w:tcPr>
            <w:tcW w:w="1216" w:type="dxa"/>
            <w:tcBorders>
              <w:top w:val="nil"/>
              <w:left w:val="nil"/>
              <w:bottom w:val="nil"/>
              <w:right w:val="nil"/>
            </w:tcBorders>
            <w:shd w:val="clear" w:color="auto" w:fill="auto"/>
            <w:noWrap/>
            <w:vAlign w:val="bottom"/>
            <w:hideMark/>
          </w:tcPr>
          <w:p w14:paraId="42360DB9" w14:textId="77777777" w:rsidR="004210B9" w:rsidRPr="00242CA7" w:rsidRDefault="004210B9" w:rsidP="006443C5">
            <w:pPr>
              <w:spacing w:after="0" w:line="240" w:lineRule="auto"/>
              <w:rPr>
                <w:rFonts w:ascii="Times New Roman" w:eastAsia="Times New Roman" w:hAnsi="Times New Roman" w:cs="Times New Roman"/>
                <w:sz w:val="20"/>
                <w:szCs w:val="20"/>
                <w:lang w:eastAsia="zh-CN"/>
              </w:rPr>
            </w:pPr>
          </w:p>
        </w:tc>
      </w:tr>
      <w:tr w:rsidR="004210B9" w:rsidRPr="004210B9" w14:paraId="64C7830F" w14:textId="77777777" w:rsidTr="00064A08">
        <w:trPr>
          <w:trHeight w:val="270"/>
        </w:trPr>
        <w:tc>
          <w:tcPr>
            <w:tcW w:w="4120" w:type="dxa"/>
            <w:tcBorders>
              <w:top w:val="nil"/>
              <w:left w:val="nil"/>
              <w:bottom w:val="nil"/>
              <w:right w:val="nil"/>
            </w:tcBorders>
            <w:shd w:val="clear" w:color="auto" w:fill="auto"/>
            <w:noWrap/>
            <w:vAlign w:val="bottom"/>
            <w:hideMark/>
          </w:tcPr>
          <w:p w14:paraId="1653B246"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Foreign currency translation adjustments</w:t>
            </w:r>
          </w:p>
        </w:tc>
        <w:tc>
          <w:tcPr>
            <w:tcW w:w="842" w:type="dxa"/>
            <w:tcBorders>
              <w:top w:val="nil"/>
              <w:left w:val="nil"/>
              <w:bottom w:val="nil"/>
              <w:right w:val="nil"/>
            </w:tcBorders>
            <w:shd w:val="clear" w:color="auto" w:fill="auto"/>
            <w:noWrap/>
            <w:vAlign w:val="center"/>
            <w:hideMark/>
          </w:tcPr>
          <w:p w14:paraId="23EAEFBD"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06FBE401"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0866B2A3" w14:textId="3188C823"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185,844</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single" w:sz="8" w:space="0" w:color="auto"/>
              <w:right w:val="nil"/>
            </w:tcBorders>
            <w:shd w:val="clear" w:color="auto" w:fill="auto"/>
            <w:noWrap/>
            <w:vAlign w:val="bottom"/>
            <w:hideMark/>
          </w:tcPr>
          <w:p w14:paraId="66DFDA80"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164" w:type="dxa"/>
            <w:tcBorders>
              <w:top w:val="nil"/>
              <w:left w:val="nil"/>
              <w:bottom w:val="single" w:sz="8" w:space="0" w:color="auto"/>
              <w:right w:val="nil"/>
            </w:tcBorders>
            <w:shd w:val="clear" w:color="auto" w:fill="auto"/>
            <w:noWrap/>
            <w:vAlign w:val="bottom"/>
            <w:hideMark/>
          </w:tcPr>
          <w:p w14:paraId="34CE3EB0" w14:textId="77777777"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   </w:t>
            </w:r>
          </w:p>
        </w:tc>
        <w:tc>
          <w:tcPr>
            <w:tcW w:w="380" w:type="dxa"/>
            <w:tcBorders>
              <w:top w:val="nil"/>
              <w:left w:val="nil"/>
              <w:bottom w:val="single" w:sz="8" w:space="0" w:color="auto"/>
              <w:right w:val="nil"/>
            </w:tcBorders>
            <w:shd w:val="clear" w:color="auto" w:fill="auto"/>
            <w:noWrap/>
            <w:vAlign w:val="bottom"/>
            <w:hideMark/>
          </w:tcPr>
          <w:p w14:paraId="6747A5C6"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42AF93D7" w14:textId="429A4327"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FD3D1E">
              <w:rPr>
                <w:rFonts w:ascii="Times New Roman" w:eastAsia="Times New Roman" w:hAnsi="Times New Roman" w:cs="Times New Roman"/>
                <w:color w:val="000000"/>
                <w:sz w:val="20"/>
                <w:szCs w:val="20"/>
                <w:lang w:eastAsia="zh-CN"/>
              </w:rPr>
              <w:t>185,844</w:t>
            </w:r>
            <w:r w:rsidRPr="00242CA7">
              <w:rPr>
                <w:rFonts w:ascii="Times New Roman" w:eastAsia="Times New Roman" w:hAnsi="Times New Roman" w:cs="Times New Roman"/>
                <w:color w:val="000000"/>
                <w:sz w:val="20"/>
                <w:szCs w:val="20"/>
                <w:lang w:eastAsia="zh-CN"/>
              </w:rPr>
              <w:t>)</w:t>
            </w:r>
          </w:p>
        </w:tc>
      </w:tr>
      <w:tr w:rsidR="004210B9" w:rsidRPr="00A40CEC" w14:paraId="77B5A11C" w14:textId="77777777" w:rsidTr="00064A08">
        <w:trPr>
          <w:trHeight w:val="270"/>
        </w:trPr>
        <w:tc>
          <w:tcPr>
            <w:tcW w:w="4120" w:type="dxa"/>
            <w:tcBorders>
              <w:top w:val="nil"/>
              <w:left w:val="nil"/>
              <w:bottom w:val="nil"/>
              <w:right w:val="nil"/>
            </w:tcBorders>
            <w:shd w:val="clear" w:color="auto" w:fill="auto"/>
            <w:noWrap/>
            <w:vAlign w:val="bottom"/>
            <w:hideMark/>
          </w:tcPr>
          <w:p w14:paraId="54FBBC20"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Comprehensive loss</w:t>
            </w:r>
          </w:p>
        </w:tc>
        <w:tc>
          <w:tcPr>
            <w:tcW w:w="842" w:type="dxa"/>
            <w:tcBorders>
              <w:top w:val="nil"/>
              <w:left w:val="nil"/>
              <w:bottom w:val="nil"/>
              <w:right w:val="nil"/>
            </w:tcBorders>
            <w:shd w:val="clear" w:color="auto" w:fill="auto"/>
            <w:noWrap/>
            <w:vAlign w:val="center"/>
            <w:hideMark/>
          </w:tcPr>
          <w:p w14:paraId="586D041F"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p>
        </w:tc>
        <w:tc>
          <w:tcPr>
            <w:tcW w:w="418" w:type="dxa"/>
            <w:tcBorders>
              <w:top w:val="nil"/>
              <w:left w:val="nil"/>
              <w:bottom w:val="single" w:sz="8" w:space="0" w:color="auto"/>
              <w:right w:val="nil"/>
            </w:tcBorders>
            <w:shd w:val="clear" w:color="auto" w:fill="auto"/>
            <w:noWrap/>
            <w:vAlign w:val="bottom"/>
            <w:hideMark/>
          </w:tcPr>
          <w:p w14:paraId="6943F3B3"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6EE8FD14" w14:textId="60907615"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242CA7">
              <w:rPr>
                <w:rFonts w:ascii="Times New Roman" w:eastAsia="Times New Roman" w:hAnsi="Times New Roman" w:cs="Times New Roman"/>
                <w:color w:val="000000"/>
                <w:sz w:val="20"/>
                <w:szCs w:val="20"/>
                <w:lang w:eastAsia="zh-CN"/>
              </w:rPr>
              <w:t>7,766,883</w:t>
            </w:r>
            <w:r w:rsidRPr="00242CA7">
              <w:rPr>
                <w:rFonts w:ascii="Times New Roman" w:eastAsia="Times New Roman" w:hAnsi="Times New Roman" w:cs="Times New Roman"/>
                <w:color w:val="000000"/>
                <w:sz w:val="20"/>
                <w:szCs w:val="20"/>
                <w:lang w:eastAsia="zh-CN"/>
              </w:rPr>
              <w:t>)</w:t>
            </w:r>
          </w:p>
        </w:tc>
        <w:tc>
          <w:tcPr>
            <w:tcW w:w="380" w:type="dxa"/>
            <w:tcBorders>
              <w:top w:val="nil"/>
              <w:left w:val="nil"/>
              <w:bottom w:val="single" w:sz="8" w:space="0" w:color="auto"/>
              <w:right w:val="nil"/>
            </w:tcBorders>
            <w:shd w:val="clear" w:color="auto" w:fill="auto"/>
            <w:noWrap/>
            <w:vAlign w:val="bottom"/>
            <w:hideMark/>
          </w:tcPr>
          <w:p w14:paraId="7B41ED69"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164" w:type="dxa"/>
            <w:tcBorders>
              <w:top w:val="nil"/>
              <w:left w:val="nil"/>
              <w:bottom w:val="single" w:sz="8" w:space="0" w:color="auto"/>
              <w:right w:val="nil"/>
            </w:tcBorders>
            <w:shd w:val="clear" w:color="auto" w:fill="auto"/>
            <w:noWrap/>
            <w:vAlign w:val="bottom"/>
            <w:hideMark/>
          </w:tcPr>
          <w:p w14:paraId="2B3DCCCE" w14:textId="7DE6E39C"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1</w:t>
            </w:r>
            <w:r w:rsidR="00242CA7">
              <w:rPr>
                <w:rFonts w:ascii="Times New Roman" w:eastAsia="Times New Roman" w:hAnsi="Times New Roman" w:cs="Times New Roman"/>
                <w:color w:val="000000"/>
                <w:sz w:val="20"/>
                <w:szCs w:val="20"/>
                <w:lang w:eastAsia="zh-CN"/>
              </w:rPr>
              <w:t>38</w:t>
            </w:r>
            <w:r w:rsidRPr="00242CA7">
              <w:rPr>
                <w:rFonts w:ascii="Times New Roman" w:eastAsia="Times New Roman" w:hAnsi="Times New Roman" w:cs="Times New Roman"/>
                <w:color w:val="000000"/>
                <w:sz w:val="20"/>
                <w:szCs w:val="20"/>
                <w:lang w:eastAsia="zh-CN"/>
              </w:rPr>
              <w:t>,</w:t>
            </w:r>
            <w:r w:rsidR="00242CA7">
              <w:rPr>
                <w:rFonts w:ascii="Times New Roman" w:eastAsia="Times New Roman" w:hAnsi="Times New Roman" w:cs="Times New Roman"/>
                <w:color w:val="000000"/>
                <w:sz w:val="20"/>
                <w:szCs w:val="20"/>
                <w:lang w:eastAsia="zh-CN"/>
              </w:rPr>
              <w:t>412</w:t>
            </w:r>
            <w:r w:rsidRPr="00242CA7">
              <w:rPr>
                <w:rFonts w:ascii="Times New Roman" w:eastAsia="Times New Roman" w:hAnsi="Times New Roman" w:cs="Times New Roman"/>
                <w:color w:val="000000"/>
                <w:sz w:val="20"/>
                <w:szCs w:val="20"/>
                <w:lang w:eastAsia="zh-CN"/>
              </w:rPr>
              <w:t xml:space="preserve"> </w:t>
            </w:r>
          </w:p>
        </w:tc>
        <w:tc>
          <w:tcPr>
            <w:tcW w:w="380" w:type="dxa"/>
            <w:tcBorders>
              <w:top w:val="nil"/>
              <w:left w:val="nil"/>
              <w:bottom w:val="single" w:sz="8" w:space="0" w:color="auto"/>
              <w:right w:val="nil"/>
            </w:tcBorders>
            <w:shd w:val="clear" w:color="auto" w:fill="auto"/>
            <w:noWrap/>
            <w:vAlign w:val="bottom"/>
            <w:hideMark/>
          </w:tcPr>
          <w:p w14:paraId="7CE6D7D2" w14:textId="77777777" w:rsidR="004210B9" w:rsidRPr="00242CA7" w:rsidRDefault="004210B9" w:rsidP="006443C5">
            <w:pPr>
              <w:spacing w:after="0" w:line="240" w:lineRule="auto"/>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w:t>
            </w:r>
          </w:p>
        </w:tc>
        <w:tc>
          <w:tcPr>
            <w:tcW w:w="1216" w:type="dxa"/>
            <w:tcBorders>
              <w:top w:val="nil"/>
              <w:left w:val="nil"/>
              <w:bottom w:val="single" w:sz="8" w:space="0" w:color="auto"/>
              <w:right w:val="nil"/>
            </w:tcBorders>
            <w:shd w:val="clear" w:color="auto" w:fill="auto"/>
            <w:noWrap/>
            <w:vAlign w:val="bottom"/>
            <w:hideMark/>
          </w:tcPr>
          <w:p w14:paraId="3EF27D17" w14:textId="2C6155FE" w:rsidR="004210B9" w:rsidRPr="00242CA7" w:rsidRDefault="004210B9" w:rsidP="006443C5">
            <w:pPr>
              <w:spacing w:after="0" w:line="240" w:lineRule="auto"/>
              <w:jc w:val="right"/>
              <w:rPr>
                <w:rFonts w:ascii="Times New Roman" w:eastAsia="Times New Roman" w:hAnsi="Times New Roman" w:cs="Times New Roman"/>
                <w:color w:val="000000"/>
                <w:sz w:val="20"/>
                <w:szCs w:val="20"/>
                <w:lang w:eastAsia="zh-CN"/>
              </w:rPr>
            </w:pPr>
            <w:r w:rsidRPr="00242CA7">
              <w:rPr>
                <w:rFonts w:ascii="Times New Roman" w:eastAsia="Times New Roman" w:hAnsi="Times New Roman" w:cs="Times New Roman"/>
                <w:color w:val="000000"/>
                <w:sz w:val="20"/>
                <w:szCs w:val="20"/>
                <w:lang w:eastAsia="zh-CN"/>
              </w:rPr>
              <w:t xml:space="preserve"> (</w:t>
            </w:r>
            <w:r w:rsidR="00FD3D1E">
              <w:rPr>
                <w:rFonts w:ascii="Times New Roman" w:eastAsia="Times New Roman" w:hAnsi="Times New Roman" w:cs="Times New Roman"/>
                <w:color w:val="000000"/>
                <w:sz w:val="20"/>
                <w:szCs w:val="20"/>
                <w:lang w:eastAsia="zh-CN"/>
              </w:rPr>
              <w:t>7,628,471</w:t>
            </w:r>
            <w:r w:rsidRPr="00242CA7">
              <w:rPr>
                <w:rFonts w:ascii="Times New Roman" w:eastAsia="Times New Roman" w:hAnsi="Times New Roman" w:cs="Times New Roman"/>
                <w:color w:val="000000"/>
                <w:sz w:val="20"/>
                <w:szCs w:val="20"/>
                <w:lang w:eastAsia="zh-CN"/>
              </w:rPr>
              <w:t>)</w:t>
            </w:r>
          </w:p>
        </w:tc>
      </w:tr>
    </w:tbl>
    <w:p w14:paraId="264BCA66" w14:textId="77777777" w:rsidR="004210B9" w:rsidRDefault="004210B9" w:rsidP="00064A08">
      <w:pPr>
        <w:spacing w:after="0" w:line="240" w:lineRule="auto"/>
        <w:jc w:val="both"/>
        <w:rPr>
          <w:rFonts w:ascii="Times New Roman" w:eastAsia="Times New Roman" w:hAnsi="Times New Roman" w:cs="Times New Roman"/>
          <w:i/>
          <w:iCs/>
          <w:sz w:val="20"/>
          <w:szCs w:val="20"/>
          <w:lang w:val="en-US"/>
        </w:rPr>
      </w:pPr>
    </w:p>
    <w:p w14:paraId="528D00B8" w14:textId="77777777" w:rsidR="004210B9" w:rsidRDefault="004210B9" w:rsidP="00064A08">
      <w:pPr>
        <w:spacing w:after="0" w:line="240" w:lineRule="auto"/>
        <w:jc w:val="both"/>
        <w:rPr>
          <w:rFonts w:ascii="Times New Roman" w:eastAsia="Times New Roman" w:hAnsi="Times New Roman" w:cs="Times New Roman"/>
          <w:i/>
          <w:iCs/>
          <w:sz w:val="20"/>
          <w:szCs w:val="20"/>
          <w:lang w:val="en-US"/>
        </w:rPr>
      </w:pPr>
    </w:p>
    <w:p w14:paraId="3D5E4AE7" w14:textId="77777777" w:rsidR="00BD5874" w:rsidRPr="00E47F6C" w:rsidRDefault="00BD5874" w:rsidP="00BD5874">
      <w:pPr>
        <w:spacing w:after="0" w:line="240" w:lineRule="auto"/>
        <w:ind w:left="720"/>
        <w:jc w:val="both"/>
        <w:rPr>
          <w:rFonts w:ascii="Times New Roman" w:eastAsia="Times New Roman" w:hAnsi="Times New Roman" w:cs="Times New Roman"/>
          <w:sz w:val="20"/>
          <w:szCs w:val="20"/>
          <w:u w:val="single"/>
          <w:lang w:val="en-US"/>
        </w:rPr>
      </w:pPr>
      <w:r w:rsidRPr="00E47F6C">
        <w:rPr>
          <w:rFonts w:ascii="Times New Roman" w:eastAsia="Times New Roman" w:hAnsi="Times New Roman" w:cs="Times New Roman"/>
          <w:sz w:val="20"/>
          <w:szCs w:val="20"/>
          <w:u w:val="single"/>
          <w:lang w:val="en-US"/>
        </w:rPr>
        <w:t>Notes to the reconciliations</w:t>
      </w:r>
    </w:p>
    <w:p w14:paraId="1017E05A" w14:textId="77777777" w:rsidR="00BD5874" w:rsidRDefault="00BD5874" w:rsidP="00BD5874">
      <w:pPr>
        <w:spacing w:after="0" w:line="240" w:lineRule="auto"/>
        <w:ind w:left="720"/>
        <w:jc w:val="both"/>
        <w:rPr>
          <w:rFonts w:ascii="Times New Roman" w:eastAsia="Times New Roman" w:hAnsi="Times New Roman" w:cs="Times New Roman"/>
          <w:i/>
          <w:iCs/>
          <w:sz w:val="20"/>
          <w:szCs w:val="20"/>
          <w:lang w:val="en-US"/>
        </w:rPr>
      </w:pPr>
    </w:p>
    <w:p w14:paraId="65805021" w14:textId="434134C7" w:rsidR="00AC2794" w:rsidRDefault="00BD5874" w:rsidP="00D81FCF">
      <w:pPr>
        <w:spacing w:after="0" w:line="240" w:lineRule="auto"/>
        <w:ind w:left="720"/>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The reconciling items between US GAAP and IFRS presentation have no significant effect on the cash flows generated. Therefore, a reconciliation of cash flows has not been presented above.</w:t>
      </w:r>
    </w:p>
    <w:p w14:paraId="379296A7" w14:textId="559390C4" w:rsidR="00AC2794" w:rsidRDefault="00AC279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9258932" w14:textId="2EBEF893" w:rsidR="001220D4" w:rsidRDefault="001220D4" w:rsidP="00D33273">
      <w:pPr>
        <w:spacing w:after="0" w:line="240" w:lineRule="auto"/>
        <w:ind w:left="72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1220D4" w:rsidRPr="00D2099E" w14:paraId="58A7F0D8" w14:textId="77777777" w:rsidTr="00AE52B2">
        <w:tc>
          <w:tcPr>
            <w:tcW w:w="360" w:type="dxa"/>
            <w:hideMark/>
          </w:tcPr>
          <w:p w14:paraId="38ED0695" w14:textId="77777777" w:rsidR="001220D4" w:rsidRPr="00D2099E" w:rsidRDefault="001220D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2.</w:t>
            </w:r>
          </w:p>
        </w:tc>
        <w:tc>
          <w:tcPr>
            <w:tcW w:w="0" w:type="auto"/>
            <w:hideMark/>
          </w:tcPr>
          <w:p w14:paraId="78225871" w14:textId="77777777" w:rsidR="001220D4" w:rsidRPr="00D2099E" w:rsidRDefault="001220D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Summary of Significant Accounting Policies</w:t>
            </w:r>
            <w:r>
              <w:rPr>
                <w:rFonts w:ascii="Times New Roman" w:eastAsia="Times New Roman" w:hAnsi="Times New Roman" w:cs="Times New Roman"/>
                <w:b/>
                <w:bCs/>
                <w:sz w:val="20"/>
                <w:szCs w:val="20"/>
                <w:lang w:val="en-US"/>
              </w:rPr>
              <w:t xml:space="preserve"> (continued)</w:t>
            </w:r>
          </w:p>
        </w:tc>
      </w:tr>
    </w:tbl>
    <w:p w14:paraId="3087FDA1" w14:textId="77777777" w:rsidR="000B6D2F" w:rsidRDefault="000B6D2F" w:rsidP="00D81FCF">
      <w:pPr>
        <w:spacing w:after="0" w:line="240" w:lineRule="auto"/>
        <w:ind w:left="720"/>
        <w:jc w:val="both"/>
        <w:rPr>
          <w:rFonts w:ascii="Times New Roman" w:eastAsia="Times New Roman" w:hAnsi="Times New Roman" w:cs="Times New Roman"/>
          <w:sz w:val="20"/>
          <w:szCs w:val="20"/>
          <w:lang w:val="en-US"/>
        </w:rPr>
      </w:pPr>
    </w:p>
    <w:p w14:paraId="5F3DA38C" w14:textId="3284D0F2" w:rsidR="00D61092" w:rsidRDefault="00BE0BB0" w:rsidP="000B6D2F">
      <w:pPr>
        <w:pStyle w:val="ListParagraph"/>
        <w:numPr>
          <w:ilvl w:val="0"/>
          <w:numId w:val="5"/>
        </w:numPr>
        <w:ind w:hanging="11"/>
        <w:rPr>
          <w:sz w:val="20"/>
        </w:rPr>
      </w:pPr>
      <w:r>
        <w:rPr>
          <w:sz w:val="20"/>
        </w:rPr>
        <w:t>Exploration and evaluation assets (“E&amp;E assets”)</w:t>
      </w:r>
    </w:p>
    <w:p w14:paraId="2C50AC55" w14:textId="4429016F" w:rsidR="00BE0BB0" w:rsidRDefault="00BE0BB0" w:rsidP="00BE0BB0">
      <w:pPr>
        <w:pStyle w:val="ListParagraph"/>
        <w:rPr>
          <w:sz w:val="20"/>
        </w:rPr>
      </w:pPr>
    </w:p>
    <w:p w14:paraId="7428C8FA" w14:textId="6A77501B" w:rsidR="00BE0BB0" w:rsidRDefault="009F0ABA" w:rsidP="00BE0BB0">
      <w:pPr>
        <w:pStyle w:val="ListParagraph"/>
        <w:rPr>
          <w:sz w:val="20"/>
        </w:rPr>
      </w:pPr>
      <w:r>
        <w:rPr>
          <w:sz w:val="20"/>
        </w:rPr>
        <w:t>An adjustment has been made to reclassify the presentation of the</w:t>
      </w:r>
      <w:r w:rsidR="00BE0BB0">
        <w:rPr>
          <w:sz w:val="20"/>
        </w:rPr>
        <w:t xml:space="preserve"> Company’s Bulgarian property</w:t>
      </w:r>
      <w:r w:rsidR="001E7E01">
        <w:rPr>
          <w:sz w:val="20"/>
        </w:rPr>
        <w:t xml:space="preserve"> as e</w:t>
      </w:r>
      <w:r w:rsidR="001E7E01" w:rsidRPr="001E7E01">
        <w:rPr>
          <w:sz w:val="20"/>
        </w:rPr>
        <w:t>xploration and evaluation assets</w:t>
      </w:r>
      <w:r w:rsidR="00BE0BB0">
        <w:rPr>
          <w:sz w:val="20"/>
        </w:rPr>
        <w:t xml:space="preserve"> as it</w:t>
      </w:r>
      <w:r w:rsidR="001E7E01">
        <w:rPr>
          <w:sz w:val="20"/>
        </w:rPr>
        <w:t xml:space="preserve"> i</w:t>
      </w:r>
      <w:r w:rsidR="00BE0BB0">
        <w:rPr>
          <w:sz w:val="20"/>
        </w:rPr>
        <w:t xml:space="preserve">s not a property under development or production, in accordance with IFRS. </w:t>
      </w:r>
    </w:p>
    <w:p w14:paraId="58DCA167" w14:textId="77777777" w:rsidR="00BE0BB0" w:rsidRDefault="00BE0BB0" w:rsidP="00CA4239">
      <w:pPr>
        <w:pStyle w:val="ListParagraph"/>
        <w:rPr>
          <w:sz w:val="20"/>
        </w:rPr>
      </w:pPr>
    </w:p>
    <w:p w14:paraId="39F1865B" w14:textId="54434217" w:rsidR="000B6D2F" w:rsidRDefault="00AC2794" w:rsidP="000B6D2F">
      <w:pPr>
        <w:pStyle w:val="ListParagraph"/>
        <w:numPr>
          <w:ilvl w:val="0"/>
          <w:numId w:val="5"/>
        </w:numPr>
        <w:ind w:hanging="11"/>
        <w:rPr>
          <w:sz w:val="20"/>
        </w:rPr>
      </w:pPr>
      <w:r>
        <w:rPr>
          <w:sz w:val="20"/>
        </w:rPr>
        <w:t xml:space="preserve">Asset retirement obligation </w:t>
      </w:r>
    </w:p>
    <w:p w14:paraId="00805EDD" w14:textId="5BEABC68" w:rsidR="00AC2794" w:rsidRDefault="00AC2794" w:rsidP="00AC2794">
      <w:pPr>
        <w:pStyle w:val="ListParagraph"/>
        <w:rPr>
          <w:sz w:val="20"/>
        </w:rPr>
      </w:pPr>
    </w:p>
    <w:p w14:paraId="7C7FBBAF" w14:textId="75F8A6B3" w:rsidR="00AC2794" w:rsidRPr="002A0F2E" w:rsidRDefault="00AC2794" w:rsidP="00AC2794">
      <w:pPr>
        <w:pStyle w:val="ListParagraph"/>
        <w:rPr>
          <w:sz w:val="20"/>
        </w:rPr>
      </w:pPr>
      <w:r w:rsidRPr="002A0F2E">
        <w:rPr>
          <w:sz w:val="20"/>
        </w:rPr>
        <w:t xml:space="preserve">Under US GAAP, </w:t>
      </w:r>
      <w:r w:rsidR="001E7E01">
        <w:rPr>
          <w:sz w:val="20"/>
        </w:rPr>
        <w:t xml:space="preserve">the </w:t>
      </w:r>
      <w:r w:rsidRPr="002A0F2E">
        <w:rPr>
          <w:sz w:val="20"/>
        </w:rPr>
        <w:t>ARO w</w:t>
      </w:r>
      <w:r w:rsidR="001E7E01">
        <w:rPr>
          <w:sz w:val="20"/>
        </w:rPr>
        <w:t>as</w:t>
      </w:r>
      <w:r w:rsidRPr="002A0F2E">
        <w:rPr>
          <w:sz w:val="20"/>
        </w:rPr>
        <w:t xml:space="preserve"> discounted at a rate of 10%</w:t>
      </w:r>
      <w:r w:rsidR="009F0ABA">
        <w:rPr>
          <w:sz w:val="20"/>
        </w:rPr>
        <w:t>, as prescribed by the U.S. Securities and Exchange Commission</w:t>
      </w:r>
      <w:r w:rsidRPr="002A0F2E">
        <w:rPr>
          <w:sz w:val="20"/>
        </w:rPr>
        <w:t>. Under IFRS, the discount rate</w:t>
      </w:r>
      <w:r w:rsidR="009F0ABA">
        <w:rPr>
          <w:sz w:val="20"/>
        </w:rPr>
        <w:t xml:space="preserve"> used is</w:t>
      </w:r>
      <w:r w:rsidRPr="002A0F2E">
        <w:rPr>
          <w:sz w:val="20"/>
        </w:rPr>
        <w:t xml:space="preserve"> </w:t>
      </w:r>
      <w:r w:rsidR="009F0ABA">
        <w:rPr>
          <w:sz w:val="20"/>
        </w:rPr>
        <w:t>the</w:t>
      </w:r>
      <w:r w:rsidRPr="002A0F2E">
        <w:rPr>
          <w:sz w:val="20"/>
        </w:rPr>
        <w:t xml:space="preserve"> risk-free rate in effect at the end of each reporting period</w:t>
      </w:r>
      <w:r>
        <w:rPr>
          <w:sz w:val="20"/>
        </w:rPr>
        <w:t xml:space="preserve"> for the risk-adjusted cash flows</w:t>
      </w:r>
      <w:r w:rsidRPr="002A0F2E">
        <w:rPr>
          <w:sz w:val="20"/>
        </w:rPr>
        <w:t xml:space="preserve">. The change in the decommissioning obligation each period </w:t>
      </w:r>
      <w:proofErr w:type="gramStart"/>
      <w:r w:rsidRPr="002A0F2E">
        <w:rPr>
          <w:sz w:val="20"/>
        </w:rPr>
        <w:t>as a result of</w:t>
      </w:r>
      <w:proofErr w:type="gramEnd"/>
      <w:r w:rsidRPr="002A0F2E">
        <w:rPr>
          <w:sz w:val="20"/>
        </w:rPr>
        <w:t xml:space="preserve"> changes in the discount rate will result in an offsetting charge to </w:t>
      </w:r>
      <w:r>
        <w:rPr>
          <w:sz w:val="20"/>
        </w:rPr>
        <w:t>oil and gas properties</w:t>
      </w:r>
      <w:r w:rsidRPr="002A0F2E">
        <w:rPr>
          <w:sz w:val="20"/>
        </w:rPr>
        <w:t xml:space="preserve">. Upon </w:t>
      </w:r>
      <w:r w:rsidR="009F0ABA">
        <w:rPr>
          <w:sz w:val="20"/>
        </w:rPr>
        <w:t xml:space="preserve">the Company’s </w:t>
      </w:r>
      <w:r w:rsidRPr="002A0F2E">
        <w:rPr>
          <w:sz w:val="20"/>
        </w:rPr>
        <w:t xml:space="preserve">transition to IFRS, the impact of this change was a $5,344,798 increase in the ARO with a corresponding increase to the deficit on the </w:t>
      </w:r>
      <w:r w:rsidR="002465F1">
        <w:rPr>
          <w:sz w:val="20"/>
        </w:rPr>
        <w:t xml:space="preserve">consolidated </w:t>
      </w:r>
      <w:r w:rsidRPr="002A0F2E">
        <w:rPr>
          <w:sz w:val="20"/>
        </w:rPr>
        <w:t>statement of financial position</w:t>
      </w:r>
      <w:r w:rsidR="00C019A8">
        <w:rPr>
          <w:sz w:val="20"/>
        </w:rPr>
        <w:t xml:space="preserve">, using an average risk-free rate of </w:t>
      </w:r>
      <w:r w:rsidR="00287A45">
        <w:rPr>
          <w:sz w:val="20"/>
        </w:rPr>
        <w:t>0.93</w:t>
      </w:r>
      <w:r w:rsidR="00C019A8">
        <w:rPr>
          <w:sz w:val="20"/>
        </w:rPr>
        <w:t>%</w:t>
      </w:r>
      <w:r w:rsidR="00287A45">
        <w:rPr>
          <w:sz w:val="20"/>
        </w:rPr>
        <w:t xml:space="preserve"> as </w:t>
      </w:r>
      <w:proofErr w:type="gramStart"/>
      <w:r w:rsidR="00287A45">
        <w:rPr>
          <w:sz w:val="20"/>
        </w:rPr>
        <w:t>at</w:t>
      </w:r>
      <w:proofErr w:type="gramEnd"/>
      <w:r w:rsidR="00287A45">
        <w:rPr>
          <w:sz w:val="20"/>
        </w:rPr>
        <w:t xml:space="preserve"> January 1, 2021</w:t>
      </w:r>
      <w:r w:rsidR="00C019A8">
        <w:rPr>
          <w:sz w:val="20"/>
        </w:rPr>
        <w:t>.</w:t>
      </w:r>
      <w:r w:rsidR="0034497B">
        <w:rPr>
          <w:sz w:val="20"/>
        </w:rPr>
        <w:t xml:space="preserve"> </w:t>
      </w:r>
      <w:r w:rsidR="00287A45">
        <w:rPr>
          <w:sz w:val="20"/>
        </w:rPr>
        <w:t xml:space="preserve">As </w:t>
      </w:r>
      <w:proofErr w:type="gramStart"/>
      <w:r w:rsidR="00287A45">
        <w:rPr>
          <w:sz w:val="20"/>
        </w:rPr>
        <w:t>at</w:t>
      </w:r>
      <w:proofErr w:type="gramEnd"/>
      <w:r w:rsidR="00287A45">
        <w:rPr>
          <w:sz w:val="20"/>
        </w:rPr>
        <w:t xml:space="preserve"> December 31, 2021, the average risk-free rate was reassessed to be 1.49%.</w:t>
      </w:r>
    </w:p>
    <w:p w14:paraId="4B501F8F" w14:textId="77777777" w:rsidR="00AC2794" w:rsidRPr="002A0F2E" w:rsidRDefault="00AC2794" w:rsidP="00AC2794">
      <w:pPr>
        <w:pStyle w:val="ListParagraph"/>
        <w:rPr>
          <w:sz w:val="20"/>
        </w:rPr>
      </w:pPr>
    </w:p>
    <w:p w14:paraId="5BD79BDF" w14:textId="5D5F95CB" w:rsidR="00AC2794" w:rsidRDefault="00AC2794" w:rsidP="00AC2794">
      <w:pPr>
        <w:pStyle w:val="ListParagraph"/>
        <w:rPr>
          <w:sz w:val="20"/>
        </w:rPr>
      </w:pPr>
      <w:r w:rsidRPr="002A0F2E">
        <w:rPr>
          <w:sz w:val="20"/>
        </w:rPr>
        <w:t>As a result of the change in discount rate, the ARO accretion expense decreased by $</w:t>
      </w:r>
      <w:r w:rsidR="00FD3D1E">
        <w:rPr>
          <w:sz w:val="20"/>
        </w:rPr>
        <w:t>157</w:t>
      </w:r>
      <w:r w:rsidRPr="002A0F2E">
        <w:rPr>
          <w:sz w:val="20"/>
        </w:rPr>
        <w:t>,</w:t>
      </w:r>
      <w:r w:rsidR="00FD3D1E">
        <w:rPr>
          <w:sz w:val="20"/>
        </w:rPr>
        <w:t>211</w:t>
      </w:r>
      <w:r w:rsidRPr="002A0F2E">
        <w:rPr>
          <w:sz w:val="20"/>
        </w:rPr>
        <w:t xml:space="preserve"> during the </w:t>
      </w:r>
      <w:r w:rsidR="00FD3D1E">
        <w:rPr>
          <w:sz w:val="20"/>
        </w:rPr>
        <w:t>six</w:t>
      </w:r>
      <w:r w:rsidRPr="002A0F2E">
        <w:rPr>
          <w:sz w:val="20"/>
        </w:rPr>
        <w:t xml:space="preserve"> months ended </w:t>
      </w:r>
      <w:r w:rsidR="00FD3D1E">
        <w:rPr>
          <w:sz w:val="20"/>
        </w:rPr>
        <w:t>June 30</w:t>
      </w:r>
      <w:r w:rsidRPr="002A0F2E">
        <w:rPr>
          <w:sz w:val="20"/>
        </w:rPr>
        <w:t>, 2021, due to the lower discount rate.</w:t>
      </w:r>
    </w:p>
    <w:p w14:paraId="574AD971" w14:textId="77777777" w:rsidR="00AC2794" w:rsidRPr="00CA4239" w:rsidRDefault="00AC2794" w:rsidP="00CA4239">
      <w:pPr>
        <w:pStyle w:val="ListParagraph"/>
        <w:rPr>
          <w:sz w:val="20"/>
        </w:rPr>
      </w:pPr>
    </w:p>
    <w:p w14:paraId="2A717CCF" w14:textId="5F201264" w:rsidR="005476E5" w:rsidRDefault="007E4658" w:rsidP="00EA100A">
      <w:pPr>
        <w:pStyle w:val="ListParagraph"/>
        <w:numPr>
          <w:ilvl w:val="0"/>
          <w:numId w:val="5"/>
        </w:numPr>
        <w:ind w:hanging="11"/>
        <w:rPr>
          <w:sz w:val="20"/>
        </w:rPr>
      </w:pPr>
      <w:r>
        <w:rPr>
          <w:sz w:val="20"/>
        </w:rPr>
        <w:t>Option</w:t>
      </w:r>
      <w:r w:rsidR="000C74AF">
        <w:rPr>
          <w:sz w:val="20"/>
        </w:rPr>
        <w:t xml:space="preserve"> reserve </w:t>
      </w:r>
      <w:r w:rsidR="009A0D87">
        <w:rPr>
          <w:sz w:val="20"/>
        </w:rPr>
        <w:t>and share premium</w:t>
      </w:r>
    </w:p>
    <w:p w14:paraId="6F8382A2" w14:textId="00C81A1C" w:rsidR="000C74AF" w:rsidRDefault="000C74AF" w:rsidP="000C74AF">
      <w:pPr>
        <w:pStyle w:val="ListParagraph"/>
        <w:rPr>
          <w:sz w:val="20"/>
        </w:rPr>
      </w:pPr>
    </w:p>
    <w:p w14:paraId="31A2D3C0" w14:textId="66B3EA01" w:rsidR="000C74AF" w:rsidRDefault="000C74AF" w:rsidP="000C74AF">
      <w:pPr>
        <w:pStyle w:val="ListParagraph"/>
        <w:rPr>
          <w:sz w:val="20"/>
        </w:rPr>
      </w:pPr>
      <w:r w:rsidRPr="002A0F2E">
        <w:rPr>
          <w:sz w:val="20"/>
        </w:rPr>
        <w:t xml:space="preserve">Under US GAAP, share-based payments </w:t>
      </w:r>
      <w:r w:rsidR="009F0ABA">
        <w:rPr>
          <w:sz w:val="20"/>
        </w:rPr>
        <w:t>were presented as</w:t>
      </w:r>
      <w:r w:rsidRPr="002A0F2E">
        <w:rPr>
          <w:sz w:val="20"/>
        </w:rPr>
        <w:t xml:space="preserve"> additional paid-in capital. Upon transition to IFRS, a reclassification adjustment has been made to separately present the amount related to share-based compensation of $1,177,099.</w:t>
      </w:r>
      <w:r w:rsidR="00CA65E6">
        <w:rPr>
          <w:sz w:val="20"/>
        </w:rPr>
        <w:t xml:space="preserve"> The remaining </w:t>
      </w:r>
      <w:r w:rsidR="00317E87">
        <w:rPr>
          <w:sz w:val="20"/>
        </w:rPr>
        <w:t xml:space="preserve">additional paid-in capital has been reclassified to share premium. </w:t>
      </w:r>
    </w:p>
    <w:p w14:paraId="3F53AB07" w14:textId="538133C2" w:rsidR="00AD6B01" w:rsidRDefault="00AD6B01" w:rsidP="000C74AF">
      <w:pPr>
        <w:pStyle w:val="ListParagraph"/>
        <w:rPr>
          <w:sz w:val="20"/>
        </w:rPr>
      </w:pPr>
    </w:p>
    <w:p w14:paraId="3C6C9BB4" w14:textId="77777777" w:rsidR="000E7F60" w:rsidRPr="000E7F60" w:rsidRDefault="000E7F60" w:rsidP="00CA4239">
      <w:pPr>
        <w:pStyle w:val="ListParagraph"/>
        <w:numPr>
          <w:ilvl w:val="0"/>
          <w:numId w:val="5"/>
        </w:numPr>
        <w:ind w:hanging="11"/>
        <w:rPr>
          <w:sz w:val="20"/>
        </w:rPr>
      </w:pPr>
      <w:r w:rsidRPr="000E7F60">
        <w:rPr>
          <w:sz w:val="20"/>
        </w:rPr>
        <w:t>Loss on convertible debt extinguishment</w:t>
      </w:r>
    </w:p>
    <w:p w14:paraId="1EAB7A83" w14:textId="311C988C" w:rsidR="00AD6B01" w:rsidRDefault="00AD6B01" w:rsidP="005302F6">
      <w:pPr>
        <w:pStyle w:val="ListParagraph"/>
        <w:rPr>
          <w:sz w:val="20"/>
        </w:rPr>
      </w:pPr>
    </w:p>
    <w:p w14:paraId="3114F94B" w14:textId="73376DE0" w:rsidR="005302F6" w:rsidRDefault="005302F6" w:rsidP="005302F6">
      <w:pPr>
        <w:pStyle w:val="ListParagraph"/>
        <w:rPr>
          <w:sz w:val="20"/>
        </w:rPr>
      </w:pPr>
      <w:r w:rsidRPr="005302F6">
        <w:rPr>
          <w:sz w:val="20"/>
        </w:rPr>
        <w:t xml:space="preserve">Under US GAAP, when conversion features have been bifurcated from the conversion debt host and accounted for as liabilities, no equity conversion feature remains in the debt instrument. The liabilities for the debt and the conversion feature are extinguished in exchange for common shares, the difference between the carrying value of the liabilities and the fair value of the common shares </w:t>
      </w:r>
      <w:r w:rsidR="00310F4D">
        <w:rPr>
          <w:sz w:val="20"/>
        </w:rPr>
        <w:t>ae</w:t>
      </w:r>
      <w:r w:rsidRPr="005302F6">
        <w:rPr>
          <w:sz w:val="20"/>
        </w:rPr>
        <w:t xml:space="preserve"> recorded as</w:t>
      </w:r>
      <w:r w:rsidR="00310F4D">
        <w:rPr>
          <w:sz w:val="20"/>
        </w:rPr>
        <w:t xml:space="preserve"> a</w:t>
      </w:r>
      <w:r w:rsidRPr="005302F6">
        <w:rPr>
          <w:sz w:val="20"/>
        </w:rPr>
        <w:t xml:space="preserve"> gain or loss. IFRS requires the entity to derecognize the liability component and recognize it as equity on conversion of a convertible instrument</w:t>
      </w:r>
      <w:r w:rsidR="00310F4D">
        <w:rPr>
          <w:sz w:val="20"/>
        </w:rPr>
        <w:t xml:space="preserve"> and n</w:t>
      </w:r>
      <w:r w:rsidRPr="005302F6">
        <w:rPr>
          <w:sz w:val="20"/>
        </w:rPr>
        <w:t>o gain or loss is recognized. As a result of the difference</w:t>
      </w:r>
      <w:r w:rsidR="00310F4D">
        <w:rPr>
          <w:sz w:val="20"/>
        </w:rPr>
        <w:t xml:space="preserve"> between the two accounting standards</w:t>
      </w:r>
      <w:r w:rsidRPr="005302F6">
        <w:rPr>
          <w:sz w:val="20"/>
        </w:rPr>
        <w:t xml:space="preserve">, for the </w:t>
      </w:r>
      <w:r w:rsidR="00FD3D1E">
        <w:rPr>
          <w:sz w:val="20"/>
        </w:rPr>
        <w:t>six</w:t>
      </w:r>
      <w:r w:rsidRPr="005302F6">
        <w:rPr>
          <w:sz w:val="20"/>
        </w:rPr>
        <w:t xml:space="preserve"> months ended </w:t>
      </w:r>
      <w:r w:rsidR="00FD3D1E">
        <w:rPr>
          <w:sz w:val="20"/>
        </w:rPr>
        <w:t>June 30</w:t>
      </w:r>
      <w:r w:rsidRPr="005302F6">
        <w:rPr>
          <w:sz w:val="20"/>
        </w:rPr>
        <w:t>, 2021, the loss on debt extinguishment decreased by $79,341, with an offsetting charge to equity.</w:t>
      </w:r>
    </w:p>
    <w:p w14:paraId="0DB2638E" w14:textId="55E23BE6" w:rsidR="007B7360" w:rsidRDefault="007B7360" w:rsidP="005302F6">
      <w:pPr>
        <w:pStyle w:val="ListParagraph"/>
        <w:rPr>
          <w:sz w:val="20"/>
        </w:rPr>
      </w:pPr>
    </w:p>
    <w:p w14:paraId="1B29B3E7" w14:textId="2347E208" w:rsidR="007B7360" w:rsidRDefault="007B7360" w:rsidP="007B7360">
      <w:pPr>
        <w:pStyle w:val="ListParagraph"/>
        <w:numPr>
          <w:ilvl w:val="0"/>
          <w:numId w:val="5"/>
        </w:numPr>
        <w:ind w:hanging="11"/>
        <w:rPr>
          <w:sz w:val="20"/>
        </w:rPr>
      </w:pPr>
      <w:r w:rsidRPr="007B7360">
        <w:rPr>
          <w:sz w:val="20"/>
        </w:rPr>
        <w:t xml:space="preserve">Depletion </w:t>
      </w:r>
    </w:p>
    <w:p w14:paraId="17B70268" w14:textId="77777777" w:rsidR="00AF3783" w:rsidRPr="007B7360" w:rsidRDefault="00AF3783" w:rsidP="00CA4239">
      <w:pPr>
        <w:pStyle w:val="ListParagraph"/>
        <w:rPr>
          <w:sz w:val="20"/>
        </w:rPr>
      </w:pPr>
    </w:p>
    <w:p w14:paraId="4C3916EB" w14:textId="24005537" w:rsidR="00AF3783" w:rsidRPr="00CA4239" w:rsidRDefault="00AF3783" w:rsidP="00CA4239">
      <w:pPr>
        <w:ind w:left="709"/>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The Company is depleting its oil and gas properties over the proved reserve</w:t>
      </w:r>
      <w:r w:rsidR="00251B86">
        <w:rPr>
          <w:rFonts w:ascii="Times New Roman" w:eastAsia="Times New Roman" w:hAnsi="Times New Roman" w:cs="Times New Roman"/>
          <w:sz w:val="20"/>
          <w:szCs w:val="20"/>
          <w:lang w:val="en-US"/>
        </w:rPr>
        <w:t>s</w:t>
      </w:r>
      <w:r w:rsidRPr="00CA4239">
        <w:rPr>
          <w:rFonts w:ascii="Times New Roman" w:eastAsia="Times New Roman" w:hAnsi="Times New Roman" w:cs="Times New Roman"/>
          <w:sz w:val="20"/>
          <w:szCs w:val="20"/>
          <w:lang w:val="en-US"/>
        </w:rPr>
        <w:t>. IFRS requires an entity to include the estimated future costs to develop the re</w:t>
      </w:r>
      <w:r w:rsidR="00251B86">
        <w:rPr>
          <w:rFonts w:ascii="Times New Roman" w:eastAsia="Times New Roman" w:hAnsi="Times New Roman" w:cs="Times New Roman"/>
          <w:sz w:val="20"/>
          <w:szCs w:val="20"/>
          <w:lang w:val="en-US"/>
        </w:rPr>
        <w:t>s</w:t>
      </w:r>
      <w:r w:rsidRPr="00CA4239">
        <w:rPr>
          <w:rFonts w:ascii="Times New Roman" w:eastAsia="Times New Roman" w:hAnsi="Times New Roman" w:cs="Times New Roman"/>
          <w:sz w:val="20"/>
          <w:szCs w:val="20"/>
          <w:lang w:val="en-US"/>
        </w:rPr>
        <w:t>er</w:t>
      </w:r>
      <w:r w:rsidR="00251B86">
        <w:rPr>
          <w:rFonts w:ascii="Times New Roman" w:eastAsia="Times New Roman" w:hAnsi="Times New Roman" w:cs="Times New Roman"/>
          <w:sz w:val="20"/>
          <w:szCs w:val="20"/>
          <w:lang w:val="en-US"/>
        </w:rPr>
        <w:t>v</w:t>
      </w:r>
      <w:r w:rsidRPr="00CA4239">
        <w:rPr>
          <w:rFonts w:ascii="Times New Roman" w:eastAsia="Times New Roman" w:hAnsi="Times New Roman" w:cs="Times New Roman"/>
          <w:sz w:val="20"/>
          <w:szCs w:val="20"/>
          <w:lang w:val="en-US"/>
        </w:rPr>
        <w:t>e</w:t>
      </w:r>
      <w:r w:rsidR="00251B86">
        <w:rPr>
          <w:rFonts w:ascii="Times New Roman" w:eastAsia="Times New Roman" w:hAnsi="Times New Roman" w:cs="Times New Roman"/>
          <w:sz w:val="20"/>
          <w:szCs w:val="20"/>
          <w:lang w:val="en-US"/>
        </w:rPr>
        <w:t>s</w:t>
      </w:r>
      <w:r w:rsidRPr="00CA4239">
        <w:rPr>
          <w:rFonts w:ascii="Times New Roman" w:eastAsia="Times New Roman" w:hAnsi="Times New Roman" w:cs="Times New Roman"/>
          <w:sz w:val="20"/>
          <w:szCs w:val="20"/>
          <w:lang w:val="en-US"/>
        </w:rPr>
        <w:t xml:space="preserve"> in the calculation of depletion. The calculation of depletion under US GAAP did not include the estimated future development costs as the Company applied Electronic Code of Federal Regulation Title 17 Section 210.4-1, Financial accounting and reporting for oil and gas producing activities pursuant to the Federal securities laws and the Energy Policy and Conservation Act of 1975, to exclude the estimated future expenditures associated with a major development.  As a result, oil and gas properties, net, </w:t>
      </w:r>
      <w:r w:rsidR="00D7684D">
        <w:rPr>
          <w:rFonts w:ascii="Times New Roman" w:eastAsia="Times New Roman" w:hAnsi="Times New Roman" w:cs="Times New Roman"/>
          <w:sz w:val="20"/>
          <w:szCs w:val="20"/>
          <w:lang w:val="en-US"/>
        </w:rPr>
        <w:t>in</w:t>
      </w:r>
      <w:r w:rsidRPr="00CA4239">
        <w:rPr>
          <w:rFonts w:ascii="Times New Roman" w:eastAsia="Times New Roman" w:hAnsi="Times New Roman" w:cs="Times New Roman"/>
          <w:sz w:val="20"/>
          <w:szCs w:val="20"/>
          <w:lang w:val="en-US"/>
        </w:rPr>
        <w:t xml:space="preserve">creased </w:t>
      </w:r>
      <w:r w:rsidR="00AC7B08">
        <w:rPr>
          <w:rFonts w:ascii="Times New Roman" w:eastAsia="Times New Roman" w:hAnsi="Times New Roman" w:cs="Times New Roman"/>
          <w:sz w:val="20"/>
          <w:szCs w:val="20"/>
          <w:lang w:val="en-US"/>
        </w:rPr>
        <w:t xml:space="preserve">by </w:t>
      </w:r>
      <w:r w:rsidRPr="00CA4239">
        <w:rPr>
          <w:rFonts w:ascii="Times New Roman" w:eastAsia="Times New Roman" w:hAnsi="Times New Roman" w:cs="Times New Roman"/>
          <w:sz w:val="20"/>
          <w:szCs w:val="20"/>
          <w:lang w:val="en-US"/>
        </w:rPr>
        <w:t>$</w:t>
      </w:r>
      <w:r w:rsidR="00016FC3">
        <w:rPr>
          <w:rFonts w:ascii="Times New Roman" w:eastAsia="Times New Roman" w:hAnsi="Times New Roman" w:cs="Times New Roman"/>
          <w:sz w:val="20"/>
          <w:szCs w:val="20"/>
          <w:lang w:val="en-US"/>
        </w:rPr>
        <w:t>181,888</w:t>
      </w:r>
      <w:r w:rsidRPr="00CA4239">
        <w:rPr>
          <w:rFonts w:ascii="Times New Roman" w:eastAsia="Times New Roman" w:hAnsi="Times New Roman" w:cs="Times New Roman"/>
          <w:sz w:val="20"/>
          <w:szCs w:val="20"/>
          <w:lang w:val="en-US"/>
        </w:rPr>
        <w:t xml:space="preserve"> as </w:t>
      </w:r>
      <w:proofErr w:type="gramStart"/>
      <w:r w:rsidRPr="00CA4239">
        <w:rPr>
          <w:rFonts w:ascii="Times New Roman" w:eastAsia="Times New Roman" w:hAnsi="Times New Roman" w:cs="Times New Roman"/>
          <w:sz w:val="20"/>
          <w:szCs w:val="20"/>
          <w:lang w:val="en-US"/>
        </w:rPr>
        <w:t>at</w:t>
      </w:r>
      <w:proofErr w:type="gramEnd"/>
      <w:r w:rsidRPr="00CA4239">
        <w:rPr>
          <w:rFonts w:ascii="Times New Roman" w:eastAsia="Times New Roman" w:hAnsi="Times New Roman" w:cs="Times New Roman"/>
          <w:sz w:val="20"/>
          <w:szCs w:val="20"/>
          <w:lang w:val="en-US"/>
        </w:rPr>
        <w:t xml:space="preserve"> December 31, 2021 (January 1, 2021 - $nil). For the </w:t>
      </w:r>
      <w:r w:rsidR="00FD3D1E">
        <w:rPr>
          <w:rFonts w:ascii="Times New Roman" w:eastAsia="Times New Roman" w:hAnsi="Times New Roman" w:cs="Times New Roman"/>
          <w:sz w:val="20"/>
          <w:szCs w:val="20"/>
          <w:lang w:val="en-US"/>
        </w:rPr>
        <w:t>six</w:t>
      </w:r>
      <w:r w:rsidRPr="00CA4239">
        <w:rPr>
          <w:rFonts w:ascii="Times New Roman" w:eastAsia="Times New Roman" w:hAnsi="Times New Roman" w:cs="Times New Roman"/>
          <w:sz w:val="20"/>
          <w:szCs w:val="20"/>
          <w:lang w:val="en-US"/>
        </w:rPr>
        <w:t xml:space="preserve"> months ended </w:t>
      </w:r>
      <w:r w:rsidR="00FD3D1E">
        <w:rPr>
          <w:rFonts w:ascii="Times New Roman" w:eastAsia="Times New Roman" w:hAnsi="Times New Roman" w:cs="Times New Roman"/>
          <w:sz w:val="20"/>
          <w:szCs w:val="20"/>
          <w:lang w:val="en-US"/>
        </w:rPr>
        <w:t>June 30</w:t>
      </w:r>
      <w:r w:rsidRPr="00CA4239">
        <w:rPr>
          <w:rFonts w:ascii="Times New Roman" w:eastAsia="Times New Roman" w:hAnsi="Times New Roman" w:cs="Times New Roman"/>
          <w:sz w:val="20"/>
          <w:szCs w:val="20"/>
          <w:lang w:val="en-US"/>
        </w:rPr>
        <w:t xml:space="preserve">, 2021, the depletion charge included in </w:t>
      </w:r>
      <w:r w:rsidR="00D24B6C">
        <w:rPr>
          <w:rFonts w:ascii="Times New Roman" w:eastAsia="Times New Roman" w:hAnsi="Times New Roman" w:cs="Times New Roman"/>
          <w:sz w:val="20"/>
          <w:szCs w:val="20"/>
          <w:lang w:val="en-US"/>
        </w:rPr>
        <w:t xml:space="preserve">the consolidated interim statement of loss and comprehensive </w:t>
      </w:r>
      <w:r w:rsidR="009F086E">
        <w:rPr>
          <w:rFonts w:ascii="Times New Roman" w:eastAsia="Times New Roman" w:hAnsi="Times New Roman" w:cs="Times New Roman"/>
          <w:sz w:val="20"/>
          <w:szCs w:val="20"/>
          <w:lang w:val="en-US"/>
        </w:rPr>
        <w:t xml:space="preserve">loss, </w:t>
      </w:r>
      <w:r w:rsidR="009F086E" w:rsidRPr="00CA4239">
        <w:rPr>
          <w:rFonts w:ascii="Times New Roman" w:eastAsia="Times New Roman" w:hAnsi="Times New Roman" w:cs="Times New Roman"/>
          <w:sz w:val="20"/>
          <w:szCs w:val="20"/>
          <w:lang w:val="en-US"/>
        </w:rPr>
        <w:t>increased</w:t>
      </w:r>
      <w:r w:rsidRPr="00CA4239">
        <w:rPr>
          <w:rFonts w:ascii="Times New Roman" w:eastAsia="Times New Roman" w:hAnsi="Times New Roman" w:cs="Times New Roman"/>
          <w:sz w:val="20"/>
          <w:szCs w:val="20"/>
          <w:lang w:val="en-US"/>
        </w:rPr>
        <w:t xml:space="preserve"> </w:t>
      </w:r>
      <w:r w:rsidR="00FD3D1E">
        <w:rPr>
          <w:rFonts w:ascii="Times New Roman" w:eastAsia="Times New Roman" w:hAnsi="Times New Roman" w:cs="Times New Roman"/>
          <w:sz w:val="20"/>
          <w:szCs w:val="20"/>
          <w:lang w:val="en-US"/>
        </w:rPr>
        <w:t xml:space="preserve">by </w:t>
      </w:r>
      <w:r w:rsidRPr="00CA4239">
        <w:rPr>
          <w:rFonts w:ascii="Times New Roman" w:eastAsia="Times New Roman" w:hAnsi="Times New Roman" w:cs="Times New Roman"/>
          <w:sz w:val="20"/>
          <w:szCs w:val="20"/>
          <w:lang w:val="en-US"/>
        </w:rPr>
        <w:t>$</w:t>
      </w:r>
      <w:r w:rsidR="00FD3D1E">
        <w:rPr>
          <w:rFonts w:ascii="Times New Roman" w:eastAsia="Times New Roman" w:hAnsi="Times New Roman" w:cs="Times New Roman"/>
          <w:sz w:val="20"/>
          <w:szCs w:val="20"/>
          <w:lang w:val="en-US"/>
        </w:rPr>
        <w:t>98,140</w:t>
      </w:r>
      <w:r w:rsidRPr="00CA4239">
        <w:rPr>
          <w:rFonts w:ascii="Times New Roman" w:eastAsia="Times New Roman" w:hAnsi="Times New Roman" w:cs="Times New Roman"/>
          <w:sz w:val="20"/>
          <w:szCs w:val="20"/>
          <w:lang w:val="en-US"/>
        </w:rPr>
        <w:t>.</w:t>
      </w:r>
    </w:p>
    <w:p w14:paraId="17CAFC12" w14:textId="688A9387" w:rsidR="00A74074" w:rsidRPr="00CA4239" w:rsidRDefault="00A74074" w:rsidP="00CA4239">
      <w:pPr>
        <w:ind w:left="720"/>
        <w:rPr>
          <w:i/>
          <w:iCs/>
          <w:sz w:val="20"/>
        </w:rPr>
      </w:pPr>
      <w:r w:rsidRPr="00CA4239">
        <w:rPr>
          <w:i/>
          <w:iCs/>
          <w:sz w:val="20"/>
        </w:rPr>
        <w:br w:type="page"/>
      </w:r>
    </w:p>
    <w:p w14:paraId="609C8F36" w14:textId="77777777" w:rsidR="003573FA" w:rsidRPr="00D2099E" w:rsidRDefault="003573FA" w:rsidP="00D2099E">
      <w:pPr>
        <w:spacing w:after="0" w:line="240" w:lineRule="auto"/>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56B398C4" w14:textId="77777777" w:rsidTr="005C7D2D">
        <w:tc>
          <w:tcPr>
            <w:tcW w:w="360" w:type="dxa"/>
            <w:hideMark/>
          </w:tcPr>
          <w:p w14:paraId="0D8A2A88" w14:textId="7777777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3.</w:t>
            </w:r>
          </w:p>
        </w:tc>
        <w:tc>
          <w:tcPr>
            <w:tcW w:w="0" w:type="auto"/>
            <w:hideMark/>
          </w:tcPr>
          <w:p w14:paraId="088E5084" w14:textId="1FAEFD6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 xml:space="preserve">Restricted </w:t>
            </w:r>
            <w:r w:rsidR="006467EA">
              <w:rPr>
                <w:rFonts w:ascii="Times New Roman" w:eastAsia="Times New Roman" w:hAnsi="Times New Roman" w:cs="Times New Roman"/>
                <w:b/>
                <w:bCs/>
                <w:sz w:val="20"/>
                <w:szCs w:val="20"/>
                <w:lang w:val="en-US"/>
              </w:rPr>
              <w:t>C</w:t>
            </w:r>
            <w:r w:rsidRPr="00D2099E">
              <w:rPr>
                <w:rFonts w:ascii="Times New Roman" w:eastAsia="Times New Roman" w:hAnsi="Times New Roman" w:cs="Times New Roman"/>
                <w:b/>
                <w:bCs/>
                <w:sz w:val="20"/>
                <w:szCs w:val="20"/>
                <w:lang w:val="en-US"/>
              </w:rPr>
              <w:t>ash</w:t>
            </w:r>
          </w:p>
        </w:tc>
      </w:tr>
    </w:tbl>
    <w:p w14:paraId="42F8759D" w14:textId="77777777" w:rsidR="00D2099E" w:rsidRPr="00D2099E" w:rsidRDefault="00D2099E" w:rsidP="00D2099E">
      <w:pPr>
        <w:spacing w:after="0" w:line="240" w:lineRule="auto"/>
        <w:ind w:left="360" w:hanging="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0C4DCC7" w14:textId="469C0D68"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restricted cash relates to drilling bonds provided to</w:t>
      </w:r>
      <w:r w:rsidR="00072AD1">
        <w:rPr>
          <w:rFonts w:ascii="Times New Roman" w:eastAsia="Times New Roman" w:hAnsi="Times New Roman" w:cs="Times New Roman"/>
          <w:sz w:val="20"/>
          <w:szCs w:val="20"/>
          <w:lang w:val="en-US"/>
        </w:rPr>
        <w:t xml:space="preserve"> </w:t>
      </w:r>
      <w:r w:rsidR="00AC0ED3">
        <w:rPr>
          <w:rFonts w:ascii="Times New Roman" w:eastAsia="Times New Roman" w:hAnsi="Times New Roman" w:cs="Times New Roman"/>
          <w:sz w:val="20"/>
          <w:szCs w:val="20"/>
          <w:lang w:val="en-US"/>
        </w:rPr>
        <w:t xml:space="preserve">the </w:t>
      </w:r>
      <w:r w:rsidRPr="00D2099E">
        <w:rPr>
          <w:rFonts w:ascii="Times New Roman" w:eastAsia="Times New Roman" w:hAnsi="Times New Roman" w:cs="Times New Roman"/>
          <w:sz w:val="20"/>
          <w:szCs w:val="20"/>
          <w:lang w:val="en-US"/>
        </w:rPr>
        <w:t>General Directorate of Petroleum Affairs</w:t>
      </w:r>
      <w:r w:rsidR="00AC0ED3">
        <w:rPr>
          <w:rFonts w:ascii="Times New Roman" w:eastAsia="Times New Roman" w:hAnsi="Times New Roman" w:cs="Times New Roman"/>
          <w:sz w:val="20"/>
          <w:szCs w:val="20"/>
          <w:lang w:val="en-US"/>
        </w:rPr>
        <w:t xml:space="preserve"> (the “GDPA”)</w:t>
      </w:r>
      <w:r w:rsidRPr="00D2099E">
        <w:rPr>
          <w:rFonts w:ascii="Times New Roman" w:eastAsia="Times New Roman" w:hAnsi="Times New Roman" w:cs="Times New Roman"/>
          <w:sz w:val="20"/>
          <w:szCs w:val="20"/>
          <w:lang w:val="en-US"/>
        </w:rPr>
        <w:t xml:space="preserve"> for the exploration licenses due to Turkish Petroleum Law. The amounts are for 2% of the annual work budget of the different Turkish licenses which is submitted to </w:t>
      </w:r>
      <w:r w:rsidR="00AC0ED3">
        <w:rPr>
          <w:rFonts w:ascii="Times New Roman" w:eastAsia="Times New Roman" w:hAnsi="Times New Roman" w:cs="Times New Roman"/>
          <w:sz w:val="20"/>
          <w:szCs w:val="20"/>
          <w:lang w:val="en-US"/>
        </w:rPr>
        <w:t xml:space="preserve">the </w:t>
      </w:r>
      <w:r w:rsidRPr="00D2099E">
        <w:rPr>
          <w:rFonts w:ascii="Times New Roman" w:eastAsia="Times New Roman" w:hAnsi="Times New Roman" w:cs="Times New Roman"/>
          <w:sz w:val="20"/>
          <w:szCs w:val="20"/>
          <w:lang w:val="en-US"/>
        </w:rPr>
        <w:t>GDPA on an annual basis.</w:t>
      </w:r>
      <w:r w:rsidR="00857567">
        <w:rPr>
          <w:rFonts w:ascii="Times New Roman" w:eastAsia="Times New Roman" w:hAnsi="Times New Roman" w:cs="Times New Roman"/>
          <w:sz w:val="20"/>
          <w:szCs w:val="20"/>
          <w:lang w:val="en-US"/>
        </w:rPr>
        <w:t xml:space="preserve"> As </w:t>
      </w:r>
      <w:proofErr w:type="gramStart"/>
      <w:r w:rsidR="00857567">
        <w:rPr>
          <w:rFonts w:ascii="Times New Roman" w:eastAsia="Times New Roman" w:hAnsi="Times New Roman" w:cs="Times New Roman"/>
          <w:sz w:val="20"/>
          <w:szCs w:val="20"/>
          <w:lang w:val="en-US"/>
        </w:rPr>
        <w:t>at</w:t>
      </w:r>
      <w:proofErr w:type="gramEnd"/>
      <w:r w:rsidR="00857567">
        <w:rPr>
          <w:rFonts w:ascii="Times New Roman" w:eastAsia="Times New Roman" w:hAnsi="Times New Roman" w:cs="Times New Roman"/>
          <w:sz w:val="20"/>
          <w:szCs w:val="20"/>
          <w:lang w:val="en-US"/>
        </w:rPr>
        <w:t xml:space="preserve"> </w:t>
      </w:r>
      <w:r w:rsidR="00FD3D1E">
        <w:rPr>
          <w:rFonts w:ascii="Times New Roman" w:eastAsia="Times New Roman" w:hAnsi="Times New Roman" w:cs="Times New Roman"/>
          <w:sz w:val="20"/>
          <w:szCs w:val="20"/>
          <w:lang w:val="en-US"/>
        </w:rPr>
        <w:t>June 30</w:t>
      </w:r>
      <w:r w:rsidR="00857567">
        <w:rPr>
          <w:rFonts w:ascii="Times New Roman" w:eastAsia="Times New Roman" w:hAnsi="Times New Roman" w:cs="Times New Roman"/>
          <w:sz w:val="20"/>
          <w:szCs w:val="20"/>
          <w:lang w:val="en-US"/>
        </w:rPr>
        <w:t xml:space="preserve">, 2022, </w:t>
      </w:r>
      <w:r w:rsidR="009A509E">
        <w:rPr>
          <w:rFonts w:ascii="Times New Roman" w:eastAsia="Times New Roman" w:hAnsi="Times New Roman" w:cs="Times New Roman"/>
          <w:sz w:val="20"/>
          <w:szCs w:val="20"/>
          <w:lang w:val="en-US"/>
        </w:rPr>
        <w:t>t</w:t>
      </w:r>
      <w:r w:rsidR="00857567">
        <w:rPr>
          <w:rFonts w:ascii="Times New Roman" w:eastAsia="Times New Roman" w:hAnsi="Times New Roman" w:cs="Times New Roman"/>
          <w:sz w:val="20"/>
          <w:szCs w:val="20"/>
          <w:lang w:val="en-US"/>
        </w:rPr>
        <w:t>he Company’s restricted cash tot</w:t>
      </w:r>
      <w:r w:rsidR="00857567" w:rsidRPr="008C3DE9">
        <w:rPr>
          <w:rFonts w:ascii="Times New Roman" w:eastAsia="Times New Roman" w:hAnsi="Times New Roman" w:cs="Times New Roman"/>
          <w:sz w:val="20"/>
          <w:szCs w:val="20"/>
          <w:lang w:val="en-US"/>
        </w:rPr>
        <w:t>aled $4,</w:t>
      </w:r>
      <w:r w:rsidR="008C3DE9" w:rsidRPr="00064A08">
        <w:rPr>
          <w:rFonts w:ascii="Times New Roman" w:eastAsia="Times New Roman" w:hAnsi="Times New Roman" w:cs="Times New Roman"/>
          <w:sz w:val="20"/>
          <w:szCs w:val="20"/>
          <w:lang w:val="en-US"/>
        </w:rPr>
        <w:t>353</w:t>
      </w:r>
      <w:r w:rsidR="00857567" w:rsidRPr="008C3DE9">
        <w:rPr>
          <w:rFonts w:ascii="Times New Roman" w:eastAsia="Times New Roman" w:hAnsi="Times New Roman" w:cs="Times New Roman"/>
          <w:sz w:val="20"/>
          <w:szCs w:val="20"/>
          <w:lang w:val="en-US"/>
        </w:rPr>
        <w:t xml:space="preserve"> (December</w:t>
      </w:r>
      <w:r w:rsidR="00857567">
        <w:rPr>
          <w:rFonts w:ascii="Times New Roman" w:eastAsia="Times New Roman" w:hAnsi="Times New Roman" w:cs="Times New Roman"/>
          <w:sz w:val="20"/>
          <w:szCs w:val="20"/>
          <w:lang w:val="en-US"/>
        </w:rPr>
        <w:t xml:space="preserve"> 31, 2021 - $5,438).</w:t>
      </w:r>
    </w:p>
    <w:p w14:paraId="2B56A8D8" w14:textId="12FB98C4"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9000"/>
      </w:tblGrid>
      <w:tr w:rsidR="00276FC5" w:rsidRPr="00D2099E" w14:paraId="1D3124A1" w14:textId="77777777" w:rsidTr="000158CA">
        <w:tc>
          <w:tcPr>
            <w:tcW w:w="360" w:type="dxa"/>
            <w:hideMark/>
          </w:tcPr>
          <w:p w14:paraId="076E40ED" w14:textId="77777777" w:rsidR="00276FC5" w:rsidRPr="00D2099E" w:rsidRDefault="00276FC5" w:rsidP="000158CA">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4.</w:t>
            </w:r>
          </w:p>
        </w:tc>
        <w:tc>
          <w:tcPr>
            <w:tcW w:w="0" w:type="auto"/>
            <w:hideMark/>
          </w:tcPr>
          <w:p w14:paraId="3C0DAD5E" w14:textId="405FC328" w:rsidR="00276FC5" w:rsidRDefault="00276FC5" w:rsidP="000158CA">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Amounts </w:t>
            </w:r>
            <w:r w:rsidR="006467EA">
              <w:rPr>
                <w:rFonts w:ascii="Times New Roman" w:eastAsia="Times New Roman" w:hAnsi="Times New Roman" w:cs="Times New Roman"/>
                <w:b/>
                <w:bCs/>
                <w:sz w:val="20"/>
                <w:szCs w:val="20"/>
                <w:lang w:val="en-US"/>
              </w:rPr>
              <w:t>R</w:t>
            </w:r>
            <w:r>
              <w:rPr>
                <w:rFonts w:ascii="Times New Roman" w:eastAsia="Times New Roman" w:hAnsi="Times New Roman" w:cs="Times New Roman"/>
                <w:b/>
                <w:bCs/>
                <w:sz w:val="20"/>
                <w:szCs w:val="20"/>
                <w:lang w:val="en-US"/>
              </w:rPr>
              <w:t xml:space="preserve">eceivable </w:t>
            </w:r>
          </w:p>
          <w:p w14:paraId="1BC51E19" w14:textId="77777777" w:rsidR="007A0050" w:rsidRDefault="007A0050" w:rsidP="000158CA">
            <w:pPr>
              <w:spacing w:after="0" w:line="240" w:lineRule="auto"/>
              <w:jc w:val="both"/>
              <w:rPr>
                <w:rFonts w:ascii="Times New Roman" w:eastAsia="Times New Roman" w:hAnsi="Times New Roman" w:cs="Times New Roman"/>
                <w:b/>
                <w:bCs/>
                <w:sz w:val="20"/>
                <w:szCs w:val="20"/>
                <w:lang w:val="en-US"/>
              </w:rPr>
            </w:pPr>
          </w:p>
          <w:tbl>
            <w:tblPr>
              <w:tblW w:w="8808" w:type="dxa"/>
              <w:tblInd w:w="61" w:type="dxa"/>
              <w:tblCellMar>
                <w:left w:w="0" w:type="dxa"/>
                <w:right w:w="0" w:type="dxa"/>
              </w:tblCellMar>
              <w:tblLook w:val="04A0" w:firstRow="1" w:lastRow="0" w:firstColumn="1" w:lastColumn="0" w:noHBand="0" w:noVBand="1"/>
            </w:tblPr>
            <w:tblGrid>
              <w:gridCol w:w="2797"/>
              <w:gridCol w:w="66"/>
              <w:gridCol w:w="66"/>
              <w:gridCol w:w="151"/>
              <w:gridCol w:w="1700"/>
              <w:gridCol w:w="50"/>
              <w:gridCol w:w="72"/>
              <w:gridCol w:w="125"/>
              <w:gridCol w:w="14"/>
              <w:gridCol w:w="1760"/>
              <w:gridCol w:w="151"/>
              <w:gridCol w:w="151"/>
              <w:gridCol w:w="1686"/>
              <w:gridCol w:w="19"/>
            </w:tblGrid>
            <w:tr w:rsidR="00530D5D" w:rsidRPr="00D2099E" w14:paraId="2AE6DB20" w14:textId="77777777" w:rsidTr="00530D5D">
              <w:tc>
                <w:tcPr>
                  <w:tcW w:w="1587" w:type="pct"/>
                  <w:tcBorders>
                    <w:top w:val="single" w:sz="12" w:space="0" w:color="auto"/>
                  </w:tcBorders>
                  <w:shd w:val="clear" w:color="auto" w:fill="auto"/>
                  <w:vAlign w:val="bottom"/>
                  <w:hideMark/>
                </w:tcPr>
                <w:p w14:paraId="1BC18EEC" w14:textId="77777777" w:rsidR="00153A6B" w:rsidRPr="00D2099E" w:rsidRDefault="00153A6B" w:rsidP="007A0050">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6B94AF4D"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42160652"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51" w:type="pct"/>
                  <w:gridSpan w:val="2"/>
                  <w:tcBorders>
                    <w:top w:val="single" w:sz="12" w:space="0" w:color="auto"/>
                  </w:tcBorders>
                  <w:shd w:val="clear" w:color="auto" w:fill="auto"/>
                  <w:vAlign w:val="bottom"/>
                  <w:hideMark/>
                </w:tcPr>
                <w:p w14:paraId="61FD609D" w14:textId="6BBB1FA0" w:rsidR="00153A6B" w:rsidRPr="00D33273" w:rsidRDefault="00FD3D1E" w:rsidP="00D33273">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June 30</w:t>
                  </w:r>
                  <w:r w:rsidR="00153A6B" w:rsidRPr="00D33273">
                    <w:rPr>
                      <w:rFonts w:ascii="Times New Roman" w:eastAsia="Times New Roman" w:hAnsi="Times New Roman" w:cs="Times New Roman"/>
                      <w:b/>
                      <w:bCs/>
                      <w:sz w:val="20"/>
                      <w:szCs w:val="20"/>
                      <w:lang w:val="en-US"/>
                    </w:rPr>
                    <w:t>, 2022</w:t>
                  </w:r>
                </w:p>
              </w:tc>
              <w:tc>
                <w:tcPr>
                  <w:tcW w:w="0" w:type="auto"/>
                  <w:tcBorders>
                    <w:top w:val="single" w:sz="12" w:space="0" w:color="auto"/>
                  </w:tcBorders>
                  <w:shd w:val="clear" w:color="auto" w:fill="auto"/>
                  <w:vAlign w:val="bottom"/>
                  <w:hideMark/>
                </w:tcPr>
                <w:p w14:paraId="5070454B"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12" w:type="pct"/>
                  <w:gridSpan w:val="2"/>
                  <w:tcBorders>
                    <w:top w:val="single" w:sz="12" w:space="0" w:color="auto"/>
                  </w:tcBorders>
                  <w:shd w:val="clear" w:color="auto" w:fill="auto"/>
                </w:tcPr>
                <w:p w14:paraId="59082254"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 w:type="pct"/>
                  <w:tcBorders>
                    <w:top w:val="single" w:sz="12" w:space="0" w:color="auto"/>
                  </w:tcBorders>
                  <w:shd w:val="clear" w:color="auto" w:fill="auto"/>
                </w:tcPr>
                <w:p w14:paraId="2819CA6E"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999" w:type="pct"/>
                  <w:tcBorders>
                    <w:top w:val="single" w:sz="12" w:space="0" w:color="auto"/>
                  </w:tcBorders>
                  <w:shd w:val="clear" w:color="auto" w:fill="auto"/>
                  <w:vAlign w:val="bottom"/>
                  <w:hideMark/>
                </w:tcPr>
                <w:p w14:paraId="7E1F3B6A" w14:textId="4B07F163" w:rsidR="00153A6B" w:rsidRPr="00D2099E" w:rsidRDefault="00153A6B" w:rsidP="007A0050">
                  <w:pPr>
                    <w:spacing w:after="0" w:line="240" w:lineRule="auto"/>
                    <w:ind w:firstLine="103"/>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en-US"/>
                    </w:rPr>
                    <w:t>December 31, 2021</w:t>
                  </w:r>
                </w:p>
              </w:tc>
              <w:tc>
                <w:tcPr>
                  <w:tcW w:w="86" w:type="pct"/>
                  <w:tcBorders>
                    <w:top w:val="single" w:sz="12" w:space="0" w:color="auto"/>
                  </w:tcBorders>
                </w:tcPr>
                <w:p w14:paraId="3D2E1D92" w14:textId="77777777" w:rsidR="00153A6B" w:rsidRPr="00D2099E" w:rsidRDefault="00153A6B" w:rsidP="007A0050">
                  <w:pPr>
                    <w:spacing w:after="0" w:line="240" w:lineRule="auto"/>
                    <w:ind w:firstLine="103"/>
                    <w:jc w:val="both"/>
                    <w:rPr>
                      <w:rFonts w:ascii="Times New Roman" w:eastAsia="Times New Roman" w:hAnsi="Times New Roman" w:cs="Times New Roman"/>
                      <w:sz w:val="20"/>
                      <w:szCs w:val="20"/>
                      <w:lang w:val="en-US"/>
                    </w:rPr>
                  </w:pPr>
                </w:p>
              </w:tc>
              <w:tc>
                <w:tcPr>
                  <w:tcW w:w="86" w:type="pct"/>
                  <w:tcBorders>
                    <w:top w:val="single" w:sz="12" w:space="0" w:color="auto"/>
                  </w:tcBorders>
                </w:tcPr>
                <w:p w14:paraId="1BBD3279" w14:textId="77777777" w:rsidR="00153A6B" w:rsidRPr="00D2099E" w:rsidRDefault="00153A6B" w:rsidP="007A0050">
                  <w:pPr>
                    <w:spacing w:after="0" w:line="240" w:lineRule="auto"/>
                    <w:ind w:firstLine="103"/>
                    <w:jc w:val="both"/>
                    <w:rPr>
                      <w:rFonts w:ascii="Times New Roman" w:eastAsia="Times New Roman" w:hAnsi="Times New Roman" w:cs="Times New Roman"/>
                      <w:sz w:val="20"/>
                      <w:szCs w:val="20"/>
                      <w:lang w:val="en-US"/>
                    </w:rPr>
                  </w:pPr>
                </w:p>
              </w:tc>
              <w:tc>
                <w:tcPr>
                  <w:tcW w:w="957" w:type="pct"/>
                  <w:tcBorders>
                    <w:top w:val="single" w:sz="12" w:space="0" w:color="auto"/>
                  </w:tcBorders>
                </w:tcPr>
                <w:p w14:paraId="7FEAEE5A" w14:textId="754A8ADE" w:rsidR="00153A6B" w:rsidRPr="00D2099E" w:rsidRDefault="00153A6B" w:rsidP="00D33273">
                  <w:pPr>
                    <w:spacing w:after="0" w:line="240" w:lineRule="auto"/>
                    <w:ind w:firstLine="103"/>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December 31, 2020</w:t>
                  </w:r>
                </w:p>
              </w:tc>
              <w:tc>
                <w:tcPr>
                  <w:tcW w:w="11" w:type="pct"/>
                  <w:tcBorders>
                    <w:top w:val="single" w:sz="12" w:space="0" w:color="auto"/>
                  </w:tcBorders>
                  <w:shd w:val="clear" w:color="auto" w:fill="auto"/>
                </w:tcPr>
                <w:p w14:paraId="7BCE14D5" w14:textId="0784778C" w:rsidR="00153A6B" w:rsidRPr="00D2099E" w:rsidRDefault="00153A6B" w:rsidP="007A0050">
                  <w:pPr>
                    <w:spacing w:after="0" w:line="240" w:lineRule="auto"/>
                    <w:ind w:firstLine="103"/>
                    <w:jc w:val="both"/>
                    <w:rPr>
                      <w:rFonts w:ascii="Times New Roman" w:eastAsia="Times New Roman" w:hAnsi="Times New Roman" w:cs="Times New Roman"/>
                      <w:sz w:val="20"/>
                      <w:szCs w:val="20"/>
                      <w:lang w:val="en-US"/>
                    </w:rPr>
                  </w:pPr>
                </w:p>
              </w:tc>
            </w:tr>
            <w:tr w:rsidR="00530D5D" w:rsidRPr="00D2099E" w14:paraId="45AAC80B" w14:textId="77777777" w:rsidTr="00530D5D">
              <w:tc>
                <w:tcPr>
                  <w:tcW w:w="1587" w:type="pct"/>
                  <w:tcBorders>
                    <w:top w:val="single" w:sz="12" w:space="0" w:color="auto"/>
                  </w:tcBorders>
                  <w:shd w:val="clear" w:color="auto" w:fill="auto"/>
                  <w:vAlign w:val="bottom"/>
                </w:tcPr>
                <w:p w14:paraId="16180A14" w14:textId="7E1F2474" w:rsidR="00153A6B" w:rsidRPr="00D33273" w:rsidRDefault="00153A6B" w:rsidP="007A0050">
                  <w:pPr>
                    <w:spacing w:after="0" w:line="240" w:lineRule="auto"/>
                    <w:jc w:val="both"/>
                    <w:rPr>
                      <w:rFonts w:ascii="Times New Roman" w:eastAsia="Times New Roman" w:hAnsi="Times New Roman" w:cs="Times New Roman"/>
                      <w:sz w:val="20"/>
                      <w:szCs w:val="20"/>
                      <w:lang w:val="en-US"/>
                    </w:rPr>
                  </w:pPr>
                  <w:r w:rsidRPr="00D33273">
                    <w:rPr>
                      <w:rFonts w:ascii="Times New Roman" w:eastAsia="Times New Roman" w:hAnsi="Times New Roman" w:cs="Times New Roman"/>
                      <w:sz w:val="20"/>
                      <w:szCs w:val="20"/>
                      <w:lang w:val="en-US"/>
                    </w:rPr>
                    <w:t>Accounts receivable</w:t>
                  </w:r>
                </w:p>
              </w:tc>
              <w:tc>
                <w:tcPr>
                  <w:tcW w:w="0" w:type="auto"/>
                  <w:tcBorders>
                    <w:top w:val="single" w:sz="12" w:space="0" w:color="auto"/>
                  </w:tcBorders>
                  <w:shd w:val="clear" w:color="auto" w:fill="auto"/>
                  <w:vAlign w:val="bottom"/>
                </w:tcPr>
                <w:p w14:paraId="33475172" w14:textId="4F03D734" w:rsidR="00153A6B" w:rsidRPr="000158CA" w:rsidRDefault="00153A6B" w:rsidP="007A0050">
                  <w:pPr>
                    <w:spacing w:after="0" w:line="240" w:lineRule="auto"/>
                    <w:jc w:val="both"/>
                    <w:rPr>
                      <w:rFonts w:ascii="Times New Roman" w:eastAsia="Times New Roman" w:hAnsi="Times New Roman" w:cs="Times New Roman"/>
                      <w:b/>
                      <w:bCs/>
                      <w:sz w:val="20"/>
                      <w:szCs w:val="20"/>
                      <w:lang w:val="en-US"/>
                    </w:rPr>
                  </w:pPr>
                </w:p>
              </w:tc>
              <w:tc>
                <w:tcPr>
                  <w:tcW w:w="0" w:type="auto"/>
                  <w:tcBorders>
                    <w:top w:val="single" w:sz="12" w:space="0" w:color="auto"/>
                  </w:tcBorders>
                  <w:shd w:val="clear" w:color="auto" w:fill="auto"/>
                  <w:vAlign w:val="bottom"/>
                </w:tcPr>
                <w:p w14:paraId="520C5463" w14:textId="0B9104F3" w:rsidR="00153A6B" w:rsidRPr="000158CA" w:rsidRDefault="00153A6B" w:rsidP="007A0050">
                  <w:pPr>
                    <w:spacing w:after="0" w:line="240" w:lineRule="auto"/>
                    <w:jc w:val="both"/>
                    <w:rPr>
                      <w:rFonts w:ascii="Times New Roman" w:eastAsia="Times New Roman" w:hAnsi="Times New Roman" w:cs="Times New Roman"/>
                      <w:b/>
                      <w:bCs/>
                      <w:sz w:val="20"/>
                      <w:szCs w:val="20"/>
                      <w:lang w:val="en-US"/>
                    </w:rPr>
                  </w:pPr>
                </w:p>
              </w:tc>
              <w:tc>
                <w:tcPr>
                  <w:tcW w:w="86" w:type="pct"/>
                  <w:tcBorders>
                    <w:top w:val="single" w:sz="12" w:space="0" w:color="auto"/>
                  </w:tcBorders>
                  <w:shd w:val="clear" w:color="auto" w:fill="auto"/>
                  <w:vAlign w:val="bottom"/>
                </w:tcPr>
                <w:p w14:paraId="3E0E28DD" w14:textId="1588A424" w:rsidR="00153A6B" w:rsidRPr="000158CA" w:rsidRDefault="00153A6B" w:rsidP="00D33273">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964" w:type="pct"/>
                  <w:tcBorders>
                    <w:top w:val="single" w:sz="12" w:space="0" w:color="auto"/>
                  </w:tcBorders>
                  <w:shd w:val="clear" w:color="auto" w:fill="auto"/>
                  <w:vAlign w:val="bottom"/>
                </w:tcPr>
                <w:p w14:paraId="40428A64" w14:textId="04B93CF5" w:rsidR="00153A6B" w:rsidRPr="008C3DE9" w:rsidRDefault="008C3DE9" w:rsidP="007A0050">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1,407,201</w:t>
                  </w:r>
                </w:p>
              </w:tc>
              <w:tc>
                <w:tcPr>
                  <w:tcW w:w="28" w:type="pct"/>
                  <w:tcBorders>
                    <w:top w:val="single" w:sz="12" w:space="0" w:color="auto"/>
                  </w:tcBorders>
                  <w:shd w:val="clear" w:color="auto" w:fill="auto"/>
                  <w:vAlign w:val="bottom"/>
                  <w:hideMark/>
                </w:tcPr>
                <w:p w14:paraId="53C3EB94"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1" w:type="pct"/>
                  <w:tcBorders>
                    <w:top w:val="single" w:sz="12" w:space="0" w:color="auto"/>
                  </w:tcBorders>
                  <w:shd w:val="clear" w:color="auto" w:fill="auto"/>
                </w:tcPr>
                <w:p w14:paraId="5CD09E44"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tcBorders>
                    <w:top w:val="single" w:sz="12" w:space="0" w:color="auto"/>
                  </w:tcBorders>
                  <w:shd w:val="clear" w:color="auto" w:fill="auto"/>
                </w:tcPr>
                <w:p w14:paraId="4A548991" w14:textId="278CEAB5"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006" w:type="pct"/>
                  <w:gridSpan w:val="2"/>
                  <w:tcBorders>
                    <w:top w:val="single" w:sz="12" w:space="0" w:color="auto"/>
                  </w:tcBorders>
                  <w:shd w:val="clear" w:color="auto" w:fill="auto"/>
                  <w:vAlign w:val="bottom"/>
                  <w:hideMark/>
                </w:tcPr>
                <w:p w14:paraId="1E317106" w14:textId="60E87150" w:rsidR="00153A6B" w:rsidRPr="00D2099E" w:rsidRDefault="00153A6B"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703,140</w:t>
                  </w:r>
                </w:p>
              </w:tc>
              <w:tc>
                <w:tcPr>
                  <w:tcW w:w="86" w:type="pct"/>
                  <w:tcBorders>
                    <w:top w:val="single" w:sz="12" w:space="0" w:color="auto"/>
                  </w:tcBorders>
                </w:tcPr>
                <w:p w14:paraId="5564E7A7"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tcBorders>
                    <w:top w:val="single" w:sz="12" w:space="0" w:color="auto"/>
                  </w:tcBorders>
                </w:tcPr>
                <w:p w14:paraId="4E92BDE8" w14:textId="0997C232" w:rsidR="00153A6B" w:rsidRPr="00D2099E" w:rsidRDefault="00603C04"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957" w:type="pct"/>
                  <w:tcBorders>
                    <w:top w:val="single" w:sz="12" w:space="0" w:color="auto"/>
                  </w:tcBorders>
                </w:tcPr>
                <w:p w14:paraId="5521F625" w14:textId="36AD75AB" w:rsidR="00153A6B" w:rsidRPr="00D2099E" w:rsidRDefault="00603C04"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772,138</w:t>
                  </w:r>
                </w:p>
              </w:tc>
              <w:tc>
                <w:tcPr>
                  <w:tcW w:w="11" w:type="pct"/>
                  <w:tcBorders>
                    <w:top w:val="single" w:sz="12" w:space="0" w:color="auto"/>
                  </w:tcBorders>
                  <w:shd w:val="clear" w:color="auto" w:fill="auto"/>
                </w:tcPr>
                <w:p w14:paraId="35257E9C" w14:textId="72C6F13F"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r>
            <w:tr w:rsidR="00530D5D" w:rsidRPr="00D2099E" w14:paraId="5F07873E" w14:textId="77777777" w:rsidTr="00530D5D">
              <w:tc>
                <w:tcPr>
                  <w:tcW w:w="1587" w:type="pct"/>
                  <w:shd w:val="clear" w:color="auto" w:fill="auto"/>
                  <w:vAlign w:val="bottom"/>
                </w:tcPr>
                <w:p w14:paraId="783F0A5F" w14:textId="1C866394" w:rsidR="00153A6B" w:rsidRPr="00574D47" w:rsidRDefault="00153A6B"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GST receivable </w:t>
                  </w:r>
                </w:p>
              </w:tc>
              <w:tc>
                <w:tcPr>
                  <w:tcW w:w="0" w:type="auto"/>
                  <w:shd w:val="clear" w:color="auto" w:fill="auto"/>
                  <w:vAlign w:val="bottom"/>
                </w:tcPr>
                <w:p w14:paraId="257DE0D0" w14:textId="06FEBD79"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926609B" w14:textId="606E6AA9"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shd w:val="clear" w:color="auto" w:fill="auto"/>
                  <w:vAlign w:val="bottom"/>
                </w:tcPr>
                <w:p w14:paraId="0054FA5F" w14:textId="6DC95929"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964" w:type="pct"/>
                  <w:shd w:val="clear" w:color="auto" w:fill="auto"/>
                  <w:vAlign w:val="bottom"/>
                </w:tcPr>
                <w:p w14:paraId="5715BCBE" w14:textId="516431FC" w:rsidR="00153A6B" w:rsidRPr="008C3DE9" w:rsidRDefault="008C3DE9" w:rsidP="007A0050">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4</w:t>
                  </w:r>
                  <w:r w:rsidR="00556875">
                    <w:rPr>
                      <w:rFonts w:ascii="Times New Roman" w:eastAsia="Times New Roman" w:hAnsi="Times New Roman" w:cs="Times New Roman"/>
                      <w:b/>
                      <w:bCs/>
                      <w:sz w:val="20"/>
                      <w:szCs w:val="20"/>
                      <w:lang w:val="en-US"/>
                    </w:rPr>
                    <w:t>1</w:t>
                  </w:r>
                  <w:r w:rsidRPr="00064A08">
                    <w:rPr>
                      <w:rFonts w:ascii="Times New Roman" w:eastAsia="Times New Roman" w:hAnsi="Times New Roman" w:cs="Times New Roman"/>
                      <w:b/>
                      <w:bCs/>
                      <w:sz w:val="20"/>
                      <w:szCs w:val="20"/>
                      <w:lang w:val="en-US"/>
                    </w:rPr>
                    <w:t>,</w:t>
                  </w:r>
                  <w:r w:rsidR="00556875">
                    <w:rPr>
                      <w:rFonts w:ascii="Times New Roman" w:eastAsia="Times New Roman" w:hAnsi="Times New Roman" w:cs="Times New Roman"/>
                      <w:b/>
                      <w:bCs/>
                      <w:sz w:val="20"/>
                      <w:szCs w:val="20"/>
                      <w:lang w:val="en-US"/>
                    </w:rPr>
                    <w:t>154</w:t>
                  </w:r>
                </w:p>
              </w:tc>
              <w:tc>
                <w:tcPr>
                  <w:tcW w:w="28" w:type="pct"/>
                  <w:shd w:val="clear" w:color="auto" w:fill="auto"/>
                  <w:vAlign w:val="bottom"/>
                  <w:hideMark/>
                </w:tcPr>
                <w:p w14:paraId="77F6A1A2"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1" w:type="pct"/>
                  <w:shd w:val="clear" w:color="auto" w:fill="auto"/>
                </w:tcPr>
                <w:p w14:paraId="17CAB07F"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tcPr>
                <w:p w14:paraId="55E1AA0A"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1006" w:type="pct"/>
                  <w:gridSpan w:val="2"/>
                  <w:shd w:val="clear" w:color="auto" w:fill="auto"/>
                  <w:vAlign w:val="bottom"/>
                  <w:hideMark/>
                </w:tcPr>
                <w:p w14:paraId="4BA3BF8F" w14:textId="5EB43719" w:rsidR="00153A6B" w:rsidRPr="00D2099E" w:rsidRDefault="00153A6B"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86" w:type="pct"/>
                </w:tcPr>
                <w:p w14:paraId="7AECCBA3"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tcPr>
                <w:p w14:paraId="176BB81C"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957" w:type="pct"/>
                </w:tcPr>
                <w:p w14:paraId="23200F65" w14:textId="34297A0C" w:rsidR="00153A6B" w:rsidRPr="00D2099E" w:rsidRDefault="00603C04"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 w:type="pct"/>
                  <w:shd w:val="clear" w:color="auto" w:fill="auto"/>
                </w:tcPr>
                <w:p w14:paraId="4081289A" w14:textId="12ECD7D0"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r>
            <w:tr w:rsidR="00530D5D" w:rsidRPr="00D2099E" w14:paraId="67EFA264" w14:textId="77777777" w:rsidTr="00530D5D">
              <w:tc>
                <w:tcPr>
                  <w:tcW w:w="1587" w:type="pct"/>
                  <w:shd w:val="clear" w:color="auto" w:fill="auto"/>
                  <w:vAlign w:val="bottom"/>
                </w:tcPr>
                <w:p w14:paraId="551BE04C" w14:textId="22DA28E7" w:rsidR="00153A6B" w:rsidRPr="00574D47" w:rsidRDefault="00153A6B"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Interest receivable </w:t>
                  </w:r>
                </w:p>
              </w:tc>
              <w:tc>
                <w:tcPr>
                  <w:tcW w:w="0" w:type="auto"/>
                  <w:shd w:val="clear" w:color="auto" w:fill="auto"/>
                  <w:vAlign w:val="bottom"/>
                </w:tcPr>
                <w:p w14:paraId="29789D9A" w14:textId="60C851AA"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1342D632" w14:textId="5FA53AA9"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shd w:val="clear" w:color="auto" w:fill="auto"/>
                  <w:vAlign w:val="bottom"/>
                </w:tcPr>
                <w:p w14:paraId="061FE6F4" w14:textId="23250E60"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964" w:type="pct"/>
                  <w:shd w:val="clear" w:color="auto" w:fill="auto"/>
                  <w:vAlign w:val="bottom"/>
                </w:tcPr>
                <w:p w14:paraId="10EBC741" w14:textId="0BDE661E" w:rsidR="00153A6B" w:rsidRPr="008C3DE9" w:rsidRDefault="008C3DE9" w:rsidP="007A0050">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27,957</w:t>
                  </w:r>
                </w:p>
              </w:tc>
              <w:tc>
                <w:tcPr>
                  <w:tcW w:w="28" w:type="pct"/>
                  <w:shd w:val="clear" w:color="auto" w:fill="auto"/>
                  <w:vAlign w:val="bottom"/>
                </w:tcPr>
                <w:p w14:paraId="4047CD53" w14:textId="7CC2F4A3"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41" w:type="pct"/>
                  <w:shd w:val="clear" w:color="auto" w:fill="auto"/>
                </w:tcPr>
                <w:p w14:paraId="6F138470"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tcPr>
                <w:p w14:paraId="5ACCA968"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1006" w:type="pct"/>
                  <w:gridSpan w:val="2"/>
                  <w:shd w:val="clear" w:color="auto" w:fill="auto"/>
                  <w:vAlign w:val="bottom"/>
                  <w:hideMark/>
                </w:tcPr>
                <w:p w14:paraId="1D9CB249" w14:textId="4B68E547" w:rsidR="00153A6B" w:rsidRPr="00D2099E" w:rsidRDefault="00153A6B"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 </w:t>
                  </w:r>
                </w:p>
              </w:tc>
              <w:tc>
                <w:tcPr>
                  <w:tcW w:w="86" w:type="pct"/>
                </w:tcPr>
                <w:p w14:paraId="4F60659E"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tcPr>
                <w:p w14:paraId="23B5665C"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957" w:type="pct"/>
                </w:tcPr>
                <w:p w14:paraId="09632391" w14:textId="028CD6F8" w:rsidR="00153A6B" w:rsidRPr="00D2099E" w:rsidRDefault="00603C04"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 w:type="pct"/>
                  <w:shd w:val="clear" w:color="auto" w:fill="auto"/>
                </w:tcPr>
                <w:p w14:paraId="22B2C493" w14:textId="1FFB5E73"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r>
            <w:tr w:rsidR="00530D5D" w:rsidRPr="00D2099E" w14:paraId="183BAF8A" w14:textId="77777777" w:rsidTr="00530D5D">
              <w:tc>
                <w:tcPr>
                  <w:tcW w:w="1587" w:type="pct"/>
                  <w:shd w:val="clear" w:color="auto" w:fill="auto"/>
                  <w:tcMar>
                    <w:top w:w="0" w:type="dxa"/>
                    <w:left w:w="0" w:type="dxa"/>
                    <w:bottom w:w="30" w:type="dxa"/>
                    <w:right w:w="0" w:type="dxa"/>
                  </w:tcMar>
                  <w:vAlign w:val="bottom"/>
                </w:tcPr>
                <w:p w14:paraId="70652068" w14:textId="2845652F" w:rsidR="00153A6B" w:rsidRPr="00D33273" w:rsidRDefault="00153A6B"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Due from related parties</w:t>
                  </w:r>
                </w:p>
              </w:tc>
              <w:tc>
                <w:tcPr>
                  <w:tcW w:w="0" w:type="auto"/>
                  <w:shd w:val="clear" w:color="auto" w:fill="auto"/>
                  <w:tcMar>
                    <w:top w:w="0" w:type="dxa"/>
                    <w:left w:w="0" w:type="dxa"/>
                    <w:bottom w:w="30" w:type="dxa"/>
                    <w:right w:w="0" w:type="dxa"/>
                  </w:tcMar>
                  <w:vAlign w:val="bottom"/>
                </w:tcPr>
                <w:p w14:paraId="72992067" w14:textId="397D15B3" w:rsidR="00153A6B" w:rsidRPr="000158CA" w:rsidRDefault="00153A6B" w:rsidP="007A0050">
                  <w:pPr>
                    <w:spacing w:after="0" w:line="240" w:lineRule="auto"/>
                    <w:jc w:val="both"/>
                    <w:rPr>
                      <w:rFonts w:ascii="Times New Roman" w:eastAsia="Times New Roman" w:hAnsi="Times New Roman" w:cs="Times New Roman"/>
                      <w:b/>
                      <w:bCs/>
                      <w:sz w:val="20"/>
                      <w:szCs w:val="20"/>
                      <w:lang w:val="en-US"/>
                    </w:rPr>
                  </w:pPr>
                </w:p>
              </w:tc>
              <w:tc>
                <w:tcPr>
                  <w:tcW w:w="0" w:type="auto"/>
                  <w:shd w:val="clear" w:color="auto" w:fill="auto"/>
                  <w:tcMar>
                    <w:top w:w="0" w:type="dxa"/>
                    <w:left w:w="0" w:type="dxa"/>
                    <w:bottom w:w="30" w:type="dxa"/>
                    <w:right w:w="0" w:type="dxa"/>
                  </w:tcMar>
                  <w:vAlign w:val="bottom"/>
                </w:tcPr>
                <w:p w14:paraId="777CFB89" w14:textId="7ADE33FB" w:rsidR="00153A6B" w:rsidRPr="000158CA" w:rsidRDefault="00153A6B" w:rsidP="007A0050">
                  <w:pPr>
                    <w:spacing w:after="0" w:line="240" w:lineRule="auto"/>
                    <w:jc w:val="both"/>
                    <w:rPr>
                      <w:rFonts w:ascii="Times New Roman" w:eastAsia="Times New Roman" w:hAnsi="Times New Roman" w:cs="Times New Roman"/>
                      <w:b/>
                      <w:bCs/>
                      <w:sz w:val="20"/>
                      <w:szCs w:val="20"/>
                      <w:lang w:val="en-US"/>
                    </w:rPr>
                  </w:pPr>
                </w:p>
              </w:tc>
              <w:tc>
                <w:tcPr>
                  <w:tcW w:w="86" w:type="pct"/>
                  <w:shd w:val="clear" w:color="auto" w:fill="auto"/>
                  <w:vAlign w:val="bottom"/>
                </w:tcPr>
                <w:p w14:paraId="10CABB2C" w14:textId="34715532" w:rsidR="00153A6B" w:rsidRPr="000158CA" w:rsidRDefault="00153A6B" w:rsidP="007A0050">
                  <w:pPr>
                    <w:spacing w:after="0" w:line="240" w:lineRule="auto"/>
                    <w:jc w:val="both"/>
                    <w:rPr>
                      <w:rFonts w:ascii="Times New Roman" w:eastAsia="Times New Roman" w:hAnsi="Times New Roman" w:cs="Times New Roman"/>
                      <w:b/>
                      <w:bCs/>
                      <w:sz w:val="20"/>
                      <w:szCs w:val="20"/>
                      <w:lang w:val="en-US"/>
                    </w:rPr>
                  </w:pPr>
                </w:p>
              </w:tc>
              <w:tc>
                <w:tcPr>
                  <w:tcW w:w="964" w:type="pct"/>
                  <w:shd w:val="clear" w:color="auto" w:fill="auto"/>
                  <w:vAlign w:val="bottom"/>
                </w:tcPr>
                <w:p w14:paraId="4C7B38F6" w14:textId="6E005101" w:rsidR="00153A6B" w:rsidRPr="008C3DE9" w:rsidRDefault="008C3DE9" w:rsidP="007A0050">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4,110</w:t>
                  </w:r>
                </w:p>
              </w:tc>
              <w:tc>
                <w:tcPr>
                  <w:tcW w:w="28" w:type="pct"/>
                  <w:shd w:val="clear" w:color="auto" w:fill="auto"/>
                  <w:tcMar>
                    <w:top w:w="0" w:type="dxa"/>
                    <w:left w:w="0" w:type="dxa"/>
                    <w:bottom w:w="30" w:type="dxa"/>
                    <w:right w:w="0" w:type="dxa"/>
                  </w:tcMar>
                  <w:vAlign w:val="bottom"/>
                </w:tcPr>
                <w:p w14:paraId="2E451520" w14:textId="75E7FE4E"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41" w:type="pct"/>
                  <w:shd w:val="clear" w:color="auto" w:fill="auto"/>
                </w:tcPr>
                <w:p w14:paraId="69E7FB8E"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tcPr>
                <w:p w14:paraId="03AA75AB"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1006" w:type="pct"/>
                  <w:gridSpan w:val="2"/>
                  <w:shd w:val="clear" w:color="auto" w:fill="auto"/>
                  <w:tcMar>
                    <w:top w:w="0" w:type="dxa"/>
                    <w:left w:w="0" w:type="dxa"/>
                    <w:bottom w:w="30" w:type="dxa"/>
                    <w:right w:w="0" w:type="dxa"/>
                  </w:tcMar>
                  <w:vAlign w:val="bottom"/>
                  <w:hideMark/>
                </w:tcPr>
                <w:p w14:paraId="2B484BB6" w14:textId="7C14D743" w:rsidR="00153A6B" w:rsidRPr="00D2099E" w:rsidRDefault="00153A6B" w:rsidP="00D33273">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en-US"/>
                    </w:rPr>
                    <w:t>4,173</w:t>
                  </w:r>
                </w:p>
              </w:tc>
              <w:tc>
                <w:tcPr>
                  <w:tcW w:w="86" w:type="pct"/>
                </w:tcPr>
                <w:p w14:paraId="3F45C40F"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tcPr>
                <w:p w14:paraId="747B0DFF"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957" w:type="pct"/>
                </w:tcPr>
                <w:p w14:paraId="42593B07" w14:textId="3F4FCFBB" w:rsidR="00153A6B" w:rsidRPr="00D2099E" w:rsidRDefault="00603C04"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1,173</w:t>
                  </w:r>
                </w:p>
              </w:tc>
              <w:tc>
                <w:tcPr>
                  <w:tcW w:w="11" w:type="pct"/>
                  <w:shd w:val="clear" w:color="auto" w:fill="auto"/>
                </w:tcPr>
                <w:p w14:paraId="42A773BF" w14:textId="3B583796"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r>
            <w:tr w:rsidR="00530D5D" w:rsidRPr="00D2099E" w14:paraId="55FCB7F3" w14:textId="2D104253" w:rsidTr="00530D5D">
              <w:tc>
                <w:tcPr>
                  <w:tcW w:w="1587" w:type="pct"/>
                  <w:shd w:val="clear" w:color="auto" w:fill="auto"/>
                  <w:vAlign w:val="bottom"/>
                </w:tcPr>
                <w:p w14:paraId="3AA3AFA8" w14:textId="271EA9DF"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Other </w:t>
                  </w:r>
                </w:p>
              </w:tc>
              <w:tc>
                <w:tcPr>
                  <w:tcW w:w="0" w:type="auto"/>
                  <w:shd w:val="clear" w:color="auto" w:fill="auto"/>
                  <w:vAlign w:val="bottom"/>
                </w:tcPr>
                <w:p w14:paraId="3496821E" w14:textId="437E4BAF"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0D0A9AAF"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tcBorders>
                    <w:bottom w:val="single" w:sz="12" w:space="0" w:color="auto"/>
                  </w:tcBorders>
                  <w:shd w:val="clear" w:color="auto" w:fill="auto"/>
                  <w:vAlign w:val="bottom"/>
                </w:tcPr>
                <w:p w14:paraId="6ADCE09F"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964" w:type="pct"/>
                  <w:tcBorders>
                    <w:bottom w:val="single" w:sz="12" w:space="0" w:color="auto"/>
                  </w:tcBorders>
                  <w:shd w:val="clear" w:color="auto" w:fill="auto"/>
                  <w:vAlign w:val="bottom"/>
                </w:tcPr>
                <w:p w14:paraId="36A224AE" w14:textId="1D3097D7" w:rsidR="00153A6B" w:rsidRPr="008C3DE9" w:rsidRDefault="008C3DE9" w:rsidP="007A0050">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2,296</w:t>
                  </w:r>
                </w:p>
              </w:tc>
              <w:tc>
                <w:tcPr>
                  <w:tcW w:w="28" w:type="pct"/>
                  <w:tcBorders>
                    <w:bottom w:val="single" w:sz="12" w:space="0" w:color="auto"/>
                  </w:tcBorders>
                  <w:shd w:val="clear" w:color="auto" w:fill="auto"/>
                  <w:vAlign w:val="bottom"/>
                </w:tcPr>
                <w:p w14:paraId="0565F6DD"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41" w:type="pct"/>
                  <w:tcBorders>
                    <w:bottom w:val="single" w:sz="12" w:space="0" w:color="auto"/>
                  </w:tcBorders>
                  <w:shd w:val="clear" w:color="auto" w:fill="auto"/>
                </w:tcPr>
                <w:p w14:paraId="2CF4BF1E"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tcPr>
                <w:p w14:paraId="4454AA81"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1006" w:type="pct"/>
                  <w:gridSpan w:val="2"/>
                  <w:tcBorders>
                    <w:bottom w:val="single" w:sz="12" w:space="0" w:color="auto"/>
                  </w:tcBorders>
                  <w:shd w:val="clear" w:color="auto" w:fill="auto"/>
                  <w:vAlign w:val="bottom"/>
                </w:tcPr>
                <w:p w14:paraId="33BC32FC" w14:textId="7381706D" w:rsidR="00153A6B" w:rsidRPr="00D2099E" w:rsidRDefault="00153A6B"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2,492</w:t>
                  </w:r>
                </w:p>
              </w:tc>
              <w:tc>
                <w:tcPr>
                  <w:tcW w:w="86" w:type="pct"/>
                  <w:tcBorders>
                    <w:bottom w:val="single" w:sz="12" w:space="0" w:color="auto"/>
                  </w:tcBorders>
                </w:tcPr>
                <w:p w14:paraId="1A712E4A"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tcBorders>
                    <w:bottom w:val="single" w:sz="12" w:space="0" w:color="auto"/>
                  </w:tcBorders>
                </w:tcPr>
                <w:p w14:paraId="15587B89"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957" w:type="pct"/>
                  <w:tcBorders>
                    <w:bottom w:val="single" w:sz="12" w:space="0" w:color="auto"/>
                  </w:tcBorders>
                </w:tcPr>
                <w:p w14:paraId="7A667F3D" w14:textId="1C4C69B4" w:rsidR="00153A6B" w:rsidRPr="00D2099E" w:rsidRDefault="00412E39"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 w:type="pct"/>
                  <w:tcBorders>
                    <w:bottom w:val="single" w:sz="12" w:space="0" w:color="auto"/>
                  </w:tcBorders>
                  <w:shd w:val="clear" w:color="auto" w:fill="auto"/>
                </w:tcPr>
                <w:p w14:paraId="63CD3F1F" w14:textId="743A4498"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r>
            <w:tr w:rsidR="00530D5D" w:rsidRPr="00D2099E" w14:paraId="5A197A2D" w14:textId="53FB615A" w:rsidTr="00530D5D">
              <w:tc>
                <w:tcPr>
                  <w:tcW w:w="1587" w:type="pct"/>
                  <w:tcBorders>
                    <w:bottom w:val="single" w:sz="12" w:space="0" w:color="auto"/>
                  </w:tcBorders>
                  <w:shd w:val="clear" w:color="auto" w:fill="auto"/>
                  <w:vAlign w:val="bottom"/>
                </w:tcPr>
                <w:p w14:paraId="5B29CD47" w14:textId="3F0311E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vAlign w:val="bottom"/>
                </w:tcPr>
                <w:p w14:paraId="6DB4FB20" w14:textId="4E8E2A8C"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vAlign w:val="bottom"/>
                </w:tcPr>
                <w:p w14:paraId="5312EEC3"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tcBorders>
                    <w:top w:val="single" w:sz="12" w:space="0" w:color="auto"/>
                    <w:bottom w:val="single" w:sz="12" w:space="0" w:color="auto"/>
                  </w:tcBorders>
                  <w:shd w:val="clear" w:color="auto" w:fill="auto"/>
                  <w:vAlign w:val="bottom"/>
                </w:tcPr>
                <w:p w14:paraId="185E9DA9" w14:textId="6C4378E9"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964" w:type="pct"/>
                  <w:tcBorders>
                    <w:top w:val="single" w:sz="12" w:space="0" w:color="auto"/>
                    <w:bottom w:val="single" w:sz="12" w:space="0" w:color="auto"/>
                  </w:tcBorders>
                  <w:shd w:val="clear" w:color="auto" w:fill="auto"/>
                  <w:vAlign w:val="bottom"/>
                </w:tcPr>
                <w:p w14:paraId="00D328AD" w14:textId="6C3DCBF9" w:rsidR="00153A6B" w:rsidRPr="008C3DE9" w:rsidRDefault="00153A6B" w:rsidP="007A0050">
                  <w:pPr>
                    <w:spacing w:after="0" w:line="240" w:lineRule="auto"/>
                    <w:jc w:val="right"/>
                    <w:rPr>
                      <w:rFonts w:ascii="Times New Roman" w:eastAsia="Times New Roman" w:hAnsi="Times New Roman" w:cs="Times New Roman"/>
                      <w:b/>
                      <w:bCs/>
                      <w:sz w:val="20"/>
                      <w:szCs w:val="20"/>
                      <w:lang w:val="en-US"/>
                    </w:rPr>
                  </w:pPr>
                  <w:r w:rsidRPr="008C3DE9">
                    <w:rPr>
                      <w:rFonts w:ascii="Times New Roman" w:eastAsia="Times New Roman" w:hAnsi="Times New Roman" w:cs="Times New Roman"/>
                      <w:b/>
                      <w:bCs/>
                      <w:sz w:val="20"/>
                      <w:szCs w:val="20"/>
                      <w:lang w:val="en-US"/>
                    </w:rPr>
                    <w:t>1,</w:t>
                  </w:r>
                  <w:r w:rsidR="008C3DE9" w:rsidRPr="00064A08">
                    <w:rPr>
                      <w:rFonts w:ascii="Times New Roman" w:eastAsia="Times New Roman" w:hAnsi="Times New Roman" w:cs="Times New Roman"/>
                      <w:b/>
                      <w:bCs/>
                      <w:sz w:val="20"/>
                      <w:szCs w:val="20"/>
                      <w:lang w:val="en-US"/>
                    </w:rPr>
                    <w:t>48</w:t>
                  </w:r>
                  <w:r w:rsidR="00556875">
                    <w:rPr>
                      <w:rFonts w:ascii="Times New Roman" w:eastAsia="Times New Roman" w:hAnsi="Times New Roman" w:cs="Times New Roman"/>
                      <w:b/>
                      <w:bCs/>
                      <w:sz w:val="20"/>
                      <w:szCs w:val="20"/>
                      <w:lang w:val="en-US"/>
                    </w:rPr>
                    <w:t>2</w:t>
                  </w:r>
                  <w:r w:rsidR="008C3DE9" w:rsidRPr="00064A08">
                    <w:rPr>
                      <w:rFonts w:ascii="Times New Roman" w:eastAsia="Times New Roman" w:hAnsi="Times New Roman" w:cs="Times New Roman"/>
                      <w:b/>
                      <w:bCs/>
                      <w:sz w:val="20"/>
                      <w:szCs w:val="20"/>
                      <w:lang w:val="en-US"/>
                    </w:rPr>
                    <w:t>,</w:t>
                  </w:r>
                  <w:r w:rsidR="00556875">
                    <w:rPr>
                      <w:rFonts w:ascii="Times New Roman" w:eastAsia="Times New Roman" w:hAnsi="Times New Roman" w:cs="Times New Roman"/>
                      <w:b/>
                      <w:bCs/>
                      <w:sz w:val="20"/>
                      <w:szCs w:val="20"/>
                      <w:lang w:val="en-US"/>
                    </w:rPr>
                    <w:t>718</w:t>
                  </w:r>
                </w:p>
              </w:tc>
              <w:tc>
                <w:tcPr>
                  <w:tcW w:w="28" w:type="pct"/>
                  <w:tcBorders>
                    <w:top w:val="single" w:sz="12" w:space="0" w:color="auto"/>
                    <w:bottom w:val="single" w:sz="12" w:space="0" w:color="auto"/>
                  </w:tcBorders>
                  <w:shd w:val="clear" w:color="auto" w:fill="auto"/>
                  <w:vAlign w:val="bottom"/>
                </w:tcPr>
                <w:p w14:paraId="3FCC24E1"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41" w:type="pct"/>
                  <w:tcBorders>
                    <w:top w:val="single" w:sz="12" w:space="0" w:color="auto"/>
                    <w:bottom w:val="single" w:sz="12" w:space="0" w:color="auto"/>
                  </w:tcBorders>
                  <w:shd w:val="clear" w:color="auto" w:fill="auto"/>
                </w:tcPr>
                <w:p w14:paraId="3AB65A6B"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0" w:type="auto"/>
                  <w:tcBorders>
                    <w:top w:val="single" w:sz="12" w:space="0" w:color="auto"/>
                    <w:bottom w:val="single" w:sz="12" w:space="0" w:color="auto"/>
                  </w:tcBorders>
                  <w:shd w:val="clear" w:color="auto" w:fill="auto"/>
                </w:tcPr>
                <w:p w14:paraId="00B77FBC" w14:textId="0BAAE169" w:rsidR="00153A6B" w:rsidRPr="00D2099E" w:rsidRDefault="00153A6B"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006" w:type="pct"/>
                  <w:gridSpan w:val="2"/>
                  <w:tcBorders>
                    <w:top w:val="single" w:sz="12" w:space="0" w:color="auto"/>
                    <w:bottom w:val="single" w:sz="12" w:space="0" w:color="auto"/>
                  </w:tcBorders>
                  <w:shd w:val="clear" w:color="auto" w:fill="auto"/>
                  <w:vAlign w:val="bottom"/>
                </w:tcPr>
                <w:p w14:paraId="15AF8FC7" w14:textId="531FD681" w:rsidR="00153A6B" w:rsidRPr="00D2099E" w:rsidRDefault="00153A6B"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709,805</w:t>
                  </w:r>
                </w:p>
              </w:tc>
              <w:tc>
                <w:tcPr>
                  <w:tcW w:w="86" w:type="pct"/>
                  <w:tcBorders>
                    <w:top w:val="single" w:sz="12" w:space="0" w:color="auto"/>
                    <w:bottom w:val="single" w:sz="12" w:space="0" w:color="auto"/>
                  </w:tcBorders>
                </w:tcPr>
                <w:p w14:paraId="1E771C21" w14:textId="77777777"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c>
                <w:tcPr>
                  <w:tcW w:w="86" w:type="pct"/>
                  <w:tcBorders>
                    <w:top w:val="single" w:sz="12" w:space="0" w:color="auto"/>
                    <w:bottom w:val="single" w:sz="12" w:space="0" w:color="auto"/>
                  </w:tcBorders>
                </w:tcPr>
                <w:p w14:paraId="3F6EA1D8" w14:textId="7AF0A4CB" w:rsidR="00153A6B" w:rsidRPr="00D2099E" w:rsidRDefault="00117B3E" w:rsidP="007A005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957" w:type="pct"/>
                  <w:tcBorders>
                    <w:top w:val="single" w:sz="12" w:space="0" w:color="auto"/>
                    <w:bottom w:val="single" w:sz="12" w:space="0" w:color="auto"/>
                  </w:tcBorders>
                </w:tcPr>
                <w:p w14:paraId="430B08E9" w14:textId="2C02DE5E" w:rsidR="00153A6B" w:rsidRPr="00D2099E" w:rsidRDefault="00B01553"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773,311</w:t>
                  </w:r>
                </w:p>
              </w:tc>
              <w:tc>
                <w:tcPr>
                  <w:tcW w:w="11" w:type="pct"/>
                  <w:tcBorders>
                    <w:top w:val="single" w:sz="12" w:space="0" w:color="auto"/>
                    <w:bottom w:val="single" w:sz="12" w:space="0" w:color="auto"/>
                  </w:tcBorders>
                  <w:shd w:val="clear" w:color="auto" w:fill="auto"/>
                </w:tcPr>
                <w:p w14:paraId="6DD29268" w14:textId="492C4976" w:rsidR="00153A6B" w:rsidRPr="00D2099E" w:rsidRDefault="00153A6B" w:rsidP="007A0050">
                  <w:pPr>
                    <w:spacing w:after="0" w:line="240" w:lineRule="auto"/>
                    <w:jc w:val="both"/>
                    <w:rPr>
                      <w:rFonts w:ascii="Times New Roman" w:eastAsia="Times New Roman" w:hAnsi="Times New Roman" w:cs="Times New Roman"/>
                      <w:sz w:val="20"/>
                      <w:szCs w:val="20"/>
                      <w:lang w:val="en-US"/>
                    </w:rPr>
                  </w:pPr>
                </w:p>
              </w:tc>
            </w:tr>
          </w:tbl>
          <w:p w14:paraId="2BBD6DFC" w14:textId="1C12E418" w:rsidR="007A0050" w:rsidRPr="00D2099E" w:rsidRDefault="007A0050" w:rsidP="000158CA">
            <w:pPr>
              <w:spacing w:after="0" w:line="240" w:lineRule="auto"/>
              <w:jc w:val="both"/>
              <w:rPr>
                <w:rFonts w:ascii="Times New Roman" w:eastAsia="Times New Roman" w:hAnsi="Times New Roman" w:cs="Times New Roman"/>
                <w:b/>
                <w:bCs/>
                <w:sz w:val="20"/>
                <w:szCs w:val="20"/>
                <w:lang w:val="en-US"/>
              </w:rPr>
            </w:pPr>
          </w:p>
        </w:tc>
      </w:tr>
    </w:tbl>
    <w:p w14:paraId="5920565E" w14:textId="5B6AD46C" w:rsidR="00276FC5" w:rsidRDefault="00276FC5" w:rsidP="00D2099E">
      <w:pPr>
        <w:spacing w:after="0" w:line="240" w:lineRule="auto"/>
        <w:ind w:left="360"/>
        <w:jc w:val="both"/>
        <w:rPr>
          <w:rFonts w:ascii="Times New Roman" w:eastAsia="Times New Roman" w:hAnsi="Times New Roman" w:cs="Times New Roman"/>
          <w:sz w:val="20"/>
          <w:szCs w:val="20"/>
          <w:lang w:val="en-US"/>
        </w:rPr>
      </w:pPr>
    </w:p>
    <w:tbl>
      <w:tblPr>
        <w:tblW w:w="4922" w:type="pct"/>
        <w:tblCellMar>
          <w:left w:w="0" w:type="dxa"/>
          <w:right w:w="0" w:type="dxa"/>
        </w:tblCellMar>
        <w:tblLook w:val="04A0" w:firstRow="1" w:lastRow="0" w:firstColumn="1" w:lastColumn="0" w:noHBand="0" w:noVBand="1"/>
      </w:tblPr>
      <w:tblGrid>
        <w:gridCol w:w="360"/>
        <w:gridCol w:w="8854"/>
      </w:tblGrid>
      <w:tr w:rsidR="00D2099E" w:rsidRPr="00D2099E" w14:paraId="3138A17B" w14:textId="77777777" w:rsidTr="00D33273">
        <w:tc>
          <w:tcPr>
            <w:tcW w:w="360" w:type="dxa"/>
            <w:hideMark/>
          </w:tcPr>
          <w:p w14:paraId="3698252F" w14:textId="79F3D012" w:rsidR="00D2099E" w:rsidRPr="00D2099E" w:rsidRDefault="00661C12"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5</w:t>
            </w:r>
            <w:r w:rsidR="00D2099E" w:rsidRPr="00D2099E">
              <w:rPr>
                <w:rFonts w:ascii="Times New Roman" w:eastAsia="Times New Roman" w:hAnsi="Times New Roman" w:cs="Times New Roman"/>
                <w:b/>
                <w:bCs/>
                <w:sz w:val="20"/>
                <w:szCs w:val="20"/>
                <w:lang w:val="en-US"/>
              </w:rPr>
              <w:t>.</w:t>
            </w:r>
          </w:p>
        </w:tc>
        <w:tc>
          <w:tcPr>
            <w:tcW w:w="8854" w:type="dxa"/>
            <w:hideMark/>
          </w:tcPr>
          <w:p w14:paraId="05D75731" w14:textId="7777777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Oil and Gas Properties</w:t>
            </w:r>
          </w:p>
        </w:tc>
      </w:tr>
    </w:tbl>
    <w:p w14:paraId="7C0CD67A" w14:textId="03EA4125" w:rsidR="008C3DE9" w:rsidRPr="00D2099E" w:rsidRDefault="008C3DE9" w:rsidP="00064A08">
      <w:pPr>
        <w:spacing w:after="0" w:line="240" w:lineRule="auto"/>
        <w:jc w:val="both"/>
        <w:rPr>
          <w:rFonts w:ascii="Times New Roman" w:eastAsia="Times New Roman" w:hAnsi="Times New Roman" w:cs="Times New Roman"/>
          <w:sz w:val="20"/>
          <w:szCs w:val="20"/>
          <w:lang w:val="en-US"/>
        </w:rPr>
      </w:pPr>
    </w:p>
    <w:tbl>
      <w:tblPr>
        <w:tblW w:w="7467" w:type="dxa"/>
        <w:tblInd w:w="426" w:type="dxa"/>
        <w:tblLook w:val="04A0" w:firstRow="1" w:lastRow="0" w:firstColumn="1" w:lastColumn="0" w:noHBand="0" w:noVBand="1"/>
      </w:tblPr>
      <w:tblGrid>
        <w:gridCol w:w="2551"/>
        <w:gridCol w:w="316"/>
        <w:gridCol w:w="1417"/>
        <w:gridCol w:w="316"/>
        <w:gridCol w:w="1275"/>
        <w:gridCol w:w="316"/>
        <w:gridCol w:w="1276"/>
      </w:tblGrid>
      <w:tr w:rsidR="000F4262" w:rsidRPr="008C02F0" w14:paraId="30E3C502" w14:textId="77777777" w:rsidTr="001958E2">
        <w:trPr>
          <w:trHeight w:val="270"/>
        </w:trPr>
        <w:tc>
          <w:tcPr>
            <w:tcW w:w="2551" w:type="dxa"/>
            <w:tcBorders>
              <w:top w:val="single" w:sz="8" w:space="0" w:color="auto"/>
              <w:left w:val="nil"/>
              <w:bottom w:val="single" w:sz="8" w:space="0" w:color="auto"/>
              <w:right w:val="nil"/>
            </w:tcBorders>
            <w:shd w:val="clear" w:color="auto" w:fill="auto"/>
            <w:noWrap/>
            <w:vAlign w:val="bottom"/>
            <w:hideMark/>
          </w:tcPr>
          <w:p w14:paraId="7AD793B6"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w:t>
            </w:r>
          </w:p>
        </w:tc>
        <w:tc>
          <w:tcPr>
            <w:tcW w:w="316" w:type="dxa"/>
            <w:tcBorders>
              <w:top w:val="single" w:sz="8" w:space="0" w:color="auto"/>
              <w:left w:val="nil"/>
              <w:bottom w:val="single" w:sz="8" w:space="0" w:color="auto"/>
              <w:right w:val="nil"/>
            </w:tcBorders>
            <w:shd w:val="clear" w:color="auto" w:fill="auto"/>
            <w:noWrap/>
            <w:vAlign w:val="bottom"/>
            <w:hideMark/>
          </w:tcPr>
          <w:p w14:paraId="3B4AA407"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w:t>
            </w:r>
          </w:p>
        </w:tc>
        <w:tc>
          <w:tcPr>
            <w:tcW w:w="1417" w:type="dxa"/>
            <w:tcBorders>
              <w:top w:val="single" w:sz="8" w:space="0" w:color="auto"/>
              <w:left w:val="nil"/>
              <w:bottom w:val="single" w:sz="8" w:space="0" w:color="auto"/>
              <w:right w:val="nil"/>
            </w:tcBorders>
            <w:shd w:val="clear" w:color="auto" w:fill="auto"/>
            <w:noWrap/>
            <w:vAlign w:val="bottom"/>
            <w:hideMark/>
          </w:tcPr>
          <w:p w14:paraId="39838493" w14:textId="77777777" w:rsidR="000F4262" w:rsidRPr="008C02F0" w:rsidRDefault="000F4262" w:rsidP="00F80521">
            <w:pPr>
              <w:spacing w:after="0" w:line="240" w:lineRule="auto"/>
              <w:jc w:val="right"/>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SASB</w:t>
            </w:r>
          </w:p>
        </w:tc>
        <w:tc>
          <w:tcPr>
            <w:tcW w:w="316" w:type="dxa"/>
            <w:tcBorders>
              <w:top w:val="single" w:sz="8" w:space="0" w:color="auto"/>
              <w:left w:val="nil"/>
              <w:bottom w:val="single" w:sz="8" w:space="0" w:color="auto"/>
              <w:right w:val="nil"/>
            </w:tcBorders>
            <w:shd w:val="clear" w:color="auto" w:fill="auto"/>
            <w:noWrap/>
            <w:vAlign w:val="bottom"/>
            <w:hideMark/>
          </w:tcPr>
          <w:p w14:paraId="0581C1B0"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w:t>
            </w:r>
          </w:p>
        </w:tc>
        <w:tc>
          <w:tcPr>
            <w:tcW w:w="1275" w:type="dxa"/>
            <w:tcBorders>
              <w:top w:val="single" w:sz="8" w:space="0" w:color="auto"/>
              <w:left w:val="nil"/>
              <w:bottom w:val="single" w:sz="8" w:space="0" w:color="auto"/>
              <w:right w:val="nil"/>
            </w:tcBorders>
            <w:shd w:val="clear" w:color="auto" w:fill="auto"/>
            <w:noWrap/>
            <w:vAlign w:val="bottom"/>
            <w:hideMark/>
          </w:tcPr>
          <w:p w14:paraId="5DF03EF3" w14:textId="77777777" w:rsidR="000F4262" w:rsidRPr="008C02F0" w:rsidRDefault="000F4262" w:rsidP="00F80521">
            <w:pPr>
              <w:spacing w:after="0" w:line="240" w:lineRule="auto"/>
              <w:jc w:val="right"/>
              <w:rPr>
                <w:rFonts w:ascii="Times New Roman" w:eastAsia="Times New Roman" w:hAnsi="Times New Roman" w:cs="Times New Roman"/>
                <w:b/>
                <w:bCs/>
                <w:sz w:val="20"/>
                <w:szCs w:val="20"/>
                <w:lang w:eastAsia="zh-CN"/>
              </w:rPr>
            </w:pPr>
            <w:proofErr w:type="spellStart"/>
            <w:r w:rsidRPr="008C02F0">
              <w:rPr>
                <w:rFonts w:ascii="Times New Roman" w:eastAsia="Times New Roman" w:hAnsi="Times New Roman" w:cs="Times New Roman"/>
                <w:b/>
                <w:bCs/>
                <w:sz w:val="20"/>
                <w:szCs w:val="20"/>
                <w:lang w:eastAsia="zh-CN"/>
              </w:rPr>
              <w:t>Cendere</w:t>
            </w:r>
            <w:proofErr w:type="spellEnd"/>
            <w:r w:rsidRPr="008C02F0">
              <w:rPr>
                <w:rFonts w:ascii="Times New Roman" w:eastAsia="Times New Roman" w:hAnsi="Times New Roman" w:cs="Times New Roman"/>
                <w:b/>
                <w:bCs/>
                <w:sz w:val="20"/>
                <w:szCs w:val="20"/>
                <w:lang w:eastAsia="zh-CN"/>
              </w:rPr>
              <w:t xml:space="preserve"> </w:t>
            </w:r>
          </w:p>
        </w:tc>
        <w:tc>
          <w:tcPr>
            <w:tcW w:w="316" w:type="dxa"/>
            <w:tcBorders>
              <w:top w:val="single" w:sz="8" w:space="0" w:color="auto"/>
              <w:left w:val="nil"/>
              <w:bottom w:val="single" w:sz="8" w:space="0" w:color="auto"/>
              <w:right w:val="nil"/>
            </w:tcBorders>
            <w:shd w:val="clear" w:color="auto" w:fill="auto"/>
            <w:noWrap/>
            <w:vAlign w:val="bottom"/>
            <w:hideMark/>
          </w:tcPr>
          <w:p w14:paraId="64ABCB17"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w:t>
            </w:r>
          </w:p>
        </w:tc>
        <w:tc>
          <w:tcPr>
            <w:tcW w:w="1276" w:type="dxa"/>
            <w:tcBorders>
              <w:top w:val="single" w:sz="8" w:space="0" w:color="auto"/>
              <w:left w:val="nil"/>
              <w:bottom w:val="single" w:sz="8" w:space="0" w:color="auto"/>
              <w:right w:val="nil"/>
            </w:tcBorders>
            <w:shd w:val="clear" w:color="auto" w:fill="auto"/>
            <w:noWrap/>
            <w:vAlign w:val="bottom"/>
            <w:hideMark/>
          </w:tcPr>
          <w:p w14:paraId="2D9B10E4" w14:textId="77777777" w:rsidR="000F4262" w:rsidRPr="008C02F0" w:rsidRDefault="000F4262" w:rsidP="00F80521">
            <w:pPr>
              <w:spacing w:after="0" w:line="240" w:lineRule="auto"/>
              <w:jc w:val="right"/>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 xml:space="preserve">Total </w:t>
            </w:r>
          </w:p>
        </w:tc>
      </w:tr>
      <w:tr w:rsidR="000F4262" w:rsidRPr="008C02F0" w14:paraId="295F3039" w14:textId="77777777" w:rsidTr="001958E2">
        <w:trPr>
          <w:trHeight w:val="255"/>
        </w:trPr>
        <w:tc>
          <w:tcPr>
            <w:tcW w:w="2551" w:type="dxa"/>
            <w:tcBorders>
              <w:top w:val="nil"/>
              <w:left w:val="nil"/>
              <w:bottom w:val="nil"/>
              <w:right w:val="nil"/>
            </w:tcBorders>
            <w:shd w:val="clear" w:color="auto" w:fill="auto"/>
            <w:noWrap/>
            <w:vAlign w:val="bottom"/>
            <w:hideMark/>
          </w:tcPr>
          <w:p w14:paraId="2D09B0D3" w14:textId="77777777" w:rsidR="000F4262" w:rsidRPr="008C02F0" w:rsidRDefault="000F4262" w:rsidP="00F80521">
            <w:pPr>
              <w:spacing w:after="0" w:line="240" w:lineRule="auto"/>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December 31, 2020</w:t>
            </w:r>
          </w:p>
        </w:tc>
        <w:tc>
          <w:tcPr>
            <w:tcW w:w="316" w:type="dxa"/>
            <w:tcBorders>
              <w:top w:val="nil"/>
              <w:left w:val="nil"/>
              <w:bottom w:val="nil"/>
              <w:right w:val="nil"/>
            </w:tcBorders>
            <w:shd w:val="clear" w:color="auto" w:fill="auto"/>
            <w:noWrap/>
            <w:vAlign w:val="bottom"/>
            <w:hideMark/>
          </w:tcPr>
          <w:p w14:paraId="67D152FC" w14:textId="77777777" w:rsidR="000F4262" w:rsidRPr="008C02F0" w:rsidRDefault="000F4262" w:rsidP="00F80521">
            <w:pPr>
              <w:spacing w:after="0" w:line="240" w:lineRule="auto"/>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w:t>
            </w:r>
          </w:p>
        </w:tc>
        <w:tc>
          <w:tcPr>
            <w:tcW w:w="1417" w:type="dxa"/>
            <w:tcBorders>
              <w:top w:val="nil"/>
              <w:left w:val="nil"/>
              <w:bottom w:val="nil"/>
              <w:right w:val="nil"/>
            </w:tcBorders>
            <w:shd w:val="clear" w:color="auto" w:fill="auto"/>
            <w:noWrap/>
            <w:vAlign w:val="bottom"/>
            <w:hideMark/>
          </w:tcPr>
          <w:p w14:paraId="6469808F" w14:textId="77777777" w:rsidR="000F4262" w:rsidRPr="008C02F0" w:rsidRDefault="000F4262" w:rsidP="00F80521">
            <w:pPr>
              <w:spacing w:after="0" w:line="240" w:lineRule="auto"/>
              <w:jc w:val="right"/>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 xml:space="preserve">      1,236,954 </w:t>
            </w:r>
          </w:p>
        </w:tc>
        <w:tc>
          <w:tcPr>
            <w:tcW w:w="316" w:type="dxa"/>
            <w:tcBorders>
              <w:top w:val="nil"/>
              <w:left w:val="nil"/>
              <w:bottom w:val="nil"/>
              <w:right w:val="nil"/>
            </w:tcBorders>
            <w:shd w:val="clear" w:color="auto" w:fill="auto"/>
            <w:noWrap/>
            <w:vAlign w:val="bottom"/>
            <w:hideMark/>
          </w:tcPr>
          <w:p w14:paraId="3E75E72F" w14:textId="77777777" w:rsidR="000F4262" w:rsidRPr="008C02F0" w:rsidRDefault="000F4262" w:rsidP="00F80521">
            <w:pPr>
              <w:spacing w:after="0" w:line="240" w:lineRule="auto"/>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w:t>
            </w:r>
          </w:p>
        </w:tc>
        <w:tc>
          <w:tcPr>
            <w:tcW w:w="1275" w:type="dxa"/>
            <w:tcBorders>
              <w:top w:val="nil"/>
              <w:left w:val="nil"/>
              <w:bottom w:val="nil"/>
              <w:right w:val="nil"/>
            </w:tcBorders>
            <w:shd w:val="clear" w:color="auto" w:fill="auto"/>
            <w:noWrap/>
            <w:vAlign w:val="bottom"/>
            <w:hideMark/>
          </w:tcPr>
          <w:p w14:paraId="4C32CBDE" w14:textId="77777777" w:rsidR="000F4262" w:rsidRPr="008C02F0" w:rsidRDefault="000F4262" w:rsidP="00F80521">
            <w:pPr>
              <w:spacing w:after="0" w:line="240" w:lineRule="auto"/>
              <w:jc w:val="right"/>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 xml:space="preserve">      987,519 </w:t>
            </w:r>
          </w:p>
        </w:tc>
        <w:tc>
          <w:tcPr>
            <w:tcW w:w="316" w:type="dxa"/>
            <w:tcBorders>
              <w:top w:val="nil"/>
              <w:left w:val="nil"/>
              <w:bottom w:val="nil"/>
              <w:right w:val="nil"/>
            </w:tcBorders>
            <w:shd w:val="clear" w:color="auto" w:fill="auto"/>
            <w:noWrap/>
            <w:vAlign w:val="bottom"/>
            <w:hideMark/>
          </w:tcPr>
          <w:p w14:paraId="53C3DCAA" w14:textId="77777777" w:rsidR="000F4262" w:rsidRPr="008C02F0" w:rsidRDefault="000F4262" w:rsidP="00F80521">
            <w:pPr>
              <w:spacing w:after="0" w:line="240" w:lineRule="auto"/>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w:t>
            </w:r>
          </w:p>
        </w:tc>
        <w:tc>
          <w:tcPr>
            <w:tcW w:w="1276" w:type="dxa"/>
            <w:tcBorders>
              <w:top w:val="nil"/>
              <w:left w:val="nil"/>
              <w:bottom w:val="nil"/>
              <w:right w:val="nil"/>
            </w:tcBorders>
            <w:shd w:val="clear" w:color="auto" w:fill="auto"/>
            <w:noWrap/>
            <w:vAlign w:val="bottom"/>
            <w:hideMark/>
          </w:tcPr>
          <w:p w14:paraId="1BF53782" w14:textId="77777777" w:rsidR="000F4262" w:rsidRPr="008C02F0" w:rsidRDefault="000F4262" w:rsidP="00F80521">
            <w:pPr>
              <w:spacing w:after="0" w:line="240" w:lineRule="auto"/>
              <w:jc w:val="right"/>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 xml:space="preserve"> 2,224,473 </w:t>
            </w:r>
          </w:p>
        </w:tc>
      </w:tr>
      <w:tr w:rsidR="000F4262" w:rsidRPr="008C02F0" w14:paraId="57D29785" w14:textId="77777777" w:rsidTr="001958E2">
        <w:trPr>
          <w:trHeight w:val="255"/>
        </w:trPr>
        <w:tc>
          <w:tcPr>
            <w:tcW w:w="2551" w:type="dxa"/>
            <w:tcBorders>
              <w:top w:val="nil"/>
              <w:left w:val="nil"/>
              <w:bottom w:val="nil"/>
              <w:right w:val="nil"/>
            </w:tcBorders>
            <w:shd w:val="clear" w:color="auto" w:fill="auto"/>
            <w:noWrap/>
            <w:vAlign w:val="bottom"/>
            <w:hideMark/>
          </w:tcPr>
          <w:p w14:paraId="43C9C4D0"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Expenditures</w:t>
            </w:r>
          </w:p>
        </w:tc>
        <w:tc>
          <w:tcPr>
            <w:tcW w:w="316" w:type="dxa"/>
            <w:tcBorders>
              <w:top w:val="nil"/>
              <w:left w:val="nil"/>
              <w:bottom w:val="nil"/>
              <w:right w:val="nil"/>
            </w:tcBorders>
            <w:shd w:val="clear" w:color="auto" w:fill="auto"/>
            <w:noWrap/>
            <w:vAlign w:val="bottom"/>
            <w:hideMark/>
          </w:tcPr>
          <w:p w14:paraId="2E902BB1"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417" w:type="dxa"/>
            <w:tcBorders>
              <w:top w:val="nil"/>
              <w:left w:val="nil"/>
              <w:bottom w:val="nil"/>
              <w:right w:val="nil"/>
            </w:tcBorders>
            <w:shd w:val="clear" w:color="auto" w:fill="auto"/>
            <w:noWrap/>
            <w:vAlign w:val="bottom"/>
            <w:hideMark/>
          </w:tcPr>
          <w:p w14:paraId="6BE8EDC1"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66,122 </w:t>
            </w:r>
          </w:p>
        </w:tc>
        <w:tc>
          <w:tcPr>
            <w:tcW w:w="316" w:type="dxa"/>
            <w:tcBorders>
              <w:top w:val="nil"/>
              <w:left w:val="nil"/>
              <w:bottom w:val="nil"/>
              <w:right w:val="nil"/>
            </w:tcBorders>
            <w:shd w:val="clear" w:color="auto" w:fill="auto"/>
            <w:noWrap/>
            <w:vAlign w:val="bottom"/>
            <w:hideMark/>
          </w:tcPr>
          <w:p w14:paraId="61F5F7C0"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14:paraId="342E7DA8"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   </w:t>
            </w:r>
          </w:p>
        </w:tc>
        <w:tc>
          <w:tcPr>
            <w:tcW w:w="316" w:type="dxa"/>
            <w:tcBorders>
              <w:top w:val="nil"/>
              <w:left w:val="nil"/>
              <w:bottom w:val="nil"/>
              <w:right w:val="nil"/>
            </w:tcBorders>
            <w:shd w:val="clear" w:color="auto" w:fill="auto"/>
            <w:noWrap/>
            <w:vAlign w:val="bottom"/>
            <w:hideMark/>
          </w:tcPr>
          <w:p w14:paraId="76976800"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276" w:type="dxa"/>
            <w:tcBorders>
              <w:top w:val="nil"/>
              <w:left w:val="nil"/>
              <w:bottom w:val="nil"/>
              <w:right w:val="nil"/>
            </w:tcBorders>
            <w:shd w:val="clear" w:color="auto" w:fill="auto"/>
            <w:noWrap/>
            <w:vAlign w:val="bottom"/>
            <w:hideMark/>
          </w:tcPr>
          <w:p w14:paraId="297DBD44"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66,122 </w:t>
            </w:r>
          </w:p>
        </w:tc>
      </w:tr>
      <w:tr w:rsidR="000F4262" w:rsidRPr="008C02F0" w14:paraId="19A91E54" w14:textId="77777777" w:rsidTr="001958E2">
        <w:trPr>
          <w:trHeight w:val="255"/>
        </w:trPr>
        <w:tc>
          <w:tcPr>
            <w:tcW w:w="2551" w:type="dxa"/>
            <w:tcBorders>
              <w:top w:val="nil"/>
              <w:left w:val="nil"/>
              <w:bottom w:val="nil"/>
              <w:right w:val="nil"/>
            </w:tcBorders>
            <w:shd w:val="clear" w:color="auto" w:fill="auto"/>
            <w:noWrap/>
            <w:vAlign w:val="bottom"/>
            <w:hideMark/>
          </w:tcPr>
          <w:p w14:paraId="450B9D89"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Depletion </w:t>
            </w:r>
          </w:p>
        </w:tc>
        <w:tc>
          <w:tcPr>
            <w:tcW w:w="316" w:type="dxa"/>
            <w:tcBorders>
              <w:top w:val="nil"/>
              <w:left w:val="nil"/>
              <w:bottom w:val="nil"/>
              <w:right w:val="nil"/>
            </w:tcBorders>
            <w:shd w:val="clear" w:color="auto" w:fill="auto"/>
            <w:noWrap/>
            <w:vAlign w:val="bottom"/>
            <w:hideMark/>
          </w:tcPr>
          <w:p w14:paraId="69A770E6"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417" w:type="dxa"/>
            <w:tcBorders>
              <w:top w:val="nil"/>
              <w:left w:val="nil"/>
              <w:bottom w:val="nil"/>
              <w:right w:val="nil"/>
            </w:tcBorders>
            <w:shd w:val="clear" w:color="auto" w:fill="auto"/>
            <w:noWrap/>
            <w:vAlign w:val="bottom"/>
            <w:hideMark/>
          </w:tcPr>
          <w:p w14:paraId="57A3297B"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(188,446)</w:t>
            </w:r>
          </w:p>
        </w:tc>
        <w:tc>
          <w:tcPr>
            <w:tcW w:w="316" w:type="dxa"/>
            <w:tcBorders>
              <w:top w:val="nil"/>
              <w:left w:val="nil"/>
              <w:bottom w:val="nil"/>
              <w:right w:val="nil"/>
            </w:tcBorders>
            <w:shd w:val="clear" w:color="auto" w:fill="auto"/>
            <w:noWrap/>
            <w:vAlign w:val="bottom"/>
            <w:hideMark/>
          </w:tcPr>
          <w:p w14:paraId="297B2C2D"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14:paraId="755A81AD"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(227,240)</w:t>
            </w:r>
          </w:p>
        </w:tc>
        <w:tc>
          <w:tcPr>
            <w:tcW w:w="316" w:type="dxa"/>
            <w:tcBorders>
              <w:top w:val="nil"/>
              <w:left w:val="nil"/>
              <w:bottom w:val="nil"/>
              <w:right w:val="nil"/>
            </w:tcBorders>
            <w:shd w:val="clear" w:color="auto" w:fill="auto"/>
            <w:noWrap/>
            <w:vAlign w:val="bottom"/>
            <w:hideMark/>
          </w:tcPr>
          <w:p w14:paraId="2C2DC70E"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276" w:type="dxa"/>
            <w:tcBorders>
              <w:top w:val="nil"/>
              <w:left w:val="nil"/>
              <w:bottom w:val="nil"/>
              <w:right w:val="nil"/>
            </w:tcBorders>
            <w:shd w:val="clear" w:color="auto" w:fill="auto"/>
            <w:noWrap/>
            <w:vAlign w:val="bottom"/>
            <w:hideMark/>
          </w:tcPr>
          <w:p w14:paraId="733A2BA4"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(415,686)</w:t>
            </w:r>
          </w:p>
        </w:tc>
      </w:tr>
      <w:tr w:rsidR="000F4262" w:rsidRPr="008C02F0" w14:paraId="4EE2BF3E" w14:textId="77777777" w:rsidTr="001958E2">
        <w:trPr>
          <w:trHeight w:val="255"/>
        </w:trPr>
        <w:tc>
          <w:tcPr>
            <w:tcW w:w="2551" w:type="dxa"/>
            <w:tcBorders>
              <w:top w:val="nil"/>
              <w:left w:val="nil"/>
              <w:bottom w:val="nil"/>
              <w:right w:val="nil"/>
            </w:tcBorders>
            <w:shd w:val="clear" w:color="auto" w:fill="auto"/>
            <w:noWrap/>
            <w:vAlign w:val="bottom"/>
            <w:hideMark/>
          </w:tcPr>
          <w:p w14:paraId="07FD37CA"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Change in </w:t>
            </w:r>
            <w:r>
              <w:rPr>
                <w:rFonts w:ascii="Times New Roman" w:eastAsia="Times New Roman" w:hAnsi="Times New Roman" w:cs="Times New Roman"/>
                <w:sz w:val="20"/>
                <w:szCs w:val="20"/>
                <w:lang w:eastAsia="zh-CN"/>
              </w:rPr>
              <w:t xml:space="preserve">ARO </w:t>
            </w:r>
            <w:r w:rsidRPr="008C02F0">
              <w:rPr>
                <w:rFonts w:ascii="Times New Roman" w:eastAsia="Times New Roman" w:hAnsi="Times New Roman" w:cs="Times New Roman"/>
                <w:sz w:val="20"/>
                <w:szCs w:val="20"/>
                <w:lang w:eastAsia="zh-CN"/>
              </w:rPr>
              <w:t>estimate</w:t>
            </w:r>
          </w:p>
        </w:tc>
        <w:tc>
          <w:tcPr>
            <w:tcW w:w="316" w:type="dxa"/>
            <w:tcBorders>
              <w:top w:val="nil"/>
              <w:left w:val="nil"/>
              <w:bottom w:val="nil"/>
              <w:right w:val="nil"/>
            </w:tcBorders>
            <w:shd w:val="clear" w:color="auto" w:fill="auto"/>
            <w:noWrap/>
            <w:vAlign w:val="bottom"/>
            <w:hideMark/>
          </w:tcPr>
          <w:p w14:paraId="1851E780"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417" w:type="dxa"/>
            <w:tcBorders>
              <w:top w:val="nil"/>
              <w:left w:val="nil"/>
              <w:bottom w:val="single" w:sz="4" w:space="0" w:color="auto"/>
              <w:right w:val="nil"/>
            </w:tcBorders>
            <w:shd w:val="clear" w:color="auto" w:fill="auto"/>
            <w:noWrap/>
            <w:vAlign w:val="bottom"/>
            <w:hideMark/>
          </w:tcPr>
          <w:p w14:paraId="192AC5EF"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(459,601)</w:t>
            </w:r>
          </w:p>
        </w:tc>
        <w:tc>
          <w:tcPr>
            <w:tcW w:w="316" w:type="dxa"/>
            <w:tcBorders>
              <w:top w:val="nil"/>
              <w:left w:val="nil"/>
              <w:bottom w:val="nil"/>
              <w:right w:val="nil"/>
            </w:tcBorders>
            <w:shd w:val="clear" w:color="auto" w:fill="auto"/>
            <w:noWrap/>
            <w:vAlign w:val="bottom"/>
            <w:hideMark/>
          </w:tcPr>
          <w:p w14:paraId="18F830A7"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275" w:type="dxa"/>
            <w:tcBorders>
              <w:top w:val="nil"/>
              <w:left w:val="nil"/>
              <w:bottom w:val="single" w:sz="4" w:space="0" w:color="auto"/>
              <w:right w:val="nil"/>
            </w:tcBorders>
            <w:shd w:val="clear" w:color="auto" w:fill="auto"/>
            <w:noWrap/>
            <w:vAlign w:val="bottom"/>
            <w:hideMark/>
          </w:tcPr>
          <w:p w14:paraId="046F2D72"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5,305 </w:t>
            </w:r>
          </w:p>
        </w:tc>
        <w:tc>
          <w:tcPr>
            <w:tcW w:w="316" w:type="dxa"/>
            <w:tcBorders>
              <w:top w:val="nil"/>
              <w:left w:val="nil"/>
              <w:bottom w:val="nil"/>
              <w:right w:val="nil"/>
            </w:tcBorders>
            <w:shd w:val="clear" w:color="auto" w:fill="auto"/>
            <w:noWrap/>
            <w:vAlign w:val="bottom"/>
            <w:hideMark/>
          </w:tcPr>
          <w:p w14:paraId="382F196C"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276" w:type="dxa"/>
            <w:tcBorders>
              <w:top w:val="nil"/>
              <w:left w:val="nil"/>
              <w:bottom w:val="single" w:sz="4" w:space="0" w:color="auto"/>
              <w:right w:val="nil"/>
            </w:tcBorders>
            <w:shd w:val="clear" w:color="auto" w:fill="auto"/>
            <w:noWrap/>
            <w:vAlign w:val="bottom"/>
            <w:hideMark/>
          </w:tcPr>
          <w:p w14:paraId="01EF281E" w14:textId="77777777" w:rsidR="000F4262" w:rsidRPr="008C02F0" w:rsidRDefault="000F4262" w:rsidP="00F80521">
            <w:pPr>
              <w:spacing w:after="0" w:line="240" w:lineRule="auto"/>
              <w:jc w:val="right"/>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 (454,296)</w:t>
            </w:r>
          </w:p>
        </w:tc>
      </w:tr>
      <w:tr w:rsidR="000F4262" w:rsidRPr="008C02F0" w14:paraId="552205FB" w14:textId="77777777" w:rsidTr="001958E2">
        <w:trPr>
          <w:trHeight w:val="255"/>
        </w:trPr>
        <w:tc>
          <w:tcPr>
            <w:tcW w:w="2551" w:type="dxa"/>
            <w:tcBorders>
              <w:top w:val="nil"/>
              <w:left w:val="nil"/>
              <w:bottom w:val="nil"/>
              <w:right w:val="nil"/>
            </w:tcBorders>
            <w:shd w:val="clear" w:color="auto" w:fill="auto"/>
            <w:noWrap/>
            <w:vAlign w:val="bottom"/>
            <w:hideMark/>
          </w:tcPr>
          <w:p w14:paraId="6BCF9E24" w14:textId="77777777" w:rsidR="000F4262" w:rsidRPr="008C02F0" w:rsidRDefault="000F4262" w:rsidP="00F80521">
            <w:pPr>
              <w:spacing w:after="0" w:line="240" w:lineRule="auto"/>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December 31, 2021</w:t>
            </w:r>
          </w:p>
        </w:tc>
        <w:tc>
          <w:tcPr>
            <w:tcW w:w="316" w:type="dxa"/>
            <w:tcBorders>
              <w:top w:val="nil"/>
              <w:left w:val="nil"/>
              <w:bottom w:val="nil"/>
              <w:right w:val="nil"/>
            </w:tcBorders>
            <w:shd w:val="clear" w:color="auto" w:fill="auto"/>
            <w:noWrap/>
            <w:vAlign w:val="bottom"/>
            <w:hideMark/>
          </w:tcPr>
          <w:p w14:paraId="16F2BC26" w14:textId="77777777" w:rsidR="000F4262" w:rsidRPr="008C02F0" w:rsidRDefault="000F4262" w:rsidP="00F80521">
            <w:pPr>
              <w:spacing w:after="0" w:line="240" w:lineRule="auto"/>
              <w:rPr>
                <w:rFonts w:ascii="Times New Roman" w:eastAsia="Times New Roman" w:hAnsi="Times New Roman" w:cs="Times New Roman"/>
                <w:b/>
                <w:bCs/>
                <w:sz w:val="20"/>
                <w:szCs w:val="20"/>
                <w:lang w:eastAsia="zh-CN"/>
              </w:rPr>
            </w:pPr>
          </w:p>
        </w:tc>
        <w:tc>
          <w:tcPr>
            <w:tcW w:w="1417" w:type="dxa"/>
            <w:tcBorders>
              <w:top w:val="nil"/>
              <w:left w:val="nil"/>
              <w:bottom w:val="nil"/>
              <w:right w:val="nil"/>
            </w:tcBorders>
            <w:shd w:val="clear" w:color="auto" w:fill="auto"/>
            <w:noWrap/>
            <w:vAlign w:val="bottom"/>
            <w:hideMark/>
          </w:tcPr>
          <w:p w14:paraId="7928B506" w14:textId="77777777" w:rsidR="000F4262" w:rsidRPr="0095250E" w:rsidRDefault="000F4262" w:rsidP="00F80521">
            <w:pPr>
              <w:spacing w:after="0" w:line="240" w:lineRule="auto"/>
              <w:jc w:val="right"/>
              <w:rPr>
                <w:rFonts w:ascii="Times New Roman" w:eastAsia="Times New Roman" w:hAnsi="Times New Roman" w:cs="Times New Roman"/>
                <w:b/>
                <w:bCs/>
                <w:sz w:val="20"/>
                <w:szCs w:val="20"/>
                <w:lang w:eastAsia="zh-CN"/>
              </w:rPr>
            </w:pPr>
            <w:r w:rsidRPr="0095250E">
              <w:rPr>
                <w:rFonts w:ascii="Times New Roman" w:eastAsia="Times New Roman" w:hAnsi="Times New Roman" w:cs="Times New Roman"/>
                <w:b/>
                <w:bCs/>
                <w:sz w:val="20"/>
                <w:szCs w:val="20"/>
                <w:lang w:eastAsia="zh-CN"/>
              </w:rPr>
              <w:t xml:space="preserve">         655,029 </w:t>
            </w:r>
          </w:p>
        </w:tc>
        <w:tc>
          <w:tcPr>
            <w:tcW w:w="316" w:type="dxa"/>
            <w:tcBorders>
              <w:top w:val="nil"/>
              <w:left w:val="nil"/>
              <w:bottom w:val="nil"/>
              <w:right w:val="nil"/>
            </w:tcBorders>
            <w:shd w:val="clear" w:color="auto" w:fill="auto"/>
            <w:noWrap/>
            <w:vAlign w:val="bottom"/>
            <w:hideMark/>
          </w:tcPr>
          <w:p w14:paraId="29B5A25D" w14:textId="77777777" w:rsidR="000F4262" w:rsidRPr="0095250E" w:rsidRDefault="000F4262" w:rsidP="00F80521">
            <w:pPr>
              <w:spacing w:after="0" w:line="240" w:lineRule="auto"/>
              <w:rPr>
                <w:rFonts w:ascii="Times New Roman" w:eastAsia="Times New Roman" w:hAnsi="Times New Roman" w:cs="Times New Roman"/>
                <w:b/>
                <w:bCs/>
                <w:sz w:val="20"/>
                <w:szCs w:val="20"/>
                <w:lang w:eastAsia="zh-CN"/>
              </w:rPr>
            </w:pPr>
          </w:p>
        </w:tc>
        <w:tc>
          <w:tcPr>
            <w:tcW w:w="1275" w:type="dxa"/>
            <w:tcBorders>
              <w:top w:val="nil"/>
              <w:left w:val="nil"/>
              <w:bottom w:val="nil"/>
              <w:right w:val="nil"/>
            </w:tcBorders>
            <w:shd w:val="clear" w:color="auto" w:fill="auto"/>
            <w:noWrap/>
            <w:vAlign w:val="bottom"/>
            <w:hideMark/>
          </w:tcPr>
          <w:p w14:paraId="382294F0" w14:textId="77777777" w:rsidR="000F4262" w:rsidRPr="0095250E" w:rsidRDefault="000F4262" w:rsidP="00F80521">
            <w:pPr>
              <w:spacing w:after="0" w:line="240" w:lineRule="auto"/>
              <w:jc w:val="right"/>
              <w:rPr>
                <w:rFonts w:ascii="Times New Roman" w:eastAsia="Times New Roman" w:hAnsi="Times New Roman" w:cs="Times New Roman"/>
                <w:b/>
                <w:bCs/>
                <w:sz w:val="20"/>
                <w:szCs w:val="20"/>
                <w:lang w:eastAsia="zh-CN"/>
              </w:rPr>
            </w:pPr>
            <w:r w:rsidRPr="0095250E">
              <w:rPr>
                <w:rFonts w:ascii="Times New Roman" w:eastAsia="Times New Roman" w:hAnsi="Times New Roman" w:cs="Times New Roman"/>
                <w:b/>
                <w:bCs/>
                <w:sz w:val="20"/>
                <w:szCs w:val="20"/>
                <w:lang w:eastAsia="zh-CN"/>
              </w:rPr>
              <w:t xml:space="preserve">      765,584 </w:t>
            </w:r>
          </w:p>
        </w:tc>
        <w:tc>
          <w:tcPr>
            <w:tcW w:w="316" w:type="dxa"/>
            <w:tcBorders>
              <w:top w:val="nil"/>
              <w:left w:val="nil"/>
              <w:bottom w:val="nil"/>
              <w:right w:val="nil"/>
            </w:tcBorders>
            <w:shd w:val="clear" w:color="auto" w:fill="auto"/>
            <w:noWrap/>
            <w:vAlign w:val="bottom"/>
            <w:hideMark/>
          </w:tcPr>
          <w:p w14:paraId="21B89C26" w14:textId="77777777" w:rsidR="000F4262" w:rsidRPr="0095250E" w:rsidRDefault="000F4262" w:rsidP="00F80521">
            <w:pPr>
              <w:spacing w:after="0" w:line="240" w:lineRule="auto"/>
              <w:rPr>
                <w:rFonts w:ascii="Times New Roman" w:eastAsia="Times New Roman" w:hAnsi="Times New Roman" w:cs="Times New Roman"/>
                <w:b/>
                <w:bCs/>
                <w:sz w:val="20"/>
                <w:szCs w:val="20"/>
                <w:lang w:eastAsia="zh-CN"/>
              </w:rPr>
            </w:pPr>
          </w:p>
        </w:tc>
        <w:tc>
          <w:tcPr>
            <w:tcW w:w="1276" w:type="dxa"/>
            <w:tcBorders>
              <w:top w:val="nil"/>
              <w:left w:val="nil"/>
              <w:bottom w:val="nil"/>
              <w:right w:val="nil"/>
            </w:tcBorders>
            <w:shd w:val="clear" w:color="auto" w:fill="auto"/>
            <w:noWrap/>
            <w:vAlign w:val="bottom"/>
            <w:hideMark/>
          </w:tcPr>
          <w:p w14:paraId="424B12EE" w14:textId="77777777" w:rsidR="000F4262" w:rsidRPr="0095250E" w:rsidRDefault="000F4262" w:rsidP="00F80521">
            <w:pPr>
              <w:spacing w:after="0" w:line="240" w:lineRule="auto"/>
              <w:jc w:val="right"/>
              <w:rPr>
                <w:rFonts w:ascii="Times New Roman" w:eastAsia="Times New Roman" w:hAnsi="Times New Roman" w:cs="Times New Roman"/>
                <w:b/>
                <w:bCs/>
                <w:sz w:val="20"/>
                <w:szCs w:val="20"/>
                <w:lang w:eastAsia="zh-CN"/>
              </w:rPr>
            </w:pPr>
            <w:r w:rsidRPr="0095250E">
              <w:rPr>
                <w:rFonts w:ascii="Times New Roman" w:eastAsia="Times New Roman" w:hAnsi="Times New Roman" w:cs="Times New Roman"/>
                <w:b/>
                <w:bCs/>
                <w:sz w:val="20"/>
                <w:szCs w:val="20"/>
                <w:lang w:eastAsia="zh-CN"/>
              </w:rPr>
              <w:t xml:space="preserve"> 1,420,613 </w:t>
            </w:r>
          </w:p>
        </w:tc>
      </w:tr>
      <w:tr w:rsidR="000F4262" w:rsidRPr="008C02F0" w14:paraId="3BE98E70" w14:textId="77777777" w:rsidTr="001958E2">
        <w:trPr>
          <w:trHeight w:val="255"/>
        </w:trPr>
        <w:tc>
          <w:tcPr>
            <w:tcW w:w="2551" w:type="dxa"/>
            <w:tcBorders>
              <w:top w:val="nil"/>
              <w:left w:val="nil"/>
              <w:bottom w:val="nil"/>
              <w:right w:val="nil"/>
            </w:tcBorders>
            <w:shd w:val="clear" w:color="auto" w:fill="auto"/>
            <w:noWrap/>
            <w:vAlign w:val="bottom"/>
            <w:hideMark/>
          </w:tcPr>
          <w:p w14:paraId="67FE5F80"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Depletion </w:t>
            </w:r>
          </w:p>
        </w:tc>
        <w:tc>
          <w:tcPr>
            <w:tcW w:w="316" w:type="dxa"/>
            <w:tcBorders>
              <w:top w:val="nil"/>
              <w:left w:val="nil"/>
              <w:bottom w:val="nil"/>
              <w:right w:val="nil"/>
            </w:tcBorders>
            <w:shd w:val="clear" w:color="auto" w:fill="auto"/>
            <w:noWrap/>
            <w:vAlign w:val="bottom"/>
            <w:hideMark/>
          </w:tcPr>
          <w:p w14:paraId="24A2A7D0"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417" w:type="dxa"/>
            <w:tcBorders>
              <w:top w:val="nil"/>
              <w:left w:val="nil"/>
              <w:bottom w:val="nil"/>
              <w:right w:val="nil"/>
            </w:tcBorders>
            <w:shd w:val="clear" w:color="auto" w:fill="auto"/>
            <w:noWrap/>
            <w:vAlign w:val="bottom"/>
            <w:hideMark/>
          </w:tcPr>
          <w:p w14:paraId="0F0CA923" w14:textId="77777777" w:rsidR="000F4262" w:rsidRPr="00064A08" w:rsidRDefault="000F4262" w:rsidP="00F80521">
            <w:pPr>
              <w:spacing w:after="0" w:line="240" w:lineRule="auto"/>
              <w:jc w:val="right"/>
              <w:rPr>
                <w:rFonts w:ascii="Times New Roman" w:eastAsia="Times New Roman" w:hAnsi="Times New Roman" w:cs="Times New Roman"/>
                <w:sz w:val="20"/>
                <w:szCs w:val="20"/>
                <w:lang w:eastAsia="zh-CN"/>
              </w:rPr>
            </w:pPr>
            <w:r w:rsidRPr="00064A08">
              <w:rPr>
                <w:rFonts w:ascii="Times New Roman" w:eastAsia="Times New Roman" w:hAnsi="Times New Roman" w:cs="Times New Roman"/>
                <w:sz w:val="20"/>
                <w:szCs w:val="20"/>
                <w:lang w:eastAsia="zh-CN"/>
              </w:rPr>
              <w:t xml:space="preserve">         (56,416)</w:t>
            </w:r>
          </w:p>
        </w:tc>
        <w:tc>
          <w:tcPr>
            <w:tcW w:w="316" w:type="dxa"/>
            <w:tcBorders>
              <w:top w:val="nil"/>
              <w:left w:val="nil"/>
              <w:bottom w:val="nil"/>
              <w:right w:val="nil"/>
            </w:tcBorders>
            <w:shd w:val="clear" w:color="auto" w:fill="auto"/>
            <w:noWrap/>
            <w:vAlign w:val="bottom"/>
            <w:hideMark/>
          </w:tcPr>
          <w:p w14:paraId="73C15DA2" w14:textId="77777777" w:rsidR="000F4262" w:rsidRPr="00064A08" w:rsidRDefault="000F4262" w:rsidP="00F80521">
            <w:pPr>
              <w:spacing w:after="0" w:line="240" w:lineRule="auto"/>
              <w:rPr>
                <w:rFonts w:ascii="Times New Roman" w:eastAsia="Times New Roman" w:hAnsi="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14:paraId="5C31F959" w14:textId="77777777" w:rsidR="000F4262" w:rsidRPr="00064A08" w:rsidRDefault="000F4262" w:rsidP="00F80521">
            <w:pPr>
              <w:spacing w:after="0" w:line="240" w:lineRule="auto"/>
              <w:jc w:val="right"/>
              <w:rPr>
                <w:rFonts w:ascii="Times New Roman" w:eastAsia="Times New Roman" w:hAnsi="Times New Roman" w:cs="Times New Roman"/>
                <w:sz w:val="20"/>
                <w:szCs w:val="20"/>
                <w:lang w:eastAsia="zh-CN"/>
              </w:rPr>
            </w:pPr>
            <w:r w:rsidRPr="00064A08">
              <w:rPr>
                <w:rFonts w:ascii="Times New Roman" w:eastAsia="Times New Roman" w:hAnsi="Times New Roman" w:cs="Times New Roman"/>
                <w:sz w:val="20"/>
                <w:szCs w:val="20"/>
                <w:lang w:eastAsia="zh-CN"/>
              </w:rPr>
              <w:t xml:space="preserve">     (92,457)</w:t>
            </w:r>
          </w:p>
        </w:tc>
        <w:tc>
          <w:tcPr>
            <w:tcW w:w="316" w:type="dxa"/>
            <w:tcBorders>
              <w:top w:val="nil"/>
              <w:left w:val="nil"/>
              <w:bottom w:val="nil"/>
              <w:right w:val="nil"/>
            </w:tcBorders>
            <w:shd w:val="clear" w:color="auto" w:fill="auto"/>
            <w:noWrap/>
            <w:vAlign w:val="bottom"/>
            <w:hideMark/>
          </w:tcPr>
          <w:p w14:paraId="0437C1F3" w14:textId="77777777" w:rsidR="000F4262" w:rsidRPr="00064A08" w:rsidRDefault="000F4262" w:rsidP="00F80521">
            <w:pPr>
              <w:spacing w:after="0" w:line="240" w:lineRule="auto"/>
              <w:rPr>
                <w:rFonts w:ascii="Times New Roman" w:eastAsia="Times New Roman" w:hAnsi="Times New Roman" w:cs="Times New Roman"/>
                <w:sz w:val="20"/>
                <w:szCs w:val="20"/>
                <w:lang w:eastAsia="zh-CN"/>
              </w:rPr>
            </w:pPr>
          </w:p>
        </w:tc>
        <w:tc>
          <w:tcPr>
            <w:tcW w:w="1276" w:type="dxa"/>
            <w:tcBorders>
              <w:top w:val="nil"/>
              <w:left w:val="nil"/>
              <w:bottom w:val="nil"/>
              <w:right w:val="nil"/>
            </w:tcBorders>
            <w:shd w:val="clear" w:color="auto" w:fill="auto"/>
            <w:noWrap/>
            <w:vAlign w:val="bottom"/>
            <w:hideMark/>
          </w:tcPr>
          <w:p w14:paraId="6A1828FE" w14:textId="77777777" w:rsidR="000F4262" w:rsidRPr="00064A08" w:rsidRDefault="000F4262" w:rsidP="00F80521">
            <w:pPr>
              <w:spacing w:after="0" w:line="240" w:lineRule="auto"/>
              <w:jc w:val="right"/>
              <w:rPr>
                <w:rFonts w:ascii="Times New Roman" w:eastAsia="Times New Roman" w:hAnsi="Times New Roman" w:cs="Times New Roman"/>
                <w:sz w:val="20"/>
                <w:szCs w:val="20"/>
                <w:lang w:eastAsia="zh-CN"/>
              </w:rPr>
            </w:pPr>
            <w:r w:rsidRPr="00064A08">
              <w:rPr>
                <w:rFonts w:ascii="Times New Roman" w:eastAsia="Times New Roman" w:hAnsi="Times New Roman" w:cs="Times New Roman"/>
                <w:sz w:val="20"/>
                <w:szCs w:val="20"/>
                <w:lang w:eastAsia="zh-CN"/>
              </w:rPr>
              <w:t xml:space="preserve"> (148,873)</w:t>
            </w:r>
          </w:p>
        </w:tc>
      </w:tr>
      <w:tr w:rsidR="000F4262" w:rsidRPr="008C02F0" w14:paraId="3C64503E" w14:textId="77777777" w:rsidTr="001958E2">
        <w:trPr>
          <w:trHeight w:val="255"/>
        </w:trPr>
        <w:tc>
          <w:tcPr>
            <w:tcW w:w="2551" w:type="dxa"/>
            <w:tcBorders>
              <w:top w:val="nil"/>
              <w:left w:val="nil"/>
              <w:bottom w:val="nil"/>
              <w:right w:val="nil"/>
            </w:tcBorders>
            <w:shd w:val="clear" w:color="auto" w:fill="auto"/>
            <w:noWrap/>
            <w:vAlign w:val="bottom"/>
            <w:hideMark/>
          </w:tcPr>
          <w:p w14:paraId="0A0A2353"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r w:rsidRPr="008C02F0">
              <w:rPr>
                <w:rFonts w:ascii="Times New Roman" w:eastAsia="Times New Roman" w:hAnsi="Times New Roman" w:cs="Times New Roman"/>
                <w:sz w:val="20"/>
                <w:szCs w:val="20"/>
                <w:lang w:eastAsia="zh-CN"/>
              </w:rPr>
              <w:t xml:space="preserve">Change in </w:t>
            </w:r>
            <w:r>
              <w:rPr>
                <w:rFonts w:ascii="Times New Roman" w:eastAsia="Times New Roman" w:hAnsi="Times New Roman" w:cs="Times New Roman"/>
                <w:sz w:val="20"/>
                <w:szCs w:val="20"/>
                <w:lang w:eastAsia="zh-CN"/>
              </w:rPr>
              <w:t xml:space="preserve">ARO </w:t>
            </w:r>
            <w:r w:rsidRPr="008C02F0">
              <w:rPr>
                <w:rFonts w:ascii="Times New Roman" w:eastAsia="Times New Roman" w:hAnsi="Times New Roman" w:cs="Times New Roman"/>
                <w:sz w:val="20"/>
                <w:szCs w:val="20"/>
                <w:lang w:eastAsia="zh-CN"/>
              </w:rPr>
              <w:t>estimate</w:t>
            </w:r>
          </w:p>
        </w:tc>
        <w:tc>
          <w:tcPr>
            <w:tcW w:w="316" w:type="dxa"/>
            <w:tcBorders>
              <w:top w:val="nil"/>
              <w:left w:val="nil"/>
              <w:bottom w:val="nil"/>
              <w:right w:val="nil"/>
            </w:tcBorders>
            <w:shd w:val="clear" w:color="auto" w:fill="auto"/>
            <w:noWrap/>
            <w:vAlign w:val="bottom"/>
            <w:hideMark/>
          </w:tcPr>
          <w:p w14:paraId="41F9E950" w14:textId="77777777" w:rsidR="000F4262" w:rsidRPr="008C02F0" w:rsidRDefault="000F4262" w:rsidP="00F80521">
            <w:pPr>
              <w:spacing w:after="0" w:line="240" w:lineRule="auto"/>
              <w:rPr>
                <w:rFonts w:ascii="Times New Roman" w:eastAsia="Times New Roman" w:hAnsi="Times New Roman" w:cs="Times New Roman"/>
                <w:sz w:val="20"/>
                <w:szCs w:val="20"/>
                <w:lang w:eastAsia="zh-CN"/>
              </w:rPr>
            </w:pPr>
          </w:p>
        </w:tc>
        <w:tc>
          <w:tcPr>
            <w:tcW w:w="1417" w:type="dxa"/>
            <w:tcBorders>
              <w:top w:val="nil"/>
              <w:left w:val="nil"/>
              <w:bottom w:val="single" w:sz="4" w:space="0" w:color="auto"/>
              <w:right w:val="nil"/>
            </w:tcBorders>
            <w:shd w:val="clear" w:color="auto" w:fill="auto"/>
            <w:noWrap/>
            <w:vAlign w:val="bottom"/>
            <w:hideMark/>
          </w:tcPr>
          <w:p w14:paraId="2B788AD0" w14:textId="77777777" w:rsidR="000F4262" w:rsidRPr="00064A08" w:rsidRDefault="000F4262" w:rsidP="00F80521">
            <w:pPr>
              <w:spacing w:after="0" w:line="240" w:lineRule="auto"/>
              <w:jc w:val="right"/>
              <w:rPr>
                <w:rFonts w:ascii="Times New Roman" w:eastAsia="Times New Roman" w:hAnsi="Times New Roman" w:cs="Times New Roman"/>
                <w:sz w:val="20"/>
                <w:szCs w:val="20"/>
                <w:lang w:eastAsia="zh-CN"/>
              </w:rPr>
            </w:pPr>
            <w:r w:rsidRPr="00064A08">
              <w:rPr>
                <w:rFonts w:ascii="Times New Roman" w:eastAsia="Times New Roman" w:hAnsi="Times New Roman" w:cs="Times New Roman"/>
                <w:sz w:val="20"/>
                <w:szCs w:val="20"/>
                <w:lang w:eastAsia="zh-CN"/>
              </w:rPr>
              <w:t xml:space="preserve">       (638,818)</w:t>
            </w:r>
          </w:p>
        </w:tc>
        <w:tc>
          <w:tcPr>
            <w:tcW w:w="316" w:type="dxa"/>
            <w:tcBorders>
              <w:top w:val="nil"/>
              <w:left w:val="nil"/>
              <w:bottom w:val="nil"/>
              <w:right w:val="nil"/>
            </w:tcBorders>
            <w:shd w:val="clear" w:color="auto" w:fill="auto"/>
            <w:noWrap/>
            <w:vAlign w:val="bottom"/>
            <w:hideMark/>
          </w:tcPr>
          <w:p w14:paraId="4A7224DB" w14:textId="77777777" w:rsidR="000F4262" w:rsidRPr="00064A08" w:rsidRDefault="000F4262" w:rsidP="00F80521">
            <w:pPr>
              <w:spacing w:after="0" w:line="240" w:lineRule="auto"/>
              <w:rPr>
                <w:rFonts w:ascii="Times New Roman" w:eastAsia="Times New Roman" w:hAnsi="Times New Roman" w:cs="Times New Roman"/>
                <w:sz w:val="20"/>
                <w:szCs w:val="20"/>
                <w:lang w:eastAsia="zh-CN"/>
              </w:rPr>
            </w:pPr>
          </w:p>
        </w:tc>
        <w:tc>
          <w:tcPr>
            <w:tcW w:w="1275" w:type="dxa"/>
            <w:tcBorders>
              <w:top w:val="nil"/>
              <w:left w:val="nil"/>
              <w:bottom w:val="single" w:sz="4" w:space="0" w:color="auto"/>
              <w:right w:val="nil"/>
            </w:tcBorders>
            <w:shd w:val="clear" w:color="auto" w:fill="auto"/>
            <w:noWrap/>
            <w:vAlign w:val="bottom"/>
            <w:hideMark/>
          </w:tcPr>
          <w:p w14:paraId="17FCB07D" w14:textId="77777777" w:rsidR="000F4262" w:rsidRPr="00064A08" w:rsidRDefault="000F4262" w:rsidP="00F80521">
            <w:pPr>
              <w:spacing w:after="0" w:line="240" w:lineRule="auto"/>
              <w:jc w:val="right"/>
              <w:rPr>
                <w:rFonts w:ascii="Times New Roman" w:eastAsia="Times New Roman" w:hAnsi="Times New Roman" w:cs="Times New Roman"/>
                <w:sz w:val="20"/>
                <w:szCs w:val="20"/>
                <w:lang w:eastAsia="zh-CN"/>
              </w:rPr>
            </w:pPr>
            <w:r w:rsidRPr="00064A08">
              <w:rPr>
                <w:rFonts w:ascii="Times New Roman" w:eastAsia="Times New Roman" w:hAnsi="Times New Roman" w:cs="Times New Roman"/>
                <w:sz w:val="20"/>
                <w:szCs w:val="20"/>
                <w:lang w:eastAsia="zh-CN"/>
              </w:rPr>
              <w:t xml:space="preserve">        (5,562)</w:t>
            </w:r>
          </w:p>
        </w:tc>
        <w:tc>
          <w:tcPr>
            <w:tcW w:w="316" w:type="dxa"/>
            <w:tcBorders>
              <w:top w:val="nil"/>
              <w:left w:val="nil"/>
              <w:bottom w:val="nil"/>
              <w:right w:val="nil"/>
            </w:tcBorders>
            <w:shd w:val="clear" w:color="auto" w:fill="auto"/>
            <w:noWrap/>
            <w:vAlign w:val="bottom"/>
            <w:hideMark/>
          </w:tcPr>
          <w:p w14:paraId="540B7776" w14:textId="77777777" w:rsidR="000F4262" w:rsidRPr="00064A08" w:rsidRDefault="000F4262" w:rsidP="00F80521">
            <w:pPr>
              <w:spacing w:after="0" w:line="240" w:lineRule="auto"/>
              <w:rPr>
                <w:rFonts w:ascii="Times New Roman" w:eastAsia="Times New Roman" w:hAnsi="Times New Roman" w:cs="Times New Roman"/>
                <w:sz w:val="20"/>
                <w:szCs w:val="20"/>
                <w:lang w:eastAsia="zh-CN"/>
              </w:rPr>
            </w:pPr>
          </w:p>
        </w:tc>
        <w:tc>
          <w:tcPr>
            <w:tcW w:w="1276" w:type="dxa"/>
            <w:tcBorders>
              <w:top w:val="nil"/>
              <w:left w:val="nil"/>
              <w:bottom w:val="single" w:sz="4" w:space="0" w:color="auto"/>
              <w:right w:val="nil"/>
            </w:tcBorders>
            <w:shd w:val="clear" w:color="auto" w:fill="auto"/>
            <w:noWrap/>
            <w:vAlign w:val="bottom"/>
            <w:hideMark/>
          </w:tcPr>
          <w:p w14:paraId="56F2D1B7" w14:textId="77777777" w:rsidR="000F4262" w:rsidRPr="00064A08" w:rsidRDefault="000F4262" w:rsidP="00F80521">
            <w:pPr>
              <w:spacing w:after="0" w:line="240" w:lineRule="auto"/>
              <w:jc w:val="right"/>
              <w:rPr>
                <w:rFonts w:ascii="Times New Roman" w:eastAsia="Times New Roman" w:hAnsi="Times New Roman" w:cs="Times New Roman"/>
                <w:sz w:val="20"/>
                <w:szCs w:val="20"/>
                <w:lang w:eastAsia="zh-CN"/>
              </w:rPr>
            </w:pPr>
            <w:r w:rsidRPr="00064A08">
              <w:rPr>
                <w:rFonts w:ascii="Times New Roman" w:eastAsia="Times New Roman" w:hAnsi="Times New Roman" w:cs="Times New Roman"/>
                <w:sz w:val="20"/>
                <w:szCs w:val="20"/>
                <w:lang w:eastAsia="zh-CN"/>
              </w:rPr>
              <w:t xml:space="preserve"> (644,380)</w:t>
            </w:r>
          </w:p>
        </w:tc>
      </w:tr>
      <w:tr w:rsidR="000F4262" w:rsidRPr="008C02F0" w14:paraId="40103803" w14:textId="77777777" w:rsidTr="001958E2">
        <w:trPr>
          <w:trHeight w:val="270"/>
        </w:trPr>
        <w:tc>
          <w:tcPr>
            <w:tcW w:w="2551" w:type="dxa"/>
            <w:tcBorders>
              <w:top w:val="nil"/>
              <w:left w:val="nil"/>
              <w:bottom w:val="single" w:sz="8" w:space="0" w:color="auto"/>
              <w:right w:val="nil"/>
            </w:tcBorders>
            <w:shd w:val="clear" w:color="auto" w:fill="auto"/>
            <w:noWrap/>
            <w:vAlign w:val="bottom"/>
            <w:hideMark/>
          </w:tcPr>
          <w:p w14:paraId="6F67308A" w14:textId="77777777" w:rsidR="000F4262" w:rsidRPr="008C02F0" w:rsidRDefault="000F4262" w:rsidP="00F80521">
            <w:pPr>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June 30</w:t>
            </w:r>
            <w:r w:rsidRPr="008C02F0">
              <w:rPr>
                <w:rFonts w:ascii="Times New Roman" w:eastAsia="Times New Roman" w:hAnsi="Times New Roman" w:cs="Times New Roman"/>
                <w:b/>
                <w:bCs/>
                <w:sz w:val="20"/>
                <w:szCs w:val="20"/>
                <w:lang w:eastAsia="zh-CN"/>
              </w:rPr>
              <w:t>, 2022</w:t>
            </w:r>
          </w:p>
        </w:tc>
        <w:tc>
          <w:tcPr>
            <w:tcW w:w="316" w:type="dxa"/>
            <w:tcBorders>
              <w:top w:val="nil"/>
              <w:left w:val="nil"/>
              <w:bottom w:val="single" w:sz="8" w:space="0" w:color="auto"/>
              <w:right w:val="nil"/>
            </w:tcBorders>
            <w:shd w:val="clear" w:color="auto" w:fill="auto"/>
            <w:noWrap/>
            <w:vAlign w:val="bottom"/>
            <w:hideMark/>
          </w:tcPr>
          <w:p w14:paraId="64BE0C0D" w14:textId="77777777" w:rsidR="000F4262" w:rsidRPr="008C02F0" w:rsidRDefault="000F4262" w:rsidP="00F80521">
            <w:pPr>
              <w:spacing w:after="0" w:line="240" w:lineRule="auto"/>
              <w:rPr>
                <w:rFonts w:ascii="Times New Roman" w:eastAsia="Times New Roman" w:hAnsi="Times New Roman" w:cs="Times New Roman"/>
                <w:b/>
                <w:bCs/>
                <w:sz w:val="20"/>
                <w:szCs w:val="20"/>
                <w:lang w:eastAsia="zh-CN"/>
              </w:rPr>
            </w:pPr>
            <w:r w:rsidRPr="008C02F0">
              <w:rPr>
                <w:rFonts w:ascii="Times New Roman" w:eastAsia="Times New Roman" w:hAnsi="Times New Roman" w:cs="Times New Roman"/>
                <w:b/>
                <w:bCs/>
                <w:sz w:val="20"/>
                <w:szCs w:val="20"/>
                <w:lang w:eastAsia="zh-CN"/>
              </w:rPr>
              <w:t>$</w:t>
            </w:r>
          </w:p>
        </w:tc>
        <w:tc>
          <w:tcPr>
            <w:tcW w:w="1417" w:type="dxa"/>
            <w:tcBorders>
              <w:top w:val="nil"/>
              <w:left w:val="nil"/>
              <w:bottom w:val="single" w:sz="8" w:space="0" w:color="auto"/>
              <w:right w:val="nil"/>
            </w:tcBorders>
            <w:shd w:val="clear" w:color="auto" w:fill="auto"/>
            <w:noWrap/>
            <w:vAlign w:val="bottom"/>
            <w:hideMark/>
          </w:tcPr>
          <w:p w14:paraId="69E13A8B" w14:textId="77777777" w:rsidR="000F4262" w:rsidRPr="00064A08" w:rsidRDefault="000F4262" w:rsidP="00F80521">
            <w:pPr>
              <w:spacing w:after="0" w:line="240" w:lineRule="auto"/>
              <w:jc w:val="right"/>
              <w:rPr>
                <w:rFonts w:ascii="Times New Roman" w:eastAsia="Times New Roman" w:hAnsi="Times New Roman" w:cs="Times New Roman"/>
                <w:b/>
                <w:bCs/>
                <w:sz w:val="20"/>
                <w:szCs w:val="20"/>
                <w:lang w:eastAsia="zh-CN"/>
              </w:rPr>
            </w:pPr>
            <w:r w:rsidRPr="00064A08">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(40,205)</w:t>
            </w:r>
            <w:r w:rsidRPr="00064A08">
              <w:rPr>
                <w:rFonts w:ascii="Times New Roman" w:eastAsia="Times New Roman" w:hAnsi="Times New Roman" w:cs="Times New Roman"/>
                <w:b/>
                <w:bCs/>
                <w:sz w:val="20"/>
                <w:szCs w:val="20"/>
                <w:lang w:eastAsia="zh-CN"/>
              </w:rPr>
              <w:t xml:space="preserve"> </w:t>
            </w:r>
          </w:p>
        </w:tc>
        <w:tc>
          <w:tcPr>
            <w:tcW w:w="316" w:type="dxa"/>
            <w:tcBorders>
              <w:top w:val="nil"/>
              <w:left w:val="nil"/>
              <w:bottom w:val="single" w:sz="8" w:space="0" w:color="auto"/>
              <w:right w:val="nil"/>
            </w:tcBorders>
            <w:shd w:val="clear" w:color="auto" w:fill="auto"/>
            <w:noWrap/>
            <w:vAlign w:val="bottom"/>
            <w:hideMark/>
          </w:tcPr>
          <w:p w14:paraId="008FCEF3" w14:textId="77777777" w:rsidR="000F4262" w:rsidRPr="00064A08" w:rsidRDefault="000F4262" w:rsidP="00F80521">
            <w:pPr>
              <w:spacing w:after="0" w:line="240" w:lineRule="auto"/>
              <w:rPr>
                <w:rFonts w:ascii="Times New Roman" w:eastAsia="Times New Roman" w:hAnsi="Times New Roman" w:cs="Times New Roman"/>
                <w:b/>
                <w:bCs/>
                <w:sz w:val="20"/>
                <w:szCs w:val="20"/>
                <w:lang w:eastAsia="zh-CN"/>
              </w:rPr>
            </w:pPr>
            <w:r w:rsidRPr="00064A08">
              <w:rPr>
                <w:rFonts w:ascii="Times New Roman" w:eastAsia="Times New Roman" w:hAnsi="Times New Roman" w:cs="Times New Roman"/>
                <w:b/>
                <w:bCs/>
                <w:sz w:val="20"/>
                <w:szCs w:val="20"/>
                <w:lang w:eastAsia="zh-CN"/>
              </w:rPr>
              <w:t>$</w:t>
            </w:r>
          </w:p>
        </w:tc>
        <w:tc>
          <w:tcPr>
            <w:tcW w:w="1275" w:type="dxa"/>
            <w:tcBorders>
              <w:top w:val="nil"/>
              <w:left w:val="nil"/>
              <w:bottom w:val="single" w:sz="8" w:space="0" w:color="auto"/>
              <w:right w:val="nil"/>
            </w:tcBorders>
            <w:shd w:val="clear" w:color="auto" w:fill="auto"/>
            <w:noWrap/>
            <w:vAlign w:val="bottom"/>
            <w:hideMark/>
          </w:tcPr>
          <w:p w14:paraId="2802FBB3" w14:textId="77777777" w:rsidR="000F4262" w:rsidRPr="00064A08" w:rsidRDefault="000F4262" w:rsidP="00F80521">
            <w:pPr>
              <w:spacing w:after="0" w:line="240" w:lineRule="auto"/>
              <w:jc w:val="right"/>
              <w:rPr>
                <w:rFonts w:ascii="Times New Roman" w:eastAsia="Times New Roman" w:hAnsi="Times New Roman" w:cs="Times New Roman"/>
                <w:b/>
                <w:bCs/>
                <w:sz w:val="20"/>
                <w:szCs w:val="20"/>
                <w:lang w:eastAsia="zh-CN"/>
              </w:rPr>
            </w:pPr>
            <w:r w:rsidRPr="00064A08">
              <w:rPr>
                <w:rFonts w:ascii="Times New Roman" w:eastAsia="Times New Roman" w:hAnsi="Times New Roman" w:cs="Times New Roman"/>
                <w:b/>
                <w:bCs/>
                <w:sz w:val="20"/>
                <w:szCs w:val="20"/>
                <w:lang w:eastAsia="zh-CN"/>
              </w:rPr>
              <w:t xml:space="preserve">      667,565 </w:t>
            </w:r>
          </w:p>
        </w:tc>
        <w:tc>
          <w:tcPr>
            <w:tcW w:w="316" w:type="dxa"/>
            <w:tcBorders>
              <w:top w:val="nil"/>
              <w:left w:val="nil"/>
              <w:bottom w:val="single" w:sz="8" w:space="0" w:color="auto"/>
              <w:right w:val="nil"/>
            </w:tcBorders>
            <w:shd w:val="clear" w:color="auto" w:fill="auto"/>
            <w:noWrap/>
            <w:vAlign w:val="bottom"/>
            <w:hideMark/>
          </w:tcPr>
          <w:p w14:paraId="157EB715" w14:textId="77777777" w:rsidR="000F4262" w:rsidRPr="00064A08" w:rsidRDefault="000F4262" w:rsidP="00F80521">
            <w:pPr>
              <w:spacing w:after="0" w:line="240" w:lineRule="auto"/>
              <w:rPr>
                <w:rFonts w:ascii="Times New Roman" w:eastAsia="Times New Roman" w:hAnsi="Times New Roman" w:cs="Times New Roman"/>
                <w:b/>
                <w:bCs/>
                <w:sz w:val="20"/>
                <w:szCs w:val="20"/>
                <w:lang w:eastAsia="zh-CN"/>
              </w:rPr>
            </w:pPr>
            <w:r w:rsidRPr="00064A08">
              <w:rPr>
                <w:rFonts w:ascii="Times New Roman" w:eastAsia="Times New Roman" w:hAnsi="Times New Roman" w:cs="Times New Roman"/>
                <w:b/>
                <w:bCs/>
                <w:sz w:val="20"/>
                <w:szCs w:val="20"/>
                <w:lang w:eastAsia="zh-CN"/>
              </w:rPr>
              <w:t>$</w:t>
            </w:r>
          </w:p>
        </w:tc>
        <w:tc>
          <w:tcPr>
            <w:tcW w:w="1276" w:type="dxa"/>
            <w:tcBorders>
              <w:top w:val="nil"/>
              <w:left w:val="nil"/>
              <w:bottom w:val="single" w:sz="8" w:space="0" w:color="auto"/>
              <w:right w:val="nil"/>
            </w:tcBorders>
            <w:shd w:val="clear" w:color="auto" w:fill="auto"/>
            <w:noWrap/>
            <w:vAlign w:val="bottom"/>
            <w:hideMark/>
          </w:tcPr>
          <w:p w14:paraId="39425052" w14:textId="77777777" w:rsidR="000F4262" w:rsidRPr="00064A08" w:rsidRDefault="000F4262" w:rsidP="00F80521">
            <w:pPr>
              <w:spacing w:after="0" w:line="240" w:lineRule="auto"/>
              <w:jc w:val="right"/>
              <w:rPr>
                <w:rFonts w:ascii="Times New Roman" w:eastAsia="Times New Roman" w:hAnsi="Times New Roman" w:cs="Times New Roman"/>
                <w:b/>
                <w:bCs/>
                <w:sz w:val="20"/>
                <w:szCs w:val="20"/>
                <w:lang w:eastAsia="zh-CN"/>
              </w:rPr>
            </w:pPr>
            <w:r w:rsidRPr="00064A08">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627,360</w:t>
            </w:r>
            <w:r w:rsidRPr="00064A08">
              <w:rPr>
                <w:rFonts w:ascii="Times New Roman" w:eastAsia="Times New Roman" w:hAnsi="Times New Roman" w:cs="Times New Roman"/>
                <w:b/>
                <w:bCs/>
                <w:sz w:val="20"/>
                <w:szCs w:val="20"/>
                <w:lang w:eastAsia="zh-CN"/>
              </w:rPr>
              <w:t xml:space="preserve"> </w:t>
            </w:r>
          </w:p>
        </w:tc>
      </w:tr>
    </w:tbl>
    <w:p w14:paraId="30B5941E" w14:textId="5E910229"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p>
    <w:p w14:paraId="41001518"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b/>
          <w:bCs/>
          <w:sz w:val="20"/>
          <w:szCs w:val="20"/>
          <w:lang w:val="en-US"/>
        </w:rPr>
        <w:t>Turkey</w:t>
      </w:r>
    </w:p>
    <w:p w14:paraId="3B361D86"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2617756C" w14:textId="77777777"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proofErr w:type="spellStart"/>
      <w:r w:rsidRPr="00A50B5D">
        <w:rPr>
          <w:rFonts w:ascii="Times New Roman" w:eastAsia="Times New Roman" w:hAnsi="Times New Roman" w:cs="Times New Roman"/>
          <w:i/>
          <w:iCs/>
          <w:sz w:val="20"/>
          <w:szCs w:val="20"/>
          <w:lang w:val="en-US"/>
        </w:rPr>
        <w:t>Cendere</w:t>
      </w:r>
      <w:proofErr w:type="spellEnd"/>
      <w:r w:rsidRPr="00A50B5D">
        <w:rPr>
          <w:rFonts w:ascii="Times New Roman" w:eastAsia="Times New Roman" w:hAnsi="Times New Roman" w:cs="Times New Roman"/>
          <w:i/>
          <w:iCs/>
          <w:sz w:val="20"/>
          <w:szCs w:val="20"/>
          <w:lang w:val="en-US"/>
        </w:rPr>
        <w:t xml:space="preserve"> oil field</w:t>
      </w:r>
    </w:p>
    <w:p w14:paraId="6D007E9B" w14:textId="77777777"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w:t>
      </w:r>
    </w:p>
    <w:p w14:paraId="4706005C" w14:textId="67035301"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xml:space="preserve">The primary asset of PPE Turkey is the </w:t>
      </w:r>
      <w:proofErr w:type="spellStart"/>
      <w:r w:rsidRPr="00A50B5D">
        <w:rPr>
          <w:rFonts w:ascii="Times New Roman" w:eastAsia="Times New Roman" w:hAnsi="Times New Roman" w:cs="Times New Roman"/>
          <w:sz w:val="20"/>
          <w:szCs w:val="20"/>
          <w:lang w:val="en-US"/>
        </w:rPr>
        <w:t>Cendere</w:t>
      </w:r>
      <w:proofErr w:type="spellEnd"/>
      <w:r w:rsidRPr="00A50B5D">
        <w:rPr>
          <w:rFonts w:ascii="Times New Roman" w:eastAsia="Times New Roman" w:hAnsi="Times New Roman" w:cs="Times New Roman"/>
          <w:sz w:val="20"/>
          <w:szCs w:val="20"/>
          <w:lang w:val="en-US"/>
        </w:rPr>
        <w:t xml:space="preserve"> onshore oil field, which is </w:t>
      </w:r>
      <w:r w:rsidR="008F3F88">
        <w:rPr>
          <w:rFonts w:ascii="Times New Roman" w:eastAsia="Times New Roman" w:hAnsi="Times New Roman" w:cs="Times New Roman"/>
          <w:sz w:val="20"/>
          <w:szCs w:val="20"/>
          <w:lang w:val="en-US"/>
        </w:rPr>
        <w:t xml:space="preserve">located </w:t>
      </w:r>
      <w:r w:rsidRPr="00A50B5D">
        <w:rPr>
          <w:rFonts w:ascii="Times New Roman" w:eastAsia="Times New Roman" w:hAnsi="Times New Roman" w:cs="Times New Roman"/>
          <w:sz w:val="20"/>
          <w:szCs w:val="20"/>
          <w:lang w:val="en-US"/>
        </w:rPr>
        <w:t xml:space="preserve">in </w:t>
      </w:r>
      <w:proofErr w:type="gramStart"/>
      <w:r w:rsidRPr="00A50B5D">
        <w:rPr>
          <w:rFonts w:ascii="Times New Roman" w:eastAsia="Times New Roman" w:hAnsi="Times New Roman" w:cs="Times New Roman"/>
          <w:sz w:val="20"/>
          <w:szCs w:val="20"/>
          <w:lang w:val="en-US"/>
        </w:rPr>
        <w:t>South East</w:t>
      </w:r>
      <w:proofErr w:type="gramEnd"/>
      <w:r w:rsidRPr="00A50B5D">
        <w:rPr>
          <w:rFonts w:ascii="Times New Roman" w:eastAsia="Times New Roman" w:hAnsi="Times New Roman" w:cs="Times New Roman"/>
          <w:sz w:val="20"/>
          <w:szCs w:val="20"/>
          <w:lang w:val="en-US"/>
        </w:rPr>
        <w:t xml:space="preserve"> Turkey having a total of 25 wells. The </w:t>
      </w:r>
      <w:proofErr w:type="spellStart"/>
      <w:r w:rsidRPr="00A50B5D">
        <w:rPr>
          <w:rFonts w:ascii="Times New Roman" w:eastAsia="Times New Roman" w:hAnsi="Times New Roman" w:cs="Times New Roman"/>
          <w:sz w:val="20"/>
          <w:szCs w:val="20"/>
          <w:lang w:val="en-US"/>
        </w:rPr>
        <w:t>Cendere</w:t>
      </w:r>
      <w:proofErr w:type="spellEnd"/>
      <w:r w:rsidRPr="00A50B5D">
        <w:rPr>
          <w:rFonts w:ascii="Times New Roman" w:eastAsia="Times New Roman" w:hAnsi="Times New Roman" w:cs="Times New Roman"/>
          <w:sz w:val="20"/>
          <w:szCs w:val="20"/>
          <w:lang w:val="en-US"/>
        </w:rPr>
        <w:t xml:space="preserve"> Field was first discovered in 1988. Oil production commenced during 1990. The operator of the </w:t>
      </w:r>
      <w:proofErr w:type="spellStart"/>
      <w:r w:rsidRPr="00A50B5D">
        <w:rPr>
          <w:rFonts w:ascii="Times New Roman" w:eastAsia="Times New Roman" w:hAnsi="Times New Roman" w:cs="Times New Roman"/>
          <w:sz w:val="20"/>
          <w:szCs w:val="20"/>
          <w:lang w:val="en-US"/>
        </w:rPr>
        <w:t>Cendere</w:t>
      </w:r>
      <w:proofErr w:type="spellEnd"/>
      <w:r w:rsidRPr="00A50B5D">
        <w:rPr>
          <w:rFonts w:ascii="Times New Roman" w:eastAsia="Times New Roman" w:hAnsi="Times New Roman" w:cs="Times New Roman"/>
          <w:sz w:val="20"/>
          <w:szCs w:val="20"/>
          <w:lang w:val="en-US"/>
        </w:rPr>
        <w:t xml:space="preserve"> Field is TPAO. The Company’s interest is 19.6% for all wells except for wells C-13, C-</w:t>
      </w:r>
      <w:proofErr w:type="gramStart"/>
      <w:r w:rsidRPr="00A50B5D">
        <w:rPr>
          <w:rFonts w:ascii="Times New Roman" w:eastAsia="Times New Roman" w:hAnsi="Times New Roman" w:cs="Times New Roman"/>
          <w:sz w:val="20"/>
          <w:szCs w:val="20"/>
          <w:lang w:val="en-US"/>
        </w:rPr>
        <w:t>15</w:t>
      </w:r>
      <w:proofErr w:type="gramEnd"/>
      <w:r w:rsidRPr="00A50B5D">
        <w:rPr>
          <w:rFonts w:ascii="Times New Roman" w:eastAsia="Times New Roman" w:hAnsi="Times New Roman" w:cs="Times New Roman"/>
          <w:sz w:val="20"/>
          <w:szCs w:val="20"/>
          <w:lang w:val="en-US"/>
        </w:rPr>
        <w:t xml:space="preserve"> and C-16, for which its interest is 9.8%. The produced oil has a gravity of 27.5o API.</w:t>
      </w:r>
    </w:p>
    <w:p w14:paraId="4C48B398" w14:textId="77777777"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w:t>
      </w:r>
    </w:p>
    <w:p w14:paraId="1C1EB6D2" w14:textId="62E746A4"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xml:space="preserve">The </w:t>
      </w:r>
      <w:proofErr w:type="spellStart"/>
      <w:r w:rsidRPr="00A50B5D">
        <w:rPr>
          <w:rFonts w:ascii="Times New Roman" w:eastAsia="Times New Roman" w:hAnsi="Times New Roman" w:cs="Times New Roman"/>
          <w:sz w:val="20"/>
          <w:szCs w:val="20"/>
          <w:lang w:val="en-US"/>
        </w:rPr>
        <w:t>Cendere</w:t>
      </w:r>
      <w:proofErr w:type="spellEnd"/>
      <w:r w:rsidRPr="00A50B5D">
        <w:rPr>
          <w:rFonts w:ascii="Times New Roman" w:eastAsia="Times New Roman" w:hAnsi="Times New Roman" w:cs="Times New Roman"/>
          <w:sz w:val="20"/>
          <w:szCs w:val="20"/>
          <w:lang w:val="en-US"/>
        </w:rPr>
        <w:t xml:space="preserve"> Field is a long-term low decline oil reserve.</w:t>
      </w:r>
      <w:r w:rsidR="00D44CBB">
        <w:rPr>
          <w:rFonts w:ascii="Times New Roman" w:eastAsia="Times New Roman" w:hAnsi="Times New Roman" w:cs="Times New Roman"/>
          <w:sz w:val="20"/>
          <w:szCs w:val="20"/>
          <w:lang w:val="en-US"/>
        </w:rPr>
        <w:t xml:space="preserve"> </w:t>
      </w:r>
      <w:r w:rsidRPr="00A50B5D">
        <w:rPr>
          <w:rFonts w:ascii="Times New Roman" w:eastAsia="Times New Roman" w:hAnsi="Times New Roman" w:cs="Times New Roman"/>
          <w:sz w:val="20"/>
          <w:szCs w:val="20"/>
          <w:lang w:val="en-US"/>
        </w:rPr>
        <w:t xml:space="preserve">This mature oilfield consistently produces </w:t>
      </w:r>
      <w:r w:rsidR="00494B44">
        <w:rPr>
          <w:rFonts w:ascii="Times New Roman" w:eastAsia="Times New Roman" w:hAnsi="Times New Roman" w:cs="Times New Roman"/>
          <w:sz w:val="20"/>
          <w:szCs w:val="20"/>
          <w:lang w:val="en-US"/>
        </w:rPr>
        <w:t xml:space="preserve">between 80- 120 </w:t>
      </w:r>
      <w:r w:rsidRPr="00A50B5D">
        <w:rPr>
          <w:rFonts w:ascii="Times New Roman" w:eastAsia="Times New Roman" w:hAnsi="Times New Roman" w:cs="Times New Roman"/>
          <w:sz w:val="20"/>
          <w:szCs w:val="20"/>
          <w:lang w:val="en-US"/>
        </w:rPr>
        <w:t>barrels oil per day net to the Company.</w:t>
      </w:r>
    </w:p>
    <w:p w14:paraId="61585FA4" w14:textId="77777777"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w:t>
      </w:r>
    </w:p>
    <w:p w14:paraId="165F6087" w14:textId="5E5BCEB0" w:rsidR="007444C9" w:rsidRDefault="007444C9" w:rsidP="00D2099E">
      <w:pPr>
        <w:spacing w:after="0" w:line="240" w:lineRule="auto"/>
        <w:ind w:left="360"/>
        <w:jc w:val="both"/>
        <w:rPr>
          <w:rFonts w:ascii="Times New Roman" w:eastAsia="Times New Roman" w:hAnsi="Times New Roman" w:cs="Times New Roman"/>
          <w:sz w:val="20"/>
          <w:szCs w:val="20"/>
          <w:lang w:val="en-US"/>
        </w:rPr>
      </w:pPr>
    </w:p>
    <w:p w14:paraId="031528E2" w14:textId="13349DA8" w:rsidR="007F6E5D" w:rsidRDefault="007F6E5D" w:rsidP="00D2099E">
      <w:pPr>
        <w:spacing w:after="0" w:line="240" w:lineRule="auto"/>
        <w:ind w:left="360"/>
        <w:jc w:val="both"/>
        <w:rPr>
          <w:rFonts w:ascii="Times New Roman" w:eastAsia="Times New Roman" w:hAnsi="Times New Roman" w:cs="Times New Roman"/>
          <w:sz w:val="20"/>
          <w:szCs w:val="20"/>
          <w:lang w:val="en-US"/>
        </w:rPr>
      </w:pPr>
    </w:p>
    <w:p w14:paraId="6490E502" w14:textId="0CAF4EFB" w:rsidR="007F6E5D" w:rsidRDefault="007F6E5D" w:rsidP="00D2099E">
      <w:pPr>
        <w:spacing w:after="0" w:line="240" w:lineRule="auto"/>
        <w:ind w:left="360"/>
        <w:jc w:val="both"/>
        <w:rPr>
          <w:rFonts w:ascii="Times New Roman" w:eastAsia="Times New Roman" w:hAnsi="Times New Roman" w:cs="Times New Roman"/>
          <w:sz w:val="20"/>
          <w:szCs w:val="20"/>
          <w:lang w:val="en-US"/>
        </w:rPr>
      </w:pPr>
    </w:p>
    <w:p w14:paraId="3C75B6C5" w14:textId="425D6DE3" w:rsidR="007F6E5D" w:rsidRDefault="007F6E5D" w:rsidP="00D2099E">
      <w:pPr>
        <w:spacing w:after="0" w:line="240" w:lineRule="auto"/>
        <w:ind w:left="360"/>
        <w:jc w:val="both"/>
        <w:rPr>
          <w:rFonts w:ascii="Times New Roman" w:eastAsia="Times New Roman" w:hAnsi="Times New Roman" w:cs="Times New Roman"/>
          <w:sz w:val="20"/>
          <w:szCs w:val="20"/>
          <w:lang w:val="en-US"/>
        </w:rPr>
      </w:pPr>
    </w:p>
    <w:p w14:paraId="154D7A01" w14:textId="2C408866" w:rsidR="007F6E5D" w:rsidRDefault="007F6E5D" w:rsidP="00D2099E">
      <w:pPr>
        <w:spacing w:after="0" w:line="240" w:lineRule="auto"/>
        <w:ind w:left="360"/>
        <w:jc w:val="both"/>
        <w:rPr>
          <w:rFonts w:ascii="Times New Roman" w:eastAsia="Times New Roman" w:hAnsi="Times New Roman" w:cs="Times New Roman"/>
          <w:sz w:val="20"/>
          <w:szCs w:val="20"/>
          <w:lang w:val="en-US"/>
        </w:rPr>
      </w:pPr>
    </w:p>
    <w:p w14:paraId="42BD844D" w14:textId="77777777" w:rsidR="007F6E5D" w:rsidRDefault="007F6E5D" w:rsidP="00D2099E">
      <w:pPr>
        <w:spacing w:after="0" w:line="240" w:lineRule="auto"/>
        <w:ind w:left="360"/>
        <w:jc w:val="both"/>
        <w:rPr>
          <w:rFonts w:ascii="Times New Roman" w:eastAsia="Times New Roman" w:hAnsi="Times New Roman" w:cs="Times New Roman"/>
          <w:sz w:val="20"/>
          <w:szCs w:val="20"/>
          <w:lang w:val="en-US"/>
        </w:rPr>
      </w:pPr>
    </w:p>
    <w:p w14:paraId="1828F3D7" w14:textId="60DA0C63"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w:t>
      </w:r>
    </w:p>
    <w:p w14:paraId="281A2A87" w14:textId="05C4227A" w:rsidR="00806371" w:rsidRDefault="00806371" w:rsidP="00D2099E">
      <w:pPr>
        <w:spacing w:after="0" w:line="240" w:lineRule="auto"/>
        <w:ind w:left="360"/>
        <w:jc w:val="both"/>
        <w:rPr>
          <w:rFonts w:ascii="Times New Roman" w:eastAsia="Times New Roman" w:hAnsi="Times New Roman" w:cs="Times New Roman"/>
          <w:sz w:val="20"/>
          <w:szCs w:val="20"/>
          <w:lang w:val="en-US"/>
        </w:rPr>
      </w:pPr>
    </w:p>
    <w:p w14:paraId="506B4A2E" w14:textId="77777777" w:rsidR="00806371" w:rsidRDefault="00806371" w:rsidP="00D2099E">
      <w:pPr>
        <w:spacing w:after="0" w:line="240" w:lineRule="auto"/>
        <w:ind w:left="360"/>
        <w:jc w:val="both"/>
        <w:rPr>
          <w:rFonts w:ascii="Times New Roman" w:eastAsia="Times New Roman" w:hAnsi="Times New Roman" w:cs="Times New Roman"/>
          <w:sz w:val="20"/>
          <w:szCs w:val="20"/>
          <w:lang w:val="en-US"/>
        </w:rPr>
      </w:pPr>
    </w:p>
    <w:p w14:paraId="5F06840D" w14:textId="5C14E2E6" w:rsidR="00255E0A" w:rsidRDefault="00255E0A" w:rsidP="00D2099E">
      <w:pPr>
        <w:spacing w:after="0" w:line="240" w:lineRule="auto"/>
        <w:ind w:left="360"/>
        <w:jc w:val="both"/>
        <w:rPr>
          <w:rFonts w:ascii="Times New Roman" w:eastAsia="Times New Roman" w:hAnsi="Times New Roman" w:cs="Times New Roman"/>
          <w:sz w:val="20"/>
          <w:szCs w:val="20"/>
          <w:lang w:val="en-US"/>
        </w:rPr>
      </w:pPr>
    </w:p>
    <w:p w14:paraId="28518086" w14:textId="315735D1" w:rsidR="00255E0A" w:rsidRDefault="00255E0A" w:rsidP="00D2099E">
      <w:pPr>
        <w:spacing w:after="0" w:line="240" w:lineRule="auto"/>
        <w:ind w:left="360"/>
        <w:jc w:val="both"/>
        <w:rPr>
          <w:rFonts w:ascii="Times New Roman" w:eastAsia="Times New Roman" w:hAnsi="Times New Roman" w:cs="Times New Roman"/>
          <w:sz w:val="20"/>
          <w:szCs w:val="20"/>
          <w:lang w:val="en-US"/>
        </w:rPr>
      </w:pPr>
    </w:p>
    <w:tbl>
      <w:tblPr>
        <w:tblW w:w="4922" w:type="pct"/>
        <w:tblCellMar>
          <w:left w:w="0" w:type="dxa"/>
          <w:right w:w="0" w:type="dxa"/>
        </w:tblCellMar>
        <w:tblLook w:val="04A0" w:firstRow="1" w:lastRow="0" w:firstColumn="1" w:lastColumn="0" w:noHBand="0" w:noVBand="1"/>
      </w:tblPr>
      <w:tblGrid>
        <w:gridCol w:w="360"/>
        <w:gridCol w:w="8854"/>
      </w:tblGrid>
      <w:tr w:rsidR="00D61394" w:rsidRPr="00D2099E" w14:paraId="0892C71D" w14:textId="77777777" w:rsidTr="00AE52B2">
        <w:tc>
          <w:tcPr>
            <w:tcW w:w="360" w:type="dxa"/>
            <w:hideMark/>
          </w:tcPr>
          <w:p w14:paraId="0169396B" w14:textId="77777777" w:rsidR="00D61394" w:rsidRPr="00D2099E" w:rsidRDefault="00D61394"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5</w:t>
            </w:r>
            <w:r w:rsidRPr="00D2099E">
              <w:rPr>
                <w:rFonts w:ascii="Times New Roman" w:eastAsia="Times New Roman" w:hAnsi="Times New Roman" w:cs="Times New Roman"/>
                <w:b/>
                <w:bCs/>
                <w:sz w:val="20"/>
                <w:szCs w:val="20"/>
                <w:lang w:val="en-US"/>
              </w:rPr>
              <w:t>.</w:t>
            </w:r>
          </w:p>
        </w:tc>
        <w:tc>
          <w:tcPr>
            <w:tcW w:w="8854" w:type="dxa"/>
            <w:hideMark/>
          </w:tcPr>
          <w:p w14:paraId="3CCC66DB" w14:textId="488C24C8" w:rsidR="00D61394" w:rsidRPr="00D2099E" w:rsidRDefault="00D61394" w:rsidP="00AE52B2">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Oil and Gas Properties</w:t>
            </w:r>
            <w:r>
              <w:rPr>
                <w:rFonts w:ascii="Times New Roman" w:eastAsia="Times New Roman" w:hAnsi="Times New Roman" w:cs="Times New Roman"/>
                <w:b/>
                <w:bCs/>
                <w:sz w:val="20"/>
                <w:szCs w:val="20"/>
                <w:lang w:val="en-US"/>
              </w:rPr>
              <w:t xml:space="preserve"> (continued)</w:t>
            </w:r>
          </w:p>
        </w:tc>
      </w:tr>
    </w:tbl>
    <w:p w14:paraId="315340D3" w14:textId="77777777" w:rsidR="00D61394" w:rsidRDefault="00D61394" w:rsidP="00D2099E">
      <w:pPr>
        <w:spacing w:after="0" w:line="240" w:lineRule="auto"/>
        <w:ind w:left="360"/>
        <w:jc w:val="both"/>
        <w:rPr>
          <w:rFonts w:ascii="Times New Roman" w:eastAsia="Times New Roman" w:hAnsi="Times New Roman" w:cs="Times New Roman"/>
          <w:i/>
          <w:iCs/>
          <w:sz w:val="20"/>
          <w:szCs w:val="20"/>
          <w:lang w:val="en-US"/>
        </w:rPr>
      </w:pPr>
    </w:p>
    <w:p w14:paraId="761F47A2" w14:textId="42EDA156"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i/>
          <w:iCs/>
          <w:sz w:val="20"/>
          <w:szCs w:val="20"/>
          <w:lang w:val="en-US"/>
        </w:rPr>
        <w:t xml:space="preserve">The South </w:t>
      </w:r>
      <w:proofErr w:type="spellStart"/>
      <w:r w:rsidRPr="00A50B5D">
        <w:rPr>
          <w:rFonts w:ascii="Times New Roman" w:eastAsia="Times New Roman" w:hAnsi="Times New Roman" w:cs="Times New Roman"/>
          <w:i/>
          <w:iCs/>
          <w:sz w:val="20"/>
          <w:szCs w:val="20"/>
          <w:lang w:val="en-US"/>
        </w:rPr>
        <w:t>Akcakoca</w:t>
      </w:r>
      <w:proofErr w:type="spellEnd"/>
      <w:r w:rsidRPr="00A50B5D">
        <w:rPr>
          <w:rFonts w:ascii="Times New Roman" w:eastAsia="Times New Roman" w:hAnsi="Times New Roman" w:cs="Times New Roman"/>
          <w:i/>
          <w:iCs/>
          <w:sz w:val="20"/>
          <w:szCs w:val="20"/>
          <w:lang w:val="en-US"/>
        </w:rPr>
        <w:t xml:space="preserve"> Sub-Basin (“SASB”)</w:t>
      </w:r>
    </w:p>
    <w:p w14:paraId="290C0B76" w14:textId="77777777"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w:t>
      </w:r>
    </w:p>
    <w:p w14:paraId="4E208036" w14:textId="45EC2366"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xml:space="preserve">The Company owns offshore production licenses called the South </w:t>
      </w:r>
      <w:proofErr w:type="spellStart"/>
      <w:r w:rsidRPr="00A50B5D">
        <w:rPr>
          <w:rFonts w:ascii="Times New Roman" w:eastAsia="Times New Roman" w:hAnsi="Times New Roman" w:cs="Times New Roman"/>
          <w:sz w:val="20"/>
          <w:szCs w:val="20"/>
          <w:lang w:val="en-US"/>
        </w:rPr>
        <w:t>Akcakoca</w:t>
      </w:r>
      <w:proofErr w:type="spellEnd"/>
      <w:r w:rsidRPr="00A50B5D">
        <w:rPr>
          <w:rFonts w:ascii="Times New Roman" w:eastAsia="Times New Roman" w:hAnsi="Times New Roman" w:cs="Times New Roman"/>
          <w:sz w:val="20"/>
          <w:szCs w:val="20"/>
          <w:lang w:val="en-US"/>
        </w:rPr>
        <w:t xml:space="preserve"> Sub-Basin (“SASB”). The Company now </w:t>
      </w:r>
      <w:r w:rsidRPr="00031ED8">
        <w:rPr>
          <w:rFonts w:ascii="Times New Roman" w:eastAsia="Times New Roman" w:hAnsi="Times New Roman" w:cs="Times New Roman"/>
          <w:sz w:val="20"/>
          <w:szCs w:val="20"/>
          <w:lang w:val="en-US"/>
        </w:rPr>
        <w:t xml:space="preserve">owns a </w:t>
      </w:r>
      <w:r w:rsidRPr="00025355">
        <w:rPr>
          <w:rFonts w:ascii="Times New Roman" w:eastAsia="Times New Roman" w:hAnsi="Times New Roman" w:cs="Times New Roman"/>
          <w:sz w:val="20"/>
          <w:szCs w:val="20"/>
          <w:lang w:val="en-US"/>
        </w:rPr>
        <w:t>49%</w:t>
      </w:r>
      <w:r w:rsidRPr="00031ED8">
        <w:rPr>
          <w:rFonts w:ascii="Times New Roman" w:eastAsia="Times New Roman" w:hAnsi="Times New Roman" w:cs="Times New Roman"/>
          <w:sz w:val="20"/>
          <w:szCs w:val="20"/>
          <w:lang w:val="en-US"/>
        </w:rPr>
        <w:t xml:space="preserve"> working</w:t>
      </w:r>
      <w:r w:rsidRPr="00A50B5D">
        <w:rPr>
          <w:rFonts w:ascii="Times New Roman" w:eastAsia="Times New Roman" w:hAnsi="Times New Roman" w:cs="Times New Roman"/>
          <w:sz w:val="20"/>
          <w:szCs w:val="20"/>
          <w:lang w:val="en-US"/>
        </w:rPr>
        <w:t xml:space="preserve"> interest in SASB. SASB has four producing fields, each with a production platform plus subsea pipelines that connect the fields to an onshore gas plant. The four SASB fields are located off the north coast of Turkey towards the western end of the Black Sea in water depths ranging from 60 to100 meters. Gas is produced from Eocene age sandstone reservoirs at subsea depths ranging from 1,100 to1,800 meters.</w:t>
      </w:r>
      <w:r w:rsidR="004E1743">
        <w:rPr>
          <w:rFonts w:ascii="Times New Roman" w:eastAsia="Times New Roman" w:hAnsi="Times New Roman" w:cs="Times New Roman"/>
          <w:sz w:val="20"/>
          <w:szCs w:val="20"/>
          <w:lang w:val="en-US"/>
        </w:rPr>
        <w:t xml:space="preserve"> </w:t>
      </w:r>
    </w:p>
    <w:p w14:paraId="4FE3895C" w14:textId="77777777"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w:t>
      </w:r>
    </w:p>
    <w:p w14:paraId="67195DEB" w14:textId="77777777"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proofErr w:type="spellStart"/>
      <w:r w:rsidRPr="00A50B5D">
        <w:rPr>
          <w:rFonts w:ascii="Times New Roman" w:eastAsia="Times New Roman" w:hAnsi="Times New Roman" w:cs="Times New Roman"/>
          <w:i/>
          <w:iCs/>
          <w:sz w:val="20"/>
          <w:szCs w:val="20"/>
          <w:lang w:val="en-US"/>
        </w:rPr>
        <w:t>Bakuk</w:t>
      </w:r>
      <w:proofErr w:type="spellEnd"/>
      <w:r w:rsidRPr="00A50B5D">
        <w:rPr>
          <w:rFonts w:ascii="Times New Roman" w:eastAsia="Times New Roman" w:hAnsi="Times New Roman" w:cs="Times New Roman"/>
          <w:i/>
          <w:iCs/>
          <w:sz w:val="20"/>
          <w:szCs w:val="20"/>
          <w:lang w:val="en-US"/>
        </w:rPr>
        <w:t xml:space="preserve"> gas field</w:t>
      </w:r>
    </w:p>
    <w:p w14:paraId="5334F5DC" w14:textId="77777777" w:rsidR="00D2099E" w:rsidRPr="00A50B5D"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w:t>
      </w:r>
    </w:p>
    <w:p w14:paraId="31C8CB92" w14:textId="4CFDF524"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A50B5D">
        <w:rPr>
          <w:rFonts w:ascii="Times New Roman" w:eastAsia="Times New Roman" w:hAnsi="Times New Roman" w:cs="Times New Roman"/>
          <w:sz w:val="20"/>
          <w:szCs w:val="20"/>
          <w:lang w:val="en-US"/>
        </w:rPr>
        <w:t xml:space="preserve">The Company also owns a 50% operated interest in the </w:t>
      </w:r>
      <w:proofErr w:type="spellStart"/>
      <w:r w:rsidRPr="00A50B5D">
        <w:rPr>
          <w:rFonts w:ascii="Times New Roman" w:eastAsia="Times New Roman" w:hAnsi="Times New Roman" w:cs="Times New Roman"/>
          <w:sz w:val="20"/>
          <w:szCs w:val="20"/>
          <w:lang w:val="en-US"/>
        </w:rPr>
        <w:t>Bakuk</w:t>
      </w:r>
      <w:proofErr w:type="spellEnd"/>
      <w:r w:rsidRPr="00A50B5D">
        <w:rPr>
          <w:rFonts w:ascii="Times New Roman" w:eastAsia="Times New Roman" w:hAnsi="Times New Roman" w:cs="Times New Roman"/>
          <w:sz w:val="20"/>
          <w:szCs w:val="20"/>
          <w:lang w:val="en-US"/>
        </w:rPr>
        <w:t xml:space="preserve"> gas field located near the Syrian border. The </w:t>
      </w:r>
      <w:proofErr w:type="spellStart"/>
      <w:r w:rsidRPr="00A50B5D">
        <w:rPr>
          <w:rFonts w:ascii="Times New Roman" w:eastAsia="Times New Roman" w:hAnsi="Times New Roman" w:cs="Times New Roman"/>
          <w:sz w:val="20"/>
          <w:szCs w:val="20"/>
          <w:lang w:val="en-US"/>
        </w:rPr>
        <w:t>Bakuk</w:t>
      </w:r>
      <w:proofErr w:type="spellEnd"/>
      <w:r w:rsidRPr="00A50B5D">
        <w:rPr>
          <w:rFonts w:ascii="Times New Roman" w:eastAsia="Times New Roman" w:hAnsi="Times New Roman" w:cs="Times New Roman"/>
          <w:sz w:val="20"/>
          <w:szCs w:val="20"/>
          <w:lang w:val="en-US"/>
        </w:rPr>
        <w:t xml:space="preserve"> field is shut-in with no plans to revive production in the near term.</w:t>
      </w:r>
      <w:r w:rsidR="007444C9">
        <w:rPr>
          <w:rFonts w:ascii="Times New Roman" w:eastAsia="Times New Roman" w:hAnsi="Times New Roman" w:cs="Times New Roman"/>
          <w:sz w:val="20"/>
          <w:szCs w:val="20"/>
          <w:lang w:val="en-US"/>
        </w:rPr>
        <w:t xml:space="preserve"> </w:t>
      </w:r>
      <w:r w:rsidR="00A73D47">
        <w:rPr>
          <w:rFonts w:ascii="Times New Roman" w:eastAsia="Times New Roman" w:hAnsi="Times New Roman" w:cs="Times New Roman"/>
          <w:sz w:val="20"/>
          <w:szCs w:val="20"/>
          <w:lang w:val="en-US"/>
        </w:rPr>
        <w:t xml:space="preserve">The </w:t>
      </w:r>
      <w:r w:rsidR="007444C9">
        <w:rPr>
          <w:rFonts w:ascii="Times New Roman" w:eastAsia="Times New Roman" w:hAnsi="Times New Roman" w:cs="Times New Roman"/>
          <w:sz w:val="20"/>
          <w:szCs w:val="20"/>
          <w:lang w:val="en-US"/>
        </w:rPr>
        <w:t>property</w:t>
      </w:r>
      <w:r w:rsidR="00A73D47">
        <w:rPr>
          <w:rFonts w:ascii="Times New Roman" w:eastAsia="Times New Roman" w:hAnsi="Times New Roman" w:cs="Times New Roman"/>
          <w:sz w:val="20"/>
          <w:szCs w:val="20"/>
          <w:lang w:val="en-US"/>
        </w:rPr>
        <w:t xml:space="preserve"> was fully impaired as of</w:t>
      </w:r>
      <w:r w:rsidR="00641D40">
        <w:rPr>
          <w:rFonts w:ascii="Times New Roman" w:eastAsia="Times New Roman" w:hAnsi="Times New Roman" w:cs="Times New Roman"/>
          <w:sz w:val="20"/>
          <w:szCs w:val="20"/>
          <w:lang w:val="en-US"/>
        </w:rPr>
        <w:t xml:space="preserve"> the transition date to IFRS on</w:t>
      </w:r>
      <w:r w:rsidR="00A73D47">
        <w:rPr>
          <w:rFonts w:ascii="Times New Roman" w:eastAsia="Times New Roman" w:hAnsi="Times New Roman" w:cs="Times New Roman"/>
          <w:sz w:val="20"/>
          <w:szCs w:val="20"/>
          <w:lang w:val="en-US"/>
        </w:rPr>
        <w:t xml:space="preserve"> January 1, 2021.</w:t>
      </w:r>
    </w:p>
    <w:p w14:paraId="7F3660EC" w14:textId="6E2B5BED"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9000"/>
      </w:tblGrid>
      <w:tr w:rsidR="00857567" w:rsidRPr="00D2099E" w14:paraId="1A5BBADF" w14:textId="77777777" w:rsidTr="007F2074">
        <w:tc>
          <w:tcPr>
            <w:tcW w:w="360" w:type="dxa"/>
            <w:hideMark/>
          </w:tcPr>
          <w:p w14:paraId="04F930E3" w14:textId="30DEBFF9" w:rsidR="00857567" w:rsidRPr="00D2099E" w:rsidRDefault="001B2D33" w:rsidP="007F2074">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6</w:t>
            </w:r>
            <w:r w:rsidR="00857567" w:rsidRPr="00D2099E">
              <w:rPr>
                <w:rFonts w:ascii="Times New Roman" w:eastAsia="Times New Roman" w:hAnsi="Times New Roman" w:cs="Times New Roman"/>
                <w:b/>
                <w:bCs/>
                <w:sz w:val="20"/>
                <w:szCs w:val="20"/>
                <w:lang w:val="en-US"/>
              </w:rPr>
              <w:t>.</w:t>
            </w:r>
          </w:p>
        </w:tc>
        <w:tc>
          <w:tcPr>
            <w:tcW w:w="0" w:type="auto"/>
            <w:hideMark/>
          </w:tcPr>
          <w:p w14:paraId="66D52790" w14:textId="782F0193" w:rsidR="00857567" w:rsidRPr="00D2099E" w:rsidRDefault="00857567" w:rsidP="007F2074">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Exploration &amp; Evaluation Asset</w:t>
            </w:r>
          </w:p>
        </w:tc>
      </w:tr>
    </w:tbl>
    <w:p w14:paraId="10727854" w14:textId="5FFBEEE5" w:rsidR="00857567" w:rsidRDefault="00857567" w:rsidP="00D2099E">
      <w:pPr>
        <w:spacing w:after="0" w:line="240" w:lineRule="auto"/>
        <w:ind w:left="360"/>
        <w:jc w:val="both"/>
        <w:rPr>
          <w:rFonts w:ascii="Times New Roman" w:eastAsia="Times New Roman" w:hAnsi="Times New Roman" w:cs="Times New Roman"/>
          <w:sz w:val="20"/>
          <w:szCs w:val="20"/>
          <w:lang w:val="en-US"/>
        </w:rPr>
      </w:pPr>
    </w:p>
    <w:p w14:paraId="5F08B0EA" w14:textId="762BBF8D" w:rsidR="00857567" w:rsidRDefault="00857567" w:rsidP="00D2099E">
      <w:pPr>
        <w:spacing w:after="0" w:line="240" w:lineRule="auto"/>
        <w:ind w:left="360"/>
        <w:jc w:val="both"/>
        <w:rPr>
          <w:rFonts w:ascii="Times New Roman" w:eastAsia="Times New Roman" w:hAnsi="Times New Roman" w:cs="Times New Roman"/>
          <w:sz w:val="20"/>
          <w:szCs w:val="20"/>
          <w:lang w:val="en-US"/>
        </w:rPr>
      </w:pPr>
    </w:p>
    <w:tbl>
      <w:tblPr>
        <w:tblW w:w="3366" w:type="pct"/>
        <w:tblInd w:w="360" w:type="dxa"/>
        <w:tblCellMar>
          <w:left w:w="0" w:type="dxa"/>
          <w:right w:w="0" w:type="dxa"/>
        </w:tblCellMar>
        <w:tblLook w:val="04A0" w:firstRow="1" w:lastRow="0" w:firstColumn="1" w:lastColumn="0" w:noHBand="0" w:noVBand="1"/>
      </w:tblPr>
      <w:tblGrid>
        <w:gridCol w:w="4540"/>
        <w:gridCol w:w="79"/>
        <w:gridCol w:w="158"/>
        <w:gridCol w:w="1260"/>
        <w:gridCol w:w="106"/>
        <w:gridCol w:w="79"/>
        <w:gridCol w:w="79"/>
      </w:tblGrid>
      <w:tr w:rsidR="000D1E6B" w:rsidRPr="00D2099E" w14:paraId="24FA8F96" w14:textId="77777777" w:rsidTr="00B0377E">
        <w:tc>
          <w:tcPr>
            <w:tcW w:w="0" w:type="auto"/>
            <w:tcBorders>
              <w:top w:val="single" w:sz="12" w:space="0" w:color="auto"/>
            </w:tcBorders>
            <w:shd w:val="clear" w:color="auto" w:fill="auto"/>
            <w:vAlign w:val="bottom"/>
            <w:hideMark/>
          </w:tcPr>
          <w:p w14:paraId="4D026716" w14:textId="77777777" w:rsidR="000D1E6B" w:rsidRPr="00D2099E" w:rsidRDefault="000D1E6B" w:rsidP="00B0377E">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703983DE"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tcBorders>
            <w:shd w:val="clear" w:color="auto" w:fill="auto"/>
            <w:vAlign w:val="bottom"/>
            <w:hideMark/>
          </w:tcPr>
          <w:p w14:paraId="6984C36C" w14:textId="77777777" w:rsidR="000D1E6B" w:rsidRPr="00D2099E" w:rsidRDefault="000D1E6B" w:rsidP="00B0377E">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Unproven</w:t>
            </w:r>
            <w:r w:rsidRPr="00D2099E">
              <w:rPr>
                <w:rFonts w:ascii="Times New Roman" w:eastAsia="Times New Roman" w:hAnsi="Times New Roman" w:cs="Times New Roman"/>
                <w:sz w:val="20"/>
                <w:szCs w:val="20"/>
                <w:lang w:val="en-US"/>
              </w:rPr>
              <w:br/>
              <w:t>properties</w:t>
            </w:r>
          </w:p>
        </w:tc>
        <w:tc>
          <w:tcPr>
            <w:tcW w:w="0" w:type="auto"/>
            <w:shd w:val="clear" w:color="auto" w:fill="auto"/>
            <w:vAlign w:val="bottom"/>
            <w:hideMark/>
          </w:tcPr>
          <w:p w14:paraId="2549F61B"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2173248E"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594E1EA5"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D1E6B" w:rsidRPr="00D2099E" w14:paraId="6CE5534E" w14:textId="77777777" w:rsidTr="00B0377E">
        <w:tc>
          <w:tcPr>
            <w:tcW w:w="0" w:type="auto"/>
            <w:tcBorders>
              <w:bottom w:val="single" w:sz="12" w:space="0" w:color="auto"/>
            </w:tcBorders>
            <w:shd w:val="clear" w:color="auto" w:fill="auto"/>
            <w:vAlign w:val="bottom"/>
            <w:hideMark/>
          </w:tcPr>
          <w:p w14:paraId="3B6339B2" w14:textId="77777777" w:rsidR="000D1E6B" w:rsidRPr="00D2099E" w:rsidRDefault="000D1E6B" w:rsidP="00B0377E">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68A93116"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bottom w:val="single" w:sz="12" w:space="0" w:color="auto"/>
            </w:tcBorders>
            <w:shd w:val="clear" w:color="auto" w:fill="auto"/>
            <w:vAlign w:val="bottom"/>
            <w:hideMark/>
          </w:tcPr>
          <w:p w14:paraId="3DCD0783" w14:textId="77777777" w:rsidR="000D1E6B" w:rsidRPr="00D2099E" w:rsidRDefault="000D1E6B" w:rsidP="00B0377E">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Bulgaria</w:t>
            </w:r>
          </w:p>
        </w:tc>
        <w:tc>
          <w:tcPr>
            <w:tcW w:w="0" w:type="auto"/>
            <w:shd w:val="clear" w:color="auto" w:fill="auto"/>
            <w:tcMar>
              <w:top w:w="0" w:type="dxa"/>
              <w:left w:w="0" w:type="dxa"/>
              <w:bottom w:w="30" w:type="dxa"/>
              <w:right w:w="0" w:type="dxa"/>
            </w:tcMar>
            <w:vAlign w:val="bottom"/>
            <w:hideMark/>
          </w:tcPr>
          <w:p w14:paraId="7DA6035A"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tcMar>
              <w:top w:w="0" w:type="dxa"/>
              <w:left w:w="0" w:type="dxa"/>
              <w:bottom w:w="30" w:type="dxa"/>
              <w:right w:w="0" w:type="dxa"/>
            </w:tcMar>
            <w:vAlign w:val="bottom"/>
            <w:hideMark/>
          </w:tcPr>
          <w:p w14:paraId="64DBA0EF"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tcMar>
              <w:top w:w="0" w:type="dxa"/>
              <w:left w:w="0" w:type="dxa"/>
              <w:bottom w:w="30" w:type="dxa"/>
              <w:right w:w="0" w:type="dxa"/>
            </w:tcMar>
            <w:vAlign w:val="bottom"/>
            <w:hideMark/>
          </w:tcPr>
          <w:p w14:paraId="58B9D9CC"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D1E6B" w:rsidRPr="00D2099E" w14:paraId="267D51DF" w14:textId="77777777" w:rsidTr="00B0377E">
        <w:tc>
          <w:tcPr>
            <w:tcW w:w="0" w:type="auto"/>
            <w:tcBorders>
              <w:top w:val="single" w:sz="12" w:space="0" w:color="auto"/>
            </w:tcBorders>
            <w:shd w:val="clear" w:color="auto" w:fill="auto"/>
            <w:vAlign w:val="bottom"/>
            <w:hideMark/>
          </w:tcPr>
          <w:p w14:paraId="34B9BC44"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December 31, 2020</w:t>
            </w:r>
          </w:p>
        </w:tc>
        <w:tc>
          <w:tcPr>
            <w:tcW w:w="0" w:type="auto"/>
            <w:tcBorders>
              <w:top w:val="single" w:sz="12" w:space="0" w:color="auto"/>
            </w:tcBorders>
            <w:shd w:val="clear" w:color="auto" w:fill="auto"/>
            <w:vAlign w:val="bottom"/>
            <w:hideMark/>
          </w:tcPr>
          <w:p w14:paraId="547849F4"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25B9F9E6"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6AB4A160" w14:textId="77777777" w:rsidR="000D1E6B" w:rsidRPr="00D2099E" w:rsidRDefault="000D1E6B" w:rsidP="00B0377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3,122,443</w:t>
            </w:r>
          </w:p>
        </w:tc>
        <w:tc>
          <w:tcPr>
            <w:tcW w:w="0" w:type="auto"/>
            <w:shd w:val="clear" w:color="auto" w:fill="auto"/>
            <w:vAlign w:val="bottom"/>
            <w:hideMark/>
          </w:tcPr>
          <w:p w14:paraId="2E9FE240"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6B78D30"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0AB03F69"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D1E6B" w:rsidRPr="00D2099E" w14:paraId="6A8438A5" w14:textId="77777777" w:rsidTr="00B0377E">
        <w:tc>
          <w:tcPr>
            <w:tcW w:w="0" w:type="auto"/>
            <w:shd w:val="clear" w:color="auto" w:fill="auto"/>
            <w:tcMar>
              <w:top w:w="0" w:type="dxa"/>
              <w:left w:w="0" w:type="dxa"/>
              <w:bottom w:w="30" w:type="dxa"/>
              <w:right w:w="0" w:type="dxa"/>
            </w:tcMar>
            <w:vAlign w:val="bottom"/>
            <w:hideMark/>
          </w:tcPr>
          <w:p w14:paraId="30BAB0BA"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Foreign currency translation change</w:t>
            </w:r>
          </w:p>
        </w:tc>
        <w:tc>
          <w:tcPr>
            <w:tcW w:w="0" w:type="auto"/>
            <w:shd w:val="clear" w:color="auto" w:fill="auto"/>
            <w:tcMar>
              <w:top w:w="0" w:type="dxa"/>
              <w:left w:w="0" w:type="dxa"/>
              <w:bottom w:w="30" w:type="dxa"/>
              <w:right w:w="0" w:type="dxa"/>
            </w:tcMar>
            <w:vAlign w:val="bottom"/>
            <w:hideMark/>
          </w:tcPr>
          <w:p w14:paraId="051AABD0"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6B3DEEAD"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41FA51D1" w14:textId="77777777" w:rsidR="000D1E6B" w:rsidRPr="00D2099E" w:rsidRDefault="000D1E6B" w:rsidP="00B0377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(6,29</w:t>
            </w:r>
            <w:r>
              <w:rPr>
                <w:rFonts w:ascii="Times New Roman" w:eastAsia="Times New Roman" w:hAnsi="Times New Roman" w:cs="Times New Roman"/>
                <w:sz w:val="20"/>
                <w:szCs w:val="20"/>
                <w:lang w:val="en-US"/>
              </w:rPr>
              <w:t>7</w:t>
            </w:r>
          </w:p>
        </w:tc>
        <w:tc>
          <w:tcPr>
            <w:tcW w:w="0" w:type="auto"/>
            <w:shd w:val="clear" w:color="auto" w:fill="auto"/>
            <w:tcMar>
              <w:top w:w="0" w:type="dxa"/>
              <w:left w:w="0" w:type="dxa"/>
              <w:bottom w:w="30" w:type="dxa"/>
              <w:right w:w="0" w:type="dxa"/>
            </w:tcMar>
            <w:vAlign w:val="bottom"/>
            <w:hideMark/>
          </w:tcPr>
          <w:p w14:paraId="3B219937"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tcMar>
              <w:top w:w="0" w:type="dxa"/>
              <w:left w:w="0" w:type="dxa"/>
              <w:bottom w:w="30" w:type="dxa"/>
              <w:right w:w="0" w:type="dxa"/>
            </w:tcMar>
            <w:vAlign w:val="bottom"/>
            <w:hideMark/>
          </w:tcPr>
          <w:p w14:paraId="12FFA81A"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tcMar>
              <w:top w:w="0" w:type="dxa"/>
              <w:left w:w="0" w:type="dxa"/>
              <w:bottom w:w="30" w:type="dxa"/>
              <w:right w:w="0" w:type="dxa"/>
            </w:tcMar>
            <w:vAlign w:val="bottom"/>
            <w:hideMark/>
          </w:tcPr>
          <w:p w14:paraId="74E0AE1B"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p>
        </w:tc>
      </w:tr>
      <w:tr w:rsidR="000D1E6B" w:rsidRPr="00D2099E" w14:paraId="14857B3F" w14:textId="77777777" w:rsidTr="00B0377E">
        <w:tc>
          <w:tcPr>
            <w:tcW w:w="0" w:type="auto"/>
            <w:shd w:val="clear" w:color="auto" w:fill="auto"/>
            <w:tcMar>
              <w:top w:w="0" w:type="dxa"/>
              <w:left w:w="0" w:type="dxa"/>
              <w:bottom w:w="30" w:type="dxa"/>
              <w:right w:w="0" w:type="dxa"/>
            </w:tcMar>
            <w:vAlign w:val="bottom"/>
            <w:hideMark/>
          </w:tcPr>
          <w:p w14:paraId="6D7DEF13"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December 31, 2021</w:t>
            </w:r>
          </w:p>
        </w:tc>
        <w:tc>
          <w:tcPr>
            <w:tcW w:w="0" w:type="auto"/>
            <w:shd w:val="clear" w:color="auto" w:fill="auto"/>
            <w:tcMar>
              <w:top w:w="0" w:type="dxa"/>
              <w:left w:w="0" w:type="dxa"/>
              <w:bottom w:w="30" w:type="dxa"/>
              <w:right w:w="0" w:type="dxa"/>
            </w:tcMar>
            <w:vAlign w:val="bottom"/>
            <w:hideMark/>
          </w:tcPr>
          <w:p w14:paraId="1349A3A4"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0B17883F"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vAlign w:val="bottom"/>
            <w:hideMark/>
          </w:tcPr>
          <w:p w14:paraId="20D29F2C" w14:textId="77777777" w:rsidR="000D1E6B" w:rsidRPr="000D1E6B" w:rsidRDefault="000D1E6B" w:rsidP="00B0377E">
            <w:pPr>
              <w:spacing w:after="0" w:line="240" w:lineRule="auto"/>
              <w:jc w:val="right"/>
              <w:rPr>
                <w:rFonts w:ascii="Times New Roman" w:eastAsia="Times New Roman" w:hAnsi="Times New Roman" w:cs="Times New Roman"/>
                <w:sz w:val="20"/>
                <w:szCs w:val="20"/>
                <w:lang w:val="en-US"/>
              </w:rPr>
            </w:pPr>
            <w:r w:rsidRPr="000D1E6B">
              <w:rPr>
                <w:rFonts w:ascii="Times New Roman" w:eastAsia="Times New Roman" w:hAnsi="Times New Roman" w:cs="Times New Roman"/>
                <w:sz w:val="20"/>
                <w:szCs w:val="20"/>
                <w:lang w:val="en-US"/>
              </w:rPr>
              <w:t>3,116,146</w:t>
            </w:r>
          </w:p>
        </w:tc>
        <w:tc>
          <w:tcPr>
            <w:tcW w:w="0" w:type="auto"/>
            <w:shd w:val="clear" w:color="auto" w:fill="auto"/>
            <w:tcMar>
              <w:top w:w="0" w:type="dxa"/>
              <w:left w:w="0" w:type="dxa"/>
              <w:bottom w:w="30" w:type="dxa"/>
              <w:right w:w="0" w:type="dxa"/>
            </w:tcMar>
            <w:vAlign w:val="bottom"/>
            <w:hideMark/>
          </w:tcPr>
          <w:p w14:paraId="4B311CFF"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tcMar>
              <w:top w:w="0" w:type="dxa"/>
              <w:left w:w="0" w:type="dxa"/>
              <w:bottom w:w="30" w:type="dxa"/>
              <w:right w:w="0" w:type="dxa"/>
            </w:tcMar>
            <w:vAlign w:val="bottom"/>
            <w:hideMark/>
          </w:tcPr>
          <w:p w14:paraId="36323D73"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tcMar>
              <w:top w:w="0" w:type="dxa"/>
              <w:left w:w="0" w:type="dxa"/>
              <w:bottom w:w="30" w:type="dxa"/>
              <w:right w:w="0" w:type="dxa"/>
            </w:tcMar>
            <w:vAlign w:val="bottom"/>
            <w:hideMark/>
          </w:tcPr>
          <w:p w14:paraId="406C4450"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D1E6B" w:rsidRPr="00D2099E" w14:paraId="62B16C07" w14:textId="77777777" w:rsidTr="00B0377E">
        <w:tc>
          <w:tcPr>
            <w:tcW w:w="0" w:type="auto"/>
            <w:shd w:val="clear" w:color="auto" w:fill="auto"/>
            <w:tcMar>
              <w:top w:w="0" w:type="dxa"/>
              <w:left w:w="0" w:type="dxa"/>
              <w:bottom w:w="30" w:type="dxa"/>
              <w:right w:w="0" w:type="dxa"/>
            </w:tcMar>
            <w:vAlign w:val="bottom"/>
            <w:hideMark/>
          </w:tcPr>
          <w:p w14:paraId="5FD5CC9E"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Foreign currency translation change</w:t>
            </w:r>
          </w:p>
        </w:tc>
        <w:tc>
          <w:tcPr>
            <w:tcW w:w="0" w:type="auto"/>
            <w:shd w:val="clear" w:color="auto" w:fill="auto"/>
            <w:tcMar>
              <w:top w:w="0" w:type="dxa"/>
              <w:left w:w="0" w:type="dxa"/>
              <w:bottom w:w="30" w:type="dxa"/>
              <w:right w:w="0" w:type="dxa"/>
            </w:tcMar>
            <w:vAlign w:val="bottom"/>
            <w:hideMark/>
          </w:tcPr>
          <w:p w14:paraId="2817B419"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3064EFBC"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tcPr>
          <w:p w14:paraId="2B4DD22B" w14:textId="746AE2CD" w:rsidR="000D1E6B" w:rsidRPr="00064A08" w:rsidRDefault="000D1E6B" w:rsidP="00B0377E">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(4,55</w:t>
            </w:r>
            <w:r w:rsidR="000F4262">
              <w:rPr>
                <w:rFonts w:ascii="Times New Roman" w:eastAsia="Times New Roman" w:hAnsi="Times New Roman" w:cs="Times New Roman"/>
                <w:sz w:val="20"/>
                <w:szCs w:val="20"/>
                <w:lang w:val="en-US"/>
              </w:rPr>
              <w:t>5</w:t>
            </w:r>
          </w:p>
        </w:tc>
        <w:tc>
          <w:tcPr>
            <w:tcW w:w="0" w:type="auto"/>
            <w:shd w:val="clear" w:color="auto" w:fill="auto"/>
            <w:tcMar>
              <w:top w:w="0" w:type="dxa"/>
              <w:left w:w="0" w:type="dxa"/>
              <w:bottom w:w="30" w:type="dxa"/>
              <w:right w:w="0" w:type="dxa"/>
            </w:tcMar>
            <w:vAlign w:val="bottom"/>
          </w:tcPr>
          <w:p w14:paraId="6384916A" w14:textId="4E34F040"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0" w:type="auto"/>
            <w:shd w:val="clear" w:color="auto" w:fill="auto"/>
            <w:tcMar>
              <w:top w:w="0" w:type="dxa"/>
              <w:left w:w="0" w:type="dxa"/>
              <w:bottom w:w="30" w:type="dxa"/>
              <w:right w:w="0" w:type="dxa"/>
            </w:tcMar>
            <w:vAlign w:val="bottom"/>
          </w:tcPr>
          <w:p w14:paraId="6FCB6885"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tcMar>
              <w:top w:w="0" w:type="dxa"/>
              <w:left w:w="0" w:type="dxa"/>
              <w:bottom w:w="30" w:type="dxa"/>
              <w:right w:w="0" w:type="dxa"/>
            </w:tcMar>
            <w:vAlign w:val="bottom"/>
          </w:tcPr>
          <w:p w14:paraId="6975AE6D"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p>
        </w:tc>
      </w:tr>
      <w:tr w:rsidR="000D1E6B" w:rsidRPr="00D2099E" w14:paraId="61110E12" w14:textId="77777777" w:rsidTr="00B0377E">
        <w:tc>
          <w:tcPr>
            <w:tcW w:w="0" w:type="auto"/>
            <w:tcBorders>
              <w:bottom w:val="single" w:sz="12" w:space="0" w:color="auto"/>
            </w:tcBorders>
            <w:shd w:val="clear" w:color="auto" w:fill="auto"/>
            <w:tcMar>
              <w:top w:w="0" w:type="dxa"/>
              <w:left w:w="0" w:type="dxa"/>
              <w:bottom w:w="30" w:type="dxa"/>
              <w:right w:w="0" w:type="dxa"/>
            </w:tcMar>
            <w:vAlign w:val="bottom"/>
          </w:tcPr>
          <w:p w14:paraId="4B8A3FFA"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June 30, 2022</w:t>
            </w:r>
          </w:p>
        </w:tc>
        <w:tc>
          <w:tcPr>
            <w:tcW w:w="0" w:type="auto"/>
            <w:tcBorders>
              <w:bottom w:val="single" w:sz="12" w:space="0" w:color="auto"/>
            </w:tcBorders>
            <w:shd w:val="clear" w:color="auto" w:fill="auto"/>
            <w:tcMar>
              <w:top w:w="0" w:type="dxa"/>
              <w:left w:w="0" w:type="dxa"/>
              <w:bottom w:w="30" w:type="dxa"/>
              <w:right w:w="0" w:type="dxa"/>
            </w:tcMar>
            <w:vAlign w:val="bottom"/>
          </w:tcPr>
          <w:p w14:paraId="11C54831"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vAlign w:val="bottom"/>
          </w:tcPr>
          <w:p w14:paraId="586F48A1"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vAlign w:val="bottom"/>
          </w:tcPr>
          <w:p w14:paraId="4042379B" w14:textId="65AB0DC4" w:rsidR="000D1E6B" w:rsidRPr="00064A08" w:rsidRDefault="000D1E6B" w:rsidP="00B0377E">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3,111,59</w:t>
            </w:r>
            <w:r w:rsidR="000F4262">
              <w:rPr>
                <w:rFonts w:ascii="Times New Roman" w:eastAsia="Times New Roman" w:hAnsi="Times New Roman" w:cs="Times New Roman"/>
                <w:sz w:val="20"/>
                <w:szCs w:val="20"/>
                <w:lang w:val="en-US"/>
              </w:rPr>
              <w:t>1</w:t>
            </w:r>
          </w:p>
        </w:tc>
        <w:tc>
          <w:tcPr>
            <w:tcW w:w="0" w:type="auto"/>
            <w:shd w:val="clear" w:color="auto" w:fill="auto"/>
            <w:tcMar>
              <w:top w:w="0" w:type="dxa"/>
              <w:left w:w="0" w:type="dxa"/>
              <w:bottom w:w="30" w:type="dxa"/>
              <w:right w:w="0" w:type="dxa"/>
            </w:tcMar>
            <w:vAlign w:val="bottom"/>
          </w:tcPr>
          <w:p w14:paraId="475C1D75"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tcMar>
              <w:top w:w="0" w:type="dxa"/>
              <w:left w:w="0" w:type="dxa"/>
              <w:bottom w:w="30" w:type="dxa"/>
              <w:right w:w="0" w:type="dxa"/>
            </w:tcMar>
            <w:vAlign w:val="bottom"/>
          </w:tcPr>
          <w:p w14:paraId="33E2FDC7"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tcMar>
              <w:top w:w="0" w:type="dxa"/>
              <w:left w:w="0" w:type="dxa"/>
              <w:bottom w:w="30" w:type="dxa"/>
              <w:right w:w="0" w:type="dxa"/>
            </w:tcMar>
            <w:vAlign w:val="bottom"/>
          </w:tcPr>
          <w:p w14:paraId="262E80D4" w14:textId="77777777" w:rsidR="000D1E6B" w:rsidRPr="00D2099E" w:rsidRDefault="000D1E6B" w:rsidP="00B0377E">
            <w:pPr>
              <w:spacing w:after="0" w:line="240" w:lineRule="auto"/>
              <w:jc w:val="both"/>
              <w:rPr>
                <w:rFonts w:ascii="Times New Roman" w:eastAsia="Times New Roman" w:hAnsi="Times New Roman" w:cs="Times New Roman"/>
                <w:sz w:val="20"/>
                <w:szCs w:val="20"/>
                <w:lang w:val="en-US"/>
              </w:rPr>
            </w:pPr>
          </w:p>
        </w:tc>
      </w:tr>
    </w:tbl>
    <w:p w14:paraId="07607C7D" w14:textId="77777777" w:rsidR="000D1E6B" w:rsidRDefault="000D1E6B" w:rsidP="00D2099E">
      <w:pPr>
        <w:spacing w:after="0" w:line="240" w:lineRule="auto"/>
        <w:ind w:left="360"/>
        <w:jc w:val="both"/>
        <w:rPr>
          <w:rFonts w:ascii="Times New Roman" w:eastAsia="Times New Roman" w:hAnsi="Times New Roman" w:cs="Times New Roman"/>
          <w:sz w:val="20"/>
          <w:szCs w:val="20"/>
          <w:lang w:val="en-US"/>
        </w:rPr>
      </w:pPr>
    </w:p>
    <w:p w14:paraId="273C903B" w14:textId="77777777" w:rsidR="00857567" w:rsidRPr="00D2099E" w:rsidRDefault="00857567" w:rsidP="00857567">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b/>
          <w:bCs/>
          <w:sz w:val="20"/>
          <w:szCs w:val="20"/>
          <w:lang w:val="en-US"/>
        </w:rPr>
        <w:t>Bulgaria</w:t>
      </w:r>
    </w:p>
    <w:p w14:paraId="59760218" w14:textId="77777777" w:rsidR="00857567" w:rsidRPr="00D2099E" w:rsidRDefault="00857567" w:rsidP="00857567">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F3B4AAE" w14:textId="77777777" w:rsidR="00857567" w:rsidRPr="00D2099E" w:rsidRDefault="00857567" w:rsidP="00857567">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The Company holds </w:t>
      </w:r>
      <w:r w:rsidRPr="00031ED8">
        <w:rPr>
          <w:rFonts w:ascii="Times New Roman" w:eastAsia="Times New Roman" w:hAnsi="Times New Roman" w:cs="Times New Roman"/>
          <w:sz w:val="20"/>
          <w:szCs w:val="20"/>
          <w:lang w:val="en-US"/>
        </w:rPr>
        <w:t xml:space="preserve">a </w:t>
      </w:r>
      <w:r w:rsidRPr="00025355">
        <w:rPr>
          <w:rFonts w:ascii="Times New Roman" w:eastAsia="Times New Roman" w:hAnsi="Times New Roman" w:cs="Times New Roman"/>
          <w:sz w:val="20"/>
          <w:szCs w:val="20"/>
          <w:lang w:val="en-US"/>
        </w:rPr>
        <w:t>98,205</w:t>
      </w:r>
      <w:r w:rsidRPr="00D2099E">
        <w:rPr>
          <w:rFonts w:ascii="Times New Roman" w:eastAsia="Times New Roman" w:hAnsi="Times New Roman" w:cs="Times New Roman"/>
          <w:sz w:val="20"/>
          <w:szCs w:val="20"/>
          <w:lang w:val="en-US"/>
        </w:rPr>
        <w:t xml:space="preserve">-acre oil and gas exploration claim in the </w:t>
      </w:r>
      <w:proofErr w:type="spellStart"/>
      <w:r w:rsidRPr="00D2099E">
        <w:rPr>
          <w:rFonts w:ascii="Times New Roman" w:eastAsia="Times New Roman" w:hAnsi="Times New Roman" w:cs="Times New Roman"/>
          <w:sz w:val="20"/>
          <w:szCs w:val="20"/>
          <w:lang w:val="en-US"/>
        </w:rPr>
        <w:t>Dobrudja</w:t>
      </w:r>
      <w:proofErr w:type="spellEnd"/>
      <w:r w:rsidRPr="00D2099E">
        <w:rPr>
          <w:rFonts w:ascii="Times New Roman" w:eastAsia="Times New Roman" w:hAnsi="Times New Roman" w:cs="Times New Roman"/>
          <w:sz w:val="20"/>
          <w:szCs w:val="20"/>
          <w:lang w:val="en-US"/>
        </w:rPr>
        <w:t xml:space="preserve"> Basin located in northeast Bulgaria. The Company intends to conduct exploration for natural gas and test production activities over a five-year period in accordance with or exceeding its minimum work program obligation. The Company’s commitment is to perform geological and geophysical exploration activities in the first 3 years of the initial term (the “Exploration and Geophysical Work Stage”), followed by drilling activities in years 4 and 5 of the initial term (the “Data Evaluation and Drilling Stage”). The Company is required to drill 10,000 meters (approximately 32,800 feet) of new wellbore (which may be vertical, </w:t>
      </w:r>
      <w:proofErr w:type="gramStart"/>
      <w:r w:rsidRPr="00D2099E">
        <w:rPr>
          <w:rFonts w:ascii="Times New Roman" w:eastAsia="Times New Roman" w:hAnsi="Times New Roman" w:cs="Times New Roman"/>
          <w:sz w:val="20"/>
          <w:szCs w:val="20"/>
          <w:lang w:val="en-US"/>
        </w:rPr>
        <w:t>horizontal</w:t>
      </w:r>
      <w:proofErr w:type="gramEnd"/>
      <w:r w:rsidRPr="00D2099E">
        <w:rPr>
          <w:rFonts w:ascii="Times New Roman" w:eastAsia="Times New Roman" w:hAnsi="Times New Roman" w:cs="Times New Roman"/>
          <w:sz w:val="20"/>
          <w:szCs w:val="20"/>
          <w:lang w:val="en-US"/>
        </w:rPr>
        <w:t xml:space="preserve"> or diagonal) and conduct other exploration activities during the initial term. The Company intends to commence its work program efforts once it receives all regular regulatory approvals of its work programs.</w:t>
      </w:r>
    </w:p>
    <w:p w14:paraId="07471220" w14:textId="77777777" w:rsidR="00857567" w:rsidRPr="00D2099E" w:rsidRDefault="00857567" w:rsidP="00D2099E">
      <w:pPr>
        <w:spacing w:after="0" w:line="240" w:lineRule="auto"/>
        <w:ind w:left="360"/>
        <w:jc w:val="both"/>
        <w:rPr>
          <w:rFonts w:ascii="Times New Roman" w:eastAsia="Times New Roman" w:hAnsi="Times New Roman" w:cs="Times New Roman"/>
          <w:sz w:val="20"/>
          <w:szCs w:val="20"/>
          <w:lang w:val="en-US"/>
        </w:rPr>
      </w:pPr>
    </w:p>
    <w:p w14:paraId="72814EA9" w14:textId="3189AA67" w:rsidR="00D2099E" w:rsidRDefault="00D2099E" w:rsidP="00D2099E">
      <w:pPr>
        <w:spacing w:after="0" w:line="240" w:lineRule="auto"/>
        <w:rPr>
          <w:rFonts w:ascii="Times New Roman" w:eastAsia="Times New Roman" w:hAnsi="Times New Roman" w:cs="Times New Roman"/>
          <w:i/>
          <w:iCs/>
          <w:sz w:val="20"/>
          <w:szCs w:val="20"/>
          <w:lang w:val="en-US"/>
        </w:rPr>
      </w:pPr>
      <w:r w:rsidRPr="00D2099E">
        <w:rPr>
          <w:rFonts w:ascii="Times New Roman" w:eastAsia="Times New Roman" w:hAnsi="Times New Roman" w:cs="Times New Roman"/>
          <w:i/>
          <w:iCs/>
          <w:sz w:val="20"/>
          <w:szCs w:val="20"/>
          <w:lang w:val="en-US"/>
        </w:rPr>
        <w:t> </w:t>
      </w:r>
    </w:p>
    <w:p w14:paraId="095AEFC3" w14:textId="0D3F4A08" w:rsidR="00ED53CA" w:rsidRDefault="00ED53CA" w:rsidP="00D2099E">
      <w:pPr>
        <w:spacing w:after="0" w:line="240" w:lineRule="auto"/>
        <w:rPr>
          <w:rFonts w:ascii="Times New Roman" w:eastAsia="Times New Roman" w:hAnsi="Times New Roman" w:cs="Times New Roman"/>
          <w:i/>
          <w:iCs/>
          <w:sz w:val="20"/>
          <w:szCs w:val="20"/>
          <w:lang w:val="en-US"/>
        </w:rPr>
      </w:pPr>
    </w:p>
    <w:p w14:paraId="5007C7C8" w14:textId="75960977" w:rsidR="00ED53CA" w:rsidRDefault="00ED53CA" w:rsidP="00D2099E">
      <w:pPr>
        <w:spacing w:after="0" w:line="240" w:lineRule="auto"/>
        <w:rPr>
          <w:rFonts w:ascii="Times New Roman" w:eastAsia="Times New Roman" w:hAnsi="Times New Roman" w:cs="Times New Roman"/>
          <w:i/>
          <w:iCs/>
          <w:sz w:val="20"/>
          <w:szCs w:val="20"/>
          <w:lang w:val="en-US"/>
        </w:rPr>
      </w:pPr>
    </w:p>
    <w:p w14:paraId="17F6090D" w14:textId="3E4D0086" w:rsidR="00ED53CA" w:rsidRDefault="00ED53CA" w:rsidP="00D2099E">
      <w:pPr>
        <w:spacing w:after="0" w:line="240" w:lineRule="auto"/>
        <w:rPr>
          <w:rFonts w:ascii="Times New Roman" w:eastAsia="Times New Roman" w:hAnsi="Times New Roman" w:cs="Times New Roman"/>
          <w:i/>
          <w:iCs/>
          <w:sz w:val="20"/>
          <w:szCs w:val="20"/>
          <w:lang w:val="en-US"/>
        </w:rPr>
      </w:pPr>
    </w:p>
    <w:p w14:paraId="2B19DCB0" w14:textId="4EB7271A" w:rsidR="007F6E5D" w:rsidRDefault="007F6E5D">
      <w:pPr>
        <w:rPr>
          <w:rFonts w:ascii="Times New Roman" w:eastAsia="Times New Roman" w:hAnsi="Times New Roman" w:cs="Times New Roman"/>
          <w:i/>
          <w:iCs/>
          <w:sz w:val="20"/>
          <w:szCs w:val="20"/>
          <w:lang w:val="en-US"/>
        </w:rPr>
      </w:pPr>
      <w:r>
        <w:rPr>
          <w:rFonts w:ascii="Times New Roman" w:eastAsia="Times New Roman" w:hAnsi="Times New Roman" w:cs="Times New Roman"/>
          <w:i/>
          <w:iCs/>
          <w:sz w:val="20"/>
          <w:szCs w:val="20"/>
          <w:lang w:val="en-US"/>
        </w:rPr>
        <w:br w:type="page"/>
      </w: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2B29CC0F" w14:textId="77777777" w:rsidTr="005C7D2D">
        <w:tc>
          <w:tcPr>
            <w:tcW w:w="360" w:type="dxa"/>
            <w:hideMark/>
          </w:tcPr>
          <w:p w14:paraId="65B3A34D" w14:textId="0C106860" w:rsidR="00D2099E" w:rsidRPr="00D2099E" w:rsidRDefault="006A69AE"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lastRenderedPageBreak/>
              <w:t>7</w:t>
            </w:r>
            <w:r w:rsidR="00D2099E" w:rsidRPr="00D2099E">
              <w:rPr>
                <w:rFonts w:ascii="Times New Roman" w:eastAsia="Times New Roman" w:hAnsi="Times New Roman" w:cs="Times New Roman"/>
                <w:b/>
                <w:bCs/>
                <w:sz w:val="20"/>
                <w:szCs w:val="20"/>
                <w:lang w:val="en-US"/>
              </w:rPr>
              <w:t>.</w:t>
            </w:r>
          </w:p>
        </w:tc>
        <w:tc>
          <w:tcPr>
            <w:tcW w:w="0" w:type="auto"/>
            <w:hideMark/>
          </w:tcPr>
          <w:p w14:paraId="378CAF31" w14:textId="6C80D0B6"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 xml:space="preserve">Property and </w:t>
            </w:r>
            <w:r w:rsidR="006467EA">
              <w:rPr>
                <w:rFonts w:ascii="Times New Roman" w:eastAsia="Times New Roman" w:hAnsi="Times New Roman" w:cs="Times New Roman"/>
                <w:b/>
                <w:bCs/>
                <w:sz w:val="20"/>
                <w:szCs w:val="20"/>
                <w:lang w:val="en-US"/>
              </w:rPr>
              <w:t>E</w:t>
            </w:r>
            <w:r w:rsidRPr="00D2099E">
              <w:rPr>
                <w:rFonts w:ascii="Times New Roman" w:eastAsia="Times New Roman" w:hAnsi="Times New Roman" w:cs="Times New Roman"/>
                <w:b/>
                <w:bCs/>
                <w:sz w:val="20"/>
                <w:szCs w:val="20"/>
                <w:lang w:val="en-US"/>
              </w:rPr>
              <w:t>quipment</w:t>
            </w:r>
          </w:p>
        </w:tc>
      </w:tr>
    </w:tbl>
    <w:p w14:paraId="0013AD97" w14:textId="77777777" w:rsidR="00C65387" w:rsidRDefault="00C65387" w:rsidP="00697F10">
      <w:pPr>
        <w:spacing w:after="0" w:line="240" w:lineRule="auto"/>
        <w:jc w:val="both"/>
        <w:rPr>
          <w:rFonts w:ascii="Times New Roman" w:eastAsia="Times New Roman" w:hAnsi="Times New Roman" w:cs="Times New Roman"/>
          <w:sz w:val="20"/>
          <w:szCs w:val="20"/>
          <w:lang w:val="en-US"/>
        </w:rPr>
      </w:pPr>
    </w:p>
    <w:tbl>
      <w:tblPr>
        <w:tblpPr w:leftFromText="180" w:rightFromText="180" w:vertAnchor="text" w:horzAnchor="page" w:tblpX="1831" w:tblpY="79"/>
        <w:tblOverlap w:val="never"/>
        <w:tblW w:w="5000" w:type="pct"/>
        <w:tblCellMar>
          <w:left w:w="0" w:type="dxa"/>
          <w:right w:w="0" w:type="dxa"/>
        </w:tblCellMar>
        <w:tblLook w:val="04A0" w:firstRow="1" w:lastRow="0" w:firstColumn="1" w:lastColumn="0" w:noHBand="0" w:noVBand="1"/>
      </w:tblPr>
      <w:tblGrid>
        <w:gridCol w:w="2431"/>
        <w:gridCol w:w="50"/>
        <w:gridCol w:w="150"/>
        <w:gridCol w:w="1051"/>
        <w:gridCol w:w="67"/>
        <w:gridCol w:w="50"/>
        <w:gridCol w:w="157"/>
        <w:gridCol w:w="1067"/>
        <w:gridCol w:w="117"/>
        <w:gridCol w:w="51"/>
        <w:gridCol w:w="152"/>
        <w:gridCol w:w="1052"/>
        <w:gridCol w:w="133"/>
        <w:gridCol w:w="135"/>
        <w:gridCol w:w="281"/>
        <w:gridCol w:w="923"/>
        <w:gridCol w:w="212"/>
        <w:gridCol w:w="283"/>
        <w:gridCol w:w="850"/>
        <w:gridCol w:w="148"/>
      </w:tblGrid>
      <w:tr w:rsidR="00543241" w:rsidRPr="00D2099E" w14:paraId="7A7358FB" w14:textId="77777777" w:rsidTr="00F80521">
        <w:tc>
          <w:tcPr>
            <w:tcW w:w="1299" w:type="pct"/>
            <w:tcBorders>
              <w:top w:val="single" w:sz="12" w:space="0" w:color="auto"/>
              <w:bottom w:val="single" w:sz="12" w:space="0" w:color="auto"/>
            </w:tcBorders>
            <w:shd w:val="clear" w:color="auto" w:fill="auto"/>
            <w:vAlign w:val="bottom"/>
            <w:hideMark/>
          </w:tcPr>
          <w:p w14:paraId="2135AC81"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7"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232794FA"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42" w:type="pct"/>
            <w:gridSpan w:val="2"/>
            <w:tcBorders>
              <w:top w:val="single" w:sz="12" w:space="0" w:color="auto"/>
              <w:bottom w:val="single" w:sz="12" w:space="0" w:color="auto"/>
            </w:tcBorders>
            <w:shd w:val="clear" w:color="auto" w:fill="auto"/>
            <w:vAlign w:val="bottom"/>
            <w:hideMark/>
          </w:tcPr>
          <w:p w14:paraId="408AF291"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Right-of-use</w:t>
            </w:r>
            <w:r w:rsidRPr="00D33273">
              <w:rPr>
                <w:rFonts w:ascii="Times New Roman" w:eastAsia="Times New Roman" w:hAnsi="Times New Roman" w:cs="Times New Roman"/>
                <w:b/>
                <w:bCs/>
                <w:sz w:val="20"/>
                <w:szCs w:val="20"/>
                <w:lang w:val="en-US"/>
              </w:rPr>
              <w:br/>
              <w:t>asset</w:t>
            </w:r>
          </w:p>
        </w:tc>
        <w:tc>
          <w:tcPr>
            <w:tcW w:w="36"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2D8883E9"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27"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69395650"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54" w:type="pct"/>
            <w:gridSpan w:val="2"/>
            <w:tcBorders>
              <w:top w:val="single" w:sz="12" w:space="0" w:color="auto"/>
              <w:bottom w:val="single" w:sz="12" w:space="0" w:color="auto"/>
            </w:tcBorders>
            <w:shd w:val="clear" w:color="auto" w:fill="auto"/>
            <w:vAlign w:val="bottom"/>
            <w:hideMark/>
          </w:tcPr>
          <w:p w14:paraId="57B11EA4"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Leasehold</w:t>
            </w:r>
            <w:r w:rsidRPr="00D33273">
              <w:rPr>
                <w:rFonts w:ascii="Times New Roman" w:eastAsia="Times New Roman" w:hAnsi="Times New Roman" w:cs="Times New Roman"/>
                <w:b/>
                <w:bCs/>
                <w:sz w:val="20"/>
                <w:szCs w:val="20"/>
                <w:lang w:val="en-US"/>
              </w:rPr>
              <w:br/>
              <w:t>improvements</w:t>
            </w:r>
          </w:p>
        </w:tc>
        <w:tc>
          <w:tcPr>
            <w:tcW w:w="62"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40F162C7"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27"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7674709"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643" w:type="pct"/>
            <w:gridSpan w:val="2"/>
            <w:tcBorders>
              <w:top w:val="single" w:sz="12" w:space="0" w:color="auto"/>
              <w:bottom w:val="single" w:sz="12" w:space="0" w:color="auto"/>
            </w:tcBorders>
            <w:shd w:val="clear" w:color="auto" w:fill="auto"/>
            <w:vAlign w:val="bottom"/>
            <w:hideMark/>
          </w:tcPr>
          <w:p w14:paraId="201CD679"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Other</w:t>
            </w:r>
            <w:r w:rsidRPr="00D33273">
              <w:rPr>
                <w:rFonts w:ascii="Times New Roman" w:eastAsia="Times New Roman" w:hAnsi="Times New Roman" w:cs="Times New Roman"/>
                <w:b/>
                <w:bCs/>
                <w:sz w:val="20"/>
                <w:szCs w:val="20"/>
                <w:lang w:val="en-US"/>
              </w:rPr>
              <w:br/>
              <w:t>equipment</w:t>
            </w:r>
          </w:p>
        </w:tc>
        <w:tc>
          <w:tcPr>
            <w:tcW w:w="71"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D5CAE43"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72" w:type="pct"/>
            <w:tcBorders>
              <w:top w:val="single" w:sz="12" w:space="0" w:color="auto"/>
              <w:bottom w:val="single" w:sz="12" w:space="0" w:color="auto"/>
            </w:tcBorders>
          </w:tcPr>
          <w:p w14:paraId="3795ECB3" w14:textId="77777777" w:rsidR="00543241" w:rsidRDefault="00543241" w:rsidP="00F80521">
            <w:pPr>
              <w:spacing w:after="0" w:line="240" w:lineRule="auto"/>
              <w:jc w:val="right"/>
              <w:rPr>
                <w:rFonts w:ascii="Times New Roman" w:eastAsia="Times New Roman" w:hAnsi="Times New Roman" w:cs="Times New Roman"/>
                <w:b/>
                <w:bCs/>
                <w:sz w:val="20"/>
                <w:szCs w:val="20"/>
                <w:lang w:val="en-US"/>
              </w:rPr>
            </w:pPr>
          </w:p>
        </w:tc>
        <w:tc>
          <w:tcPr>
            <w:tcW w:w="643" w:type="pct"/>
            <w:gridSpan w:val="2"/>
            <w:tcBorders>
              <w:top w:val="single" w:sz="12" w:space="0" w:color="auto"/>
              <w:bottom w:val="single" w:sz="12" w:space="0" w:color="auto"/>
            </w:tcBorders>
          </w:tcPr>
          <w:p w14:paraId="0DA656E3" w14:textId="77777777" w:rsidR="00543241" w:rsidRDefault="00543241" w:rsidP="00F80521">
            <w:pPr>
              <w:spacing w:after="0" w:line="240" w:lineRule="auto"/>
              <w:jc w:val="right"/>
              <w:rPr>
                <w:rFonts w:ascii="Times New Roman" w:eastAsia="Times New Roman" w:hAnsi="Times New Roman" w:cs="Times New Roman"/>
                <w:b/>
                <w:bCs/>
                <w:sz w:val="20"/>
                <w:szCs w:val="20"/>
                <w:lang w:val="en-US"/>
              </w:rPr>
            </w:pPr>
          </w:p>
          <w:p w14:paraId="415FFD5C"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Furniture</w:t>
            </w:r>
            <w:r w:rsidRPr="00D33273">
              <w:rPr>
                <w:rFonts w:ascii="Times New Roman" w:eastAsia="Times New Roman" w:hAnsi="Times New Roman" w:cs="Times New Roman"/>
                <w:b/>
                <w:bCs/>
                <w:sz w:val="20"/>
                <w:szCs w:val="20"/>
                <w:lang w:val="en-US"/>
              </w:rPr>
              <w:t> </w:t>
            </w:r>
          </w:p>
        </w:tc>
        <w:tc>
          <w:tcPr>
            <w:tcW w:w="113" w:type="pct"/>
            <w:tcBorders>
              <w:top w:val="single" w:sz="12" w:space="0" w:color="auto"/>
              <w:bottom w:val="single" w:sz="12" w:space="0" w:color="auto"/>
            </w:tcBorders>
          </w:tcPr>
          <w:p w14:paraId="1A87836C"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p>
        </w:tc>
        <w:tc>
          <w:tcPr>
            <w:tcW w:w="605" w:type="pct"/>
            <w:gridSpan w:val="2"/>
            <w:tcBorders>
              <w:top w:val="single" w:sz="12" w:space="0" w:color="auto"/>
              <w:bottom w:val="single" w:sz="12" w:space="0" w:color="auto"/>
            </w:tcBorders>
            <w:shd w:val="clear" w:color="auto" w:fill="auto"/>
            <w:vAlign w:val="bottom"/>
            <w:hideMark/>
          </w:tcPr>
          <w:p w14:paraId="5BC98745"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Total</w:t>
            </w:r>
          </w:p>
        </w:tc>
        <w:tc>
          <w:tcPr>
            <w:tcW w:w="79"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5D575561"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543241" w:rsidRPr="00D2099E" w14:paraId="5A200F0B" w14:textId="77777777" w:rsidTr="00F80521">
        <w:tc>
          <w:tcPr>
            <w:tcW w:w="1299" w:type="pct"/>
            <w:tcBorders>
              <w:top w:val="single" w:sz="12" w:space="0" w:color="auto"/>
            </w:tcBorders>
            <w:shd w:val="clear" w:color="auto" w:fill="auto"/>
            <w:vAlign w:val="bottom"/>
            <w:hideMark/>
          </w:tcPr>
          <w:p w14:paraId="362980DB"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December 31, 2020</w:t>
            </w:r>
          </w:p>
        </w:tc>
        <w:tc>
          <w:tcPr>
            <w:tcW w:w="27" w:type="pct"/>
            <w:tcBorders>
              <w:top w:val="single" w:sz="12" w:space="0" w:color="auto"/>
            </w:tcBorders>
            <w:shd w:val="clear" w:color="auto" w:fill="auto"/>
            <w:vAlign w:val="bottom"/>
            <w:hideMark/>
          </w:tcPr>
          <w:p w14:paraId="71412C25"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80" w:type="pct"/>
            <w:tcBorders>
              <w:top w:val="single" w:sz="12" w:space="0" w:color="auto"/>
            </w:tcBorders>
            <w:shd w:val="clear" w:color="auto" w:fill="auto"/>
            <w:vAlign w:val="bottom"/>
            <w:hideMark/>
          </w:tcPr>
          <w:p w14:paraId="6C47786E"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562" w:type="pct"/>
            <w:tcBorders>
              <w:top w:val="single" w:sz="12" w:space="0" w:color="auto"/>
            </w:tcBorders>
            <w:shd w:val="clear" w:color="auto" w:fill="auto"/>
            <w:vAlign w:val="bottom"/>
            <w:hideMark/>
          </w:tcPr>
          <w:p w14:paraId="0CE410DF"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39,809</w:t>
            </w:r>
          </w:p>
        </w:tc>
        <w:tc>
          <w:tcPr>
            <w:tcW w:w="36" w:type="pct"/>
            <w:tcBorders>
              <w:top w:val="single" w:sz="12" w:space="0" w:color="auto"/>
            </w:tcBorders>
            <w:shd w:val="clear" w:color="auto" w:fill="auto"/>
            <w:vAlign w:val="bottom"/>
            <w:hideMark/>
          </w:tcPr>
          <w:p w14:paraId="2467E6B2"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27" w:type="pct"/>
            <w:tcBorders>
              <w:top w:val="single" w:sz="12" w:space="0" w:color="auto"/>
            </w:tcBorders>
            <w:shd w:val="clear" w:color="auto" w:fill="auto"/>
            <w:vAlign w:val="bottom"/>
            <w:hideMark/>
          </w:tcPr>
          <w:p w14:paraId="410A1088"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84" w:type="pct"/>
            <w:tcBorders>
              <w:top w:val="single" w:sz="12" w:space="0" w:color="auto"/>
            </w:tcBorders>
            <w:shd w:val="clear" w:color="auto" w:fill="auto"/>
            <w:vAlign w:val="bottom"/>
            <w:hideMark/>
          </w:tcPr>
          <w:p w14:paraId="3A291164"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r>
              <w:rPr>
                <w:rFonts w:ascii="Times New Roman" w:eastAsia="Times New Roman" w:hAnsi="Times New Roman" w:cs="Times New Roman"/>
                <w:b/>
                <w:bCs/>
                <w:sz w:val="20"/>
                <w:szCs w:val="20"/>
                <w:lang w:val="en-US"/>
              </w:rPr>
              <w:t>$</w:t>
            </w:r>
          </w:p>
        </w:tc>
        <w:tc>
          <w:tcPr>
            <w:tcW w:w="570" w:type="pct"/>
            <w:tcBorders>
              <w:top w:val="single" w:sz="12" w:space="0" w:color="auto"/>
            </w:tcBorders>
            <w:shd w:val="clear" w:color="auto" w:fill="auto"/>
            <w:vAlign w:val="bottom"/>
            <w:hideMark/>
          </w:tcPr>
          <w:p w14:paraId="548CF6F4"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68,255</w:t>
            </w:r>
          </w:p>
        </w:tc>
        <w:tc>
          <w:tcPr>
            <w:tcW w:w="62" w:type="pct"/>
            <w:tcBorders>
              <w:top w:val="single" w:sz="12" w:space="0" w:color="auto"/>
            </w:tcBorders>
            <w:shd w:val="clear" w:color="auto" w:fill="auto"/>
            <w:vAlign w:val="bottom"/>
            <w:hideMark/>
          </w:tcPr>
          <w:p w14:paraId="3EEACF60"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27" w:type="pct"/>
            <w:tcBorders>
              <w:top w:val="single" w:sz="12" w:space="0" w:color="auto"/>
            </w:tcBorders>
            <w:shd w:val="clear" w:color="auto" w:fill="auto"/>
            <w:vAlign w:val="bottom"/>
            <w:hideMark/>
          </w:tcPr>
          <w:p w14:paraId="51225C75"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81" w:type="pct"/>
            <w:tcBorders>
              <w:top w:val="single" w:sz="12" w:space="0" w:color="auto"/>
            </w:tcBorders>
            <w:shd w:val="clear" w:color="auto" w:fill="auto"/>
            <w:vAlign w:val="bottom"/>
            <w:hideMark/>
          </w:tcPr>
          <w:p w14:paraId="2E41D264"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r w:rsidRPr="00D33273">
              <w:rPr>
                <w:rFonts w:ascii="Times New Roman" w:eastAsia="Times New Roman" w:hAnsi="Times New Roman" w:cs="Times New Roman"/>
                <w:b/>
                <w:bCs/>
                <w:sz w:val="20"/>
                <w:szCs w:val="20"/>
                <w:lang w:val="en-US"/>
              </w:rPr>
              <w:t> </w:t>
            </w:r>
          </w:p>
        </w:tc>
        <w:tc>
          <w:tcPr>
            <w:tcW w:w="562" w:type="pct"/>
            <w:tcBorders>
              <w:top w:val="single" w:sz="12" w:space="0" w:color="auto"/>
            </w:tcBorders>
            <w:shd w:val="clear" w:color="auto" w:fill="auto"/>
            <w:vAlign w:val="bottom"/>
            <w:hideMark/>
          </w:tcPr>
          <w:p w14:paraId="2E3110A9"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20,193</w:t>
            </w:r>
          </w:p>
        </w:tc>
        <w:tc>
          <w:tcPr>
            <w:tcW w:w="71" w:type="pct"/>
            <w:tcBorders>
              <w:top w:val="single" w:sz="12" w:space="0" w:color="auto"/>
            </w:tcBorders>
            <w:shd w:val="clear" w:color="auto" w:fill="auto"/>
            <w:vAlign w:val="bottom"/>
            <w:hideMark/>
          </w:tcPr>
          <w:p w14:paraId="2B58DE11"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72" w:type="pct"/>
            <w:tcBorders>
              <w:top w:val="single" w:sz="12" w:space="0" w:color="auto"/>
            </w:tcBorders>
          </w:tcPr>
          <w:p w14:paraId="0B4BEE46" w14:textId="77777777" w:rsidR="00543241" w:rsidRDefault="00543241" w:rsidP="00F80521">
            <w:pPr>
              <w:spacing w:after="0" w:line="240" w:lineRule="auto"/>
              <w:jc w:val="both"/>
              <w:rPr>
                <w:rFonts w:ascii="Times New Roman" w:eastAsia="Times New Roman" w:hAnsi="Times New Roman" w:cs="Times New Roman"/>
                <w:b/>
                <w:bCs/>
                <w:sz w:val="20"/>
                <w:szCs w:val="20"/>
                <w:lang w:val="en-US"/>
              </w:rPr>
            </w:pPr>
          </w:p>
        </w:tc>
        <w:tc>
          <w:tcPr>
            <w:tcW w:w="150" w:type="pct"/>
            <w:tcBorders>
              <w:top w:val="single" w:sz="12" w:space="0" w:color="auto"/>
            </w:tcBorders>
          </w:tcPr>
          <w:p w14:paraId="7B009A77"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493" w:type="pct"/>
            <w:tcBorders>
              <w:top w:val="single" w:sz="12" w:space="0" w:color="auto"/>
            </w:tcBorders>
            <w:shd w:val="clear" w:color="auto" w:fill="auto"/>
            <w:vAlign w:val="bottom"/>
            <w:hideMark/>
          </w:tcPr>
          <w:p w14:paraId="6132B96B"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r>
              <w:rPr>
                <w:rFonts w:ascii="Times New Roman" w:eastAsia="Times New Roman" w:hAnsi="Times New Roman" w:cs="Times New Roman"/>
                <w:b/>
                <w:bCs/>
                <w:sz w:val="20"/>
                <w:szCs w:val="20"/>
                <w:lang w:val="en-US"/>
              </w:rPr>
              <w:t>-</w:t>
            </w:r>
          </w:p>
        </w:tc>
        <w:tc>
          <w:tcPr>
            <w:tcW w:w="113" w:type="pct"/>
            <w:tcBorders>
              <w:top w:val="single" w:sz="12" w:space="0" w:color="auto"/>
            </w:tcBorders>
          </w:tcPr>
          <w:p w14:paraId="7200372D"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p>
        </w:tc>
        <w:tc>
          <w:tcPr>
            <w:tcW w:w="151" w:type="pct"/>
            <w:tcBorders>
              <w:top w:val="single" w:sz="12" w:space="0" w:color="auto"/>
            </w:tcBorders>
            <w:shd w:val="clear" w:color="auto" w:fill="auto"/>
            <w:vAlign w:val="bottom"/>
            <w:hideMark/>
          </w:tcPr>
          <w:p w14:paraId="0D51BC7A"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r>
              <w:rPr>
                <w:rFonts w:ascii="Times New Roman" w:eastAsia="Times New Roman" w:hAnsi="Times New Roman" w:cs="Times New Roman"/>
                <w:b/>
                <w:bCs/>
                <w:sz w:val="20"/>
                <w:szCs w:val="20"/>
                <w:lang w:val="en-US"/>
              </w:rPr>
              <w:t>$</w:t>
            </w:r>
          </w:p>
        </w:tc>
        <w:tc>
          <w:tcPr>
            <w:tcW w:w="454" w:type="pct"/>
            <w:tcBorders>
              <w:top w:val="single" w:sz="12" w:space="0" w:color="auto"/>
            </w:tcBorders>
            <w:shd w:val="clear" w:color="auto" w:fill="auto"/>
            <w:vAlign w:val="bottom"/>
            <w:hideMark/>
          </w:tcPr>
          <w:p w14:paraId="13B84301"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128,257</w:t>
            </w:r>
          </w:p>
        </w:tc>
        <w:tc>
          <w:tcPr>
            <w:tcW w:w="79" w:type="pct"/>
            <w:tcBorders>
              <w:top w:val="single" w:sz="12" w:space="0" w:color="auto"/>
            </w:tcBorders>
            <w:shd w:val="clear" w:color="auto" w:fill="auto"/>
            <w:vAlign w:val="bottom"/>
            <w:hideMark/>
          </w:tcPr>
          <w:p w14:paraId="1EEF370F"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543241" w:rsidRPr="00D2099E" w14:paraId="0454363B" w14:textId="77777777" w:rsidTr="00F80521">
        <w:tc>
          <w:tcPr>
            <w:tcW w:w="1299" w:type="pct"/>
            <w:shd w:val="clear" w:color="auto" w:fill="auto"/>
            <w:vAlign w:val="bottom"/>
            <w:hideMark/>
          </w:tcPr>
          <w:p w14:paraId="1AEDF59C"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Additions</w:t>
            </w:r>
          </w:p>
        </w:tc>
        <w:tc>
          <w:tcPr>
            <w:tcW w:w="27" w:type="pct"/>
            <w:shd w:val="clear" w:color="auto" w:fill="auto"/>
            <w:vAlign w:val="bottom"/>
            <w:hideMark/>
          </w:tcPr>
          <w:p w14:paraId="35F428A1"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 w:type="pct"/>
            <w:shd w:val="clear" w:color="auto" w:fill="auto"/>
            <w:vAlign w:val="bottom"/>
            <w:hideMark/>
          </w:tcPr>
          <w:p w14:paraId="72C782D9"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shd w:val="clear" w:color="auto" w:fill="auto"/>
            <w:vAlign w:val="bottom"/>
            <w:hideMark/>
          </w:tcPr>
          <w:p w14:paraId="6AF3C148"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36" w:type="pct"/>
            <w:shd w:val="clear" w:color="auto" w:fill="auto"/>
            <w:vAlign w:val="bottom"/>
            <w:hideMark/>
          </w:tcPr>
          <w:p w14:paraId="244ACA23"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7" w:type="pct"/>
            <w:shd w:val="clear" w:color="auto" w:fill="auto"/>
            <w:vAlign w:val="bottom"/>
            <w:hideMark/>
          </w:tcPr>
          <w:p w14:paraId="6439789B"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4" w:type="pct"/>
            <w:shd w:val="clear" w:color="auto" w:fill="auto"/>
            <w:vAlign w:val="bottom"/>
            <w:hideMark/>
          </w:tcPr>
          <w:p w14:paraId="0BD4AEA0"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70" w:type="pct"/>
            <w:shd w:val="clear" w:color="auto" w:fill="auto"/>
            <w:vAlign w:val="bottom"/>
            <w:hideMark/>
          </w:tcPr>
          <w:p w14:paraId="793BDB35"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62" w:type="pct"/>
            <w:shd w:val="clear" w:color="auto" w:fill="auto"/>
            <w:vAlign w:val="bottom"/>
            <w:hideMark/>
          </w:tcPr>
          <w:p w14:paraId="08556B1B"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7" w:type="pct"/>
            <w:shd w:val="clear" w:color="auto" w:fill="auto"/>
            <w:vAlign w:val="bottom"/>
            <w:hideMark/>
          </w:tcPr>
          <w:p w14:paraId="4FFA9F2F"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1" w:type="pct"/>
            <w:shd w:val="clear" w:color="auto" w:fill="auto"/>
            <w:vAlign w:val="bottom"/>
            <w:hideMark/>
          </w:tcPr>
          <w:p w14:paraId="5CB9A6A3"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shd w:val="clear" w:color="auto" w:fill="auto"/>
            <w:vAlign w:val="bottom"/>
            <w:hideMark/>
          </w:tcPr>
          <w:p w14:paraId="593AAFE1"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180,739</w:t>
            </w:r>
          </w:p>
        </w:tc>
        <w:tc>
          <w:tcPr>
            <w:tcW w:w="71" w:type="pct"/>
            <w:shd w:val="clear" w:color="auto" w:fill="auto"/>
            <w:vAlign w:val="bottom"/>
            <w:hideMark/>
          </w:tcPr>
          <w:p w14:paraId="3B7A1D76"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2" w:type="pct"/>
          </w:tcPr>
          <w:p w14:paraId="56C8FFB9"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p>
        </w:tc>
        <w:tc>
          <w:tcPr>
            <w:tcW w:w="150" w:type="pct"/>
          </w:tcPr>
          <w:p w14:paraId="78073D76"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p>
        </w:tc>
        <w:tc>
          <w:tcPr>
            <w:tcW w:w="493" w:type="pct"/>
            <w:shd w:val="clear" w:color="auto" w:fill="auto"/>
            <w:vAlign w:val="bottom"/>
            <w:hideMark/>
          </w:tcPr>
          <w:p w14:paraId="48CDCF3A"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en-US"/>
              </w:rPr>
              <w:t>-</w:t>
            </w:r>
          </w:p>
        </w:tc>
        <w:tc>
          <w:tcPr>
            <w:tcW w:w="113" w:type="pct"/>
          </w:tcPr>
          <w:p w14:paraId="1A93CB8D"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p>
        </w:tc>
        <w:tc>
          <w:tcPr>
            <w:tcW w:w="151" w:type="pct"/>
            <w:shd w:val="clear" w:color="auto" w:fill="auto"/>
            <w:vAlign w:val="bottom"/>
            <w:hideMark/>
          </w:tcPr>
          <w:p w14:paraId="32F48DC8"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54" w:type="pct"/>
            <w:shd w:val="clear" w:color="auto" w:fill="auto"/>
            <w:vAlign w:val="bottom"/>
            <w:hideMark/>
          </w:tcPr>
          <w:p w14:paraId="6AEFF5EA"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180,739</w:t>
            </w:r>
          </w:p>
        </w:tc>
        <w:tc>
          <w:tcPr>
            <w:tcW w:w="79" w:type="pct"/>
            <w:shd w:val="clear" w:color="auto" w:fill="auto"/>
            <w:vAlign w:val="bottom"/>
            <w:hideMark/>
          </w:tcPr>
          <w:p w14:paraId="12B9FE0F"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543241" w:rsidRPr="00D2099E" w14:paraId="1A467E77" w14:textId="77777777" w:rsidTr="00F80521">
        <w:tc>
          <w:tcPr>
            <w:tcW w:w="1299" w:type="pct"/>
            <w:shd w:val="clear" w:color="auto" w:fill="auto"/>
            <w:vAlign w:val="bottom"/>
            <w:hideMark/>
          </w:tcPr>
          <w:p w14:paraId="2DB1326D"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Depreciation</w:t>
            </w:r>
          </w:p>
        </w:tc>
        <w:tc>
          <w:tcPr>
            <w:tcW w:w="27" w:type="pct"/>
            <w:shd w:val="clear" w:color="auto" w:fill="auto"/>
            <w:vAlign w:val="bottom"/>
            <w:hideMark/>
          </w:tcPr>
          <w:p w14:paraId="01E853E5"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 w:type="pct"/>
            <w:shd w:val="clear" w:color="auto" w:fill="auto"/>
            <w:vAlign w:val="bottom"/>
            <w:hideMark/>
          </w:tcPr>
          <w:p w14:paraId="48E738EE"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shd w:val="clear" w:color="auto" w:fill="auto"/>
            <w:vAlign w:val="bottom"/>
            <w:hideMark/>
          </w:tcPr>
          <w:p w14:paraId="697FD9E7"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6,920</w:t>
            </w:r>
          </w:p>
        </w:tc>
        <w:tc>
          <w:tcPr>
            <w:tcW w:w="36" w:type="pct"/>
            <w:shd w:val="clear" w:color="auto" w:fill="auto"/>
            <w:vAlign w:val="bottom"/>
            <w:hideMark/>
          </w:tcPr>
          <w:p w14:paraId="68D762C9"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27" w:type="pct"/>
            <w:shd w:val="clear" w:color="auto" w:fill="auto"/>
            <w:vAlign w:val="bottom"/>
            <w:hideMark/>
          </w:tcPr>
          <w:p w14:paraId="29F59A21"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4" w:type="pct"/>
            <w:shd w:val="clear" w:color="auto" w:fill="auto"/>
            <w:vAlign w:val="bottom"/>
            <w:hideMark/>
          </w:tcPr>
          <w:p w14:paraId="4E26A70C"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70" w:type="pct"/>
            <w:shd w:val="clear" w:color="auto" w:fill="auto"/>
            <w:vAlign w:val="bottom"/>
            <w:hideMark/>
          </w:tcPr>
          <w:p w14:paraId="3BE36701"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12,355</w:t>
            </w:r>
          </w:p>
        </w:tc>
        <w:tc>
          <w:tcPr>
            <w:tcW w:w="62" w:type="pct"/>
            <w:shd w:val="clear" w:color="auto" w:fill="auto"/>
            <w:vAlign w:val="bottom"/>
            <w:hideMark/>
          </w:tcPr>
          <w:p w14:paraId="1DF35D91"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27" w:type="pct"/>
            <w:shd w:val="clear" w:color="auto" w:fill="auto"/>
            <w:vAlign w:val="bottom"/>
            <w:hideMark/>
          </w:tcPr>
          <w:p w14:paraId="1C59531A"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1" w:type="pct"/>
            <w:shd w:val="clear" w:color="auto" w:fill="auto"/>
            <w:vAlign w:val="bottom"/>
            <w:hideMark/>
          </w:tcPr>
          <w:p w14:paraId="29D5D49A"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shd w:val="clear" w:color="auto" w:fill="auto"/>
            <w:vAlign w:val="bottom"/>
            <w:hideMark/>
          </w:tcPr>
          <w:p w14:paraId="0B49EEB7"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12,493</w:t>
            </w:r>
          </w:p>
        </w:tc>
        <w:tc>
          <w:tcPr>
            <w:tcW w:w="71" w:type="pct"/>
            <w:shd w:val="clear" w:color="auto" w:fill="auto"/>
            <w:vAlign w:val="bottom"/>
            <w:hideMark/>
          </w:tcPr>
          <w:p w14:paraId="2E57A2FF"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72" w:type="pct"/>
          </w:tcPr>
          <w:p w14:paraId="7314D32C"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p>
        </w:tc>
        <w:tc>
          <w:tcPr>
            <w:tcW w:w="150" w:type="pct"/>
          </w:tcPr>
          <w:p w14:paraId="00F62437"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p>
        </w:tc>
        <w:tc>
          <w:tcPr>
            <w:tcW w:w="493" w:type="pct"/>
            <w:shd w:val="clear" w:color="auto" w:fill="auto"/>
            <w:vAlign w:val="bottom"/>
            <w:hideMark/>
          </w:tcPr>
          <w:p w14:paraId="7DD814BD"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en-US"/>
              </w:rPr>
              <w:t>-</w:t>
            </w:r>
          </w:p>
        </w:tc>
        <w:tc>
          <w:tcPr>
            <w:tcW w:w="113" w:type="pct"/>
          </w:tcPr>
          <w:p w14:paraId="65A090CB"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p>
        </w:tc>
        <w:tc>
          <w:tcPr>
            <w:tcW w:w="151" w:type="pct"/>
            <w:shd w:val="clear" w:color="auto" w:fill="auto"/>
            <w:vAlign w:val="bottom"/>
            <w:hideMark/>
          </w:tcPr>
          <w:p w14:paraId="5BDFA3F8"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54" w:type="pct"/>
            <w:shd w:val="clear" w:color="auto" w:fill="auto"/>
            <w:vAlign w:val="bottom"/>
            <w:hideMark/>
          </w:tcPr>
          <w:p w14:paraId="2DA25456"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31,768</w:t>
            </w:r>
          </w:p>
        </w:tc>
        <w:tc>
          <w:tcPr>
            <w:tcW w:w="79" w:type="pct"/>
            <w:shd w:val="clear" w:color="auto" w:fill="auto"/>
            <w:vAlign w:val="bottom"/>
            <w:hideMark/>
          </w:tcPr>
          <w:p w14:paraId="478A28A8"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r>
      <w:tr w:rsidR="00543241" w:rsidRPr="00D2099E" w14:paraId="78228549" w14:textId="77777777" w:rsidTr="00F80521">
        <w:tc>
          <w:tcPr>
            <w:tcW w:w="1299" w:type="pct"/>
            <w:shd w:val="clear" w:color="auto" w:fill="auto"/>
            <w:vAlign w:val="bottom"/>
            <w:hideMark/>
          </w:tcPr>
          <w:p w14:paraId="1D6E4F02"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Disposals</w:t>
            </w:r>
          </w:p>
        </w:tc>
        <w:tc>
          <w:tcPr>
            <w:tcW w:w="27" w:type="pct"/>
            <w:shd w:val="clear" w:color="auto" w:fill="auto"/>
            <w:vAlign w:val="bottom"/>
            <w:hideMark/>
          </w:tcPr>
          <w:p w14:paraId="2BD9C6E9"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 w:type="pct"/>
            <w:shd w:val="clear" w:color="auto" w:fill="auto"/>
            <w:vAlign w:val="bottom"/>
            <w:hideMark/>
          </w:tcPr>
          <w:p w14:paraId="5CB0A18C"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shd w:val="clear" w:color="auto" w:fill="auto"/>
            <w:vAlign w:val="bottom"/>
            <w:hideMark/>
          </w:tcPr>
          <w:p w14:paraId="7F326DF1"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36" w:type="pct"/>
            <w:shd w:val="clear" w:color="auto" w:fill="auto"/>
            <w:vAlign w:val="bottom"/>
            <w:hideMark/>
          </w:tcPr>
          <w:p w14:paraId="4CB0C0F1"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7" w:type="pct"/>
            <w:shd w:val="clear" w:color="auto" w:fill="auto"/>
            <w:vAlign w:val="bottom"/>
            <w:hideMark/>
          </w:tcPr>
          <w:p w14:paraId="33E6CA46"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4" w:type="pct"/>
            <w:shd w:val="clear" w:color="auto" w:fill="auto"/>
            <w:vAlign w:val="bottom"/>
            <w:hideMark/>
          </w:tcPr>
          <w:p w14:paraId="37EAA869"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70" w:type="pct"/>
            <w:shd w:val="clear" w:color="auto" w:fill="auto"/>
            <w:vAlign w:val="bottom"/>
            <w:hideMark/>
          </w:tcPr>
          <w:p w14:paraId="404B9AD6"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62" w:type="pct"/>
            <w:shd w:val="clear" w:color="auto" w:fill="auto"/>
            <w:vAlign w:val="bottom"/>
            <w:hideMark/>
          </w:tcPr>
          <w:p w14:paraId="2F7FE3A7"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7" w:type="pct"/>
            <w:shd w:val="clear" w:color="auto" w:fill="auto"/>
            <w:vAlign w:val="bottom"/>
            <w:hideMark/>
          </w:tcPr>
          <w:p w14:paraId="584D4453"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1" w:type="pct"/>
            <w:shd w:val="clear" w:color="auto" w:fill="auto"/>
            <w:vAlign w:val="bottom"/>
            <w:hideMark/>
          </w:tcPr>
          <w:p w14:paraId="27430902"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shd w:val="clear" w:color="auto" w:fill="auto"/>
            <w:vAlign w:val="bottom"/>
            <w:hideMark/>
          </w:tcPr>
          <w:p w14:paraId="51BD57EF"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65,016</w:t>
            </w:r>
          </w:p>
        </w:tc>
        <w:tc>
          <w:tcPr>
            <w:tcW w:w="71" w:type="pct"/>
            <w:shd w:val="clear" w:color="auto" w:fill="auto"/>
            <w:vAlign w:val="bottom"/>
            <w:hideMark/>
          </w:tcPr>
          <w:p w14:paraId="67E34D3B"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2" w:type="pct"/>
          </w:tcPr>
          <w:p w14:paraId="1616AF5F"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p>
        </w:tc>
        <w:tc>
          <w:tcPr>
            <w:tcW w:w="150" w:type="pct"/>
          </w:tcPr>
          <w:p w14:paraId="7F52884E"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p>
        </w:tc>
        <w:tc>
          <w:tcPr>
            <w:tcW w:w="493" w:type="pct"/>
            <w:shd w:val="clear" w:color="auto" w:fill="auto"/>
            <w:vAlign w:val="bottom"/>
            <w:hideMark/>
          </w:tcPr>
          <w:p w14:paraId="1C440C67"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en-US"/>
              </w:rPr>
              <w:t>-</w:t>
            </w:r>
          </w:p>
        </w:tc>
        <w:tc>
          <w:tcPr>
            <w:tcW w:w="113" w:type="pct"/>
          </w:tcPr>
          <w:p w14:paraId="799C8CD4"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p>
        </w:tc>
        <w:tc>
          <w:tcPr>
            <w:tcW w:w="151" w:type="pct"/>
            <w:shd w:val="clear" w:color="auto" w:fill="auto"/>
            <w:vAlign w:val="bottom"/>
            <w:hideMark/>
          </w:tcPr>
          <w:p w14:paraId="05D390D0"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54" w:type="pct"/>
            <w:shd w:val="clear" w:color="auto" w:fill="auto"/>
            <w:vAlign w:val="bottom"/>
            <w:hideMark/>
          </w:tcPr>
          <w:p w14:paraId="20672F57"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65,016</w:t>
            </w:r>
          </w:p>
        </w:tc>
        <w:tc>
          <w:tcPr>
            <w:tcW w:w="79" w:type="pct"/>
            <w:shd w:val="clear" w:color="auto" w:fill="auto"/>
            <w:vAlign w:val="bottom"/>
            <w:hideMark/>
          </w:tcPr>
          <w:p w14:paraId="318FE3CA"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543241" w:rsidRPr="00D2099E" w14:paraId="59B00E38" w14:textId="77777777" w:rsidTr="00F80521">
        <w:tc>
          <w:tcPr>
            <w:tcW w:w="1299" w:type="pct"/>
            <w:shd w:val="clear" w:color="auto" w:fill="auto"/>
            <w:tcMar>
              <w:top w:w="0" w:type="dxa"/>
              <w:left w:w="0" w:type="dxa"/>
              <w:bottom w:w="30" w:type="dxa"/>
              <w:right w:w="0" w:type="dxa"/>
            </w:tcMar>
            <w:vAlign w:val="bottom"/>
            <w:hideMark/>
          </w:tcPr>
          <w:p w14:paraId="5F60379B"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Foreign currency translation change</w:t>
            </w:r>
          </w:p>
        </w:tc>
        <w:tc>
          <w:tcPr>
            <w:tcW w:w="27" w:type="pct"/>
            <w:shd w:val="clear" w:color="auto" w:fill="auto"/>
            <w:tcMar>
              <w:top w:w="0" w:type="dxa"/>
              <w:left w:w="0" w:type="dxa"/>
              <w:bottom w:w="30" w:type="dxa"/>
              <w:right w:w="0" w:type="dxa"/>
            </w:tcMar>
            <w:vAlign w:val="bottom"/>
            <w:hideMark/>
          </w:tcPr>
          <w:p w14:paraId="09421957"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 w:type="pct"/>
            <w:tcBorders>
              <w:bottom w:val="single" w:sz="12" w:space="0" w:color="000000"/>
            </w:tcBorders>
            <w:shd w:val="clear" w:color="auto" w:fill="auto"/>
            <w:vAlign w:val="bottom"/>
            <w:hideMark/>
          </w:tcPr>
          <w:p w14:paraId="47D2E4E3"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tcBorders>
              <w:bottom w:val="single" w:sz="12" w:space="0" w:color="000000"/>
            </w:tcBorders>
            <w:shd w:val="clear" w:color="auto" w:fill="auto"/>
            <w:vAlign w:val="bottom"/>
            <w:hideMark/>
          </w:tcPr>
          <w:p w14:paraId="00A3C0D8"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15,504</w:t>
            </w:r>
          </w:p>
        </w:tc>
        <w:tc>
          <w:tcPr>
            <w:tcW w:w="36" w:type="pct"/>
            <w:shd w:val="clear" w:color="auto" w:fill="auto"/>
            <w:tcMar>
              <w:top w:w="0" w:type="dxa"/>
              <w:left w:w="0" w:type="dxa"/>
              <w:bottom w:w="30" w:type="dxa"/>
              <w:right w:w="0" w:type="dxa"/>
            </w:tcMar>
            <w:vAlign w:val="bottom"/>
            <w:hideMark/>
          </w:tcPr>
          <w:p w14:paraId="2529D2EC"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27" w:type="pct"/>
            <w:shd w:val="clear" w:color="auto" w:fill="auto"/>
            <w:tcMar>
              <w:top w:w="0" w:type="dxa"/>
              <w:left w:w="0" w:type="dxa"/>
              <w:bottom w:w="30" w:type="dxa"/>
              <w:right w:w="0" w:type="dxa"/>
            </w:tcMar>
            <w:vAlign w:val="bottom"/>
            <w:hideMark/>
          </w:tcPr>
          <w:p w14:paraId="508D60E8"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4" w:type="pct"/>
            <w:tcBorders>
              <w:bottom w:val="single" w:sz="12" w:space="0" w:color="000000"/>
            </w:tcBorders>
            <w:shd w:val="clear" w:color="auto" w:fill="auto"/>
            <w:vAlign w:val="bottom"/>
            <w:hideMark/>
          </w:tcPr>
          <w:p w14:paraId="5ACB79F6"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70" w:type="pct"/>
            <w:tcBorders>
              <w:bottom w:val="single" w:sz="12" w:space="0" w:color="000000"/>
            </w:tcBorders>
            <w:shd w:val="clear" w:color="auto" w:fill="auto"/>
            <w:vAlign w:val="bottom"/>
            <w:hideMark/>
          </w:tcPr>
          <w:p w14:paraId="4B12B413"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(32,559</w:t>
            </w:r>
          </w:p>
        </w:tc>
        <w:tc>
          <w:tcPr>
            <w:tcW w:w="62" w:type="pct"/>
            <w:shd w:val="clear" w:color="auto" w:fill="auto"/>
            <w:tcMar>
              <w:top w:w="0" w:type="dxa"/>
              <w:left w:w="0" w:type="dxa"/>
              <w:bottom w:w="30" w:type="dxa"/>
              <w:right w:w="0" w:type="dxa"/>
            </w:tcMar>
            <w:vAlign w:val="bottom"/>
            <w:hideMark/>
          </w:tcPr>
          <w:p w14:paraId="27931159"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 </w:t>
            </w:r>
          </w:p>
        </w:tc>
        <w:tc>
          <w:tcPr>
            <w:tcW w:w="27" w:type="pct"/>
            <w:shd w:val="clear" w:color="auto" w:fill="auto"/>
            <w:tcMar>
              <w:top w:w="0" w:type="dxa"/>
              <w:left w:w="0" w:type="dxa"/>
              <w:bottom w:w="30" w:type="dxa"/>
              <w:right w:w="0" w:type="dxa"/>
            </w:tcMar>
            <w:vAlign w:val="bottom"/>
            <w:hideMark/>
          </w:tcPr>
          <w:p w14:paraId="500D5202"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1" w:type="pct"/>
            <w:tcBorders>
              <w:bottom w:val="single" w:sz="12" w:space="0" w:color="000000"/>
            </w:tcBorders>
            <w:shd w:val="clear" w:color="auto" w:fill="auto"/>
            <w:vAlign w:val="bottom"/>
            <w:hideMark/>
          </w:tcPr>
          <w:p w14:paraId="2A0FE5ED"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tcBorders>
              <w:bottom w:val="single" w:sz="12" w:space="0" w:color="000000"/>
            </w:tcBorders>
            <w:shd w:val="clear" w:color="auto" w:fill="auto"/>
            <w:vAlign w:val="bottom"/>
            <w:hideMark/>
          </w:tcPr>
          <w:p w14:paraId="3EF48EB6"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(17,015</w:t>
            </w:r>
          </w:p>
        </w:tc>
        <w:tc>
          <w:tcPr>
            <w:tcW w:w="71" w:type="pct"/>
            <w:shd w:val="clear" w:color="auto" w:fill="auto"/>
            <w:tcMar>
              <w:top w:w="0" w:type="dxa"/>
              <w:left w:w="0" w:type="dxa"/>
              <w:bottom w:w="30" w:type="dxa"/>
              <w:right w:w="0" w:type="dxa"/>
            </w:tcMar>
            <w:vAlign w:val="bottom"/>
            <w:hideMark/>
          </w:tcPr>
          <w:p w14:paraId="4713BF3F"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 </w:t>
            </w:r>
          </w:p>
        </w:tc>
        <w:tc>
          <w:tcPr>
            <w:tcW w:w="72" w:type="pct"/>
          </w:tcPr>
          <w:p w14:paraId="5B9CB9A3"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p>
        </w:tc>
        <w:tc>
          <w:tcPr>
            <w:tcW w:w="150" w:type="pct"/>
            <w:tcBorders>
              <w:bottom w:val="single" w:sz="12" w:space="0" w:color="auto"/>
            </w:tcBorders>
          </w:tcPr>
          <w:p w14:paraId="268A95AE"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p>
        </w:tc>
        <w:tc>
          <w:tcPr>
            <w:tcW w:w="493" w:type="pct"/>
            <w:tcBorders>
              <w:bottom w:val="single" w:sz="12" w:space="0" w:color="auto"/>
            </w:tcBorders>
            <w:shd w:val="clear" w:color="auto" w:fill="auto"/>
            <w:tcMar>
              <w:top w:w="0" w:type="dxa"/>
              <w:left w:w="0" w:type="dxa"/>
              <w:bottom w:w="30" w:type="dxa"/>
              <w:right w:w="0" w:type="dxa"/>
            </w:tcMar>
            <w:vAlign w:val="bottom"/>
            <w:hideMark/>
          </w:tcPr>
          <w:p w14:paraId="2D9D0A88"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Pr>
                <w:rFonts w:ascii="Times New Roman" w:eastAsia="Times New Roman" w:hAnsi="Times New Roman" w:cs="Times New Roman"/>
                <w:sz w:val="20"/>
                <w:szCs w:val="20"/>
                <w:lang w:val="en-US"/>
              </w:rPr>
              <w:t>-</w:t>
            </w:r>
          </w:p>
        </w:tc>
        <w:tc>
          <w:tcPr>
            <w:tcW w:w="113" w:type="pct"/>
          </w:tcPr>
          <w:p w14:paraId="7CA9C078"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p>
        </w:tc>
        <w:tc>
          <w:tcPr>
            <w:tcW w:w="151" w:type="pct"/>
            <w:tcBorders>
              <w:bottom w:val="single" w:sz="12" w:space="0" w:color="auto"/>
            </w:tcBorders>
            <w:shd w:val="clear" w:color="auto" w:fill="auto"/>
            <w:vAlign w:val="bottom"/>
            <w:hideMark/>
          </w:tcPr>
          <w:p w14:paraId="1749BD39"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54" w:type="pct"/>
            <w:tcBorders>
              <w:bottom w:val="single" w:sz="12" w:space="0" w:color="auto"/>
            </w:tcBorders>
            <w:shd w:val="clear" w:color="auto" w:fill="auto"/>
            <w:vAlign w:val="bottom"/>
            <w:hideMark/>
          </w:tcPr>
          <w:p w14:paraId="02ECF07A" w14:textId="77777777" w:rsidR="00543241" w:rsidRPr="00D2099E" w:rsidRDefault="00543241" w:rsidP="00F8052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65,078</w:t>
            </w:r>
          </w:p>
        </w:tc>
        <w:tc>
          <w:tcPr>
            <w:tcW w:w="79" w:type="pct"/>
            <w:tcBorders>
              <w:bottom w:val="single" w:sz="12" w:space="0" w:color="auto"/>
            </w:tcBorders>
            <w:shd w:val="clear" w:color="auto" w:fill="auto"/>
            <w:tcMar>
              <w:top w:w="0" w:type="dxa"/>
              <w:left w:w="0" w:type="dxa"/>
              <w:bottom w:w="30" w:type="dxa"/>
              <w:right w:w="0" w:type="dxa"/>
            </w:tcMar>
            <w:vAlign w:val="bottom"/>
            <w:hideMark/>
          </w:tcPr>
          <w:p w14:paraId="56D237B5"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r>
      <w:tr w:rsidR="00543241" w:rsidRPr="00D2099E" w14:paraId="0A6CB8E4" w14:textId="77777777" w:rsidTr="00F80521">
        <w:tc>
          <w:tcPr>
            <w:tcW w:w="1299" w:type="pct"/>
            <w:shd w:val="clear" w:color="auto" w:fill="auto"/>
            <w:tcMar>
              <w:top w:w="0" w:type="dxa"/>
              <w:left w:w="0" w:type="dxa"/>
              <w:bottom w:w="30" w:type="dxa"/>
              <w:right w:w="0" w:type="dxa"/>
            </w:tcMar>
            <w:vAlign w:val="bottom"/>
            <w:hideMark/>
          </w:tcPr>
          <w:p w14:paraId="521E67AA"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December 31, 2021</w:t>
            </w:r>
          </w:p>
        </w:tc>
        <w:tc>
          <w:tcPr>
            <w:tcW w:w="27" w:type="pct"/>
            <w:shd w:val="clear" w:color="auto" w:fill="auto"/>
            <w:tcMar>
              <w:top w:w="0" w:type="dxa"/>
              <w:left w:w="0" w:type="dxa"/>
              <w:bottom w:w="30" w:type="dxa"/>
              <w:right w:w="0" w:type="dxa"/>
            </w:tcMar>
            <w:vAlign w:val="bottom"/>
            <w:hideMark/>
          </w:tcPr>
          <w:p w14:paraId="737BBF1E"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80" w:type="pct"/>
            <w:shd w:val="clear" w:color="auto" w:fill="auto"/>
            <w:vAlign w:val="bottom"/>
            <w:hideMark/>
          </w:tcPr>
          <w:p w14:paraId="6D5FE459"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62" w:type="pct"/>
            <w:shd w:val="clear" w:color="auto" w:fill="auto"/>
            <w:vAlign w:val="bottom"/>
            <w:hideMark/>
          </w:tcPr>
          <w:p w14:paraId="12C80D51"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17,385</w:t>
            </w:r>
          </w:p>
        </w:tc>
        <w:tc>
          <w:tcPr>
            <w:tcW w:w="36" w:type="pct"/>
            <w:shd w:val="clear" w:color="auto" w:fill="auto"/>
            <w:tcMar>
              <w:top w:w="0" w:type="dxa"/>
              <w:left w:w="0" w:type="dxa"/>
              <w:bottom w:w="30" w:type="dxa"/>
              <w:right w:w="0" w:type="dxa"/>
            </w:tcMar>
            <w:vAlign w:val="bottom"/>
            <w:hideMark/>
          </w:tcPr>
          <w:p w14:paraId="1FB38DF5"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27" w:type="pct"/>
            <w:shd w:val="clear" w:color="auto" w:fill="auto"/>
            <w:tcMar>
              <w:top w:w="0" w:type="dxa"/>
              <w:left w:w="0" w:type="dxa"/>
              <w:bottom w:w="30" w:type="dxa"/>
              <w:right w:w="0" w:type="dxa"/>
            </w:tcMar>
            <w:vAlign w:val="bottom"/>
            <w:hideMark/>
          </w:tcPr>
          <w:p w14:paraId="4659A5F4"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84" w:type="pct"/>
            <w:shd w:val="clear" w:color="auto" w:fill="auto"/>
            <w:vAlign w:val="bottom"/>
            <w:hideMark/>
          </w:tcPr>
          <w:p w14:paraId="78405316"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70" w:type="pct"/>
            <w:shd w:val="clear" w:color="auto" w:fill="auto"/>
            <w:vAlign w:val="bottom"/>
            <w:hideMark/>
          </w:tcPr>
          <w:p w14:paraId="56C05DD7"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23,341</w:t>
            </w:r>
          </w:p>
        </w:tc>
        <w:tc>
          <w:tcPr>
            <w:tcW w:w="62" w:type="pct"/>
            <w:shd w:val="clear" w:color="auto" w:fill="auto"/>
            <w:tcMar>
              <w:top w:w="0" w:type="dxa"/>
              <w:left w:w="0" w:type="dxa"/>
              <w:bottom w:w="30" w:type="dxa"/>
              <w:right w:w="0" w:type="dxa"/>
            </w:tcMar>
            <w:vAlign w:val="bottom"/>
            <w:hideMark/>
          </w:tcPr>
          <w:p w14:paraId="2CDCDBD8"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27" w:type="pct"/>
            <w:shd w:val="clear" w:color="auto" w:fill="auto"/>
            <w:tcMar>
              <w:top w:w="0" w:type="dxa"/>
              <w:left w:w="0" w:type="dxa"/>
              <w:bottom w:w="30" w:type="dxa"/>
              <w:right w:w="0" w:type="dxa"/>
            </w:tcMar>
            <w:vAlign w:val="bottom"/>
            <w:hideMark/>
          </w:tcPr>
          <w:p w14:paraId="2FEAC609"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81" w:type="pct"/>
            <w:shd w:val="clear" w:color="auto" w:fill="auto"/>
            <w:vAlign w:val="bottom"/>
            <w:hideMark/>
          </w:tcPr>
          <w:p w14:paraId="5CBC1591"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562" w:type="pct"/>
            <w:shd w:val="clear" w:color="auto" w:fill="auto"/>
            <w:vAlign w:val="bottom"/>
            <w:hideMark/>
          </w:tcPr>
          <w:p w14:paraId="369454C3"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106,408</w:t>
            </w:r>
          </w:p>
        </w:tc>
        <w:tc>
          <w:tcPr>
            <w:tcW w:w="71" w:type="pct"/>
            <w:shd w:val="clear" w:color="auto" w:fill="auto"/>
            <w:tcMar>
              <w:top w:w="0" w:type="dxa"/>
              <w:left w:w="0" w:type="dxa"/>
              <w:bottom w:w="30" w:type="dxa"/>
              <w:right w:w="0" w:type="dxa"/>
            </w:tcMar>
            <w:vAlign w:val="bottom"/>
            <w:hideMark/>
          </w:tcPr>
          <w:p w14:paraId="738484B1"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72" w:type="pct"/>
          </w:tcPr>
          <w:p w14:paraId="3DE381EC" w14:textId="77777777" w:rsidR="00543241" w:rsidRDefault="00543241" w:rsidP="00F80521">
            <w:pPr>
              <w:spacing w:after="0" w:line="240" w:lineRule="auto"/>
              <w:jc w:val="both"/>
              <w:rPr>
                <w:rFonts w:ascii="Times New Roman" w:eastAsia="Times New Roman" w:hAnsi="Times New Roman" w:cs="Times New Roman"/>
                <w:b/>
                <w:bCs/>
                <w:sz w:val="20"/>
                <w:szCs w:val="20"/>
                <w:lang w:val="en-US"/>
              </w:rPr>
            </w:pPr>
          </w:p>
        </w:tc>
        <w:tc>
          <w:tcPr>
            <w:tcW w:w="150" w:type="pct"/>
            <w:tcBorders>
              <w:top w:val="single" w:sz="12" w:space="0" w:color="auto"/>
            </w:tcBorders>
          </w:tcPr>
          <w:p w14:paraId="5BFC0BE1"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493" w:type="pct"/>
            <w:tcBorders>
              <w:top w:val="single" w:sz="12" w:space="0" w:color="auto"/>
            </w:tcBorders>
            <w:shd w:val="clear" w:color="auto" w:fill="auto"/>
            <w:tcMar>
              <w:top w:w="0" w:type="dxa"/>
              <w:left w:w="0" w:type="dxa"/>
              <w:bottom w:w="30" w:type="dxa"/>
              <w:right w:w="0" w:type="dxa"/>
            </w:tcMar>
            <w:vAlign w:val="bottom"/>
            <w:hideMark/>
          </w:tcPr>
          <w:p w14:paraId="6F60AC13"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r>
              <w:rPr>
                <w:rFonts w:ascii="Times New Roman" w:eastAsia="Times New Roman" w:hAnsi="Times New Roman" w:cs="Times New Roman"/>
                <w:b/>
                <w:bCs/>
                <w:sz w:val="20"/>
                <w:szCs w:val="20"/>
                <w:lang w:val="en-US"/>
              </w:rPr>
              <w:t>-</w:t>
            </w:r>
          </w:p>
        </w:tc>
        <w:tc>
          <w:tcPr>
            <w:tcW w:w="113" w:type="pct"/>
          </w:tcPr>
          <w:p w14:paraId="6AB63FF9"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p>
        </w:tc>
        <w:tc>
          <w:tcPr>
            <w:tcW w:w="151" w:type="pct"/>
            <w:tcBorders>
              <w:top w:val="single" w:sz="12" w:space="0" w:color="auto"/>
            </w:tcBorders>
            <w:shd w:val="clear" w:color="auto" w:fill="auto"/>
            <w:vAlign w:val="bottom"/>
            <w:hideMark/>
          </w:tcPr>
          <w:p w14:paraId="6CC12306"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454" w:type="pct"/>
            <w:tcBorders>
              <w:top w:val="single" w:sz="12" w:space="0" w:color="auto"/>
            </w:tcBorders>
            <w:shd w:val="clear" w:color="auto" w:fill="auto"/>
            <w:vAlign w:val="bottom"/>
            <w:hideMark/>
          </w:tcPr>
          <w:p w14:paraId="486988C7" w14:textId="77777777" w:rsidR="00543241" w:rsidRPr="00D33273" w:rsidRDefault="00543241" w:rsidP="00F8052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147,134</w:t>
            </w:r>
          </w:p>
        </w:tc>
        <w:tc>
          <w:tcPr>
            <w:tcW w:w="79" w:type="pct"/>
            <w:tcBorders>
              <w:top w:val="single" w:sz="12" w:space="0" w:color="auto"/>
            </w:tcBorders>
            <w:shd w:val="clear" w:color="auto" w:fill="auto"/>
            <w:tcMar>
              <w:top w:w="0" w:type="dxa"/>
              <w:left w:w="0" w:type="dxa"/>
              <w:bottom w:w="30" w:type="dxa"/>
              <w:right w:w="0" w:type="dxa"/>
            </w:tcMar>
            <w:vAlign w:val="bottom"/>
            <w:hideMark/>
          </w:tcPr>
          <w:p w14:paraId="13B10DD7"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543241" w:rsidRPr="00D2099E" w14:paraId="4A1CDAEA" w14:textId="77777777" w:rsidTr="00F80521">
        <w:tc>
          <w:tcPr>
            <w:tcW w:w="1299" w:type="pct"/>
            <w:shd w:val="clear" w:color="auto" w:fill="auto"/>
            <w:vAlign w:val="bottom"/>
            <w:hideMark/>
          </w:tcPr>
          <w:p w14:paraId="07FDB6C2"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Additions</w:t>
            </w:r>
          </w:p>
        </w:tc>
        <w:tc>
          <w:tcPr>
            <w:tcW w:w="27" w:type="pct"/>
            <w:shd w:val="clear" w:color="auto" w:fill="auto"/>
            <w:vAlign w:val="bottom"/>
            <w:hideMark/>
          </w:tcPr>
          <w:p w14:paraId="2B58DF3C"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 w:type="pct"/>
            <w:shd w:val="clear" w:color="auto" w:fill="auto"/>
            <w:vAlign w:val="bottom"/>
            <w:hideMark/>
          </w:tcPr>
          <w:p w14:paraId="0B78C177"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shd w:val="clear" w:color="auto" w:fill="auto"/>
            <w:vAlign w:val="bottom"/>
          </w:tcPr>
          <w:p w14:paraId="32A29C57"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36" w:type="pct"/>
            <w:shd w:val="clear" w:color="auto" w:fill="auto"/>
            <w:vAlign w:val="bottom"/>
          </w:tcPr>
          <w:p w14:paraId="23549298"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27" w:type="pct"/>
            <w:shd w:val="clear" w:color="auto" w:fill="auto"/>
            <w:vAlign w:val="bottom"/>
          </w:tcPr>
          <w:p w14:paraId="7E8894A7"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84" w:type="pct"/>
            <w:shd w:val="clear" w:color="auto" w:fill="auto"/>
            <w:vAlign w:val="bottom"/>
          </w:tcPr>
          <w:p w14:paraId="58BBB6CA"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570" w:type="pct"/>
            <w:shd w:val="clear" w:color="auto" w:fill="auto"/>
            <w:vAlign w:val="bottom"/>
          </w:tcPr>
          <w:p w14:paraId="3460416B"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17,588</w:t>
            </w:r>
          </w:p>
        </w:tc>
        <w:tc>
          <w:tcPr>
            <w:tcW w:w="62" w:type="pct"/>
            <w:shd w:val="clear" w:color="auto" w:fill="auto"/>
            <w:vAlign w:val="bottom"/>
          </w:tcPr>
          <w:p w14:paraId="6BBA7E22"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27" w:type="pct"/>
            <w:shd w:val="clear" w:color="auto" w:fill="auto"/>
            <w:vAlign w:val="bottom"/>
          </w:tcPr>
          <w:p w14:paraId="6C85DD81"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81" w:type="pct"/>
            <w:shd w:val="clear" w:color="auto" w:fill="auto"/>
            <w:vAlign w:val="bottom"/>
          </w:tcPr>
          <w:p w14:paraId="668F8124"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562" w:type="pct"/>
            <w:shd w:val="clear" w:color="auto" w:fill="auto"/>
            <w:vAlign w:val="bottom"/>
          </w:tcPr>
          <w:p w14:paraId="2A5A35D8"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136,786</w:t>
            </w:r>
          </w:p>
        </w:tc>
        <w:tc>
          <w:tcPr>
            <w:tcW w:w="71" w:type="pct"/>
            <w:shd w:val="clear" w:color="auto" w:fill="auto"/>
            <w:vAlign w:val="bottom"/>
          </w:tcPr>
          <w:p w14:paraId="61D06B4B"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72" w:type="pct"/>
          </w:tcPr>
          <w:p w14:paraId="13B1158F"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150" w:type="pct"/>
          </w:tcPr>
          <w:p w14:paraId="0B94C55A"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p>
        </w:tc>
        <w:tc>
          <w:tcPr>
            <w:tcW w:w="493" w:type="pct"/>
            <w:shd w:val="clear" w:color="auto" w:fill="auto"/>
            <w:vAlign w:val="bottom"/>
          </w:tcPr>
          <w:p w14:paraId="6563BC39"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5,629</w:t>
            </w:r>
          </w:p>
        </w:tc>
        <w:tc>
          <w:tcPr>
            <w:tcW w:w="113" w:type="pct"/>
          </w:tcPr>
          <w:p w14:paraId="3E38CF31"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151" w:type="pct"/>
            <w:shd w:val="clear" w:color="auto" w:fill="auto"/>
            <w:vAlign w:val="bottom"/>
          </w:tcPr>
          <w:p w14:paraId="247167A4"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p>
        </w:tc>
        <w:tc>
          <w:tcPr>
            <w:tcW w:w="454" w:type="pct"/>
            <w:shd w:val="clear" w:color="auto" w:fill="auto"/>
            <w:vAlign w:val="bottom"/>
          </w:tcPr>
          <w:p w14:paraId="2DA1B414"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160,003</w:t>
            </w:r>
          </w:p>
        </w:tc>
        <w:tc>
          <w:tcPr>
            <w:tcW w:w="79" w:type="pct"/>
            <w:shd w:val="clear" w:color="auto" w:fill="auto"/>
            <w:vAlign w:val="bottom"/>
          </w:tcPr>
          <w:p w14:paraId="2F863144" w14:textId="77777777" w:rsidR="00543241" w:rsidRPr="00443996" w:rsidRDefault="00543241" w:rsidP="00F80521">
            <w:pPr>
              <w:spacing w:after="0" w:line="240" w:lineRule="auto"/>
              <w:jc w:val="both"/>
              <w:rPr>
                <w:rFonts w:ascii="Times New Roman" w:eastAsia="Times New Roman" w:hAnsi="Times New Roman" w:cs="Times New Roman"/>
                <w:sz w:val="20"/>
                <w:szCs w:val="20"/>
                <w:lang w:val="en-US"/>
              </w:rPr>
            </w:pPr>
          </w:p>
        </w:tc>
      </w:tr>
      <w:tr w:rsidR="00543241" w:rsidRPr="00D2099E" w14:paraId="1FB3FFE0" w14:textId="77777777" w:rsidTr="00F80521">
        <w:tc>
          <w:tcPr>
            <w:tcW w:w="1299" w:type="pct"/>
            <w:shd w:val="clear" w:color="auto" w:fill="auto"/>
            <w:vAlign w:val="bottom"/>
            <w:hideMark/>
          </w:tcPr>
          <w:p w14:paraId="50071B59"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Depreciation</w:t>
            </w:r>
          </w:p>
        </w:tc>
        <w:tc>
          <w:tcPr>
            <w:tcW w:w="27" w:type="pct"/>
            <w:shd w:val="clear" w:color="auto" w:fill="auto"/>
            <w:vAlign w:val="bottom"/>
            <w:hideMark/>
          </w:tcPr>
          <w:p w14:paraId="3BB10517"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 w:type="pct"/>
            <w:shd w:val="clear" w:color="auto" w:fill="auto"/>
            <w:vAlign w:val="bottom"/>
            <w:hideMark/>
          </w:tcPr>
          <w:p w14:paraId="111D2271"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shd w:val="clear" w:color="auto" w:fill="auto"/>
            <w:vAlign w:val="bottom"/>
          </w:tcPr>
          <w:p w14:paraId="25BF0FC9"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2,438</w:t>
            </w:r>
          </w:p>
        </w:tc>
        <w:tc>
          <w:tcPr>
            <w:tcW w:w="36" w:type="pct"/>
            <w:shd w:val="clear" w:color="auto" w:fill="auto"/>
            <w:vAlign w:val="bottom"/>
          </w:tcPr>
          <w:p w14:paraId="2DCD577B"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p>
        </w:tc>
        <w:tc>
          <w:tcPr>
            <w:tcW w:w="27" w:type="pct"/>
            <w:shd w:val="clear" w:color="auto" w:fill="auto"/>
            <w:vAlign w:val="bottom"/>
          </w:tcPr>
          <w:p w14:paraId="39A1CBC5"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84" w:type="pct"/>
            <w:shd w:val="clear" w:color="auto" w:fill="auto"/>
            <w:vAlign w:val="bottom"/>
          </w:tcPr>
          <w:p w14:paraId="0F13265A"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570" w:type="pct"/>
            <w:shd w:val="clear" w:color="auto" w:fill="auto"/>
            <w:vAlign w:val="bottom"/>
          </w:tcPr>
          <w:p w14:paraId="6CB2FFBE"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(2,796</w:t>
            </w:r>
          </w:p>
        </w:tc>
        <w:tc>
          <w:tcPr>
            <w:tcW w:w="62" w:type="pct"/>
            <w:shd w:val="clear" w:color="auto" w:fill="auto"/>
            <w:vAlign w:val="bottom"/>
          </w:tcPr>
          <w:p w14:paraId="2A0A0CF1"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p>
        </w:tc>
        <w:tc>
          <w:tcPr>
            <w:tcW w:w="27" w:type="pct"/>
            <w:shd w:val="clear" w:color="auto" w:fill="auto"/>
            <w:vAlign w:val="bottom"/>
          </w:tcPr>
          <w:p w14:paraId="5E9F4933"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81" w:type="pct"/>
            <w:shd w:val="clear" w:color="auto" w:fill="auto"/>
            <w:vAlign w:val="bottom"/>
          </w:tcPr>
          <w:p w14:paraId="1FC80697"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562" w:type="pct"/>
            <w:shd w:val="clear" w:color="auto" w:fill="auto"/>
            <w:vAlign w:val="bottom"/>
          </w:tcPr>
          <w:p w14:paraId="57B19942"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(38,</w:t>
            </w:r>
            <w:r>
              <w:rPr>
                <w:rFonts w:ascii="Times New Roman" w:eastAsia="Times New Roman" w:hAnsi="Times New Roman" w:cs="Times New Roman"/>
                <w:sz w:val="20"/>
                <w:szCs w:val="20"/>
                <w:lang w:val="en-US"/>
              </w:rPr>
              <w:t>609</w:t>
            </w:r>
          </w:p>
        </w:tc>
        <w:tc>
          <w:tcPr>
            <w:tcW w:w="71" w:type="pct"/>
            <w:shd w:val="clear" w:color="auto" w:fill="auto"/>
            <w:vAlign w:val="bottom"/>
          </w:tcPr>
          <w:p w14:paraId="535160FA"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p>
        </w:tc>
        <w:tc>
          <w:tcPr>
            <w:tcW w:w="72" w:type="pct"/>
          </w:tcPr>
          <w:p w14:paraId="74023527"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150" w:type="pct"/>
          </w:tcPr>
          <w:p w14:paraId="13BE0D4F"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p>
        </w:tc>
        <w:tc>
          <w:tcPr>
            <w:tcW w:w="493" w:type="pct"/>
            <w:shd w:val="clear" w:color="auto" w:fill="auto"/>
            <w:vAlign w:val="bottom"/>
          </w:tcPr>
          <w:p w14:paraId="7D115827"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(133</w:t>
            </w:r>
          </w:p>
        </w:tc>
        <w:tc>
          <w:tcPr>
            <w:tcW w:w="113" w:type="pct"/>
          </w:tcPr>
          <w:p w14:paraId="1D6FC2D0"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p>
        </w:tc>
        <w:tc>
          <w:tcPr>
            <w:tcW w:w="151" w:type="pct"/>
            <w:shd w:val="clear" w:color="auto" w:fill="auto"/>
            <w:vAlign w:val="bottom"/>
          </w:tcPr>
          <w:p w14:paraId="639155BD"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p>
        </w:tc>
        <w:tc>
          <w:tcPr>
            <w:tcW w:w="454" w:type="pct"/>
            <w:shd w:val="clear" w:color="auto" w:fill="auto"/>
            <w:vAlign w:val="bottom"/>
          </w:tcPr>
          <w:p w14:paraId="59932BFE"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43,976</w:t>
            </w:r>
          </w:p>
        </w:tc>
        <w:tc>
          <w:tcPr>
            <w:tcW w:w="79" w:type="pct"/>
            <w:shd w:val="clear" w:color="auto" w:fill="auto"/>
            <w:vAlign w:val="bottom"/>
          </w:tcPr>
          <w:p w14:paraId="7E0BA488" w14:textId="77777777" w:rsidR="00543241" w:rsidRPr="00443996" w:rsidRDefault="00543241" w:rsidP="00F80521">
            <w:pPr>
              <w:spacing w:after="0" w:line="240" w:lineRule="auto"/>
              <w:jc w:val="both"/>
              <w:rPr>
                <w:rFonts w:ascii="Times New Roman" w:eastAsia="Times New Roman" w:hAnsi="Times New Roman" w:cs="Times New Roman"/>
                <w:sz w:val="20"/>
                <w:szCs w:val="20"/>
                <w:lang w:val="en-US"/>
              </w:rPr>
            </w:pPr>
            <w:r w:rsidRPr="00443996">
              <w:rPr>
                <w:rFonts w:ascii="Times New Roman" w:eastAsia="Times New Roman" w:hAnsi="Times New Roman" w:cs="Times New Roman"/>
                <w:sz w:val="20"/>
                <w:szCs w:val="20"/>
                <w:lang w:val="en-US"/>
              </w:rPr>
              <w:t>)</w:t>
            </w:r>
          </w:p>
        </w:tc>
      </w:tr>
      <w:tr w:rsidR="00543241" w:rsidRPr="00D2099E" w14:paraId="2FDC2701" w14:textId="77777777" w:rsidTr="00F80521">
        <w:tc>
          <w:tcPr>
            <w:tcW w:w="1299" w:type="pct"/>
            <w:shd w:val="clear" w:color="auto" w:fill="auto"/>
            <w:tcMar>
              <w:top w:w="0" w:type="dxa"/>
              <w:left w:w="0" w:type="dxa"/>
              <w:bottom w:w="30" w:type="dxa"/>
              <w:right w:w="0" w:type="dxa"/>
            </w:tcMar>
            <w:vAlign w:val="bottom"/>
            <w:hideMark/>
          </w:tcPr>
          <w:p w14:paraId="576C01A0"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Foreign currency translation change</w:t>
            </w:r>
          </w:p>
        </w:tc>
        <w:tc>
          <w:tcPr>
            <w:tcW w:w="27" w:type="pct"/>
            <w:shd w:val="clear" w:color="auto" w:fill="auto"/>
            <w:tcMar>
              <w:top w:w="0" w:type="dxa"/>
              <w:left w:w="0" w:type="dxa"/>
              <w:bottom w:w="30" w:type="dxa"/>
              <w:right w:w="0" w:type="dxa"/>
            </w:tcMar>
            <w:vAlign w:val="bottom"/>
            <w:hideMark/>
          </w:tcPr>
          <w:p w14:paraId="65873B61"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 w:type="pct"/>
            <w:tcBorders>
              <w:bottom w:val="single" w:sz="12" w:space="0" w:color="000000"/>
            </w:tcBorders>
            <w:shd w:val="clear" w:color="auto" w:fill="auto"/>
            <w:vAlign w:val="bottom"/>
            <w:hideMark/>
          </w:tcPr>
          <w:p w14:paraId="0FFDD36E" w14:textId="77777777" w:rsidR="00543241" w:rsidRPr="00D2099E" w:rsidRDefault="00543241" w:rsidP="00F8052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2" w:type="pct"/>
            <w:tcBorders>
              <w:bottom w:val="single" w:sz="12" w:space="0" w:color="000000"/>
            </w:tcBorders>
            <w:shd w:val="clear" w:color="auto" w:fill="auto"/>
            <w:vAlign w:val="bottom"/>
          </w:tcPr>
          <w:p w14:paraId="17A4D89D"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4,147</w:t>
            </w:r>
          </w:p>
        </w:tc>
        <w:tc>
          <w:tcPr>
            <w:tcW w:w="36" w:type="pct"/>
            <w:shd w:val="clear" w:color="auto" w:fill="auto"/>
            <w:tcMar>
              <w:top w:w="0" w:type="dxa"/>
              <w:left w:w="0" w:type="dxa"/>
              <w:bottom w:w="30" w:type="dxa"/>
              <w:right w:w="0" w:type="dxa"/>
            </w:tcMar>
            <w:vAlign w:val="bottom"/>
          </w:tcPr>
          <w:p w14:paraId="2A16B49C"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p>
        </w:tc>
        <w:tc>
          <w:tcPr>
            <w:tcW w:w="27" w:type="pct"/>
            <w:shd w:val="clear" w:color="auto" w:fill="auto"/>
            <w:tcMar>
              <w:top w:w="0" w:type="dxa"/>
              <w:left w:w="0" w:type="dxa"/>
              <w:bottom w:w="30" w:type="dxa"/>
              <w:right w:w="0" w:type="dxa"/>
            </w:tcMar>
            <w:vAlign w:val="bottom"/>
          </w:tcPr>
          <w:p w14:paraId="441B99A4"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84" w:type="pct"/>
            <w:tcBorders>
              <w:bottom w:val="single" w:sz="12" w:space="0" w:color="000000"/>
            </w:tcBorders>
            <w:shd w:val="clear" w:color="auto" w:fill="auto"/>
            <w:vAlign w:val="bottom"/>
          </w:tcPr>
          <w:p w14:paraId="71E201AA"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570" w:type="pct"/>
            <w:tcBorders>
              <w:bottom w:val="single" w:sz="12" w:space="0" w:color="000000"/>
            </w:tcBorders>
            <w:shd w:val="clear" w:color="auto" w:fill="auto"/>
            <w:vAlign w:val="bottom"/>
          </w:tcPr>
          <w:p w14:paraId="0666D5D7"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(684</w:t>
            </w:r>
          </w:p>
        </w:tc>
        <w:tc>
          <w:tcPr>
            <w:tcW w:w="62" w:type="pct"/>
            <w:shd w:val="clear" w:color="auto" w:fill="auto"/>
            <w:tcMar>
              <w:top w:w="0" w:type="dxa"/>
              <w:left w:w="0" w:type="dxa"/>
              <w:bottom w:w="30" w:type="dxa"/>
              <w:right w:w="0" w:type="dxa"/>
            </w:tcMar>
            <w:vAlign w:val="bottom"/>
          </w:tcPr>
          <w:p w14:paraId="32264EFB"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p>
        </w:tc>
        <w:tc>
          <w:tcPr>
            <w:tcW w:w="27" w:type="pct"/>
            <w:shd w:val="clear" w:color="auto" w:fill="auto"/>
            <w:tcMar>
              <w:top w:w="0" w:type="dxa"/>
              <w:left w:w="0" w:type="dxa"/>
              <w:bottom w:w="30" w:type="dxa"/>
              <w:right w:w="0" w:type="dxa"/>
            </w:tcMar>
            <w:vAlign w:val="bottom"/>
          </w:tcPr>
          <w:p w14:paraId="02B0BDAB"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81" w:type="pct"/>
            <w:tcBorders>
              <w:bottom w:val="single" w:sz="12" w:space="0" w:color="000000"/>
            </w:tcBorders>
            <w:shd w:val="clear" w:color="auto" w:fill="auto"/>
            <w:vAlign w:val="bottom"/>
          </w:tcPr>
          <w:p w14:paraId="5168EB5D"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562" w:type="pct"/>
            <w:tcBorders>
              <w:bottom w:val="single" w:sz="12" w:space="0" w:color="000000"/>
            </w:tcBorders>
            <w:shd w:val="clear" w:color="auto" w:fill="auto"/>
            <w:vAlign w:val="bottom"/>
          </w:tcPr>
          <w:p w14:paraId="411A2900"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(11,</w:t>
            </w:r>
            <w:r>
              <w:rPr>
                <w:rFonts w:ascii="Times New Roman" w:eastAsia="Times New Roman" w:hAnsi="Times New Roman" w:cs="Times New Roman"/>
                <w:sz w:val="20"/>
                <w:szCs w:val="20"/>
                <w:lang w:val="en-US"/>
              </w:rPr>
              <w:t>133</w:t>
            </w:r>
          </w:p>
        </w:tc>
        <w:tc>
          <w:tcPr>
            <w:tcW w:w="71" w:type="pct"/>
            <w:shd w:val="clear" w:color="auto" w:fill="auto"/>
            <w:tcMar>
              <w:top w:w="0" w:type="dxa"/>
              <w:left w:w="0" w:type="dxa"/>
              <w:bottom w:w="30" w:type="dxa"/>
              <w:right w:w="0" w:type="dxa"/>
            </w:tcMar>
            <w:vAlign w:val="bottom"/>
          </w:tcPr>
          <w:p w14:paraId="23A3CA28"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p>
        </w:tc>
        <w:tc>
          <w:tcPr>
            <w:tcW w:w="72" w:type="pct"/>
          </w:tcPr>
          <w:p w14:paraId="5D8F1C3F"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150" w:type="pct"/>
            <w:tcBorders>
              <w:bottom w:val="single" w:sz="12" w:space="0" w:color="auto"/>
            </w:tcBorders>
          </w:tcPr>
          <w:p w14:paraId="563B942C"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p>
        </w:tc>
        <w:tc>
          <w:tcPr>
            <w:tcW w:w="493" w:type="pct"/>
            <w:tcBorders>
              <w:bottom w:val="single" w:sz="12" w:space="0" w:color="auto"/>
            </w:tcBorders>
            <w:shd w:val="clear" w:color="auto" w:fill="auto"/>
            <w:tcMar>
              <w:top w:w="0" w:type="dxa"/>
              <w:left w:w="0" w:type="dxa"/>
              <w:bottom w:w="30" w:type="dxa"/>
              <w:right w:w="0" w:type="dxa"/>
            </w:tcMar>
            <w:vAlign w:val="bottom"/>
          </w:tcPr>
          <w:p w14:paraId="46B03C6B"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2,774</w:t>
            </w:r>
          </w:p>
        </w:tc>
        <w:tc>
          <w:tcPr>
            <w:tcW w:w="113" w:type="pct"/>
          </w:tcPr>
          <w:p w14:paraId="720AA5F1" w14:textId="77777777" w:rsidR="00543241" w:rsidRPr="00064A08" w:rsidRDefault="00543241" w:rsidP="00F80521">
            <w:pPr>
              <w:spacing w:after="0" w:line="240" w:lineRule="auto"/>
              <w:jc w:val="both"/>
              <w:rPr>
                <w:rFonts w:ascii="Times New Roman" w:eastAsia="Times New Roman" w:hAnsi="Times New Roman" w:cs="Times New Roman"/>
                <w:sz w:val="20"/>
                <w:szCs w:val="20"/>
                <w:lang w:val="en-US"/>
              </w:rPr>
            </w:pPr>
          </w:p>
        </w:tc>
        <w:tc>
          <w:tcPr>
            <w:tcW w:w="151" w:type="pct"/>
            <w:tcBorders>
              <w:bottom w:val="single" w:sz="12" w:space="0" w:color="auto"/>
            </w:tcBorders>
            <w:shd w:val="clear" w:color="auto" w:fill="auto"/>
            <w:vAlign w:val="bottom"/>
          </w:tcPr>
          <w:p w14:paraId="1D8CFCEC"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p>
        </w:tc>
        <w:tc>
          <w:tcPr>
            <w:tcW w:w="454" w:type="pct"/>
            <w:tcBorders>
              <w:bottom w:val="single" w:sz="12" w:space="0" w:color="auto"/>
            </w:tcBorders>
            <w:shd w:val="clear" w:color="auto" w:fill="auto"/>
            <w:vAlign w:val="bottom"/>
          </w:tcPr>
          <w:p w14:paraId="44CFB2A4" w14:textId="77777777" w:rsidR="00543241" w:rsidRPr="00064A08" w:rsidRDefault="00543241" w:rsidP="00F80521">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13,190</w:t>
            </w:r>
          </w:p>
        </w:tc>
        <w:tc>
          <w:tcPr>
            <w:tcW w:w="79" w:type="pct"/>
            <w:tcBorders>
              <w:bottom w:val="single" w:sz="12" w:space="0" w:color="auto"/>
            </w:tcBorders>
            <w:shd w:val="clear" w:color="auto" w:fill="auto"/>
            <w:tcMar>
              <w:top w:w="0" w:type="dxa"/>
              <w:left w:w="0" w:type="dxa"/>
              <w:bottom w:w="30" w:type="dxa"/>
              <w:right w:w="0" w:type="dxa"/>
            </w:tcMar>
            <w:vAlign w:val="bottom"/>
          </w:tcPr>
          <w:p w14:paraId="6F050D4D" w14:textId="77777777" w:rsidR="00543241" w:rsidRPr="00443996" w:rsidRDefault="00543241" w:rsidP="00F80521">
            <w:pPr>
              <w:spacing w:after="0" w:line="240" w:lineRule="auto"/>
              <w:jc w:val="both"/>
              <w:rPr>
                <w:rFonts w:ascii="Times New Roman" w:eastAsia="Times New Roman" w:hAnsi="Times New Roman" w:cs="Times New Roman"/>
                <w:sz w:val="20"/>
                <w:szCs w:val="20"/>
                <w:lang w:val="en-US"/>
              </w:rPr>
            </w:pPr>
            <w:r w:rsidRPr="00443996">
              <w:rPr>
                <w:rFonts w:ascii="Times New Roman" w:eastAsia="Times New Roman" w:hAnsi="Times New Roman" w:cs="Times New Roman"/>
                <w:sz w:val="20"/>
                <w:szCs w:val="20"/>
                <w:lang w:val="en-US"/>
              </w:rPr>
              <w:t>)</w:t>
            </w:r>
          </w:p>
        </w:tc>
      </w:tr>
      <w:tr w:rsidR="00543241" w:rsidRPr="00D2099E" w14:paraId="50906E48" w14:textId="77777777" w:rsidTr="00F80521">
        <w:tc>
          <w:tcPr>
            <w:tcW w:w="1299" w:type="pct"/>
            <w:tcBorders>
              <w:bottom w:val="single" w:sz="12" w:space="0" w:color="auto"/>
            </w:tcBorders>
            <w:shd w:val="clear" w:color="auto" w:fill="auto"/>
            <w:vAlign w:val="bottom"/>
            <w:hideMark/>
          </w:tcPr>
          <w:p w14:paraId="2BD117B9"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June 30</w:t>
            </w:r>
            <w:r w:rsidRPr="00D33273">
              <w:rPr>
                <w:rFonts w:ascii="Times New Roman" w:eastAsia="Times New Roman" w:hAnsi="Times New Roman" w:cs="Times New Roman"/>
                <w:b/>
                <w:bCs/>
                <w:sz w:val="20"/>
                <w:szCs w:val="20"/>
                <w:lang w:val="en-US"/>
              </w:rPr>
              <w:t>, 2022</w:t>
            </w:r>
          </w:p>
        </w:tc>
        <w:tc>
          <w:tcPr>
            <w:tcW w:w="27" w:type="pct"/>
            <w:tcBorders>
              <w:bottom w:val="single" w:sz="12" w:space="0" w:color="auto"/>
            </w:tcBorders>
            <w:shd w:val="clear" w:color="auto" w:fill="auto"/>
            <w:vAlign w:val="bottom"/>
            <w:hideMark/>
          </w:tcPr>
          <w:p w14:paraId="0F87DD31"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80" w:type="pct"/>
            <w:tcBorders>
              <w:bottom w:val="single" w:sz="12" w:space="0" w:color="auto"/>
            </w:tcBorders>
            <w:shd w:val="clear" w:color="auto" w:fill="auto"/>
            <w:vAlign w:val="bottom"/>
            <w:hideMark/>
          </w:tcPr>
          <w:p w14:paraId="6A3D5121" w14:textId="77777777" w:rsidR="00543241" w:rsidRPr="00D33273" w:rsidRDefault="00543241" w:rsidP="00F80521">
            <w:pPr>
              <w:spacing w:after="0" w:line="240" w:lineRule="auto"/>
              <w:jc w:val="both"/>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 $</w:t>
            </w:r>
          </w:p>
        </w:tc>
        <w:tc>
          <w:tcPr>
            <w:tcW w:w="562" w:type="pct"/>
            <w:tcBorders>
              <w:bottom w:val="single" w:sz="12" w:space="0" w:color="auto"/>
            </w:tcBorders>
            <w:shd w:val="clear" w:color="auto" w:fill="auto"/>
            <w:vAlign w:val="bottom"/>
          </w:tcPr>
          <w:p w14:paraId="4D5E3EE5" w14:textId="77777777" w:rsidR="00543241" w:rsidRPr="00064A08" w:rsidRDefault="00543241" w:rsidP="00F8052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10,800</w:t>
            </w:r>
          </w:p>
        </w:tc>
        <w:tc>
          <w:tcPr>
            <w:tcW w:w="36" w:type="pct"/>
            <w:tcBorders>
              <w:bottom w:val="single" w:sz="12" w:space="0" w:color="auto"/>
            </w:tcBorders>
            <w:shd w:val="clear" w:color="auto" w:fill="auto"/>
            <w:vAlign w:val="bottom"/>
          </w:tcPr>
          <w:p w14:paraId="339FC437"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p>
        </w:tc>
        <w:tc>
          <w:tcPr>
            <w:tcW w:w="27" w:type="pct"/>
            <w:tcBorders>
              <w:bottom w:val="single" w:sz="12" w:space="0" w:color="auto"/>
            </w:tcBorders>
            <w:shd w:val="clear" w:color="auto" w:fill="auto"/>
            <w:vAlign w:val="bottom"/>
          </w:tcPr>
          <w:p w14:paraId="13373079"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p>
        </w:tc>
        <w:tc>
          <w:tcPr>
            <w:tcW w:w="84" w:type="pct"/>
            <w:tcBorders>
              <w:bottom w:val="single" w:sz="12" w:space="0" w:color="auto"/>
            </w:tcBorders>
            <w:shd w:val="clear" w:color="auto" w:fill="auto"/>
            <w:vAlign w:val="bottom"/>
          </w:tcPr>
          <w:p w14:paraId="474B582A"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p>
        </w:tc>
        <w:tc>
          <w:tcPr>
            <w:tcW w:w="570" w:type="pct"/>
            <w:tcBorders>
              <w:bottom w:val="single" w:sz="12" w:space="0" w:color="auto"/>
            </w:tcBorders>
            <w:shd w:val="clear" w:color="auto" w:fill="auto"/>
            <w:vAlign w:val="bottom"/>
          </w:tcPr>
          <w:p w14:paraId="308224AA" w14:textId="77777777" w:rsidR="00543241" w:rsidRPr="00064A08" w:rsidRDefault="00543241" w:rsidP="00F80521">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37,4</w:t>
            </w:r>
            <w:r>
              <w:rPr>
                <w:rFonts w:ascii="Times New Roman" w:eastAsia="Times New Roman" w:hAnsi="Times New Roman" w:cs="Times New Roman"/>
                <w:b/>
                <w:bCs/>
                <w:sz w:val="20"/>
                <w:szCs w:val="20"/>
                <w:lang w:val="en-US"/>
              </w:rPr>
              <w:t>49</w:t>
            </w:r>
          </w:p>
        </w:tc>
        <w:tc>
          <w:tcPr>
            <w:tcW w:w="62" w:type="pct"/>
            <w:tcBorders>
              <w:bottom w:val="single" w:sz="12" w:space="0" w:color="auto"/>
            </w:tcBorders>
            <w:shd w:val="clear" w:color="auto" w:fill="auto"/>
            <w:vAlign w:val="bottom"/>
          </w:tcPr>
          <w:p w14:paraId="0BC56CB2"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p>
        </w:tc>
        <w:tc>
          <w:tcPr>
            <w:tcW w:w="27" w:type="pct"/>
            <w:tcBorders>
              <w:bottom w:val="single" w:sz="12" w:space="0" w:color="auto"/>
            </w:tcBorders>
            <w:shd w:val="clear" w:color="auto" w:fill="auto"/>
            <w:vAlign w:val="bottom"/>
          </w:tcPr>
          <w:p w14:paraId="2FE7A176"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p>
        </w:tc>
        <w:tc>
          <w:tcPr>
            <w:tcW w:w="81" w:type="pct"/>
            <w:tcBorders>
              <w:bottom w:val="single" w:sz="12" w:space="0" w:color="auto"/>
            </w:tcBorders>
            <w:shd w:val="clear" w:color="auto" w:fill="auto"/>
            <w:vAlign w:val="bottom"/>
          </w:tcPr>
          <w:p w14:paraId="6429F991"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p>
        </w:tc>
        <w:tc>
          <w:tcPr>
            <w:tcW w:w="562" w:type="pct"/>
            <w:tcBorders>
              <w:bottom w:val="single" w:sz="12" w:space="0" w:color="auto"/>
            </w:tcBorders>
            <w:shd w:val="clear" w:color="auto" w:fill="auto"/>
            <w:vAlign w:val="bottom"/>
          </w:tcPr>
          <w:p w14:paraId="39581761" w14:textId="77777777" w:rsidR="00543241" w:rsidRPr="00064A08" w:rsidRDefault="00543241" w:rsidP="00F80521">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193,</w:t>
            </w:r>
            <w:r>
              <w:rPr>
                <w:rFonts w:ascii="Times New Roman" w:eastAsia="Times New Roman" w:hAnsi="Times New Roman" w:cs="Times New Roman"/>
                <w:b/>
                <w:bCs/>
                <w:sz w:val="20"/>
                <w:szCs w:val="20"/>
                <w:lang w:val="en-US"/>
              </w:rPr>
              <w:t>452</w:t>
            </w:r>
          </w:p>
        </w:tc>
        <w:tc>
          <w:tcPr>
            <w:tcW w:w="71" w:type="pct"/>
            <w:tcBorders>
              <w:bottom w:val="single" w:sz="12" w:space="0" w:color="auto"/>
            </w:tcBorders>
            <w:shd w:val="clear" w:color="auto" w:fill="auto"/>
            <w:vAlign w:val="bottom"/>
          </w:tcPr>
          <w:p w14:paraId="0385A6B4"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p>
        </w:tc>
        <w:tc>
          <w:tcPr>
            <w:tcW w:w="72" w:type="pct"/>
            <w:tcBorders>
              <w:bottom w:val="single" w:sz="12" w:space="0" w:color="auto"/>
            </w:tcBorders>
          </w:tcPr>
          <w:p w14:paraId="3958FF4A"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p>
        </w:tc>
        <w:tc>
          <w:tcPr>
            <w:tcW w:w="150" w:type="pct"/>
            <w:tcBorders>
              <w:top w:val="single" w:sz="12" w:space="0" w:color="auto"/>
              <w:bottom w:val="single" w:sz="12" w:space="0" w:color="auto"/>
            </w:tcBorders>
          </w:tcPr>
          <w:p w14:paraId="264680B1" w14:textId="77777777" w:rsidR="00543241" w:rsidRPr="00064A08" w:rsidRDefault="00543241" w:rsidP="00F80521">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p>
        </w:tc>
        <w:tc>
          <w:tcPr>
            <w:tcW w:w="493" w:type="pct"/>
            <w:tcBorders>
              <w:top w:val="single" w:sz="12" w:space="0" w:color="auto"/>
              <w:bottom w:val="single" w:sz="12" w:space="0" w:color="auto"/>
            </w:tcBorders>
            <w:shd w:val="clear" w:color="auto" w:fill="auto"/>
            <w:vAlign w:val="bottom"/>
          </w:tcPr>
          <w:p w14:paraId="79C3D2B9" w14:textId="77777777" w:rsidR="00543241" w:rsidRPr="00064A08" w:rsidRDefault="00543241" w:rsidP="00F80521">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8,270</w:t>
            </w:r>
          </w:p>
        </w:tc>
        <w:tc>
          <w:tcPr>
            <w:tcW w:w="113" w:type="pct"/>
            <w:tcBorders>
              <w:bottom w:val="single" w:sz="12" w:space="0" w:color="auto"/>
            </w:tcBorders>
          </w:tcPr>
          <w:p w14:paraId="68780DE6" w14:textId="77777777" w:rsidR="00543241" w:rsidRPr="00064A08" w:rsidRDefault="00543241" w:rsidP="00F80521">
            <w:pPr>
              <w:spacing w:after="0" w:line="240" w:lineRule="auto"/>
              <w:jc w:val="both"/>
              <w:rPr>
                <w:rFonts w:ascii="Times New Roman" w:eastAsia="Times New Roman" w:hAnsi="Times New Roman" w:cs="Times New Roman"/>
                <w:b/>
                <w:bCs/>
                <w:sz w:val="20"/>
                <w:szCs w:val="20"/>
                <w:lang w:val="en-US"/>
              </w:rPr>
            </w:pPr>
          </w:p>
        </w:tc>
        <w:tc>
          <w:tcPr>
            <w:tcW w:w="151" w:type="pct"/>
            <w:tcBorders>
              <w:top w:val="single" w:sz="12" w:space="0" w:color="auto"/>
              <w:bottom w:val="single" w:sz="12" w:space="0" w:color="auto"/>
            </w:tcBorders>
            <w:shd w:val="clear" w:color="auto" w:fill="auto"/>
            <w:vAlign w:val="bottom"/>
          </w:tcPr>
          <w:p w14:paraId="60BA12C9" w14:textId="77777777" w:rsidR="00543241" w:rsidRPr="00064A08" w:rsidRDefault="00543241" w:rsidP="00F80521">
            <w:pPr>
              <w:spacing w:after="0" w:line="240" w:lineRule="auto"/>
              <w:jc w:val="right"/>
              <w:rPr>
                <w:rFonts w:ascii="Times New Roman" w:eastAsia="Times New Roman" w:hAnsi="Times New Roman" w:cs="Times New Roman"/>
                <w:b/>
                <w:bCs/>
                <w:sz w:val="20"/>
                <w:szCs w:val="20"/>
                <w:lang w:val="en-US"/>
              </w:rPr>
            </w:pPr>
            <w:r w:rsidRPr="00064A08">
              <w:rPr>
                <w:rFonts w:ascii="Times New Roman" w:eastAsia="Times New Roman" w:hAnsi="Times New Roman" w:cs="Times New Roman"/>
                <w:b/>
                <w:bCs/>
                <w:sz w:val="20"/>
                <w:szCs w:val="20"/>
                <w:lang w:val="en-US"/>
              </w:rPr>
              <w:t>$</w:t>
            </w:r>
          </w:p>
        </w:tc>
        <w:tc>
          <w:tcPr>
            <w:tcW w:w="454" w:type="pct"/>
            <w:tcBorders>
              <w:top w:val="single" w:sz="12" w:space="0" w:color="auto"/>
              <w:bottom w:val="single" w:sz="12" w:space="0" w:color="auto"/>
            </w:tcBorders>
            <w:shd w:val="clear" w:color="auto" w:fill="auto"/>
            <w:vAlign w:val="bottom"/>
          </w:tcPr>
          <w:p w14:paraId="5D6F87E1" w14:textId="77777777" w:rsidR="00543241" w:rsidRPr="00064A08" w:rsidRDefault="00543241" w:rsidP="00F8052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Pr="00064A08">
              <w:rPr>
                <w:rFonts w:ascii="Times New Roman" w:eastAsia="Times New Roman" w:hAnsi="Times New Roman" w:cs="Times New Roman"/>
                <w:b/>
                <w:bCs/>
                <w:sz w:val="20"/>
                <w:szCs w:val="20"/>
                <w:lang w:val="en-US"/>
              </w:rPr>
              <w:t>4</w:t>
            </w:r>
            <w:r>
              <w:rPr>
                <w:rFonts w:ascii="Times New Roman" w:eastAsia="Times New Roman" w:hAnsi="Times New Roman" w:cs="Times New Roman"/>
                <w:b/>
                <w:bCs/>
                <w:sz w:val="20"/>
                <w:szCs w:val="20"/>
                <w:lang w:val="en-US"/>
              </w:rPr>
              <w:t>9</w:t>
            </w:r>
            <w:r w:rsidRPr="00064A08">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lang w:val="en-US"/>
              </w:rPr>
              <w:t>971</w:t>
            </w:r>
          </w:p>
        </w:tc>
        <w:tc>
          <w:tcPr>
            <w:tcW w:w="79" w:type="pct"/>
            <w:tcBorders>
              <w:top w:val="single" w:sz="12" w:space="0" w:color="auto"/>
              <w:bottom w:val="single" w:sz="12" w:space="0" w:color="auto"/>
            </w:tcBorders>
            <w:shd w:val="clear" w:color="auto" w:fill="auto"/>
            <w:vAlign w:val="bottom"/>
          </w:tcPr>
          <w:p w14:paraId="1ABC9AEE" w14:textId="77777777" w:rsidR="00543241" w:rsidRPr="00443996" w:rsidRDefault="00543241" w:rsidP="00F80521">
            <w:pPr>
              <w:spacing w:after="0" w:line="240" w:lineRule="auto"/>
              <w:jc w:val="both"/>
              <w:rPr>
                <w:rFonts w:ascii="Times New Roman" w:eastAsia="Times New Roman" w:hAnsi="Times New Roman" w:cs="Times New Roman"/>
                <w:sz w:val="20"/>
                <w:szCs w:val="20"/>
                <w:lang w:val="en-US"/>
              </w:rPr>
            </w:pPr>
          </w:p>
        </w:tc>
      </w:tr>
    </w:tbl>
    <w:p w14:paraId="7D862C71" w14:textId="4CD1D2DA" w:rsidR="00D2099E" w:rsidRDefault="00D2099E" w:rsidP="00D2099E">
      <w:pPr>
        <w:spacing w:after="0" w:line="240" w:lineRule="auto"/>
        <w:ind w:left="360" w:hanging="360"/>
        <w:jc w:val="both"/>
        <w:rPr>
          <w:rFonts w:ascii="Times New Roman" w:eastAsia="Times New Roman" w:hAnsi="Times New Roman" w:cs="Times New Roman"/>
          <w:sz w:val="20"/>
          <w:szCs w:val="20"/>
          <w:lang w:val="en-US"/>
        </w:rPr>
      </w:pPr>
    </w:p>
    <w:tbl>
      <w:tblPr>
        <w:tblW w:w="5301" w:type="pct"/>
        <w:tblCellMar>
          <w:left w:w="0" w:type="dxa"/>
          <w:right w:w="0" w:type="dxa"/>
        </w:tblCellMar>
        <w:tblLook w:val="04A0" w:firstRow="1" w:lastRow="0" w:firstColumn="1" w:lastColumn="0" w:noHBand="0" w:noVBand="1"/>
      </w:tblPr>
      <w:tblGrid>
        <w:gridCol w:w="328"/>
        <w:gridCol w:w="551"/>
        <w:gridCol w:w="1031"/>
        <w:gridCol w:w="142"/>
        <w:gridCol w:w="142"/>
        <w:gridCol w:w="142"/>
        <w:gridCol w:w="1918"/>
        <w:gridCol w:w="283"/>
        <w:gridCol w:w="567"/>
        <w:gridCol w:w="851"/>
        <w:gridCol w:w="119"/>
        <w:gridCol w:w="50"/>
        <w:gridCol w:w="705"/>
        <w:gridCol w:w="992"/>
        <w:gridCol w:w="142"/>
        <w:gridCol w:w="142"/>
        <w:gridCol w:w="1676"/>
        <w:gridCol w:w="142"/>
      </w:tblGrid>
      <w:tr w:rsidR="00663243" w:rsidRPr="00D2099E" w14:paraId="375BE766" w14:textId="7CF51149" w:rsidTr="00D33273">
        <w:trPr>
          <w:gridAfter w:val="12"/>
          <w:wAfter w:w="7587" w:type="dxa"/>
        </w:trPr>
        <w:tc>
          <w:tcPr>
            <w:tcW w:w="328" w:type="dxa"/>
            <w:shd w:val="clear" w:color="auto" w:fill="auto"/>
            <w:hideMark/>
          </w:tcPr>
          <w:p w14:paraId="79C32B73" w14:textId="6C424B6F" w:rsidR="00663243" w:rsidRPr="00D2099E" w:rsidRDefault="00663243"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8</w:t>
            </w:r>
            <w:r w:rsidRPr="00D2099E">
              <w:rPr>
                <w:rFonts w:ascii="Times New Roman" w:eastAsia="Times New Roman" w:hAnsi="Times New Roman" w:cs="Times New Roman"/>
                <w:b/>
                <w:bCs/>
                <w:sz w:val="20"/>
                <w:szCs w:val="20"/>
                <w:lang w:val="en-US"/>
              </w:rPr>
              <w:t>.</w:t>
            </w:r>
          </w:p>
        </w:tc>
        <w:tc>
          <w:tcPr>
            <w:tcW w:w="551" w:type="dxa"/>
            <w:shd w:val="clear" w:color="auto" w:fill="auto"/>
          </w:tcPr>
          <w:p w14:paraId="432657F3" w14:textId="13F12C6A" w:rsidR="00663243" w:rsidRPr="00D2099E" w:rsidRDefault="00663243"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Loans</w:t>
            </w:r>
          </w:p>
        </w:tc>
        <w:tc>
          <w:tcPr>
            <w:tcW w:w="1031" w:type="dxa"/>
            <w:shd w:val="clear" w:color="auto" w:fill="auto"/>
          </w:tcPr>
          <w:p w14:paraId="46E0AB4B" w14:textId="15852557" w:rsidR="00663243" w:rsidRPr="00D2099E" w:rsidRDefault="00663243"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Payable</w:t>
            </w:r>
          </w:p>
        </w:tc>
        <w:tc>
          <w:tcPr>
            <w:tcW w:w="142" w:type="dxa"/>
          </w:tcPr>
          <w:p w14:paraId="3532A389"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c>
          <w:tcPr>
            <w:tcW w:w="142" w:type="dxa"/>
          </w:tcPr>
          <w:p w14:paraId="72B87D8F"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c>
          <w:tcPr>
            <w:tcW w:w="142" w:type="dxa"/>
          </w:tcPr>
          <w:p w14:paraId="60A509CA"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r>
      <w:tr w:rsidR="00663243" w:rsidRPr="00D2099E" w14:paraId="2ADE3DBC" w14:textId="3675765B" w:rsidTr="00D33273">
        <w:trPr>
          <w:gridAfter w:val="12"/>
          <w:wAfter w:w="7587" w:type="dxa"/>
        </w:trPr>
        <w:tc>
          <w:tcPr>
            <w:tcW w:w="328" w:type="dxa"/>
            <w:shd w:val="clear" w:color="auto" w:fill="auto"/>
          </w:tcPr>
          <w:p w14:paraId="08CBB1F8"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c>
          <w:tcPr>
            <w:tcW w:w="551" w:type="dxa"/>
            <w:shd w:val="clear" w:color="auto" w:fill="auto"/>
          </w:tcPr>
          <w:p w14:paraId="09771CB6"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c>
          <w:tcPr>
            <w:tcW w:w="1031" w:type="dxa"/>
            <w:shd w:val="clear" w:color="auto" w:fill="auto"/>
          </w:tcPr>
          <w:p w14:paraId="39952CA3"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c>
          <w:tcPr>
            <w:tcW w:w="142" w:type="dxa"/>
          </w:tcPr>
          <w:p w14:paraId="188838E8"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c>
          <w:tcPr>
            <w:tcW w:w="142" w:type="dxa"/>
          </w:tcPr>
          <w:p w14:paraId="3CFBDD52"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c>
          <w:tcPr>
            <w:tcW w:w="142" w:type="dxa"/>
          </w:tcPr>
          <w:p w14:paraId="534A5115" w14:textId="77777777" w:rsidR="00663243" w:rsidRDefault="00663243" w:rsidP="00D2099E">
            <w:pPr>
              <w:spacing w:after="0" w:line="240" w:lineRule="auto"/>
              <w:jc w:val="both"/>
              <w:rPr>
                <w:rFonts w:ascii="Times New Roman" w:eastAsia="Times New Roman" w:hAnsi="Times New Roman" w:cs="Times New Roman"/>
                <w:b/>
                <w:bCs/>
                <w:sz w:val="20"/>
                <w:szCs w:val="20"/>
                <w:lang w:val="en-US"/>
              </w:rPr>
            </w:pPr>
          </w:p>
        </w:tc>
      </w:tr>
      <w:tr w:rsidR="00663243" w:rsidRPr="00D2099E" w14:paraId="3EC2A4AD" w14:textId="25665FBE" w:rsidTr="00D33273">
        <w:trPr>
          <w:gridBefore w:val="1"/>
          <w:wBefore w:w="328" w:type="dxa"/>
        </w:trPr>
        <w:tc>
          <w:tcPr>
            <w:tcW w:w="3926" w:type="dxa"/>
            <w:gridSpan w:val="6"/>
            <w:tcBorders>
              <w:top w:val="single" w:sz="12" w:space="0" w:color="auto"/>
              <w:bottom w:val="single" w:sz="12" w:space="0" w:color="auto"/>
            </w:tcBorders>
            <w:shd w:val="clear" w:color="auto" w:fill="auto"/>
            <w:vAlign w:val="bottom"/>
            <w:hideMark/>
          </w:tcPr>
          <w:p w14:paraId="722A525E" w14:textId="77777777" w:rsidR="00663243" w:rsidRPr="00D2099E" w:rsidRDefault="00663243"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As at</w:t>
            </w:r>
          </w:p>
        </w:tc>
        <w:tc>
          <w:tcPr>
            <w:tcW w:w="283" w:type="dxa"/>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5CA6C96C" w14:textId="77777777" w:rsidR="00663243" w:rsidRPr="00D2099E" w:rsidRDefault="00663243"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18" w:type="dxa"/>
            <w:gridSpan w:val="2"/>
            <w:tcBorders>
              <w:top w:val="single" w:sz="12" w:space="0" w:color="auto"/>
              <w:bottom w:val="single" w:sz="12" w:space="0" w:color="auto"/>
            </w:tcBorders>
            <w:shd w:val="clear" w:color="auto" w:fill="auto"/>
            <w:vAlign w:val="bottom"/>
            <w:hideMark/>
          </w:tcPr>
          <w:p w14:paraId="058A1605" w14:textId="2892C7B1" w:rsidR="00663243" w:rsidRPr="00D33273" w:rsidRDefault="00FD3D1E" w:rsidP="00D2099E">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June 30</w:t>
            </w:r>
            <w:r w:rsidR="00663243" w:rsidRPr="00D33273">
              <w:rPr>
                <w:rFonts w:ascii="Times New Roman" w:eastAsia="Times New Roman" w:hAnsi="Times New Roman" w:cs="Times New Roman"/>
                <w:b/>
                <w:bCs/>
                <w:sz w:val="20"/>
                <w:szCs w:val="20"/>
                <w:lang w:val="en-US"/>
              </w:rPr>
              <w:t>, 2022</w:t>
            </w:r>
          </w:p>
        </w:tc>
        <w:tc>
          <w:tcPr>
            <w:tcW w:w="119" w:type="dxa"/>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1D7B72DE" w14:textId="77777777" w:rsidR="00663243" w:rsidRPr="00D2099E" w:rsidRDefault="00663243"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23F27934" w14:textId="77777777" w:rsidR="00663243" w:rsidRPr="00D2099E" w:rsidRDefault="00663243"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697" w:type="dxa"/>
            <w:gridSpan w:val="2"/>
            <w:tcBorders>
              <w:top w:val="single" w:sz="12" w:space="0" w:color="auto"/>
              <w:bottom w:val="single" w:sz="12" w:space="0" w:color="auto"/>
            </w:tcBorders>
            <w:shd w:val="clear" w:color="auto" w:fill="auto"/>
            <w:vAlign w:val="bottom"/>
            <w:hideMark/>
          </w:tcPr>
          <w:p w14:paraId="28208F77" w14:textId="73EC93EF" w:rsidR="00663243" w:rsidRPr="00D2099E" w:rsidRDefault="00663243" w:rsidP="00DF7EED">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December 31, 202</w:t>
            </w:r>
            <w:r>
              <w:rPr>
                <w:rFonts w:ascii="Times New Roman" w:eastAsia="Times New Roman" w:hAnsi="Times New Roman" w:cs="Times New Roman"/>
                <w:sz w:val="20"/>
                <w:szCs w:val="20"/>
                <w:lang w:val="en-US"/>
              </w:rPr>
              <w:t>1</w:t>
            </w:r>
          </w:p>
        </w:tc>
        <w:tc>
          <w:tcPr>
            <w:tcW w:w="142" w:type="dxa"/>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42C9E54" w14:textId="270B91B4" w:rsidR="00663243" w:rsidRPr="00D2099E" w:rsidRDefault="00663243" w:rsidP="00CA4239">
            <w:pPr>
              <w:spacing w:after="0" w:line="240" w:lineRule="auto"/>
              <w:jc w:val="center"/>
              <w:rPr>
                <w:rFonts w:ascii="Times New Roman" w:eastAsia="Times New Roman" w:hAnsi="Times New Roman" w:cs="Times New Roman"/>
                <w:sz w:val="20"/>
                <w:szCs w:val="20"/>
                <w:lang w:val="en-US"/>
              </w:rPr>
            </w:pPr>
          </w:p>
        </w:tc>
        <w:tc>
          <w:tcPr>
            <w:tcW w:w="142" w:type="dxa"/>
            <w:tcBorders>
              <w:top w:val="single" w:sz="12" w:space="0" w:color="auto"/>
              <w:bottom w:val="single" w:sz="12" w:space="0" w:color="auto"/>
            </w:tcBorders>
          </w:tcPr>
          <w:p w14:paraId="01E389C9" w14:textId="77777777" w:rsidR="00663243" w:rsidRPr="00D2099E" w:rsidRDefault="00663243" w:rsidP="00CA4239">
            <w:pPr>
              <w:spacing w:after="0" w:line="240" w:lineRule="auto"/>
              <w:jc w:val="center"/>
              <w:rPr>
                <w:rFonts w:ascii="Times New Roman" w:eastAsia="Times New Roman" w:hAnsi="Times New Roman" w:cs="Times New Roman"/>
                <w:sz w:val="20"/>
                <w:szCs w:val="20"/>
                <w:lang w:val="en-US"/>
              </w:rPr>
            </w:pPr>
          </w:p>
        </w:tc>
        <w:tc>
          <w:tcPr>
            <w:tcW w:w="1676" w:type="dxa"/>
            <w:tcBorders>
              <w:top w:val="single" w:sz="12" w:space="0" w:color="auto"/>
              <w:bottom w:val="single" w:sz="12" w:space="0" w:color="auto"/>
            </w:tcBorders>
          </w:tcPr>
          <w:p w14:paraId="6373C467" w14:textId="014CD7AF" w:rsidR="00663243" w:rsidRPr="00D2099E" w:rsidRDefault="00663243" w:rsidP="00CA4239">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December 31, 202</w:t>
            </w:r>
            <w:r>
              <w:rPr>
                <w:rFonts w:ascii="Times New Roman" w:eastAsia="Times New Roman" w:hAnsi="Times New Roman" w:cs="Times New Roman"/>
                <w:sz w:val="20"/>
                <w:szCs w:val="20"/>
                <w:lang w:val="en-US"/>
              </w:rPr>
              <w:t>0</w:t>
            </w:r>
          </w:p>
        </w:tc>
        <w:tc>
          <w:tcPr>
            <w:tcW w:w="142" w:type="dxa"/>
          </w:tcPr>
          <w:p w14:paraId="6B428F16" w14:textId="77777777" w:rsidR="00663243" w:rsidRPr="00D2099E" w:rsidRDefault="00663243" w:rsidP="00CA4239">
            <w:pPr>
              <w:spacing w:after="0" w:line="240" w:lineRule="auto"/>
              <w:jc w:val="center"/>
              <w:rPr>
                <w:rFonts w:ascii="Times New Roman" w:eastAsia="Times New Roman" w:hAnsi="Times New Roman" w:cs="Times New Roman"/>
                <w:sz w:val="20"/>
                <w:szCs w:val="20"/>
                <w:lang w:val="en-US"/>
              </w:rPr>
            </w:pPr>
          </w:p>
        </w:tc>
      </w:tr>
      <w:tr w:rsidR="00663243" w:rsidRPr="00D2099E" w14:paraId="59121416" w14:textId="73783FDE" w:rsidTr="00D33273">
        <w:trPr>
          <w:gridBefore w:val="1"/>
          <w:wBefore w:w="328" w:type="dxa"/>
        </w:trPr>
        <w:tc>
          <w:tcPr>
            <w:tcW w:w="3926" w:type="dxa"/>
            <w:gridSpan w:val="6"/>
            <w:shd w:val="clear" w:color="auto" w:fill="auto"/>
            <w:vAlign w:val="bottom"/>
            <w:hideMark/>
          </w:tcPr>
          <w:p w14:paraId="4C346879" w14:textId="0CEC5CD7" w:rsidR="00663243" w:rsidRPr="00D2099E" w:rsidRDefault="00663243" w:rsidP="00CA4239">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Unsecured, </w:t>
            </w:r>
            <w:proofErr w:type="gramStart"/>
            <w:r w:rsidRPr="00D2099E">
              <w:rPr>
                <w:rFonts w:ascii="Times New Roman" w:eastAsia="Times New Roman" w:hAnsi="Times New Roman" w:cs="Times New Roman"/>
                <w:sz w:val="20"/>
                <w:szCs w:val="20"/>
                <w:lang w:val="en-US"/>
              </w:rPr>
              <w:t>interest bearing</w:t>
            </w:r>
            <w:proofErr w:type="gramEnd"/>
            <w:r w:rsidRPr="00D2099E">
              <w:rPr>
                <w:rFonts w:ascii="Times New Roman" w:eastAsia="Times New Roman" w:hAnsi="Times New Roman" w:cs="Times New Roman"/>
                <w:sz w:val="20"/>
                <w:szCs w:val="20"/>
                <w:lang w:val="en-US"/>
              </w:rPr>
              <w:t xml:space="preserve"> loans at 10% per annum</w:t>
            </w:r>
            <w:r w:rsidRPr="005328E1">
              <w:rPr>
                <w:rFonts w:ascii="Times New Roman" w:eastAsia="Times New Roman" w:hAnsi="Times New Roman" w:cs="Times New Roman"/>
                <w:sz w:val="20"/>
                <w:szCs w:val="20"/>
                <w:vertAlign w:val="superscript"/>
                <w:lang w:val="en-US"/>
              </w:rPr>
              <w:t>1</w:t>
            </w:r>
          </w:p>
        </w:tc>
        <w:tc>
          <w:tcPr>
            <w:tcW w:w="283" w:type="dxa"/>
            <w:tcBorders>
              <w:top w:val="single" w:sz="12" w:space="0" w:color="auto"/>
            </w:tcBorders>
            <w:shd w:val="clear" w:color="auto" w:fill="auto"/>
            <w:vAlign w:val="bottom"/>
            <w:hideMark/>
          </w:tcPr>
          <w:p w14:paraId="1198CBD1"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tcBorders>
              <w:top w:val="single" w:sz="12" w:space="0" w:color="auto"/>
            </w:tcBorders>
            <w:shd w:val="clear" w:color="auto" w:fill="auto"/>
            <w:vAlign w:val="bottom"/>
            <w:hideMark/>
          </w:tcPr>
          <w:p w14:paraId="2DCFCCF2"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851" w:type="dxa"/>
            <w:tcBorders>
              <w:top w:val="single" w:sz="12" w:space="0" w:color="auto"/>
            </w:tcBorders>
            <w:shd w:val="clear" w:color="auto" w:fill="auto"/>
            <w:vAlign w:val="bottom"/>
          </w:tcPr>
          <w:p w14:paraId="17F62659" w14:textId="058981E4" w:rsidR="00663243" w:rsidRPr="00D33273" w:rsidRDefault="00656A62" w:rsidP="000D12D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11,519</w:t>
            </w:r>
          </w:p>
        </w:tc>
        <w:tc>
          <w:tcPr>
            <w:tcW w:w="119" w:type="dxa"/>
            <w:tcBorders>
              <w:top w:val="single" w:sz="12" w:space="0" w:color="auto"/>
            </w:tcBorders>
            <w:shd w:val="clear" w:color="auto" w:fill="auto"/>
            <w:vAlign w:val="bottom"/>
            <w:hideMark/>
          </w:tcPr>
          <w:p w14:paraId="5929F448"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tcBorders>
              <w:top w:val="single" w:sz="12" w:space="0" w:color="auto"/>
            </w:tcBorders>
            <w:shd w:val="clear" w:color="auto" w:fill="auto"/>
            <w:vAlign w:val="bottom"/>
            <w:hideMark/>
          </w:tcPr>
          <w:p w14:paraId="398D40BA"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tcBorders>
              <w:top w:val="single" w:sz="12" w:space="0" w:color="auto"/>
            </w:tcBorders>
            <w:shd w:val="clear" w:color="auto" w:fill="auto"/>
            <w:vAlign w:val="bottom"/>
            <w:hideMark/>
          </w:tcPr>
          <w:p w14:paraId="7AF8FFDA"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992" w:type="dxa"/>
            <w:tcBorders>
              <w:top w:val="single" w:sz="12" w:space="0" w:color="auto"/>
            </w:tcBorders>
            <w:shd w:val="clear" w:color="auto" w:fill="auto"/>
            <w:vAlign w:val="bottom"/>
            <w:hideMark/>
          </w:tcPr>
          <w:p w14:paraId="3D7C37B2" w14:textId="124A7692"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107,167</w:t>
            </w:r>
          </w:p>
        </w:tc>
        <w:tc>
          <w:tcPr>
            <w:tcW w:w="142" w:type="dxa"/>
            <w:tcBorders>
              <w:top w:val="single" w:sz="12" w:space="0" w:color="auto"/>
            </w:tcBorders>
            <w:shd w:val="clear" w:color="auto" w:fill="auto"/>
            <w:vAlign w:val="bottom"/>
            <w:hideMark/>
          </w:tcPr>
          <w:p w14:paraId="617177E9"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tcBorders>
              <w:top w:val="single" w:sz="12" w:space="0" w:color="auto"/>
            </w:tcBorders>
          </w:tcPr>
          <w:p w14:paraId="6CD8A385" w14:textId="77777777" w:rsidR="00663243" w:rsidRDefault="00663243" w:rsidP="000D12D1">
            <w:pPr>
              <w:spacing w:after="0" w:line="240" w:lineRule="auto"/>
              <w:jc w:val="both"/>
              <w:rPr>
                <w:rFonts w:ascii="Times New Roman" w:eastAsia="Times New Roman" w:hAnsi="Times New Roman" w:cs="Times New Roman"/>
                <w:sz w:val="20"/>
                <w:szCs w:val="20"/>
                <w:lang w:val="en-US"/>
              </w:rPr>
            </w:pPr>
          </w:p>
          <w:p w14:paraId="060CD924" w14:textId="49EB8EF8"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76" w:type="dxa"/>
            <w:tcBorders>
              <w:top w:val="single" w:sz="12" w:space="0" w:color="auto"/>
            </w:tcBorders>
          </w:tcPr>
          <w:p w14:paraId="06C8E64B" w14:textId="77777777" w:rsidR="00663243" w:rsidRDefault="00663243" w:rsidP="00663243">
            <w:pPr>
              <w:spacing w:after="0" w:line="240" w:lineRule="auto"/>
              <w:jc w:val="right"/>
              <w:rPr>
                <w:rFonts w:ascii="Times New Roman" w:eastAsia="Times New Roman" w:hAnsi="Times New Roman" w:cs="Times New Roman"/>
                <w:sz w:val="20"/>
                <w:szCs w:val="20"/>
                <w:lang w:val="en-US"/>
              </w:rPr>
            </w:pPr>
          </w:p>
          <w:p w14:paraId="673711AB" w14:textId="1AF75839"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184,235</w:t>
            </w:r>
          </w:p>
        </w:tc>
        <w:tc>
          <w:tcPr>
            <w:tcW w:w="142" w:type="dxa"/>
          </w:tcPr>
          <w:p w14:paraId="46ADCE39"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r w:rsidR="00663243" w:rsidRPr="00D2099E" w14:paraId="6426A394" w14:textId="14CD3946" w:rsidTr="00D33273">
        <w:trPr>
          <w:gridBefore w:val="1"/>
          <w:wBefore w:w="328" w:type="dxa"/>
        </w:trPr>
        <w:tc>
          <w:tcPr>
            <w:tcW w:w="3926" w:type="dxa"/>
            <w:gridSpan w:val="6"/>
            <w:shd w:val="clear" w:color="auto" w:fill="auto"/>
            <w:vAlign w:val="bottom"/>
            <w:hideMark/>
          </w:tcPr>
          <w:p w14:paraId="25998628" w14:textId="4B27CD72" w:rsidR="00663243" w:rsidRPr="00D2099E" w:rsidRDefault="00663243" w:rsidP="00CA4239">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Unsecured, </w:t>
            </w:r>
            <w:proofErr w:type="gramStart"/>
            <w:r w:rsidRPr="00D2099E">
              <w:rPr>
                <w:rFonts w:ascii="Times New Roman" w:eastAsia="Times New Roman" w:hAnsi="Times New Roman" w:cs="Times New Roman"/>
                <w:sz w:val="20"/>
                <w:szCs w:val="20"/>
                <w:lang w:val="en-US"/>
              </w:rPr>
              <w:t>interest bearing</w:t>
            </w:r>
            <w:proofErr w:type="gramEnd"/>
            <w:r w:rsidRPr="00D2099E">
              <w:rPr>
                <w:rFonts w:ascii="Times New Roman" w:eastAsia="Times New Roman" w:hAnsi="Times New Roman" w:cs="Times New Roman"/>
                <w:sz w:val="20"/>
                <w:szCs w:val="20"/>
                <w:lang w:val="en-US"/>
              </w:rPr>
              <w:t xml:space="preserve"> loans at 12% per annum</w:t>
            </w:r>
            <w:r w:rsidRPr="005328E1">
              <w:rPr>
                <w:rFonts w:ascii="Times New Roman" w:eastAsia="Times New Roman" w:hAnsi="Times New Roman" w:cs="Times New Roman"/>
                <w:sz w:val="20"/>
                <w:szCs w:val="20"/>
                <w:vertAlign w:val="superscript"/>
                <w:lang w:val="en-US"/>
              </w:rPr>
              <w:t>1</w:t>
            </w:r>
          </w:p>
        </w:tc>
        <w:tc>
          <w:tcPr>
            <w:tcW w:w="283" w:type="dxa"/>
            <w:shd w:val="clear" w:color="auto" w:fill="auto"/>
            <w:vAlign w:val="bottom"/>
            <w:hideMark/>
          </w:tcPr>
          <w:p w14:paraId="0DBC712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shd w:val="clear" w:color="auto" w:fill="auto"/>
            <w:vAlign w:val="bottom"/>
            <w:hideMark/>
          </w:tcPr>
          <w:p w14:paraId="114E40C9"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51" w:type="dxa"/>
            <w:shd w:val="clear" w:color="auto" w:fill="auto"/>
            <w:vAlign w:val="bottom"/>
          </w:tcPr>
          <w:p w14:paraId="02182169" w14:textId="0748B683" w:rsidR="00663243" w:rsidRPr="00D33273" w:rsidRDefault="00632C35" w:rsidP="000D12D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119" w:type="dxa"/>
            <w:shd w:val="clear" w:color="auto" w:fill="auto"/>
            <w:vAlign w:val="bottom"/>
            <w:hideMark/>
          </w:tcPr>
          <w:p w14:paraId="72C66A12"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shd w:val="clear" w:color="auto" w:fill="auto"/>
            <w:vAlign w:val="bottom"/>
            <w:hideMark/>
          </w:tcPr>
          <w:p w14:paraId="40E025D5"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shd w:val="clear" w:color="auto" w:fill="auto"/>
            <w:vAlign w:val="bottom"/>
            <w:hideMark/>
          </w:tcPr>
          <w:p w14:paraId="72183F82"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92" w:type="dxa"/>
            <w:shd w:val="clear" w:color="auto" w:fill="auto"/>
            <w:vAlign w:val="bottom"/>
            <w:hideMark/>
          </w:tcPr>
          <w:p w14:paraId="274943FB" w14:textId="78CF9D07"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39,069</w:t>
            </w:r>
          </w:p>
        </w:tc>
        <w:tc>
          <w:tcPr>
            <w:tcW w:w="142" w:type="dxa"/>
            <w:shd w:val="clear" w:color="auto" w:fill="auto"/>
            <w:vAlign w:val="bottom"/>
            <w:hideMark/>
          </w:tcPr>
          <w:p w14:paraId="40C1C16F"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tcPr>
          <w:p w14:paraId="4142ECC5"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676" w:type="dxa"/>
          </w:tcPr>
          <w:p w14:paraId="3B6B5B32" w14:textId="77777777" w:rsidR="009E4566" w:rsidRDefault="009E4566" w:rsidP="00663243">
            <w:pPr>
              <w:spacing w:after="0" w:line="240" w:lineRule="auto"/>
              <w:jc w:val="right"/>
              <w:rPr>
                <w:rFonts w:ascii="Times New Roman" w:eastAsia="Times New Roman" w:hAnsi="Times New Roman" w:cs="Times New Roman"/>
                <w:sz w:val="20"/>
                <w:szCs w:val="20"/>
                <w:lang w:val="en-US"/>
              </w:rPr>
            </w:pPr>
          </w:p>
          <w:p w14:paraId="201B00BB" w14:textId="18101110"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309,806</w:t>
            </w:r>
          </w:p>
        </w:tc>
        <w:tc>
          <w:tcPr>
            <w:tcW w:w="142" w:type="dxa"/>
          </w:tcPr>
          <w:p w14:paraId="46F7D8A8"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r w:rsidR="00663243" w:rsidRPr="00D2099E" w14:paraId="36614021" w14:textId="2D3F6CE4" w:rsidTr="00D33273">
        <w:trPr>
          <w:gridBefore w:val="1"/>
          <w:wBefore w:w="328" w:type="dxa"/>
        </w:trPr>
        <w:tc>
          <w:tcPr>
            <w:tcW w:w="3926" w:type="dxa"/>
            <w:gridSpan w:val="6"/>
            <w:shd w:val="clear" w:color="auto" w:fill="auto"/>
            <w:vAlign w:val="bottom"/>
          </w:tcPr>
          <w:p w14:paraId="395E3FF4" w14:textId="3F230A9D" w:rsidR="00663243" w:rsidRPr="00D2099E" w:rsidRDefault="00663243" w:rsidP="00CA4239">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Unsecured, </w:t>
            </w:r>
            <w:proofErr w:type="gramStart"/>
            <w:r w:rsidRPr="00D2099E">
              <w:rPr>
                <w:rFonts w:ascii="Times New Roman" w:eastAsia="Times New Roman" w:hAnsi="Times New Roman" w:cs="Times New Roman"/>
                <w:sz w:val="20"/>
                <w:szCs w:val="20"/>
                <w:lang w:val="en-US"/>
              </w:rPr>
              <w:t>interest bearing</w:t>
            </w:r>
            <w:proofErr w:type="gramEnd"/>
            <w:r w:rsidRPr="00D2099E">
              <w:rPr>
                <w:rFonts w:ascii="Times New Roman" w:eastAsia="Times New Roman" w:hAnsi="Times New Roman" w:cs="Times New Roman"/>
                <w:sz w:val="20"/>
                <w:szCs w:val="20"/>
                <w:lang w:val="en-US"/>
              </w:rPr>
              <w:t xml:space="preserve"> loan at 19.4% per annum</w:t>
            </w:r>
            <w:r w:rsidRPr="005328E1">
              <w:rPr>
                <w:rFonts w:ascii="Times New Roman" w:eastAsia="Times New Roman" w:hAnsi="Times New Roman" w:cs="Times New Roman"/>
                <w:sz w:val="20"/>
                <w:szCs w:val="20"/>
                <w:vertAlign w:val="superscript"/>
                <w:lang w:val="en-US"/>
              </w:rPr>
              <w:t>2</w:t>
            </w:r>
          </w:p>
        </w:tc>
        <w:tc>
          <w:tcPr>
            <w:tcW w:w="283" w:type="dxa"/>
            <w:shd w:val="clear" w:color="auto" w:fill="auto"/>
            <w:vAlign w:val="bottom"/>
          </w:tcPr>
          <w:p w14:paraId="6FC84FA6"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567" w:type="dxa"/>
            <w:shd w:val="clear" w:color="auto" w:fill="auto"/>
            <w:vAlign w:val="bottom"/>
          </w:tcPr>
          <w:p w14:paraId="72A4959A"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851" w:type="dxa"/>
            <w:shd w:val="clear" w:color="auto" w:fill="auto"/>
            <w:vAlign w:val="bottom"/>
          </w:tcPr>
          <w:p w14:paraId="2F0C305B" w14:textId="0B8E794A" w:rsidR="00663243" w:rsidRPr="00D33273" w:rsidRDefault="00632C35" w:rsidP="000D12D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17,814</w:t>
            </w:r>
          </w:p>
        </w:tc>
        <w:tc>
          <w:tcPr>
            <w:tcW w:w="119" w:type="dxa"/>
            <w:shd w:val="clear" w:color="auto" w:fill="auto"/>
            <w:vAlign w:val="bottom"/>
          </w:tcPr>
          <w:p w14:paraId="01A7CCD5"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50" w:type="dxa"/>
            <w:shd w:val="clear" w:color="auto" w:fill="auto"/>
            <w:vAlign w:val="bottom"/>
          </w:tcPr>
          <w:p w14:paraId="1D69BC95"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705" w:type="dxa"/>
            <w:shd w:val="clear" w:color="auto" w:fill="auto"/>
            <w:vAlign w:val="bottom"/>
          </w:tcPr>
          <w:p w14:paraId="7C745241"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992" w:type="dxa"/>
            <w:shd w:val="clear" w:color="auto" w:fill="auto"/>
            <w:vAlign w:val="bottom"/>
          </w:tcPr>
          <w:p w14:paraId="158480D0" w14:textId="47259285"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25,642</w:t>
            </w:r>
          </w:p>
        </w:tc>
        <w:tc>
          <w:tcPr>
            <w:tcW w:w="142" w:type="dxa"/>
            <w:shd w:val="clear" w:color="auto" w:fill="auto"/>
            <w:vAlign w:val="bottom"/>
          </w:tcPr>
          <w:p w14:paraId="174E6AB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42" w:type="dxa"/>
          </w:tcPr>
          <w:p w14:paraId="7D7095CE"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676" w:type="dxa"/>
          </w:tcPr>
          <w:p w14:paraId="30704E24" w14:textId="77777777" w:rsidR="009E4566" w:rsidRDefault="009E4566" w:rsidP="00663243">
            <w:pPr>
              <w:spacing w:after="0" w:line="240" w:lineRule="auto"/>
              <w:jc w:val="right"/>
              <w:rPr>
                <w:rFonts w:ascii="Times New Roman" w:eastAsia="Times New Roman" w:hAnsi="Times New Roman" w:cs="Times New Roman"/>
                <w:sz w:val="20"/>
                <w:szCs w:val="20"/>
                <w:lang w:val="en-US"/>
              </w:rPr>
            </w:pPr>
          </w:p>
          <w:p w14:paraId="754121B8" w14:textId="1B79F31D"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42" w:type="dxa"/>
          </w:tcPr>
          <w:p w14:paraId="5EB78734"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r w:rsidR="00663243" w:rsidRPr="00D2099E" w14:paraId="70E43B4A" w14:textId="41CABD5E" w:rsidTr="00D33273">
        <w:trPr>
          <w:gridBefore w:val="1"/>
          <w:wBefore w:w="328" w:type="dxa"/>
        </w:trPr>
        <w:tc>
          <w:tcPr>
            <w:tcW w:w="3926" w:type="dxa"/>
            <w:gridSpan w:val="6"/>
            <w:shd w:val="clear" w:color="auto" w:fill="auto"/>
            <w:vAlign w:val="bottom"/>
            <w:hideMark/>
          </w:tcPr>
          <w:p w14:paraId="4BE614AB" w14:textId="3E5AEE32" w:rsidR="00663243" w:rsidRPr="00D2099E" w:rsidRDefault="00663243" w:rsidP="00CA4239">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Unsecured, </w:t>
            </w:r>
            <w:proofErr w:type="gramStart"/>
            <w:r w:rsidRPr="00D2099E">
              <w:rPr>
                <w:rFonts w:ascii="Times New Roman" w:eastAsia="Times New Roman" w:hAnsi="Times New Roman" w:cs="Times New Roman"/>
                <w:sz w:val="20"/>
                <w:szCs w:val="20"/>
                <w:lang w:val="en-US"/>
              </w:rPr>
              <w:t>interest bearing</w:t>
            </w:r>
            <w:proofErr w:type="gramEnd"/>
            <w:r w:rsidRPr="00D2099E">
              <w:rPr>
                <w:rFonts w:ascii="Times New Roman" w:eastAsia="Times New Roman" w:hAnsi="Times New Roman" w:cs="Times New Roman"/>
                <w:sz w:val="20"/>
                <w:szCs w:val="20"/>
                <w:lang w:val="en-US"/>
              </w:rPr>
              <w:t xml:space="preserve"> loan at 20.5% per annum</w:t>
            </w:r>
            <w:r w:rsidRPr="005328E1">
              <w:rPr>
                <w:rFonts w:ascii="Times New Roman" w:eastAsia="Times New Roman" w:hAnsi="Times New Roman" w:cs="Times New Roman"/>
                <w:sz w:val="20"/>
                <w:szCs w:val="20"/>
                <w:vertAlign w:val="superscript"/>
                <w:lang w:val="en-US"/>
              </w:rPr>
              <w:t>3</w:t>
            </w:r>
          </w:p>
        </w:tc>
        <w:tc>
          <w:tcPr>
            <w:tcW w:w="283" w:type="dxa"/>
            <w:shd w:val="clear" w:color="auto" w:fill="auto"/>
            <w:vAlign w:val="bottom"/>
            <w:hideMark/>
          </w:tcPr>
          <w:p w14:paraId="54B3C66D"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shd w:val="clear" w:color="auto" w:fill="auto"/>
            <w:vAlign w:val="bottom"/>
            <w:hideMark/>
          </w:tcPr>
          <w:p w14:paraId="0FD0296E"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51" w:type="dxa"/>
            <w:shd w:val="clear" w:color="auto" w:fill="auto"/>
            <w:vAlign w:val="bottom"/>
          </w:tcPr>
          <w:p w14:paraId="3FD20EAB" w14:textId="2B16DE94" w:rsidR="00663243" w:rsidRPr="00D33273" w:rsidRDefault="00663243" w:rsidP="000D12D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119" w:type="dxa"/>
            <w:shd w:val="clear" w:color="auto" w:fill="auto"/>
            <w:vAlign w:val="bottom"/>
            <w:hideMark/>
          </w:tcPr>
          <w:p w14:paraId="78898850"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shd w:val="clear" w:color="auto" w:fill="auto"/>
            <w:vAlign w:val="bottom"/>
            <w:hideMark/>
          </w:tcPr>
          <w:p w14:paraId="4F3F6F3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shd w:val="clear" w:color="auto" w:fill="auto"/>
            <w:vAlign w:val="bottom"/>
            <w:hideMark/>
          </w:tcPr>
          <w:p w14:paraId="4F9B022D"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92" w:type="dxa"/>
            <w:shd w:val="clear" w:color="auto" w:fill="auto"/>
            <w:vAlign w:val="bottom"/>
            <w:hideMark/>
          </w:tcPr>
          <w:p w14:paraId="08AF46BA" w14:textId="5AAD3D6F"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42" w:type="dxa"/>
            <w:shd w:val="clear" w:color="auto" w:fill="auto"/>
            <w:vAlign w:val="bottom"/>
            <w:hideMark/>
          </w:tcPr>
          <w:p w14:paraId="473900E5"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tcPr>
          <w:p w14:paraId="405695C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676" w:type="dxa"/>
          </w:tcPr>
          <w:p w14:paraId="7CAFB4C3" w14:textId="77777777" w:rsidR="009E4566" w:rsidRDefault="009E4566" w:rsidP="00663243">
            <w:pPr>
              <w:spacing w:after="0" w:line="240" w:lineRule="auto"/>
              <w:jc w:val="right"/>
              <w:rPr>
                <w:rFonts w:ascii="Times New Roman" w:eastAsia="Times New Roman" w:hAnsi="Times New Roman" w:cs="Times New Roman"/>
                <w:sz w:val="20"/>
                <w:szCs w:val="20"/>
                <w:lang w:val="en-US"/>
              </w:rPr>
            </w:pPr>
          </w:p>
          <w:p w14:paraId="19CF9312" w14:textId="2A3CE1D0"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25,625</w:t>
            </w:r>
          </w:p>
        </w:tc>
        <w:tc>
          <w:tcPr>
            <w:tcW w:w="142" w:type="dxa"/>
          </w:tcPr>
          <w:p w14:paraId="4B49DDC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r w:rsidR="00663243" w:rsidRPr="00D2099E" w14:paraId="329113FC" w14:textId="6BCEC727" w:rsidTr="00D33273">
        <w:trPr>
          <w:gridBefore w:val="1"/>
          <w:wBefore w:w="328" w:type="dxa"/>
        </w:trPr>
        <w:tc>
          <w:tcPr>
            <w:tcW w:w="3926" w:type="dxa"/>
            <w:gridSpan w:val="6"/>
            <w:shd w:val="clear" w:color="auto" w:fill="auto"/>
            <w:vAlign w:val="bottom"/>
            <w:hideMark/>
          </w:tcPr>
          <w:p w14:paraId="7EC36783" w14:textId="4170C0BE" w:rsidR="00663243" w:rsidRPr="00D2099E" w:rsidRDefault="00663243" w:rsidP="00CA4239">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Unsecured, </w:t>
            </w:r>
            <w:proofErr w:type="gramStart"/>
            <w:r w:rsidRPr="00D2099E">
              <w:rPr>
                <w:rFonts w:ascii="Times New Roman" w:eastAsia="Times New Roman" w:hAnsi="Times New Roman" w:cs="Times New Roman"/>
                <w:sz w:val="20"/>
                <w:szCs w:val="20"/>
                <w:lang w:val="en-US"/>
              </w:rPr>
              <w:t>interest bearing</w:t>
            </w:r>
            <w:proofErr w:type="gramEnd"/>
            <w:r w:rsidRPr="00D2099E">
              <w:rPr>
                <w:rFonts w:ascii="Times New Roman" w:eastAsia="Times New Roman" w:hAnsi="Times New Roman" w:cs="Times New Roman"/>
                <w:sz w:val="20"/>
                <w:szCs w:val="20"/>
                <w:lang w:val="en-US"/>
              </w:rPr>
              <w:t xml:space="preserve"> loan at 13.25% per annum</w:t>
            </w:r>
            <w:r w:rsidRPr="005328E1">
              <w:rPr>
                <w:rFonts w:ascii="Times New Roman" w:eastAsia="Times New Roman" w:hAnsi="Times New Roman" w:cs="Times New Roman"/>
                <w:sz w:val="20"/>
                <w:szCs w:val="20"/>
                <w:vertAlign w:val="superscript"/>
                <w:lang w:val="en-US"/>
              </w:rPr>
              <w:t>4</w:t>
            </w:r>
          </w:p>
        </w:tc>
        <w:tc>
          <w:tcPr>
            <w:tcW w:w="283" w:type="dxa"/>
            <w:shd w:val="clear" w:color="auto" w:fill="auto"/>
            <w:vAlign w:val="bottom"/>
            <w:hideMark/>
          </w:tcPr>
          <w:p w14:paraId="29670081"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shd w:val="clear" w:color="auto" w:fill="auto"/>
            <w:vAlign w:val="bottom"/>
            <w:hideMark/>
          </w:tcPr>
          <w:p w14:paraId="6F8B2EB3"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51" w:type="dxa"/>
            <w:shd w:val="clear" w:color="auto" w:fill="auto"/>
            <w:vAlign w:val="bottom"/>
          </w:tcPr>
          <w:p w14:paraId="498B8110" w14:textId="064CD361" w:rsidR="00663243" w:rsidRPr="00D33273" w:rsidRDefault="00663243" w:rsidP="000D12D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119" w:type="dxa"/>
            <w:shd w:val="clear" w:color="auto" w:fill="auto"/>
            <w:vAlign w:val="bottom"/>
            <w:hideMark/>
          </w:tcPr>
          <w:p w14:paraId="07E31C5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shd w:val="clear" w:color="auto" w:fill="auto"/>
            <w:vAlign w:val="bottom"/>
            <w:hideMark/>
          </w:tcPr>
          <w:p w14:paraId="2EC384D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shd w:val="clear" w:color="auto" w:fill="auto"/>
            <w:vAlign w:val="bottom"/>
            <w:hideMark/>
          </w:tcPr>
          <w:p w14:paraId="1DCCAF6F"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92" w:type="dxa"/>
            <w:shd w:val="clear" w:color="auto" w:fill="auto"/>
            <w:vAlign w:val="bottom"/>
            <w:hideMark/>
          </w:tcPr>
          <w:p w14:paraId="5073020D" w14:textId="741EC14F"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3,534</w:t>
            </w:r>
          </w:p>
        </w:tc>
        <w:tc>
          <w:tcPr>
            <w:tcW w:w="142" w:type="dxa"/>
            <w:shd w:val="clear" w:color="auto" w:fill="auto"/>
            <w:vAlign w:val="bottom"/>
            <w:hideMark/>
          </w:tcPr>
          <w:p w14:paraId="6722868F"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tcPr>
          <w:p w14:paraId="042BD69A"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676" w:type="dxa"/>
          </w:tcPr>
          <w:p w14:paraId="3CD45B9C" w14:textId="77777777" w:rsidR="009E4566" w:rsidRDefault="009E4566" w:rsidP="00663243">
            <w:pPr>
              <w:spacing w:after="0" w:line="240" w:lineRule="auto"/>
              <w:jc w:val="right"/>
              <w:rPr>
                <w:rFonts w:ascii="Times New Roman" w:eastAsia="Times New Roman" w:hAnsi="Times New Roman" w:cs="Times New Roman"/>
                <w:sz w:val="20"/>
                <w:szCs w:val="20"/>
                <w:lang w:val="en-US"/>
              </w:rPr>
            </w:pPr>
          </w:p>
          <w:p w14:paraId="76BB2085" w14:textId="3E18146C"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41,533</w:t>
            </w:r>
          </w:p>
        </w:tc>
        <w:tc>
          <w:tcPr>
            <w:tcW w:w="142" w:type="dxa"/>
          </w:tcPr>
          <w:p w14:paraId="03DB8A2D"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r w:rsidR="00663243" w:rsidRPr="00D2099E" w14:paraId="5C5AB5C8" w14:textId="18509D91" w:rsidTr="00D33273">
        <w:trPr>
          <w:gridBefore w:val="1"/>
          <w:wBefore w:w="328" w:type="dxa"/>
        </w:trPr>
        <w:tc>
          <w:tcPr>
            <w:tcW w:w="3926" w:type="dxa"/>
            <w:gridSpan w:val="6"/>
            <w:shd w:val="clear" w:color="auto" w:fill="auto"/>
            <w:vAlign w:val="bottom"/>
            <w:hideMark/>
          </w:tcPr>
          <w:p w14:paraId="02B883F1" w14:textId="1D9F04EE" w:rsidR="00663243" w:rsidRPr="00D2099E" w:rsidRDefault="00663243" w:rsidP="00CA4239">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Unsecured, </w:t>
            </w:r>
            <w:proofErr w:type="gramStart"/>
            <w:r w:rsidRPr="00D2099E">
              <w:rPr>
                <w:rFonts w:ascii="Times New Roman" w:eastAsia="Times New Roman" w:hAnsi="Times New Roman" w:cs="Times New Roman"/>
                <w:sz w:val="20"/>
                <w:szCs w:val="20"/>
                <w:lang w:val="en-US"/>
              </w:rPr>
              <w:t>interest bearing</w:t>
            </w:r>
            <w:proofErr w:type="gramEnd"/>
            <w:r w:rsidRPr="00D2099E">
              <w:rPr>
                <w:rFonts w:ascii="Times New Roman" w:eastAsia="Times New Roman" w:hAnsi="Times New Roman" w:cs="Times New Roman"/>
                <w:sz w:val="20"/>
                <w:szCs w:val="20"/>
                <w:lang w:val="en-US"/>
              </w:rPr>
              <w:t xml:space="preserve"> loan at 15% per annum</w:t>
            </w:r>
            <w:r w:rsidRPr="005328E1">
              <w:rPr>
                <w:rFonts w:ascii="Times New Roman" w:eastAsia="Times New Roman" w:hAnsi="Times New Roman" w:cs="Times New Roman"/>
                <w:sz w:val="20"/>
                <w:szCs w:val="20"/>
                <w:vertAlign w:val="superscript"/>
                <w:lang w:val="en-US"/>
              </w:rPr>
              <w:t>5</w:t>
            </w:r>
          </w:p>
        </w:tc>
        <w:tc>
          <w:tcPr>
            <w:tcW w:w="283" w:type="dxa"/>
            <w:shd w:val="clear" w:color="auto" w:fill="auto"/>
            <w:vAlign w:val="bottom"/>
            <w:hideMark/>
          </w:tcPr>
          <w:p w14:paraId="7BAA5C69"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shd w:val="clear" w:color="auto" w:fill="auto"/>
            <w:vAlign w:val="bottom"/>
            <w:hideMark/>
          </w:tcPr>
          <w:p w14:paraId="51A81A43"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51" w:type="dxa"/>
            <w:shd w:val="clear" w:color="auto" w:fill="auto"/>
            <w:vAlign w:val="bottom"/>
          </w:tcPr>
          <w:p w14:paraId="39045F52" w14:textId="73CFBA1C" w:rsidR="00663243" w:rsidRPr="00D33273" w:rsidRDefault="002223AE" w:rsidP="000D12D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w:t>
            </w:r>
          </w:p>
        </w:tc>
        <w:tc>
          <w:tcPr>
            <w:tcW w:w="119" w:type="dxa"/>
            <w:shd w:val="clear" w:color="auto" w:fill="auto"/>
            <w:vAlign w:val="bottom"/>
            <w:hideMark/>
          </w:tcPr>
          <w:p w14:paraId="77C9A49A"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shd w:val="clear" w:color="auto" w:fill="auto"/>
            <w:vAlign w:val="bottom"/>
            <w:hideMark/>
          </w:tcPr>
          <w:p w14:paraId="0DBCA3A8"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shd w:val="clear" w:color="auto" w:fill="auto"/>
            <w:vAlign w:val="bottom"/>
            <w:hideMark/>
          </w:tcPr>
          <w:p w14:paraId="18DF1350"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92" w:type="dxa"/>
            <w:shd w:val="clear" w:color="auto" w:fill="auto"/>
            <w:vAlign w:val="bottom"/>
            <w:hideMark/>
          </w:tcPr>
          <w:p w14:paraId="40F4AF24" w14:textId="02315B87"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473,635</w:t>
            </w:r>
          </w:p>
        </w:tc>
        <w:tc>
          <w:tcPr>
            <w:tcW w:w="142" w:type="dxa"/>
            <w:shd w:val="clear" w:color="auto" w:fill="auto"/>
            <w:vAlign w:val="bottom"/>
            <w:hideMark/>
          </w:tcPr>
          <w:p w14:paraId="05EFD212"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tcPr>
          <w:p w14:paraId="16A1944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676" w:type="dxa"/>
          </w:tcPr>
          <w:p w14:paraId="3D1602AC" w14:textId="77777777" w:rsidR="009E4566" w:rsidRDefault="009E4566" w:rsidP="00663243">
            <w:pPr>
              <w:spacing w:after="0" w:line="240" w:lineRule="auto"/>
              <w:jc w:val="right"/>
              <w:rPr>
                <w:rFonts w:ascii="Times New Roman" w:eastAsia="Times New Roman" w:hAnsi="Times New Roman" w:cs="Times New Roman"/>
                <w:sz w:val="20"/>
                <w:szCs w:val="20"/>
                <w:lang w:val="en-US"/>
              </w:rPr>
            </w:pPr>
          </w:p>
          <w:p w14:paraId="67B98682" w14:textId="0AF6E759"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42" w:type="dxa"/>
          </w:tcPr>
          <w:p w14:paraId="536A2A54"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r w:rsidR="00656A62" w:rsidRPr="00D2099E" w14:paraId="2EAF0C07" w14:textId="77777777" w:rsidTr="00D33273">
        <w:trPr>
          <w:gridBefore w:val="1"/>
          <w:wBefore w:w="328" w:type="dxa"/>
        </w:trPr>
        <w:tc>
          <w:tcPr>
            <w:tcW w:w="3926" w:type="dxa"/>
            <w:gridSpan w:val="6"/>
            <w:shd w:val="clear" w:color="auto" w:fill="auto"/>
            <w:vAlign w:val="bottom"/>
          </w:tcPr>
          <w:p w14:paraId="5E4DE21B" w14:textId="758B78B8" w:rsidR="00656A62" w:rsidRPr="00D2099E" w:rsidRDefault="00656A62" w:rsidP="00CA4239">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Unsecured, </w:t>
            </w:r>
            <w:proofErr w:type="gramStart"/>
            <w:r w:rsidRPr="00D2099E">
              <w:rPr>
                <w:rFonts w:ascii="Times New Roman" w:eastAsia="Times New Roman" w:hAnsi="Times New Roman" w:cs="Times New Roman"/>
                <w:sz w:val="20"/>
                <w:szCs w:val="20"/>
                <w:lang w:val="en-US"/>
              </w:rPr>
              <w:t>interest bearing</w:t>
            </w:r>
            <w:proofErr w:type="gramEnd"/>
            <w:r w:rsidRPr="00D2099E">
              <w:rPr>
                <w:rFonts w:ascii="Times New Roman" w:eastAsia="Times New Roman" w:hAnsi="Times New Roman" w:cs="Times New Roman"/>
                <w:sz w:val="20"/>
                <w:szCs w:val="20"/>
                <w:lang w:val="en-US"/>
              </w:rPr>
              <w:t xml:space="preserve"> loan at </w:t>
            </w:r>
            <w:r>
              <w:rPr>
                <w:rFonts w:ascii="Times New Roman" w:eastAsia="Times New Roman" w:hAnsi="Times New Roman" w:cs="Times New Roman"/>
                <w:sz w:val="20"/>
                <w:szCs w:val="20"/>
                <w:lang w:val="en-US"/>
              </w:rPr>
              <w:t>45.33</w:t>
            </w:r>
            <w:r w:rsidRPr="00D2099E">
              <w:rPr>
                <w:rFonts w:ascii="Times New Roman" w:eastAsia="Times New Roman" w:hAnsi="Times New Roman" w:cs="Times New Roman"/>
                <w:sz w:val="20"/>
                <w:szCs w:val="20"/>
                <w:lang w:val="en-US"/>
              </w:rPr>
              <w:t>% per annum</w:t>
            </w:r>
            <w:r w:rsidRPr="00064A08">
              <w:rPr>
                <w:rFonts w:ascii="Times New Roman" w:eastAsia="Times New Roman" w:hAnsi="Times New Roman" w:cs="Times New Roman"/>
                <w:sz w:val="20"/>
                <w:szCs w:val="20"/>
                <w:vertAlign w:val="superscript"/>
                <w:lang w:val="en-US"/>
              </w:rPr>
              <w:t>6</w:t>
            </w:r>
          </w:p>
        </w:tc>
        <w:tc>
          <w:tcPr>
            <w:tcW w:w="283" w:type="dxa"/>
            <w:shd w:val="clear" w:color="auto" w:fill="auto"/>
            <w:vAlign w:val="bottom"/>
          </w:tcPr>
          <w:p w14:paraId="6CE7FF58" w14:textId="77777777" w:rsidR="00656A62" w:rsidRPr="00D2099E" w:rsidRDefault="00656A62" w:rsidP="000D12D1">
            <w:pPr>
              <w:spacing w:after="0" w:line="240" w:lineRule="auto"/>
              <w:jc w:val="both"/>
              <w:rPr>
                <w:rFonts w:ascii="Times New Roman" w:eastAsia="Times New Roman" w:hAnsi="Times New Roman" w:cs="Times New Roman"/>
                <w:sz w:val="20"/>
                <w:szCs w:val="20"/>
                <w:lang w:val="en-US"/>
              </w:rPr>
            </w:pPr>
          </w:p>
        </w:tc>
        <w:tc>
          <w:tcPr>
            <w:tcW w:w="567" w:type="dxa"/>
            <w:shd w:val="clear" w:color="auto" w:fill="auto"/>
            <w:vAlign w:val="bottom"/>
          </w:tcPr>
          <w:p w14:paraId="1B3BD57F" w14:textId="77777777" w:rsidR="00656A62" w:rsidRPr="00D2099E" w:rsidRDefault="00656A62" w:rsidP="000D12D1">
            <w:pPr>
              <w:spacing w:after="0" w:line="240" w:lineRule="auto"/>
              <w:jc w:val="both"/>
              <w:rPr>
                <w:rFonts w:ascii="Times New Roman" w:eastAsia="Times New Roman" w:hAnsi="Times New Roman" w:cs="Times New Roman"/>
                <w:sz w:val="20"/>
                <w:szCs w:val="20"/>
                <w:lang w:val="en-US"/>
              </w:rPr>
            </w:pPr>
          </w:p>
        </w:tc>
        <w:tc>
          <w:tcPr>
            <w:tcW w:w="851" w:type="dxa"/>
            <w:shd w:val="clear" w:color="auto" w:fill="auto"/>
            <w:vAlign w:val="bottom"/>
          </w:tcPr>
          <w:p w14:paraId="617A2CCC" w14:textId="2E67FEA2" w:rsidR="00656A62" w:rsidRPr="00D33273" w:rsidDel="002223AE" w:rsidRDefault="00656A62" w:rsidP="000D12D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87,817</w:t>
            </w:r>
          </w:p>
        </w:tc>
        <w:tc>
          <w:tcPr>
            <w:tcW w:w="119" w:type="dxa"/>
            <w:shd w:val="clear" w:color="auto" w:fill="auto"/>
            <w:vAlign w:val="bottom"/>
          </w:tcPr>
          <w:p w14:paraId="271568C6" w14:textId="77777777" w:rsidR="00656A62" w:rsidRPr="00D2099E" w:rsidRDefault="00656A62" w:rsidP="000D12D1">
            <w:pPr>
              <w:spacing w:after="0" w:line="240" w:lineRule="auto"/>
              <w:jc w:val="both"/>
              <w:rPr>
                <w:rFonts w:ascii="Times New Roman" w:eastAsia="Times New Roman" w:hAnsi="Times New Roman" w:cs="Times New Roman"/>
                <w:sz w:val="20"/>
                <w:szCs w:val="20"/>
                <w:lang w:val="en-US"/>
              </w:rPr>
            </w:pPr>
          </w:p>
        </w:tc>
        <w:tc>
          <w:tcPr>
            <w:tcW w:w="50" w:type="dxa"/>
            <w:shd w:val="clear" w:color="auto" w:fill="auto"/>
            <w:vAlign w:val="bottom"/>
          </w:tcPr>
          <w:p w14:paraId="7B614586" w14:textId="77777777" w:rsidR="00656A62" w:rsidRPr="00D2099E" w:rsidRDefault="00656A62" w:rsidP="000D12D1">
            <w:pPr>
              <w:spacing w:after="0" w:line="240" w:lineRule="auto"/>
              <w:jc w:val="both"/>
              <w:rPr>
                <w:rFonts w:ascii="Times New Roman" w:eastAsia="Times New Roman" w:hAnsi="Times New Roman" w:cs="Times New Roman"/>
                <w:sz w:val="20"/>
                <w:szCs w:val="20"/>
                <w:lang w:val="en-US"/>
              </w:rPr>
            </w:pPr>
          </w:p>
        </w:tc>
        <w:tc>
          <w:tcPr>
            <w:tcW w:w="705" w:type="dxa"/>
            <w:shd w:val="clear" w:color="auto" w:fill="auto"/>
            <w:vAlign w:val="bottom"/>
          </w:tcPr>
          <w:p w14:paraId="5DB51E76" w14:textId="77777777" w:rsidR="00656A62" w:rsidRPr="00D2099E" w:rsidRDefault="00656A62" w:rsidP="000D12D1">
            <w:pPr>
              <w:spacing w:after="0" w:line="240" w:lineRule="auto"/>
              <w:jc w:val="both"/>
              <w:rPr>
                <w:rFonts w:ascii="Times New Roman" w:eastAsia="Times New Roman" w:hAnsi="Times New Roman" w:cs="Times New Roman"/>
                <w:sz w:val="20"/>
                <w:szCs w:val="20"/>
                <w:lang w:val="en-US"/>
              </w:rPr>
            </w:pPr>
          </w:p>
        </w:tc>
        <w:tc>
          <w:tcPr>
            <w:tcW w:w="992" w:type="dxa"/>
            <w:shd w:val="clear" w:color="auto" w:fill="auto"/>
            <w:vAlign w:val="bottom"/>
          </w:tcPr>
          <w:p w14:paraId="085E8D95" w14:textId="64221F30" w:rsidR="00656A62" w:rsidRPr="00D2099E" w:rsidRDefault="00656A62" w:rsidP="000D12D1">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42" w:type="dxa"/>
            <w:shd w:val="clear" w:color="auto" w:fill="auto"/>
            <w:vAlign w:val="bottom"/>
          </w:tcPr>
          <w:p w14:paraId="2E6A3225" w14:textId="77777777" w:rsidR="00656A62" w:rsidRPr="00D2099E" w:rsidRDefault="00656A62" w:rsidP="000D12D1">
            <w:pPr>
              <w:spacing w:after="0" w:line="240" w:lineRule="auto"/>
              <w:jc w:val="both"/>
              <w:rPr>
                <w:rFonts w:ascii="Times New Roman" w:eastAsia="Times New Roman" w:hAnsi="Times New Roman" w:cs="Times New Roman"/>
                <w:sz w:val="20"/>
                <w:szCs w:val="20"/>
                <w:lang w:val="en-US"/>
              </w:rPr>
            </w:pPr>
          </w:p>
        </w:tc>
        <w:tc>
          <w:tcPr>
            <w:tcW w:w="142" w:type="dxa"/>
          </w:tcPr>
          <w:p w14:paraId="3B1284F1" w14:textId="77777777" w:rsidR="00656A62" w:rsidRPr="00D2099E" w:rsidRDefault="00656A62" w:rsidP="000D12D1">
            <w:pPr>
              <w:spacing w:after="0" w:line="240" w:lineRule="auto"/>
              <w:jc w:val="both"/>
              <w:rPr>
                <w:rFonts w:ascii="Times New Roman" w:eastAsia="Times New Roman" w:hAnsi="Times New Roman" w:cs="Times New Roman"/>
                <w:sz w:val="20"/>
                <w:szCs w:val="20"/>
                <w:lang w:val="en-US"/>
              </w:rPr>
            </w:pPr>
          </w:p>
        </w:tc>
        <w:tc>
          <w:tcPr>
            <w:tcW w:w="1676" w:type="dxa"/>
          </w:tcPr>
          <w:p w14:paraId="4B76697F" w14:textId="77777777" w:rsidR="00656A62" w:rsidRDefault="00656A62" w:rsidP="00663243">
            <w:pPr>
              <w:spacing w:after="0" w:line="240" w:lineRule="auto"/>
              <w:jc w:val="right"/>
              <w:rPr>
                <w:rFonts w:ascii="Times New Roman" w:eastAsia="Times New Roman" w:hAnsi="Times New Roman" w:cs="Times New Roman"/>
                <w:sz w:val="20"/>
                <w:szCs w:val="20"/>
                <w:lang w:val="en-US"/>
              </w:rPr>
            </w:pPr>
          </w:p>
          <w:p w14:paraId="5082E0AD" w14:textId="1B8B5631" w:rsidR="00656A62" w:rsidRDefault="00656A62" w:rsidP="0066324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42" w:type="dxa"/>
          </w:tcPr>
          <w:p w14:paraId="47F21F7E" w14:textId="77777777" w:rsidR="00656A62" w:rsidRPr="00D2099E" w:rsidRDefault="00656A62" w:rsidP="000D12D1">
            <w:pPr>
              <w:spacing w:after="0" w:line="240" w:lineRule="auto"/>
              <w:jc w:val="both"/>
              <w:rPr>
                <w:rFonts w:ascii="Times New Roman" w:eastAsia="Times New Roman" w:hAnsi="Times New Roman" w:cs="Times New Roman"/>
                <w:sz w:val="20"/>
                <w:szCs w:val="20"/>
                <w:lang w:val="en-US"/>
              </w:rPr>
            </w:pPr>
          </w:p>
        </w:tc>
      </w:tr>
      <w:tr w:rsidR="00663243" w:rsidRPr="00D2099E" w14:paraId="7BBB0DF2" w14:textId="2AE6B115" w:rsidTr="00D33273">
        <w:trPr>
          <w:gridBefore w:val="1"/>
          <w:wBefore w:w="328" w:type="dxa"/>
        </w:trPr>
        <w:tc>
          <w:tcPr>
            <w:tcW w:w="3926" w:type="dxa"/>
            <w:gridSpan w:val="6"/>
            <w:shd w:val="clear" w:color="auto" w:fill="auto"/>
            <w:tcMar>
              <w:top w:w="0" w:type="dxa"/>
              <w:left w:w="0" w:type="dxa"/>
              <w:bottom w:w="30" w:type="dxa"/>
              <w:right w:w="0" w:type="dxa"/>
            </w:tcMar>
            <w:vAlign w:val="bottom"/>
            <w:hideMark/>
          </w:tcPr>
          <w:p w14:paraId="1EFCB12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Non-</w:t>
            </w:r>
            <w:proofErr w:type="gramStart"/>
            <w:r w:rsidRPr="00D2099E">
              <w:rPr>
                <w:rFonts w:ascii="Times New Roman" w:eastAsia="Times New Roman" w:hAnsi="Times New Roman" w:cs="Times New Roman"/>
                <w:sz w:val="20"/>
                <w:szCs w:val="20"/>
                <w:lang w:val="en-US"/>
              </w:rPr>
              <w:t>interest bearing</w:t>
            </w:r>
            <w:proofErr w:type="gramEnd"/>
            <w:r w:rsidRPr="00D2099E">
              <w:rPr>
                <w:rFonts w:ascii="Times New Roman" w:eastAsia="Times New Roman" w:hAnsi="Times New Roman" w:cs="Times New Roman"/>
                <w:sz w:val="20"/>
                <w:szCs w:val="20"/>
                <w:lang w:val="en-US"/>
              </w:rPr>
              <w:t xml:space="preserve"> loans</w:t>
            </w:r>
          </w:p>
        </w:tc>
        <w:tc>
          <w:tcPr>
            <w:tcW w:w="283" w:type="dxa"/>
            <w:shd w:val="clear" w:color="auto" w:fill="auto"/>
            <w:tcMar>
              <w:top w:w="0" w:type="dxa"/>
              <w:left w:w="0" w:type="dxa"/>
              <w:bottom w:w="30" w:type="dxa"/>
              <w:right w:w="0" w:type="dxa"/>
            </w:tcMar>
            <w:vAlign w:val="bottom"/>
            <w:hideMark/>
          </w:tcPr>
          <w:p w14:paraId="5F258D98"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tcBorders>
              <w:bottom w:val="single" w:sz="12" w:space="0" w:color="000000"/>
            </w:tcBorders>
            <w:shd w:val="clear" w:color="auto" w:fill="auto"/>
            <w:vAlign w:val="bottom"/>
            <w:hideMark/>
          </w:tcPr>
          <w:p w14:paraId="3EB5EB4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51" w:type="dxa"/>
            <w:tcBorders>
              <w:bottom w:val="single" w:sz="12" w:space="0" w:color="000000"/>
            </w:tcBorders>
            <w:shd w:val="clear" w:color="auto" w:fill="auto"/>
            <w:vAlign w:val="bottom"/>
          </w:tcPr>
          <w:p w14:paraId="64106560" w14:textId="1EF9C8A4" w:rsidR="00663243" w:rsidRPr="00D33273" w:rsidRDefault="00663243" w:rsidP="000D12D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p>
        </w:tc>
        <w:tc>
          <w:tcPr>
            <w:tcW w:w="119" w:type="dxa"/>
            <w:shd w:val="clear" w:color="auto" w:fill="auto"/>
            <w:tcMar>
              <w:top w:w="0" w:type="dxa"/>
              <w:left w:w="0" w:type="dxa"/>
              <w:bottom w:w="30" w:type="dxa"/>
              <w:right w:w="0" w:type="dxa"/>
            </w:tcMar>
            <w:vAlign w:val="bottom"/>
            <w:hideMark/>
          </w:tcPr>
          <w:p w14:paraId="640DF880"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shd w:val="clear" w:color="auto" w:fill="auto"/>
            <w:tcMar>
              <w:top w:w="0" w:type="dxa"/>
              <w:left w:w="0" w:type="dxa"/>
              <w:bottom w:w="30" w:type="dxa"/>
              <w:right w:w="0" w:type="dxa"/>
            </w:tcMar>
            <w:vAlign w:val="bottom"/>
            <w:hideMark/>
          </w:tcPr>
          <w:p w14:paraId="07034488"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tcBorders>
              <w:bottom w:val="single" w:sz="12" w:space="0" w:color="000000"/>
            </w:tcBorders>
            <w:shd w:val="clear" w:color="auto" w:fill="auto"/>
            <w:vAlign w:val="bottom"/>
            <w:hideMark/>
          </w:tcPr>
          <w:p w14:paraId="2368DCD1"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92" w:type="dxa"/>
            <w:tcBorders>
              <w:bottom w:val="single" w:sz="12" w:space="0" w:color="000000"/>
            </w:tcBorders>
            <w:shd w:val="clear" w:color="auto" w:fill="auto"/>
            <w:vAlign w:val="bottom"/>
            <w:hideMark/>
          </w:tcPr>
          <w:p w14:paraId="08EBF560" w14:textId="693AB364"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42" w:type="dxa"/>
            <w:shd w:val="clear" w:color="auto" w:fill="auto"/>
            <w:tcMar>
              <w:top w:w="0" w:type="dxa"/>
              <w:left w:w="0" w:type="dxa"/>
              <w:bottom w:w="30" w:type="dxa"/>
              <w:right w:w="0" w:type="dxa"/>
            </w:tcMar>
            <w:vAlign w:val="bottom"/>
            <w:hideMark/>
          </w:tcPr>
          <w:p w14:paraId="5F31273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tcBorders>
              <w:bottom w:val="single" w:sz="12" w:space="0" w:color="auto"/>
            </w:tcBorders>
          </w:tcPr>
          <w:p w14:paraId="7DD7F524"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676" w:type="dxa"/>
            <w:tcBorders>
              <w:bottom w:val="single" w:sz="12" w:space="0" w:color="auto"/>
            </w:tcBorders>
          </w:tcPr>
          <w:p w14:paraId="6F2440ED" w14:textId="35ED1195"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5,955</w:t>
            </w:r>
          </w:p>
        </w:tc>
        <w:tc>
          <w:tcPr>
            <w:tcW w:w="142" w:type="dxa"/>
          </w:tcPr>
          <w:p w14:paraId="5CDBBD2E"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r w:rsidR="00663243" w:rsidRPr="00D2099E" w14:paraId="6D467E6A" w14:textId="74F57BED" w:rsidTr="00D33273">
        <w:trPr>
          <w:gridBefore w:val="1"/>
          <w:wBefore w:w="328" w:type="dxa"/>
        </w:trPr>
        <w:tc>
          <w:tcPr>
            <w:tcW w:w="3926" w:type="dxa"/>
            <w:gridSpan w:val="6"/>
            <w:shd w:val="clear" w:color="auto" w:fill="auto"/>
            <w:vAlign w:val="bottom"/>
            <w:hideMark/>
          </w:tcPr>
          <w:p w14:paraId="5213055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Total loans payable</w:t>
            </w:r>
          </w:p>
        </w:tc>
        <w:tc>
          <w:tcPr>
            <w:tcW w:w="283" w:type="dxa"/>
            <w:shd w:val="clear" w:color="auto" w:fill="auto"/>
            <w:vAlign w:val="bottom"/>
            <w:hideMark/>
          </w:tcPr>
          <w:p w14:paraId="3EC16B6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shd w:val="clear" w:color="auto" w:fill="auto"/>
            <w:vAlign w:val="bottom"/>
            <w:hideMark/>
          </w:tcPr>
          <w:p w14:paraId="1D42CF46"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51" w:type="dxa"/>
            <w:shd w:val="clear" w:color="auto" w:fill="auto"/>
            <w:vAlign w:val="bottom"/>
          </w:tcPr>
          <w:p w14:paraId="27167D62" w14:textId="0323C727" w:rsidR="00663243" w:rsidRPr="00D33273" w:rsidRDefault="00656A62" w:rsidP="000D12D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117,150</w:t>
            </w:r>
          </w:p>
        </w:tc>
        <w:tc>
          <w:tcPr>
            <w:tcW w:w="119" w:type="dxa"/>
            <w:shd w:val="clear" w:color="auto" w:fill="auto"/>
            <w:vAlign w:val="bottom"/>
            <w:hideMark/>
          </w:tcPr>
          <w:p w14:paraId="24D4E0F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shd w:val="clear" w:color="auto" w:fill="auto"/>
            <w:vAlign w:val="bottom"/>
            <w:hideMark/>
          </w:tcPr>
          <w:p w14:paraId="15C7E8D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shd w:val="clear" w:color="auto" w:fill="auto"/>
            <w:vAlign w:val="bottom"/>
            <w:hideMark/>
          </w:tcPr>
          <w:p w14:paraId="313CF413"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92" w:type="dxa"/>
            <w:shd w:val="clear" w:color="auto" w:fill="auto"/>
            <w:vAlign w:val="bottom"/>
            <w:hideMark/>
          </w:tcPr>
          <w:p w14:paraId="0A6C4091" w14:textId="1BEBE15C"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649,047</w:t>
            </w:r>
          </w:p>
        </w:tc>
        <w:tc>
          <w:tcPr>
            <w:tcW w:w="142" w:type="dxa"/>
            <w:shd w:val="clear" w:color="auto" w:fill="auto"/>
            <w:vAlign w:val="bottom"/>
            <w:hideMark/>
          </w:tcPr>
          <w:p w14:paraId="75F5AEF9"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tcBorders>
              <w:top w:val="single" w:sz="12" w:space="0" w:color="auto"/>
            </w:tcBorders>
          </w:tcPr>
          <w:p w14:paraId="32F8A391"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676" w:type="dxa"/>
            <w:tcBorders>
              <w:top w:val="single" w:sz="12" w:space="0" w:color="auto"/>
            </w:tcBorders>
          </w:tcPr>
          <w:p w14:paraId="08A03AB9" w14:textId="2586FCF5"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567,154</w:t>
            </w:r>
          </w:p>
        </w:tc>
        <w:tc>
          <w:tcPr>
            <w:tcW w:w="142" w:type="dxa"/>
          </w:tcPr>
          <w:p w14:paraId="05F975FF"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r w:rsidR="00663243" w:rsidRPr="00D2099E" w14:paraId="1049A7A9" w14:textId="4E30603F" w:rsidTr="00D33273">
        <w:trPr>
          <w:gridBefore w:val="1"/>
          <w:wBefore w:w="328" w:type="dxa"/>
        </w:trPr>
        <w:tc>
          <w:tcPr>
            <w:tcW w:w="3926" w:type="dxa"/>
            <w:gridSpan w:val="6"/>
            <w:shd w:val="clear" w:color="auto" w:fill="auto"/>
            <w:tcMar>
              <w:top w:w="0" w:type="dxa"/>
              <w:left w:w="0" w:type="dxa"/>
              <w:bottom w:w="30" w:type="dxa"/>
              <w:right w:w="0" w:type="dxa"/>
            </w:tcMar>
            <w:vAlign w:val="bottom"/>
            <w:hideMark/>
          </w:tcPr>
          <w:p w14:paraId="446CA15E"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Current portion of loans payable</w:t>
            </w:r>
          </w:p>
        </w:tc>
        <w:tc>
          <w:tcPr>
            <w:tcW w:w="283" w:type="dxa"/>
            <w:shd w:val="clear" w:color="auto" w:fill="auto"/>
            <w:tcMar>
              <w:top w:w="0" w:type="dxa"/>
              <w:left w:w="0" w:type="dxa"/>
              <w:bottom w:w="30" w:type="dxa"/>
              <w:right w:w="0" w:type="dxa"/>
            </w:tcMar>
            <w:vAlign w:val="bottom"/>
            <w:hideMark/>
          </w:tcPr>
          <w:p w14:paraId="16776C8A"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tcBorders>
              <w:bottom w:val="single" w:sz="12" w:space="0" w:color="000000"/>
            </w:tcBorders>
            <w:shd w:val="clear" w:color="auto" w:fill="auto"/>
            <w:vAlign w:val="bottom"/>
            <w:hideMark/>
          </w:tcPr>
          <w:p w14:paraId="7E8BB85B"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51" w:type="dxa"/>
            <w:tcBorders>
              <w:bottom w:val="single" w:sz="12" w:space="0" w:color="000000"/>
            </w:tcBorders>
            <w:shd w:val="clear" w:color="auto" w:fill="auto"/>
            <w:vAlign w:val="bottom"/>
          </w:tcPr>
          <w:p w14:paraId="512C6D2C" w14:textId="0E9BC3C4" w:rsidR="00663243" w:rsidRPr="00D33273" w:rsidRDefault="00663243" w:rsidP="000D12D1">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w:t>
            </w:r>
            <w:r w:rsidR="00656A62">
              <w:rPr>
                <w:rFonts w:ascii="Times New Roman" w:eastAsia="Times New Roman" w:hAnsi="Times New Roman" w:cs="Times New Roman"/>
                <w:b/>
                <w:bCs/>
                <w:sz w:val="20"/>
                <w:szCs w:val="20"/>
                <w:lang w:val="en-US"/>
              </w:rPr>
              <w:t>53,706</w:t>
            </w:r>
          </w:p>
        </w:tc>
        <w:tc>
          <w:tcPr>
            <w:tcW w:w="119" w:type="dxa"/>
            <w:shd w:val="clear" w:color="auto" w:fill="auto"/>
            <w:tcMar>
              <w:top w:w="0" w:type="dxa"/>
              <w:left w:w="0" w:type="dxa"/>
              <w:bottom w:w="30" w:type="dxa"/>
              <w:right w:w="0" w:type="dxa"/>
            </w:tcMar>
            <w:vAlign w:val="bottom"/>
            <w:hideMark/>
          </w:tcPr>
          <w:p w14:paraId="30652367"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50" w:type="dxa"/>
            <w:shd w:val="clear" w:color="auto" w:fill="auto"/>
            <w:tcMar>
              <w:top w:w="0" w:type="dxa"/>
              <w:left w:w="0" w:type="dxa"/>
              <w:bottom w:w="30" w:type="dxa"/>
              <w:right w:w="0" w:type="dxa"/>
            </w:tcMar>
            <w:vAlign w:val="bottom"/>
            <w:hideMark/>
          </w:tcPr>
          <w:p w14:paraId="330BE7E8"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tcBorders>
              <w:bottom w:val="single" w:sz="12" w:space="0" w:color="000000"/>
            </w:tcBorders>
            <w:shd w:val="clear" w:color="auto" w:fill="auto"/>
            <w:vAlign w:val="bottom"/>
            <w:hideMark/>
          </w:tcPr>
          <w:p w14:paraId="6ACC7FAD"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92" w:type="dxa"/>
            <w:tcBorders>
              <w:bottom w:val="single" w:sz="12" w:space="0" w:color="000000"/>
            </w:tcBorders>
            <w:shd w:val="clear" w:color="auto" w:fill="auto"/>
            <w:vAlign w:val="bottom"/>
            <w:hideMark/>
          </w:tcPr>
          <w:p w14:paraId="424B0C3B" w14:textId="546428C2"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(630,534</w:t>
            </w:r>
          </w:p>
        </w:tc>
        <w:tc>
          <w:tcPr>
            <w:tcW w:w="142" w:type="dxa"/>
            <w:shd w:val="clear" w:color="auto" w:fill="auto"/>
            <w:tcMar>
              <w:top w:w="0" w:type="dxa"/>
              <w:left w:w="0" w:type="dxa"/>
              <w:bottom w:w="30" w:type="dxa"/>
              <w:right w:w="0" w:type="dxa"/>
            </w:tcMar>
            <w:vAlign w:val="bottom"/>
            <w:hideMark/>
          </w:tcPr>
          <w:p w14:paraId="5420FAFD"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42" w:type="dxa"/>
            <w:tcBorders>
              <w:bottom w:val="single" w:sz="12" w:space="0" w:color="auto"/>
            </w:tcBorders>
          </w:tcPr>
          <w:p w14:paraId="479122A8"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c>
          <w:tcPr>
            <w:tcW w:w="1676" w:type="dxa"/>
            <w:tcBorders>
              <w:bottom w:val="single" w:sz="12" w:space="0" w:color="auto"/>
            </w:tcBorders>
          </w:tcPr>
          <w:p w14:paraId="30E93BF6" w14:textId="10D7D181" w:rsidR="00663243" w:rsidRPr="00D2099E" w:rsidRDefault="009E4566"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(549,424</w:t>
            </w:r>
          </w:p>
        </w:tc>
        <w:tc>
          <w:tcPr>
            <w:tcW w:w="142" w:type="dxa"/>
          </w:tcPr>
          <w:p w14:paraId="7EAE157E" w14:textId="52BA4912" w:rsidR="00663243" w:rsidRPr="00D2099E" w:rsidRDefault="009E4566" w:rsidP="000D12D1">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663243" w:rsidRPr="00D2099E" w14:paraId="26E70F0E" w14:textId="777B8DC3" w:rsidTr="00D33273">
        <w:trPr>
          <w:gridBefore w:val="1"/>
          <w:wBefore w:w="328" w:type="dxa"/>
        </w:trPr>
        <w:tc>
          <w:tcPr>
            <w:tcW w:w="3926" w:type="dxa"/>
            <w:gridSpan w:val="6"/>
            <w:tcBorders>
              <w:bottom w:val="single" w:sz="12" w:space="0" w:color="auto"/>
            </w:tcBorders>
            <w:shd w:val="clear" w:color="auto" w:fill="auto"/>
            <w:tcMar>
              <w:top w:w="0" w:type="dxa"/>
              <w:left w:w="0" w:type="dxa"/>
              <w:bottom w:w="30" w:type="dxa"/>
              <w:right w:w="0" w:type="dxa"/>
            </w:tcMar>
            <w:vAlign w:val="bottom"/>
            <w:hideMark/>
          </w:tcPr>
          <w:p w14:paraId="74B1B983" w14:textId="40E6EF2B"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Long</w:t>
            </w:r>
            <w:r>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term portion of loans payable</w:t>
            </w:r>
          </w:p>
        </w:tc>
        <w:tc>
          <w:tcPr>
            <w:tcW w:w="283" w:type="dxa"/>
            <w:tcBorders>
              <w:bottom w:val="single" w:sz="12" w:space="0" w:color="auto"/>
            </w:tcBorders>
            <w:shd w:val="clear" w:color="auto" w:fill="auto"/>
            <w:tcMar>
              <w:top w:w="0" w:type="dxa"/>
              <w:left w:w="0" w:type="dxa"/>
              <w:bottom w:w="30" w:type="dxa"/>
              <w:right w:w="0" w:type="dxa"/>
            </w:tcMar>
            <w:vAlign w:val="bottom"/>
            <w:hideMark/>
          </w:tcPr>
          <w:p w14:paraId="6126BC7E"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7" w:type="dxa"/>
            <w:tcBorders>
              <w:bottom w:val="single" w:sz="12" w:space="0" w:color="auto"/>
            </w:tcBorders>
            <w:shd w:val="clear" w:color="auto" w:fill="auto"/>
            <w:vAlign w:val="bottom"/>
            <w:hideMark/>
          </w:tcPr>
          <w:p w14:paraId="261A08D0"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851" w:type="dxa"/>
            <w:tcBorders>
              <w:bottom w:val="single" w:sz="12" w:space="0" w:color="auto"/>
            </w:tcBorders>
            <w:shd w:val="clear" w:color="auto" w:fill="auto"/>
            <w:vAlign w:val="bottom"/>
          </w:tcPr>
          <w:p w14:paraId="4FD0E1A3" w14:textId="08B1EA36" w:rsidR="00663243" w:rsidRPr="00D33273" w:rsidRDefault="00656A62" w:rsidP="000D12D1">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63,444</w:t>
            </w:r>
          </w:p>
        </w:tc>
        <w:tc>
          <w:tcPr>
            <w:tcW w:w="119" w:type="dxa"/>
            <w:tcBorders>
              <w:bottom w:val="single" w:sz="12" w:space="0" w:color="auto"/>
            </w:tcBorders>
            <w:shd w:val="clear" w:color="auto" w:fill="auto"/>
            <w:tcMar>
              <w:top w:w="0" w:type="dxa"/>
              <w:left w:w="0" w:type="dxa"/>
              <w:bottom w:w="30" w:type="dxa"/>
              <w:right w:w="0" w:type="dxa"/>
            </w:tcMar>
            <w:vAlign w:val="bottom"/>
            <w:hideMark/>
          </w:tcPr>
          <w:p w14:paraId="1B6D0E66"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0" w:type="dxa"/>
            <w:tcBorders>
              <w:bottom w:val="single" w:sz="12" w:space="0" w:color="auto"/>
            </w:tcBorders>
            <w:shd w:val="clear" w:color="auto" w:fill="auto"/>
            <w:tcMar>
              <w:top w:w="0" w:type="dxa"/>
              <w:left w:w="0" w:type="dxa"/>
              <w:bottom w:w="30" w:type="dxa"/>
              <w:right w:w="0" w:type="dxa"/>
            </w:tcMar>
            <w:vAlign w:val="bottom"/>
            <w:hideMark/>
          </w:tcPr>
          <w:p w14:paraId="41CE0CE9"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5" w:type="dxa"/>
            <w:tcBorders>
              <w:bottom w:val="single" w:sz="12" w:space="0" w:color="auto"/>
            </w:tcBorders>
            <w:shd w:val="clear" w:color="auto" w:fill="auto"/>
            <w:vAlign w:val="bottom"/>
            <w:hideMark/>
          </w:tcPr>
          <w:p w14:paraId="18D226C8"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992" w:type="dxa"/>
            <w:tcBorders>
              <w:bottom w:val="single" w:sz="12" w:space="0" w:color="auto"/>
            </w:tcBorders>
            <w:shd w:val="clear" w:color="auto" w:fill="auto"/>
            <w:vAlign w:val="bottom"/>
            <w:hideMark/>
          </w:tcPr>
          <w:p w14:paraId="51267BDB" w14:textId="3F6D0EC0" w:rsidR="00663243" w:rsidRPr="00D2099E" w:rsidRDefault="00663243" w:rsidP="000D12D1">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18,513</w:t>
            </w:r>
          </w:p>
        </w:tc>
        <w:tc>
          <w:tcPr>
            <w:tcW w:w="142" w:type="dxa"/>
            <w:tcBorders>
              <w:bottom w:val="single" w:sz="12" w:space="0" w:color="auto"/>
            </w:tcBorders>
            <w:shd w:val="clear" w:color="auto" w:fill="auto"/>
            <w:tcMar>
              <w:top w:w="0" w:type="dxa"/>
              <w:left w:w="0" w:type="dxa"/>
              <w:bottom w:w="30" w:type="dxa"/>
              <w:right w:w="0" w:type="dxa"/>
            </w:tcMar>
            <w:vAlign w:val="bottom"/>
            <w:hideMark/>
          </w:tcPr>
          <w:p w14:paraId="4C6A590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tcBorders>
              <w:top w:val="single" w:sz="12" w:space="0" w:color="auto"/>
              <w:bottom w:val="single" w:sz="12" w:space="0" w:color="auto"/>
            </w:tcBorders>
          </w:tcPr>
          <w:p w14:paraId="515D8347" w14:textId="6EA94637" w:rsidR="00663243" w:rsidRPr="00D2099E" w:rsidRDefault="00CD4D16" w:rsidP="000D12D1">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76" w:type="dxa"/>
            <w:tcBorders>
              <w:top w:val="single" w:sz="12" w:space="0" w:color="auto"/>
              <w:bottom w:val="single" w:sz="12" w:space="0" w:color="auto"/>
            </w:tcBorders>
          </w:tcPr>
          <w:p w14:paraId="59FA6FF1" w14:textId="0B017B9E" w:rsidR="00663243" w:rsidRPr="00D2099E" w:rsidRDefault="00D565D1" w:rsidP="00D33273">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17,730</w:t>
            </w:r>
          </w:p>
        </w:tc>
        <w:tc>
          <w:tcPr>
            <w:tcW w:w="142" w:type="dxa"/>
          </w:tcPr>
          <w:p w14:paraId="77A5655C" w14:textId="77777777" w:rsidR="00663243" w:rsidRPr="00D2099E" w:rsidRDefault="00663243" w:rsidP="000D12D1">
            <w:pPr>
              <w:spacing w:after="0" w:line="240" w:lineRule="auto"/>
              <w:jc w:val="both"/>
              <w:rPr>
                <w:rFonts w:ascii="Times New Roman" w:eastAsia="Times New Roman" w:hAnsi="Times New Roman" w:cs="Times New Roman"/>
                <w:sz w:val="20"/>
                <w:szCs w:val="20"/>
                <w:lang w:val="en-US"/>
              </w:rPr>
            </w:pPr>
          </w:p>
        </w:tc>
      </w:tr>
    </w:tbl>
    <w:p w14:paraId="093962EE"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p>
    <w:p w14:paraId="79950BF0" w14:textId="5EAA84E5" w:rsidR="00D2099E" w:rsidRPr="005328E1" w:rsidRDefault="00D2099E" w:rsidP="005328E1">
      <w:pPr>
        <w:pStyle w:val="ListParagraph"/>
        <w:numPr>
          <w:ilvl w:val="0"/>
          <w:numId w:val="2"/>
        </w:numPr>
        <w:rPr>
          <w:sz w:val="20"/>
        </w:rPr>
      </w:pPr>
      <w:r w:rsidRPr="005328E1">
        <w:rPr>
          <w:sz w:val="20"/>
        </w:rPr>
        <w:t>Loans bearing interest, accrue at 10% and 12% per annum are all unsecured.</w:t>
      </w:r>
    </w:p>
    <w:p w14:paraId="65F80154" w14:textId="4B65DB59"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99FF892" w14:textId="52A9B798" w:rsidR="009D1BDE" w:rsidRPr="00D2099E" w:rsidRDefault="009D1BDE" w:rsidP="009D1BDE">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Pr="00D2099E">
        <w:rPr>
          <w:rFonts w:ascii="Times New Roman" w:eastAsia="Times New Roman" w:hAnsi="Times New Roman" w:cs="Times New Roman"/>
          <w:sz w:val="20"/>
          <w:szCs w:val="20"/>
          <w:lang w:val="en-US"/>
        </w:rPr>
        <w:t xml:space="preserve">On November 15, 2021, </w:t>
      </w:r>
      <w:proofErr w:type="spellStart"/>
      <w:r w:rsidRPr="00D2099E">
        <w:rPr>
          <w:rFonts w:ascii="Times New Roman" w:eastAsia="Times New Roman" w:hAnsi="Times New Roman" w:cs="Times New Roman"/>
          <w:sz w:val="20"/>
          <w:szCs w:val="20"/>
          <w:lang w:val="en-US"/>
        </w:rPr>
        <w:t>Garanti</w:t>
      </w:r>
      <w:proofErr w:type="spellEnd"/>
      <w:r w:rsidRPr="00D2099E">
        <w:rPr>
          <w:rFonts w:ascii="Times New Roman" w:eastAsia="Times New Roman" w:hAnsi="Times New Roman" w:cs="Times New Roman"/>
          <w:sz w:val="20"/>
          <w:szCs w:val="20"/>
          <w:lang w:val="en-US"/>
        </w:rPr>
        <w:t xml:space="preserve"> Bank extended a long-term loan to Park Place Turkey Limited in the amount of ₺350,000 (or approximately US$25,600). The loan matures on November 15, </w:t>
      </w:r>
      <w:proofErr w:type="gramStart"/>
      <w:r w:rsidRPr="00D2099E">
        <w:rPr>
          <w:rFonts w:ascii="Times New Roman" w:eastAsia="Times New Roman" w:hAnsi="Times New Roman" w:cs="Times New Roman"/>
          <w:sz w:val="20"/>
          <w:szCs w:val="20"/>
          <w:lang w:val="en-US"/>
        </w:rPr>
        <w:t>2024</w:t>
      </w:r>
      <w:proofErr w:type="gramEnd"/>
      <w:r w:rsidRPr="00D2099E">
        <w:rPr>
          <w:rFonts w:ascii="Times New Roman" w:eastAsia="Times New Roman" w:hAnsi="Times New Roman" w:cs="Times New Roman"/>
          <w:sz w:val="20"/>
          <w:szCs w:val="20"/>
          <w:lang w:val="en-US"/>
        </w:rPr>
        <w:t xml:space="preserve"> and bears interest at 19.44% per annum. Principal and accrued interest are paid monthly.</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During </w:t>
      </w:r>
      <w:r>
        <w:rPr>
          <w:rFonts w:ascii="Times New Roman" w:eastAsia="Times New Roman" w:hAnsi="Times New Roman" w:cs="Times New Roman"/>
          <w:sz w:val="20"/>
          <w:szCs w:val="20"/>
          <w:lang w:val="en-US"/>
        </w:rPr>
        <w:t xml:space="preserve">the </w:t>
      </w:r>
      <w:r w:rsidR="00632C35">
        <w:rPr>
          <w:rFonts w:ascii="Times New Roman" w:eastAsia="Times New Roman" w:hAnsi="Times New Roman" w:cs="Times New Roman"/>
          <w:sz w:val="20"/>
          <w:szCs w:val="20"/>
          <w:lang w:val="en-US"/>
        </w:rPr>
        <w:t>six</w:t>
      </w:r>
      <w:r>
        <w:rPr>
          <w:rFonts w:ascii="Times New Roman" w:eastAsia="Times New Roman" w:hAnsi="Times New Roman" w:cs="Times New Roman"/>
          <w:sz w:val="20"/>
          <w:szCs w:val="20"/>
          <w:lang w:val="en-US"/>
        </w:rPr>
        <w:t xml:space="preserve"> months</w:t>
      </w:r>
      <w:r w:rsidRPr="00D2099E">
        <w:rPr>
          <w:rFonts w:ascii="Times New Roman" w:eastAsia="Times New Roman" w:hAnsi="Times New Roman" w:cs="Times New Roman"/>
          <w:sz w:val="20"/>
          <w:szCs w:val="20"/>
          <w:lang w:val="en-US"/>
        </w:rPr>
        <w:t xml:space="preserve"> ended </w:t>
      </w:r>
      <w:r w:rsidR="00632C35">
        <w:rPr>
          <w:rFonts w:ascii="Times New Roman" w:eastAsia="Times New Roman" w:hAnsi="Times New Roman" w:cs="Times New Roman"/>
          <w:sz w:val="20"/>
          <w:szCs w:val="20"/>
          <w:lang w:val="en-US"/>
        </w:rPr>
        <w:t>June 30</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w:t>
      </w:r>
      <w:r w:rsidRPr="009D1BDE">
        <w:rPr>
          <w:rFonts w:ascii="Times New Roman" w:eastAsia="Times New Roman" w:hAnsi="Times New Roman" w:cs="Times New Roman"/>
          <w:sz w:val="20"/>
          <w:szCs w:val="20"/>
          <w:lang w:val="en-US"/>
        </w:rPr>
        <w:t xml:space="preserve">made </w:t>
      </w:r>
      <w:r w:rsidRPr="00CA4239">
        <w:rPr>
          <w:rFonts w:ascii="Times New Roman" w:eastAsia="Times New Roman" w:hAnsi="Times New Roman" w:cs="Times New Roman"/>
          <w:sz w:val="20"/>
          <w:szCs w:val="20"/>
          <w:lang w:val="en-US"/>
        </w:rPr>
        <w:t>$</w:t>
      </w:r>
      <w:r w:rsidR="002223AE">
        <w:rPr>
          <w:rFonts w:ascii="Times New Roman" w:eastAsia="Times New Roman" w:hAnsi="Times New Roman" w:cs="Times New Roman"/>
          <w:sz w:val="20"/>
          <w:szCs w:val="20"/>
          <w:lang w:val="en-US"/>
        </w:rPr>
        <w:t>3,062</w:t>
      </w:r>
      <w:r>
        <w:rPr>
          <w:rFonts w:ascii="Times New Roman" w:eastAsia="Times New Roman" w:hAnsi="Times New Roman" w:cs="Times New Roman"/>
          <w:sz w:val="20"/>
          <w:szCs w:val="20"/>
          <w:lang w:val="en-US"/>
        </w:rPr>
        <w:t xml:space="preserve"> (2021 -$nil)</w:t>
      </w:r>
      <w:r w:rsidRPr="009D1BDE">
        <w:rPr>
          <w:rFonts w:ascii="Times New Roman" w:eastAsia="Times New Roman" w:hAnsi="Times New Roman" w:cs="Times New Roman"/>
          <w:sz w:val="20"/>
          <w:szCs w:val="20"/>
          <w:lang w:val="en-US"/>
        </w:rPr>
        <w:t xml:space="preserve"> in principal payments and </w:t>
      </w:r>
      <w:r w:rsidRPr="00CA4239">
        <w:rPr>
          <w:rFonts w:ascii="Times New Roman" w:eastAsia="Times New Roman" w:hAnsi="Times New Roman" w:cs="Times New Roman"/>
          <w:sz w:val="20"/>
          <w:szCs w:val="20"/>
          <w:lang w:val="en-US"/>
        </w:rPr>
        <w:t>$</w:t>
      </w:r>
      <w:r w:rsidR="002223AE">
        <w:rPr>
          <w:rFonts w:ascii="Times New Roman" w:eastAsia="Times New Roman" w:hAnsi="Times New Roman" w:cs="Times New Roman"/>
          <w:sz w:val="20"/>
          <w:szCs w:val="20"/>
          <w:lang w:val="en-US"/>
        </w:rPr>
        <w:t>2</w:t>
      </w:r>
      <w:r w:rsidRPr="009D1BDE">
        <w:rPr>
          <w:rFonts w:ascii="Times New Roman" w:eastAsia="Times New Roman" w:hAnsi="Times New Roman" w:cs="Times New Roman"/>
          <w:sz w:val="20"/>
          <w:szCs w:val="20"/>
          <w:lang w:val="en-US"/>
        </w:rPr>
        <w:t>,1</w:t>
      </w:r>
      <w:r w:rsidR="002223AE">
        <w:rPr>
          <w:rFonts w:ascii="Times New Roman" w:eastAsia="Times New Roman" w:hAnsi="Times New Roman" w:cs="Times New Roman"/>
          <w:sz w:val="20"/>
          <w:szCs w:val="20"/>
          <w:lang w:val="en-US"/>
        </w:rPr>
        <w:t>56</w:t>
      </w:r>
      <w:r>
        <w:rPr>
          <w:rFonts w:ascii="Times New Roman" w:eastAsia="Times New Roman" w:hAnsi="Times New Roman" w:cs="Times New Roman"/>
          <w:sz w:val="20"/>
          <w:szCs w:val="20"/>
          <w:lang w:val="en-US"/>
        </w:rPr>
        <w:t xml:space="preserve"> (2021 - $nil) in interest payments.</w:t>
      </w:r>
    </w:p>
    <w:p w14:paraId="1D9CC252" w14:textId="77777777" w:rsidR="009D1BDE" w:rsidRPr="00D2099E" w:rsidRDefault="009D1BDE" w:rsidP="00D2099E">
      <w:pPr>
        <w:spacing w:after="0" w:line="240" w:lineRule="auto"/>
        <w:ind w:left="360"/>
        <w:jc w:val="both"/>
        <w:rPr>
          <w:rFonts w:ascii="Times New Roman" w:eastAsia="Times New Roman" w:hAnsi="Times New Roman" w:cs="Times New Roman"/>
          <w:sz w:val="20"/>
          <w:szCs w:val="20"/>
          <w:lang w:val="en-US"/>
        </w:rPr>
      </w:pPr>
    </w:p>
    <w:p w14:paraId="4C2C32DD" w14:textId="6B8BECF7" w:rsidR="001C41F9" w:rsidRDefault="00054AE1" w:rsidP="00064A08">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9D1BDE">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en-US"/>
        </w:rPr>
        <w:t xml:space="preserve">) </w:t>
      </w:r>
      <w:r w:rsidR="00D2099E" w:rsidRPr="00D2099E">
        <w:rPr>
          <w:rFonts w:ascii="Times New Roman" w:eastAsia="Times New Roman" w:hAnsi="Times New Roman" w:cs="Times New Roman"/>
          <w:sz w:val="20"/>
          <w:szCs w:val="20"/>
          <w:lang w:val="en-US"/>
        </w:rPr>
        <w:t xml:space="preserve">On August 2, 2019, </w:t>
      </w:r>
      <w:proofErr w:type="spellStart"/>
      <w:r w:rsidR="00D2099E" w:rsidRPr="00D2099E">
        <w:rPr>
          <w:rFonts w:ascii="Times New Roman" w:eastAsia="Times New Roman" w:hAnsi="Times New Roman" w:cs="Times New Roman"/>
          <w:sz w:val="20"/>
          <w:szCs w:val="20"/>
          <w:lang w:val="en-US"/>
        </w:rPr>
        <w:t>Garanti</w:t>
      </w:r>
      <w:proofErr w:type="spellEnd"/>
      <w:r w:rsidR="00D2099E" w:rsidRPr="00D2099E">
        <w:rPr>
          <w:rFonts w:ascii="Times New Roman" w:eastAsia="Times New Roman" w:hAnsi="Times New Roman" w:cs="Times New Roman"/>
          <w:sz w:val="20"/>
          <w:szCs w:val="20"/>
          <w:lang w:val="en-US"/>
        </w:rPr>
        <w:t xml:space="preserve"> Bank extended a long-term loan to Park Place Turkey Limited in the amount of ₺300,000 (or approximately US$53,600). The loan </w:t>
      </w:r>
      <w:r w:rsidR="00F81D07" w:rsidRPr="00D2099E">
        <w:rPr>
          <w:rFonts w:ascii="Times New Roman" w:eastAsia="Times New Roman" w:hAnsi="Times New Roman" w:cs="Times New Roman"/>
          <w:sz w:val="20"/>
          <w:szCs w:val="20"/>
          <w:lang w:val="en-US"/>
        </w:rPr>
        <w:t>mature</w:t>
      </w:r>
      <w:r w:rsidR="00F81D07">
        <w:rPr>
          <w:rFonts w:ascii="Times New Roman" w:eastAsia="Times New Roman" w:hAnsi="Times New Roman" w:cs="Times New Roman"/>
          <w:sz w:val="20"/>
          <w:szCs w:val="20"/>
          <w:lang w:val="en-US"/>
        </w:rPr>
        <w:t>d</w:t>
      </w:r>
      <w:r w:rsidR="00F81D07" w:rsidRPr="00D2099E">
        <w:rPr>
          <w:rFonts w:ascii="Times New Roman" w:eastAsia="Times New Roman" w:hAnsi="Times New Roman" w:cs="Times New Roman"/>
          <w:sz w:val="20"/>
          <w:szCs w:val="20"/>
          <w:lang w:val="en-US"/>
        </w:rPr>
        <w:t xml:space="preserve"> </w:t>
      </w:r>
      <w:r w:rsidR="00D2099E" w:rsidRPr="00D2099E">
        <w:rPr>
          <w:rFonts w:ascii="Times New Roman" w:eastAsia="Times New Roman" w:hAnsi="Times New Roman" w:cs="Times New Roman"/>
          <w:sz w:val="20"/>
          <w:szCs w:val="20"/>
          <w:lang w:val="en-US"/>
        </w:rPr>
        <w:t xml:space="preserve">on August 2, </w:t>
      </w:r>
      <w:proofErr w:type="gramStart"/>
      <w:r w:rsidR="00D2099E" w:rsidRPr="00D2099E">
        <w:rPr>
          <w:rFonts w:ascii="Times New Roman" w:eastAsia="Times New Roman" w:hAnsi="Times New Roman" w:cs="Times New Roman"/>
          <w:sz w:val="20"/>
          <w:szCs w:val="20"/>
          <w:lang w:val="en-US"/>
        </w:rPr>
        <w:t>2022</w:t>
      </w:r>
      <w:proofErr w:type="gramEnd"/>
      <w:r w:rsidR="00D2099E" w:rsidRPr="00D2099E">
        <w:rPr>
          <w:rFonts w:ascii="Times New Roman" w:eastAsia="Times New Roman" w:hAnsi="Times New Roman" w:cs="Times New Roman"/>
          <w:sz w:val="20"/>
          <w:szCs w:val="20"/>
          <w:lang w:val="en-US"/>
        </w:rPr>
        <w:t xml:space="preserve"> and </w:t>
      </w:r>
      <w:r w:rsidR="00F81D07" w:rsidRPr="00D2099E">
        <w:rPr>
          <w:rFonts w:ascii="Times New Roman" w:eastAsia="Times New Roman" w:hAnsi="Times New Roman" w:cs="Times New Roman"/>
          <w:sz w:val="20"/>
          <w:szCs w:val="20"/>
          <w:lang w:val="en-US"/>
        </w:rPr>
        <w:t>b</w:t>
      </w:r>
      <w:r w:rsidR="00F81D07">
        <w:rPr>
          <w:rFonts w:ascii="Times New Roman" w:eastAsia="Times New Roman" w:hAnsi="Times New Roman" w:cs="Times New Roman"/>
          <w:sz w:val="20"/>
          <w:szCs w:val="20"/>
          <w:lang w:val="en-US"/>
        </w:rPr>
        <w:t>ore</w:t>
      </w:r>
      <w:r w:rsidR="00F81D07" w:rsidRPr="00D2099E">
        <w:rPr>
          <w:rFonts w:ascii="Times New Roman" w:eastAsia="Times New Roman" w:hAnsi="Times New Roman" w:cs="Times New Roman"/>
          <w:sz w:val="20"/>
          <w:szCs w:val="20"/>
          <w:lang w:val="en-US"/>
        </w:rPr>
        <w:t xml:space="preserve"> </w:t>
      </w:r>
      <w:r w:rsidR="00D2099E" w:rsidRPr="00D2099E">
        <w:rPr>
          <w:rFonts w:ascii="Times New Roman" w:eastAsia="Times New Roman" w:hAnsi="Times New Roman" w:cs="Times New Roman"/>
          <w:sz w:val="20"/>
          <w:szCs w:val="20"/>
          <w:lang w:val="en-US"/>
        </w:rPr>
        <w:t xml:space="preserve">interest at 20.5% per annum. Principal and accrued interest </w:t>
      </w:r>
      <w:r w:rsidR="00F81D07">
        <w:rPr>
          <w:rFonts w:ascii="Times New Roman" w:eastAsia="Times New Roman" w:hAnsi="Times New Roman" w:cs="Times New Roman"/>
          <w:sz w:val="20"/>
          <w:szCs w:val="20"/>
          <w:lang w:val="en-US"/>
        </w:rPr>
        <w:t>were</w:t>
      </w:r>
      <w:r w:rsidR="00F81D07" w:rsidRPr="00D2099E">
        <w:rPr>
          <w:rFonts w:ascii="Times New Roman" w:eastAsia="Times New Roman" w:hAnsi="Times New Roman" w:cs="Times New Roman"/>
          <w:sz w:val="20"/>
          <w:szCs w:val="20"/>
          <w:lang w:val="en-US"/>
        </w:rPr>
        <w:t xml:space="preserve"> </w:t>
      </w:r>
      <w:r w:rsidR="00D2099E" w:rsidRPr="00D2099E">
        <w:rPr>
          <w:rFonts w:ascii="Times New Roman" w:eastAsia="Times New Roman" w:hAnsi="Times New Roman" w:cs="Times New Roman"/>
          <w:sz w:val="20"/>
          <w:szCs w:val="20"/>
          <w:lang w:val="en-US"/>
        </w:rPr>
        <w:t xml:space="preserve">paid monthly. On November 11, 2021, the loan was </w:t>
      </w:r>
      <w:r w:rsidR="00F81D07">
        <w:rPr>
          <w:rFonts w:ascii="Times New Roman" w:eastAsia="Times New Roman" w:hAnsi="Times New Roman" w:cs="Times New Roman"/>
          <w:sz w:val="20"/>
          <w:szCs w:val="20"/>
          <w:lang w:val="en-US"/>
        </w:rPr>
        <w:t>fully repaid</w:t>
      </w:r>
      <w:r w:rsidR="00122BE8">
        <w:rPr>
          <w:rFonts w:ascii="Times New Roman" w:eastAsia="Times New Roman" w:hAnsi="Times New Roman" w:cs="Times New Roman"/>
          <w:sz w:val="20"/>
          <w:szCs w:val="20"/>
          <w:lang w:val="en-US"/>
        </w:rPr>
        <w:t>.</w:t>
      </w:r>
      <w:r w:rsidR="00697FD7">
        <w:rPr>
          <w:rFonts w:ascii="Times New Roman" w:eastAsia="Times New Roman" w:hAnsi="Times New Roman" w:cs="Times New Roman"/>
          <w:sz w:val="20"/>
          <w:szCs w:val="20"/>
          <w:lang w:val="en-US"/>
        </w:rPr>
        <w:t xml:space="preserve"> </w:t>
      </w:r>
      <w:r w:rsidR="00697FD7" w:rsidRPr="00D2099E">
        <w:rPr>
          <w:rFonts w:ascii="Times New Roman" w:eastAsia="Times New Roman" w:hAnsi="Times New Roman" w:cs="Times New Roman"/>
          <w:sz w:val="20"/>
          <w:szCs w:val="20"/>
          <w:lang w:val="en-US"/>
        </w:rPr>
        <w:t>During the</w:t>
      </w:r>
      <w:r w:rsidR="0037309A">
        <w:rPr>
          <w:rFonts w:ascii="Times New Roman" w:eastAsia="Times New Roman" w:hAnsi="Times New Roman" w:cs="Times New Roman"/>
          <w:sz w:val="20"/>
          <w:szCs w:val="20"/>
          <w:lang w:val="en-US"/>
        </w:rPr>
        <w:t xml:space="preserve"> </w:t>
      </w:r>
      <w:r w:rsidR="00695EED">
        <w:rPr>
          <w:rFonts w:ascii="Times New Roman" w:eastAsia="Times New Roman" w:hAnsi="Times New Roman" w:cs="Times New Roman"/>
          <w:sz w:val="20"/>
          <w:szCs w:val="20"/>
          <w:lang w:val="en-US"/>
        </w:rPr>
        <w:t>six</w:t>
      </w:r>
      <w:r w:rsidR="0037309A">
        <w:rPr>
          <w:rFonts w:ascii="Times New Roman" w:eastAsia="Times New Roman" w:hAnsi="Times New Roman" w:cs="Times New Roman"/>
          <w:sz w:val="20"/>
          <w:szCs w:val="20"/>
          <w:lang w:val="en-US"/>
        </w:rPr>
        <w:t xml:space="preserve"> months</w:t>
      </w:r>
      <w:r w:rsidR="00697FD7" w:rsidRPr="00D2099E">
        <w:rPr>
          <w:rFonts w:ascii="Times New Roman" w:eastAsia="Times New Roman" w:hAnsi="Times New Roman" w:cs="Times New Roman"/>
          <w:sz w:val="20"/>
          <w:szCs w:val="20"/>
          <w:lang w:val="en-US"/>
        </w:rPr>
        <w:t xml:space="preserve"> ended </w:t>
      </w:r>
      <w:r w:rsidR="002223AE">
        <w:rPr>
          <w:rFonts w:ascii="Times New Roman" w:eastAsia="Times New Roman" w:hAnsi="Times New Roman" w:cs="Times New Roman"/>
          <w:sz w:val="20"/>
          <w:szCs w:val="20"/>
          <w:lang w:val="en-US"/>
        </w:rPr>
        <w:t>June 30</w:t>
      </w:r>
      <w:r w:rsidR="00697FD7" w:rsidRPr="00D2099E">
        <w:rPr>
          <w:rFonts w:ascii="Times New Roman" w:eastAsia="Times New Roman" w:hAnsi="Times New Roman" w:cs="Times New Roman"/>
          <w:sz w:val="20"/>
          <w:szCs w:val="20"/>
          <w:lang w:val="en-US"/>
        </w:rPr>
        <w:t>, 202</w:t>
      </w:r>
      <w:r w:rsidR="0037309A">
        <w:rPr>
          <w:rFonts w:ascii="Times New Roman" w:eastAsia="Times New Roman" w:hAnsi="Times New Roman" w:cs="Times New Roman"/>
          <w:sz w:val="20"/>
          <w:szCs w:val="20"/>
          <w:lang w:val="en-US"/>
        </w:rPr>
        <w:t>2</w:t>
      </w:r>
      <w:r w:rsidR="00697FD7" w:rsidRPr="00D2099E">
        <w:rPr>
          <w:rFonts w:ascii="Times New Roman" w:eastAsia="Times New Roman" w:hAnsi="Times New Roman" w:cs="Times New Roman"/>
          <w:sz w:val="20"/>
          <w:szCs w:val="20"/>
          <w:lang w:val="en-US"/>
        </w:rPr>
        <w:t xml:space="preserve">, the Company </w:t>
      </w:r>
      <w:r w:rsidR="00697FD7" w:rsidRPr="006667B6">
        <w:rPr>
          <w:rFonts w:ascii="Times New Roman" w:eastAsia="Times New Roman" w:hAnsi="Times New Roman" w:cs="Times New Roman"/>
          <w:sz w:val="20"/>
          <w:szCs w:val="20"/>
          <w:lang w:val="en-US"/>
        </w:rPr>
        <w:t xml:space="preserve">made </w:t>
      </w:r>
      <w:r w:rsidR="00697FD7" w:rsidRPr="00CA4239">
        <w:rPr>
          <w:rFonts w:ascii="Times New Roman" w:eastAsia="Times New Roman" w:hAnsi="Times New Roman" w:cs="Times New Roman"/>
          <w:sz w:val="20"/>
          <w:szCs w:val="20"/>
          <w:lang w:val="en-US"/>
        </w:rPr>
        <w:t>$</w:t>
      </w:r>
      <w:r w:rsidR="009D1BDE">
        <w:rPr>
          <w:rFonts w:ascii="Times New Roman" w:eastAsia="Times New Roman" w:hAnsi="Times New Roman" w:cs="Times New Roman"/>
          <w:sz w:val="20"/>
          <w:szCs w:val="20"/>
          <w:lang w:val="en-US"/>
        </w:rPr>
        <w:t>nil</w:t>
      </w:r>
      <w:r w:rsidR="00697FD7">
        <w:rPr>
          <w:rFonts w:ascii="Times New Roman" w:eastAsia="Times New Roman" w:hAnsi="Times New Roman" w:cs="Times New Roman"/>
          <w:sz w:val="20"/>
          <w:szCs w:val="20"/>
          <w:lang w:val="en-US"/>
        </w:rPr>
        <w:t xml:space="preserve"> (202</w:t>
      </w:r>
      <w:r w:rsidR="0037309A">
        <w:rPr>
          <w:rFonts w:ascii="Times New Roman" w:eastAsia="Times New Roman" w:hAnsi="Times New Roman" w:cs="Times New Roman"/>
          <w:sz w:val="20"/>
          <w:szCs w:val="20"/>
          <w:lang w:val="en-US"/>
        </w:rPr>
        <w:t>1</w:t>
      </w:r>
      <w:r w:rsidR="00697FD7">
        <w:rPr>
          <w:rFonts w:ascii="Times New Roman" w:eastAsia="Times New Roman" w:hAnsi="Times New Roman" w:cs="Times New Roman"/>
          <w:sz w:val="20"/>
          <w:szCs w:val="20"/>
          <w:lang w:val="en-US"/>
        </w:rPr>
        <w:t xml:space="preserve"> - </w:t>
      </w:r>
      <w:r w:rsidR="0037309A" w:rsidRPr="006667B6">
        <w:rPr>
          <w:rFonts w:ascii="Times New Roman" w:eastAsia="Times New Roman" w:hAnsi="Times New Roman" w:cs="Times New Roman"/>
          <w:sz w:val="20"/>
          <w:szCs w:val="20"/>
          <w:lang w:val="en-US"/>
        </w:rPr>
        <w:t>$</w:t>
      </w:r>
      <w:r w:rsidR="002223AE">
        <w:rPr>
          <w:rFonts w:ascii="Times New Roman" w:eastAsia="Times New Roman" w:hAnsi="Times New Roman" w:cs="Times New Roman"/>
          <w:sz w:val="20"/>
          <w:szCs w:val="20"/>
          <w:lang w:val="en-US"/>
        </w:rPr>
        <w:t>7,879</w:t>
      </w:r>
      <w:r w:rsidR="00697FD7">
        <w:rPr>
          <w:rFonts w:ascii="Times New Roman" w:eastAsia="Times New Roman" w:hAnsi="Times New Roman" w:cs="Times New Roman"/>
          <w:sz w:val="20"/>
          <w:szCs w:val="20"/>
          <w:lang w:val="en-US"/>
        </w:rPr>
        <w:t>)</w:t>
      </w:r>
      <w:r w:rsidR="00697FD7" w:rsidRPr="00D2099E">
        <w:rPr>
          <w:rFonts w:ascii="Times New Roman" w:eastAsia="Times New Roman" w:hAnsi="Times New Roman" w:cs="Times New Roman"/>
          <w:sz w:val="20"/>
          <w:szCs w:val="20"/>
          <w:lang w:val="en-US"/>
        </w:rPr>
        <w:t xml:space="preserve"> </w:t>
      </w:r>
      <w:r w:rsidR="00697FD7">
        <w:rPr>
          <w:rFonts w:ascii="Times New Roman" w:eastAsia="Times New Roman" w:hAnsi="Times New Roman" w:cs="Times New Roman"/>
          <w:sz w:val="20"/>
          <w:szCs w:val="20"/>
          <w:lang w:val="en-US"/>
        </w:rPr>
        <w:t>in</w:t>
      </w:r>
      <w:r w:rsidR="00697FD7" w:rsidRPr="00D2099E">
        <w:rPr>
          <w:rFonts w:ascii="Times New Roman" w:eastAsia="Times New Roman" w:hAnsi="Times New Roman" w:cs="Times New Roman"/>
          <w:sz w:val="20"/>
          <w:szCs w:val="20"/>
          <w:lang w:val="en-US"/>
        </w:rPr>
        <w:t xml:space="preserve"> </w:t>
      </w:r>
      <w:r w:rsidR="00697FD7">
        <w:rPr>
          <w:rFonts w:ascii="Times New Roman" w:eastAsia="Times New Roman" w:hAnsi="Times New Roman" w:cs="Times New Roman"/>
          <w:sz w:val="20"/>
          <w:szCs w:val="20"/>
          <w:lang w:val="en-US"/>
        </w:rPr>
        <w:t xml:space="preserve">principal payments and </w:t>
      </w:r>
      <w:r w:rsidR="00697FD7" w:rsidRPr="00CA4239">
        <w:rPr>
          <w:rFonts w:ascii="Times New Roman" w:eastAsia="Times New Roman" w:hAnsi="Times New Roman" w:cs="Times New Roman"/>
          <w:sz w:val="20"/>
          <w:szCs w:val="20"/>
          <w:lang w:val="en-US"/>
        </w:rPr>
        <w:t>$</w:t>
      </w:r>
      <w:r w:rsidR="009D1BDE" w:rsidRPr="009D1BDE">
        <w:rPr>
          <w:rFonts w:ascii="Times New Roman" w:eastAsia="Times New Roman" w:hAnsi="Times New Roman" w:cs="Times New Roman"/>
          <w:sz w:val="20"/>
          <w:szCs w:val="20"/>
          <w:lang w:val="en-US"/>
        </w:rPr>
        <w:t>nil</w:t>
      </w:r>
      <w:r w:rsidR="009D1BDE">
        <w:rPr>
          <w:rFonts w:ascii="Times New Roman" w:eastAsia="Times New Roman" w:hAnsi="Times New Roman" w:cs="Times New Roman"/>
          <w:sz w:val="20"/>
          <w:szCs w:val="20"/>
          <w:lang w:val="en-US"/>
        </w:rPr>
        <w:t xml:space="preserve"> </w:t>
      </w:r>
      <w:r w:rsidR="00697FD7">
        <w:rPr>
          <w:rFonts w:ascii="Times New Roman" w:eastAsia="Times New Roman" w:hAnsi="Times New Roman" w:cs="Times New Roman"/>
          <w:sz w:val="20"/>
          <w:szCs w:val="20"/>
          <w:lang w:val="en-US"/>
        </w:rPr>
        <w:t>(202</w:t>
      </w:r>
      <w:r w:rsidR="009D1BDE">
        <w:rPr>
          <w:rFonts w:ascii="Times New Roman" w:eastAsia="Times New Roman" w:hAnsi="Times New Roman" w:cs="Times New Roman"/>
          <w:sz w:val="20"/>
          <w:szCs w:val="20"/>
          <w:lang w:val="en-US"/>
        </w:rPr>
        <w:t>1</w:t>
      </w:r>
      <w:r w:rsidR="00697FD7">
        <w:rPr>
          <w:rFonts w:ascii="Times New Roman" w:eastAsia="Times New Roman" w:hAnsi="Times New Roman" w:cs="Times New Roman"/>
          <w:sz w:val="20"/>
          <w:szCs w:val="20"/>
          <w:lang w:val="en-US"/>
        </w:rPr>
        <w:t xml:space="preserve"> - </w:t>
      </w:r>
      <w:r w:rsidR="0037309A">
        <w:rPr>
          <w:rFonts w:ascii="Times New Roman" w:eastAsia="Times New Roman" w:hAnsi="Times New Roman" w:cs="Times New Roman"/>
          <w:sz w:val="20"/>
          <w:szCs w:val="20"/>
          <w:lang w:val="en-US"/>
        </w:rPr>
        <w:t>$</w:t>
      </w:r>
      <w:r w:rsidR="002223AE">
        <w:rPr>
          <w:rFonts w:ascii="Times New Roman" w:eastAsia="Times New Roman" w:hAnsi="Times New Roman" w:cs="Times New Roman"/>
          <w:sz w:val="20"/>
          <w:szCs w:val="20"/>
          <w:lang w:val="en-US"/>
        </w:rPr>
        <w:t>5,753</w:t>
      </w:r>
      <w:r w:rsidR="00697FD7">
        <w:rPr>
          <w:rFonts w:ascii="Times New Roman" w:eastAsia="Times New Roman" w:hAnsi="Times New Roman" w:cs="Times New Roman"/>
          <w:sz w:val="20"/>
          <w:szCs w:val="20"/>
          <w:lang w:val="en-US"/>
        </w:rPr>
        <w:t>) in interest payments.</w:t>
      </w:r>
      <w:r w:rsidR="001C41F9">
        <w:rPr>
          <w:rFonts w:ascii="Times New Roman" w:eastAsia="Times New Roman" w:hAnsi="Times New Roman" w:cs="Times New Roman"/>
          <w:sz w:val="20"/>
          <w:szCs w:val="20"/>
          <w:lang w:val="en-US"/>
        </w:rPr>
        <w:br w:type="page"/>
      </w:r>
    </w:p>
    <w:p w14:paraId="61414555"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1C41F9" w:rsidRPr="00D2099E" w14:paraId="7427D844" w14:textId="77777777" w:rsidTr="00AE52B2">
        <w:tc>
          <w:tcPr>
            <w:tcW w:w="360" w:type="dxa"/>
            <w:hideMark/>
          </w:tcPr>
          <w:p w14:paraId="6BEA1F81" w14:textId="3947CDF9" w:rsidR="001C41F9" w:rsidRPr="00D2099E" w:rsidRDefault="001C41F9"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8. </w:t>
            </w:r>
          </w:p>
        </w:tc>
        <w:tc>
          <w:tcPr>
            <w:tcW w:w="0" w:type="auto"/>
            <w:hideMark/>
          </w:tcPr>
          <w:p w14:paraId="0FC78436" w14:textId="50DB269E" w:rsidR="001C41F9" w:rsidRPr="00D2099E" w:rsidRDefault="001C41F9"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Loans Payable (continued)</w:t>
            </w:r>
          </w:p>
        </w:tc>
      </w:tr>
    </w:tbl>
    <w:p w14:paraId="2334194D"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20BB530D" w14:textId="55CE2B8F" w:rsidR="00D2099E" w:rsidRPr="00D2099E" w:rsidRDefault="00054AE1" w:rsidP="00D2099E">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9D1BDE">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lang w:val="en-US"/>
        </w:rPr>
        <w:t xml:space="preserve">) </w:t>
      </w:r>
      <w:r w:rsidR="00D2099E" w:rsidRPr="00D2099E">
        <w:rPr>
          <w:rFonts w:ascii="Times New Roman" w:eastAsia="Times New Roman" w:hAnsi="Times New Roman" w:cs="Times New Roman"/>
          <w:sz w:val="20"/>
          <w:szCs w:val="20"/>
          <w:lang w:val="en-US"/>
        </w:rPr>
        <w:t xml:space="preserve">On February 4, 2020, </w:t>
      </w:r>
      <w:proofErr w:type="spellStart"/>
      <w:r w:rsidR="00D2099E" w:rsidRPr="00D2099E">
        <w:rPr>
          <w:rFonts w:ascii="Times New Roman" w:eastAsia="Times New Roman" w:hAnsi="Times New Roman" w:cs="Times New Roman"/>
          <w:sz w:val="20"/>
          <w:szCs w:val="20"/>
          <w:lang w:val="en-US"/>
        </w:rPr>
        <w:t>Garanti</w:t>
      </w:r>
      <w:proofErr w:type="spellEnd"/>
      <w:r w:rsidR="00D2099E" w:rsidRPr="00D2099E">
        <w:rPr>
          <w:rFonts w:ascii="Times New Roman" w:eastAsia="Times New Roman" w:hAnsi="Times New Roman" w:cs="Times New Roman"/>
          <w:sz w:val="20"/>
          <w:szCs w:val="20"/>
          <w:lang w:val="en-US"/>
        </w:rPr>
        <w:t xml:space="preserve"> Bank extended a long-term loan to Park Place Turkey Limited in the amount of ₺500,000 (or approximately US$83,500). The loan mature</w:t>
      </w:r>
      <w:r w:rsidR="00E10311">
        <w:rPr>
          <w:rFonts w:ascii="Times New Roman" w:eastAsia="Times New Roman" w:hAnsi="Times New Roman" w:cs="Times New Roman"/>
          <w:sz w:val="20"/>
          <w:szCs w:val="20"/>
          <w:lang w:val="en-US"/>
        </w:rPr>
        <w:t>d</w:t>
      </w:r>
      <w:r w:rsidR="00D2099E" w:rsidRPr="00D2099E">
        <w:rPr>
          <w:rFonts w:ascii="Times New Roman" w:eastAsia="Times New Roman" w:hAnsi="Times New Roman" w:cs="Times New Roman"/>
          <w:sz w:val="20"/>
          <w:szCs w:val="20"/>
          <w:lang w:val="en-US"/>
        </w:rPr>
        <w:t xml:space="preserve"> on February 4, </w:t>
      </w:r>
      <w:proofErr w:type="gramStart"/>
      <w:r w:rsidR="00D2099E" w:rsidRPr="00D2099E">
        <w:rPr>
          <w:rFonts w:ascii="Times New Roman" w:eastAsia="Times New Roman" w:hAnsi="Times New Roman" w:cs="Times New Roman"/>
          <w:sz w:val="20"/>
          <w:szCs w:val="20"/>
          <w:lang w:val="en-US"/>
        </w:rPr>
        <w:t>2022</w:t>
      </w:r>
      <w:proofErr w:type="gramEnd"/>
      <w:r w:rsidR="00D2099E" w:rsidRPr="00D2099E">
        <w:rPr>
          <w:rFonts w:ascii="Times New Roman" w:eastAsia="Times New Roman" w:hAnsi="Times New Roman" w:cs="Times New Roman"/>
          <w:sz w:val="20"/>
          <w:szCs w:val="20"/>
          <w:lang w:val="en-US"/>
        </w:rPr>
        <w:t xml:space="preserve"> and bears interest at 13.25% per annum. Principal and accrued interest are paid monthly.</w:t>
      </w:r>
      <w:r w:rsidR="000E0851">
        <w:rPr>
          <w:rFonts w:ascii="Times New Roman" w:eastAsia="Times New Roman" w:hAnsi="Times New Roman" w:cs="Times New Roman"/>
          <w:sz w:val="20"/>
          <w:szCs w:val="20"/>
          <w:lang w:val="en-US"/>
        </w:rPr>
        <w:t xml:space="preserve"> </w:t>
      </w:r>
      <w:r w:rsidR="000E0851" w:rsidRPr="00D2099E">
        <w:rPr>
          <w:rFonts w:ascii="Times New Roman" w:eastAsia="Times New Roman" w:hAnsi="Times New Roman" w:cs="Times New Roman"/>
          <w:sz w:val="20"/>
          <w:szCs w:val="20"/>
          <w:lang w:val="en-US"/>
        </w:rPr>
        <w:t xml:space="preserve">During </w:t>
      </w:r>
      <w:r w:rsidR="0037309A">
        <w:rPr>
          <w:rFonts w:ascii="Times New Roman" w:eastAsia="Times New Roman" w:hAnsi="Times New Roman" w:cs="Times New Roman"/>
          <w:sz w:val="20"/>
          <w:szCs w:val="20"/>
          <w:lang w:val="en-US"/>
        </w:rPr>
        <w:t xml:space="preserve">the </w:t>
      </w:r>
      <w:r w:rsidR="002223AE">
        <w:rPr>
          <w:rFonts w:ascii="Times New Roman" w:eastAsia="Times New Roman" w:hAnsi="Times New Roman" w:cs="Times New Roman"/>
          <w:sz w:val="20"/>
          <w:szCs w:val="20"/>
          <w:lang w:val="en-US"/>
        </w:rPr>
        <w:t xml:space="preserve">six </w:t>
      </w:r>
      <w:r w:rsidR="0037309A">
        <w:rPr>
          <w:rFonts w:ascii="Times New Roman" w:eastAsia="Times New Roman" w:hAnsi="Times New Roman" w:cs="Times New Roman"/>
          <w:sz w:val="20"/>
          <w:szCs w:val="20"/>
          <w:lang w:val="en-US"/>
        </w:rPr>
        <w:t>months</w:t>
      </w:r>
      <w:r w:rsidR="0037309A" w:rsidRPr="00D2099E">
        <w:rPr>
          <w:rFonts w:ascii="Times New Roman" w:eastAsia="Times New Roman" w:hAnsi="Times New Roman" w:cs="Times New Roman"/>
          <w:sz w:val="20"/>
          <w:szCs w:val="20"/>
          <w:lang w:val="en-US"/>
        </w:rPr>
        <w:t xml:space="preserve"> ended </w:t>
      </w:r>
      <w:r w:rsidR="002223AE">
        <w:rPr>
          <w:rFonts w:ascii="Times New Roman" w:eastAsia="Times New Roman" w:hAnsi="Times New Roman" w:cs="Times New Roman"/>
          <w:sz w:val="20"/>
          <w:szCs w:val="20"/>
          <w:lang w:val="en-US"/>
        </w:rPr>
        <w:t>June 30</w:t>
      </w:r>
      <w:r w:rsidR="0037309A" w:rsidRPr="00D2099E">
        <w:rPr>
          <w:rFonts w:ascii="Times New Roman" w:eastAsia="Times New Roman" w:hAnsi="Times New Roman" w:cs="Times New Roman"/>
          <w:sz w:val="20"/>
          <w:szCs w:val="20"/>
          <w:lang w:val="en-US"/>
        </w:rPr>
        <w:t>, 202</w:t>
      </w:r>
      <w:r w:rsidR="0037309A">
        <w:rPr>
          <w:rFonts w:ascii="Times New Roman" w:eastAsia="Times New Roman" w:hAnsi="Times New Roman" w:cs="Times New Roman"/>
          <w:sz w:val="20"/>
          <w:szCs w:val="20"/>
          <w:lang w:val="en-US"/>
        </w:rPr>
        <w:t>2</w:t>
      </w:r>
      <w:r w:rsidR="000E0851" w:rsidRPr="00D2099E">
        <w:rPr>
          <w:rFonts w:ascii="Times New Roman" w:eastAsia="Times New Roman" w:hAnsi="Times New Roman" w:cs="Times New Roman"/>
          <w:sz w:val="20"/>
          <w:szCs w:val="20"/>
          <w:lang w:val="en-US"/>
        </w:rPr>
        <w:t xml:space="preserve">, the Company </w:t>
      </w:r>
      <w:r w:rsidR="000E0851" w:rsidRPr="00763DF5">
        <w:rPr>
          <w:rFonts w:ascii="Times New Roman" w:eastAsia="Times New Roman" w:hAnsi="Times New Roman" w:cs="Times New Roman"/>
          <w:sz w:val="20"/>
          <w:szCs w:val="20"/>
          <w:lang w:val="en-US"/>
        </w:rPr>
        <w:t xml:space="preserve">made </w:t>
      </w:r>
      <w:r w:rsidR="000E0851" w:rsidRPr="00CA4239">
        <w:rPr>
          <w:rFonts w:ascii="Times New Roman" w:eastAsia="Times New Roman" w:hAnsi="Times New Roman" w:cs="Times New Roman"/>
          <w:sz w:val="20"/>
          <w:szCs w:val="20"/>
          <w:lang w:val="en-US"/>
        </w:rPr>
        <w:t>$</w:t>
      </w:r>
      <w:r w:rsidR="00857D08">
        <w:rPr>
          <w:rFonts w:ascii="Times New Roman" w:eastAsia="Times New Roman" w:hAnsi="Times New Roman" w:cs="Times New Roman"/>
          <w:sz w:val="20"/>
          <w:szCs w:val="20"/>
          <w:lang w:val="en-US"/>
        </w:rPr>
        <w:t xml:space="preserve">3,193 </w:t>
      </w:r>
      <w:r w:rsidR="000E0851" w:rsidRPr="00CA4239">
        <w:rPr>
          <w:rFonts w:ascii="Times New Roman" w:eastAsia="Times New Roman" w:hAnsi="Times New Roman" w:cs="Times New Roman"/>
          <w:sz w:val="20"/>
          <w:szCs w:val="20"/>
          <w:lang w:val="en-US"/>
        </w:rPr>
        <w:t>(202</w:t>
      </w:r>
      <w:r w:rsidR="00763DF5" w:rsidRPr="00CA4239">
        <w:rPr>
          <w:rFonts w:ascii="Times New Roman" w:eastAsia="Times New Roman" w:hAnsi="Times New Roman" w:cs="Times New Roman"/>
          <w:sz w:val="20"/>
          <w:szCs w:val="20"/>
          <w:lang w:val="en-US"/>
        </w:rPr>
        <w:t>1</w:t>
      </w:r>
      <w:r w:rsidR="000E0851" w:rsidRPr="00CA4239">
        <w:rPr>
          <w:rFonts w:ascii="Times New Roman" w:eastAsia="Times New Roman" w:hAnsi="Times New Roman" w:cs="Times New Roman"/>
          <w:sz w:val="20"/>
          <w:szCs w:val="20"/>
          <w:lang w:val="en-US"/>
        </w:rPr>
        <w:t xml:space="preserve"> - $</w:t>
      </w:r>
      <w:r w:rsidR="00857D08">
        <w:rPr>
          <w:rFonts w:ascii="Times New Roman" w:eastAsia="Times New Roman" w:hAnsi="Times New Roman" w:cs="Times New Roman"/>
          <w:sz w:val="20"/>
          <w:szCs w:val="20"/>
          <w:lang w:val="en-US"/>
        </w:rPr>
        <w:t>14,474</w:t>
      </w:r>
      <w:r w:rsidR="000E0851" w:rsidRPr="00CA4239">
        <w:rPr>
          <w:rFonts w:ascii="Times New Roman" w:eastAsia="Times New Roman" w:hAnsi="Times New Roman" w:cs="Times New Roman"/>
          <w:sz w:val="20"/>
          <w:szCs w:val="20"/>
          <w:lang w:val="en-US"/>
        </w:rPr>
        <w:t>)</w:t>
      </w:r>
      <w:r w:rsidR="000E0851" w:rsidRPr="00763DF5">
        <w:rPr>
          <w:rFonts w:ascii="Times New Roman" w:eastAsia="Times New Roman" w:hAnsi="Times New Roman" w:cs="Times New Roman"/>
          <w:sz w:val="20"/>
          <w:szCs w:val="20"/>
          <w:lang w:val="en-US"/>
        </w:rPr>
        <w:t xml:space="preserve"> in principal payments </w:t>
      </w:r>
      <w:r w:rsidR="000E0851" w:rsidRPr="00CA4239">
        <w:rPr>
          <w:rFonts w:ascii="Times New Roman" w:eastAsia="Times New Roman" w:hAnsi="Times New Roman" w:cs="Times New Roman"/>
          <w:sz w:val="20"/>
          <w:szCs w:val="20"/>
          <w:lang w:val="en-US"/>
        </w:rPr>
        <w:t>and $</w:t>
      </w:r>
      <w:r w:rsidR="00857D08">
        <w:rPr>
          <w:rFonts w:ascii="Times New Roman" w:eastAsia="Times New Roman" w:hAnsi="Times New Roman" w:cs="Times New Roman"/>
          <w:sz w:val="20"/>
          <w:szCs w:val="20"/>
          <w:lang w:val="en-US"/>
        </w:rPr>
        <w:t>49</w:t>
      </w:r>
      <w:r w:rsidR="000E0851" w:rsidRPr="00CA4239">
        <w:rPr>
          <w:rFonts w:ascii="Times New Roman" w:eastAsia="Times New Roman" w:hAnsi="Times New Roman" w:cs="Times New Roman"/>
          <w:sz w:val="20"/>
          <w:szCs w:val="20"/>
          <w:lang w:val="en-US"/>
        </w:rPr>
        <w:t xml:space="preserve"> (202</w:t>
      </w:r>
      <w:r w:rsidR="00763DF5" w:rsidRPr="00CA4239">
        <w:rPr>
          <w:rFonts w:ascii="Times New Roman" w:eastAsia="Times New Roman" w:hAnsi="Times New Roman" w:cs="Times New Roman"/>
          <w:sz w:val="20"/>
          <w:szCs w:val="20"/>
          <w:lang w:val="en-US"/>
        </w:rPr>
        <w:t>1</w:t>
      </w:r>
      <w:r w:rsidR="000E0851" w:rsidRPr="00CA4239">
        <w:rPr>
          <w:rFonts w:ascii="Times New Roman" w:eastAsia="Times New Roman" w:hAnsi="Times New Roman" w:cs="Times New Roman"/>
          <w:sz w:val="20"/>
          <w:szCs w:val="20"/>
          <w:lang w:val="en-US"/>
        </w:rPr>
        <w:t xml:space="preserve"> - $</w:t>
      </w:r>
      <w:r w:rsidR="00857D08">
        <w:rPr>
          <w:rFonts w:ascii="Times New Roman" w:eastAsia="Times New Roman" w:hAnsi="Times New Roman" w:cs="Times New Roman"/>
          <w:sz w:val="20"/>
          <w:szCs w:val="20"/>
          <w:lang w:val="en-US"/>
        </w:rPr>
        <w:t>1,862</w:t>
      </w:r>
      <w:r w:rsidR="000E0851" w:rsidRPr="00763DF5">
        <w:rPr>
          <w:rFonts w:ascii="Times New Roman" w:eastAsia="Times New Roman" w:hAnsi="Times New Roman" w:cs="Times New Roman"/>
          <w:sz w:val="20"/>
          <w:szCs w:val="20"/>
          <w:lang w:val="en-US"/>
        </w:rPr>
        <w:t>) in interest</w:t>
      </w:r>
      <w:r w:rsidR="000E0851">
        <w:rPr>
          <w:rFonts w:ascii="Times New Roman" w:eastAsia="Times New Roman" w:hAnsi="Times New Roman" w:cs="Times New Roman"/>
          <w:sz w:val="20"/>
          <w:szCs w:val="20"/>
          <w:lang w:val="en-US"/>
        </w:rPr>
        <w:t xml:space="preserve"> payments.</w:t>
      </w:r>
      <w:r w:rsidR="00B44BDC">
        <w:rPr>
          <w:rFonts w:ascii="Times New Roman" w:eastAsia="Times New Roman" w:hAnsi="Times New Roman" w:cs="Times New Roman"/>
          <w:sz w:val="20"/>
          <w:szCs w:val="20"/>
          <w:lang w:val="en-US"/>
        </w:rPr>
        <w:t xml:space="preserve"> As </w:t>
      </w:r>
      <w:proofErr w:type="gramStart"/>
      <w:r w:rsidR="00B44BDC">
        <w:rPr>
          <w:rFonts w:ascii="Times New Roman" w:eastAsia="Times New Roman" w:hAnsi="Times New Roman" w:cs="Times New Roman"/>
          <w:sz w:val="20"/>
          <w:szCs w:val="20"/>
          <w:lang w:val="en-US"/>
        </w:rPr>
        <w:t>at</w:t>
      </w:r>
      <w:proofErr w:type="gramEnd"/>
      <w:r w:rsidR="00B44BDC">
        <w:rPr>
          <w:rFonts w:ascii="Times New Roman" w:eastAsia="Times New Roman" w:hAnsi="Times New Roman" w:cs="Times New Roman"/>
          <w:sz w:val="20"/>
          <w:szCs w:val="20"/>
          <w:lang w:val="en-US"/>
        </w:rPr>
        <w:t xml:space="preserve"> </w:t>
      </w:r>
      <w:r w:rsidR="00857D08">
        <w:rPr>
          <w:rFonts w:ascii="Times New Roman" w:eastAsia="Times New Roman" w:hAnsi="Times New Roman" w:cs="Times New Roman"/>
          <w:sz w:val="20"/>
          <w:szCs w:val="20"/>
          <w:lang w:val="en-US"/>
        </w:rPr>
        <w:t xml:space="preserve">June 30 </w:t>
      </w:r>
      <w:r w:rsidR="00B44BDC">
        <w:rPr>
          <w:rFonts w:ascii="Times New Roman" w:eastAsia="Times New Roman" w:hAnsi="Times New Roman" w:cs="Times New Roman"/>
          <w:sz w:val="20"/>
          <w:szCs w:val="20"/>
          <w:lang w:val="en-US"/>
        </w:rPr>
        <w:t>3</w:t>
      </w:r>
      <w:r w:rsidR="00857D08">
        <w:rPr>
          <w:rFonts w:ascii="Times New Roman" w:eastAsia="Times New Roman" w:hAnsi="Times New Roman" w:cs="Times New Roman"/>
          <w:sz w:val="20"/>
          <w:szCs w:val="20"/>
          <w:lang w:val="en-US"/>
        </w:rPr>
        <w:t>0</w:t>
      </w:r>
      <w:r w:rsidR="00B44BDC">
        <w:rPr>
          <w:rFonts w:ascii="Times New Roman" w:eastAsia="Times New Roman" w:hAnsi="Times New Roman" w:cs="Times New Roman"/>
          <w:sz w:val="20"/>
          <w:szCs w:val="20"/>
          <w:lang w:val="en-US"/>
        </w:rPr>
        <w:t>, 2022, the loan has been fully repaid.</w:t>
      </w:r>
    </w:p>
    <w:p w14:paraId="4D6DD66A"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9C77F4C" w14:textId="0438C1AF" w:rsidR="00D2099E" w:rsidRDefault="00054AE1" w:rsidP="00D2099E">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9D1BD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 xml:space="preserve">) </w:t>
      </w:r>
      <w:r w:rsidR="00D2099E" w:rsidRPr="00D2099E">
        <w:rPr>
          <w:rFonts w:ascii="Times New Roman" w:eastAsia="Times New Roman" w:hAnsi="Times New Roman" w:cs="Times New Roman"/>
          <w:sz w:val="20"/>
          <w:szCs w:val="20"/>
          <w:lang w:val="en-US"/>
        </w:rPr>
        <w:t xml:space="preserve">On March 4, 2021, the Company received $500,000 from a third party (the “Lender”) repayable in one year from the date of disbursement. The amount is subject to an interest at a rate of 15% per annum. The Company granted 1,000,000 common share purchase warrants to the lender in conjunction with the loan. The warrants expire in two years and have an exercise price of $0.16 per warrant. The fair value of the share purchase warrants has been accounted as a debt issuance cost and offset against the loan and will be recognized as financing cost over the term of the loan. The fair value of the warrants was determined to be $152,750 based on the Black-Scholes Option Pricing Model using the following assumptions: expected dividend yield - 0%, expected volatility - 229%, risk-free interest rate - 0.08% and an expected remaining life – 2.00 years. </w:t>
      </w:r>
      <w:r w:rsidR="0037309A" w:rsidRPr="00D2099E">
        <w:rPr>
          <w:rFonts w:ascii="Times New Roman" w:eastAsia="Times New Roman" w:hAnsi="Times New Roman" w:cs="Times New Roman"/>
          <w:sz w:val="20"/>
          <w:szCs w:val="20"/>
          <w:lang w:val="en-US"/>
        </w:rPr>
        <w:t xml:space="preserve">During </w:t>
      </w:r>
      <w:r w:rsidR="0037309A">
        <w:rPr>
          <w:rFonts w:ascii="Times New Roman" w:eastAsia="Times New Roman" w:hAnsi="Times New Roman" w:cs="Times New Roman"/>
          <w:sz w:val="20"/>
          <w:szCs w:val="20"/>
          <w:lang w:val="en-US"/>
        </w:rPr>
        <w:t xml:space="preserve">the </w:t>
      </w:r>
      <w:r w:rsidR="00857D08">
        <w:rPr>
          <w:rFonts w:ascii="Times New Roman" w:eastAsia="Times New Roman" w:hAnsi="Times New Roman" w:cs="Times New Roman"/>
          <w:sz w:val="20"/>
          <w:szCs w:val="20"/>
          <w:lang w:val="en-US"/>
        </w:rPr>
        <w:t>six</w:t>
      </w:r>
      <w:r w:rsidR="0037309A">
        <w:rPr>
          <w:rFonts w:ascii="Times New Roman" w:eastAsia="Times New Roman" w:hAnsi="Times New Roman" w:cs="Times New Roman"/>
          <w:sz w:val="20"/>
          <w:szCs w:val="20"/>
          <w:lang w:val="en-US"/>
        </w:rPr>
        <w:t xml:space="preserve"> months</w:t>
      </w:r>
      <w:r w:rsidR="0037309A" w:rsidRPr="00D2099E">
        <w:rPr>
          <w:rFonts w:ascii="Times New Roman" w:eastAsia="Times New Roman" w:hAnsi="Times New Roman" w:cs="Times New Roman"/>
          <w:sz w:val="20"/>
          <w:szCs w:val="20"/>
          <w:lang w:val="en-US"/>
        </w:rPr>
        <w:t xml:space="preserve"> ended </w:t>
      </w:r>
      <w:r w:rsidR="00857D08">
        <w:rPr>
          <w:rFonts w:ascii="Times New Roman" w:eastAsia="Times New Roman" w:hAnsi="Times New Roman" w:cs="Times New Roman"/>
          <w:sz w:val="20"/>
          <w:szCs w:val="20"/>
          <w:lang w:val="en-US"/>
        </w:rPr>
        <w:t>June 30</w:t>
      </w:r>
      <w:r w:rsidR="0037309A" w:rsidRPr="00D2099E">
        <w:rPr>
          <w:rFonts w:ascii="Times New Roman" w:eastAsia="Times New Roman" w:hAnsi="Times New Roman" w:cs="Times New Roman"/>
          <w:sz w:val="20"/>
          <w:szCs w:val="20"/>
          <w:lang w:val="en-US"/>
        </w:rPr>
        <w:t>, 202</w:t>
      </w:r>
      <w:r w:rsidR="0037309A">
        <w:rPr>
          <w:rFonts w:ascii="Times New Roman" w:eastAsia="Times New Roman" w:hAnsi="Times New Roman" w:cs="Times New Roman"/>
          <w:sz w:val="20"/>
          <w:szCs w:val="20"/>
          <w:lang w:val="en-US"/>
        </w:rPr>
        <w:t>2</w:t>
      </w:r>
      <w:r w:rsidR="00D2099E" w:rsidRPr="00D2099E">
        <w:rPr>
          <w:rFonts w:ascii="Times New Roman" w:eastAsia="Times New Roman" w:hAnsi="Times New Roman" w:cs="Times New Roman"/>
          <w:sz w:val="20"/>
          <w:szCs w:val="20"/>
          <w:lang w:val="en-US"/>
        </w:rPr>
        <w:t xml:space="preserve">, the Company </w:t>
      </w:r>
      <w:r w:rsidR="00D2099E" w:rsidRPr="00C1159A">
        <w:rPr>
          <w:rFonts w:ascii="Times New Roman" w:eastAsia="Times New Roman" w:hAnsi="Times New Roman" w:cs="Times New Roman"/>
          <w:sz w:val="20"/>
          <w:szCs w:val="20"/>
          <w:lang w:val="en-US"/>
        </w:rPr>
        <w:t xml:space="preserve">recognized </w:t>
      </w:r>
      <w:r w:rsidR="00D2099E" w:rsidRPr="00CA4239">
        <w:rPr>
          <w:rFonts w:ascii="Times New Roman" w:eastAsia="Times New Roman" w:hAnsi="Times New Roman" w:cs="Times New Roman"/>
          <w:sz w:val="20"/>
          <w:szCs w:val="20"/>
          <w:lang w:val="en-US"/>
        </w:rPr>
        <w:t>$</w:t>
      </w:r>
      <w:r w:rsidR="00C1159A" w:rsidRPr="00C1159A">
        <w:rPr>
          <w:rFonts w:ascii="Times New Roman" w:eastAsia="Times New Roman" w:hAnsi="Times New Roman" w:cs="Times New Roman"/>
          <w:sz w:val="20"/>
          <w:szCs w:val="20"/>
          <w:lang w:val="en-US"/>
        </w:rPr>
        <w:t>26</w:t>
      </w:r>
      <w:r w:rsidR="00C1159A">
        <w:rPr>
          <w:rFonts w:ascii="Times New Roman" w:eastAsia="Times New Roman" w:hAnsi="Times New Roman" w:cs="Times New Roman"/>
          <w:sz w:val="20"/>
          <w:szCs w:val="20"/>
          <w:lang w:val="en-US"/>
        </w:rPr>
        <w:t>,365</w:t>
      </w:r>
      <w:r w:rsidR="00D2099E" w:rsidRPr="00D2099E">
        <w:rPr>
          <w:rFonts w:ascii="Times New Roman" w:eastAsia="Times New Roman" w:hAnsi="Times New Roman" w:cs="Times New Roman"/>
          <w:sz w:val="20"/>
          <w:szCs w:val="20"/>
          <w:lang w:val="en-US"/>
        </w:rPr>
        <w:t xml:space="preserve"> </w:t>
      </w:r>
      <w:r w:rsidR="008707E3">
        <w:rPr>
          <w:rFonts w:ascii="Times New Roman" w:eastAsia="Times New Roman" w:hAnsi="Times New Roman" w:cs="Times New Roman"/>
          <w:sz w:val="20"/>
          <w:szCs w:val="20"/>
          <w:lang w:val="en-US"/>
        </w:rPr>
        <w:t xml:space="preserve">(2021 – </w:t>
      </w:r>
      <w:r w:rsidR="002C29F9">
        <w:rPr>
          <w:rFonts w:ascii="Times New Roman" w:eastAsia="Times New Roman" w:hAnsi="Times New Roman" w:cs="Times New Roman"/>
          <w:sz w:val="20"/>
          <w:szCs w:val="20"/>
          <w:lang w:val="en-US"/>
        </w:rPr>
        <w:t>$</w:t>
      </w:r>
      <w:r w:rsidR="00857D08">
        <w:rPr>
          <w:rFonts w:ascii="Times New Roman" w:eastAsia="Times New Roman" w:hAnsi="Times New Roman" w:cs="Times New Roman"/>
          <w:sz w:val="20"/>
          <w:szCs w:val="20"/>
          <w:lang w:val="en-US"/>
        </w:rPr>
        <w:t>49</w:t>
      </w:r>
      <w:r w:rsidR="008707E3">
        <w:rPr>
          <w:rFonts w:ascii="Times New Roman" w:eastAsia="Times New Roman" w:hAnsi="Times New Roman" w:cs="Times New Roman"/>
          <w:sz w:val="20"/>
          <w:szCs w:val="20"/>
          <w:lang w:val="en-US"/>
        </w:rPr>
        <w:t>,</w:t>
      </w:r>
      <w:r w:rsidR="00857D08">
        <w:rPr>
          <w:rFonts w:ascii="Times New Roman" w:eastAsia="Times New Roman" w:hAnsi="Times New Roman" w:cs="Times New Roman"/>
          <w:sz w:val="20"/>
          <w:szCs w:val="20"/>
          <w:lang w:val="en-US"/>
        </w:rPr>
        <w:t>382</w:t>
      </w:r>
      <w:r w:rsidR="008707E3">
        <w:rPr>
          <w:rFonts w:ascii="Times New Roman" w:eastAsia="Times New Roman" w:hAnsi="Times New Roman" w:cs="Times New Roman"/>
          <w:sz w:val="20"/>
          <w:szCs w:val="20"/>
          <w:lang w:val="en-US"/>
        </w:rPr>
        <w:t xml:space="preserve">) </w:t>
      </w:r>
      <w:r w:rsidR="00D2099E" w:rsidRPr="00D2099E">
        <w:rPr>
          <w:rFonts w:ascii="Times New Roman" w:eastAsia="Times New Roman" w:hAnsi="Times New Roman" w:cs="Times New Roman"/>
          <w:sz w:val="20"/>
          <w:szCs w:val="20"/>
          <w:lang w:val="en-US"/>
        </w:rPr>
        <w:t xml:space="preserve">as financing cost and accrued </w:t>
      </w:r>
      <w:r w:rsidR="00D2099E" w:rsidRPr="008707E3">
        <w:rPr>
          <w:rFonts w:ascii="Times New Roman" w:eastAsia="Times New Roman" w:hAnsi="Times New Roman" w:cs="Times New Roman"/>
          <w:sz w:val="20"/>
          <w:szCs w:val="20"/>
          <w:lang w:val="en-US"/>
        </w:rPr>
        <w:t xml:space="preserve">interest </w:t>
      </w:r>
      <w:r w:rsidR="00D2099E" w:rsidRPr="00CA4239">
        <w:rPr>
          <w:rFonts w:ascii="Times New Roman" w:eastAsia="Times New Roman" w:hAnsi="Times New Roman" w:cs="Times New Roman"/>
          <w:sz w:val="20"/>
          <w:szCs w:val="20"/>
          <w:lang w:val="en-US"/>
        </w:rPr>
        <w:t>of $</w:t>
      </w:r>
      <w:r w:rsidR="00857D08">
        <w:rPr>
          <w:rFonts w:ascii="Times New Roman" w:eastAsia="Times New Roman" w:hAnsi="Times New Roman" w:cs="Times New Roman"/>
          <w:sz w:val="20"/>
          <w:szCs w:val="20"/>
          <w:lang w:val="en-US"/>
        </w:rPr>
        <w:t>18,082</w:t>
      </w:r>
      <w:r w:rsidR="008707E3">
        <w:rPr>
          <w:rFonts w:ascii="Times New Roman" w:eastAsia="Times New Roman" w:hAnsi="Times New Roman" w:cs="Times New Roman"/>
          <w:sz w:val="20"/>
          <w:szCs w:val="20"/>
          <w:lang w:val="en-US"/>
        </w:rPr>
        <w:t xml:space="preserve"> (2021 - $</w:t>
      </w:r>
      <w:r w:rsidR="00857D08">
        <w:rPr>
          <w:rFonts w:ascii="Times New Roman" w:eastAsia="Times New Roman" w:hAnsi="Times New Roman" w:cs="Times New Roman"/>
          <w:sz w:val="20"/>
          <w:szCs w:val="20"/>
          <w:lang w:val="en-US"/>
        </w:rPr>
        <w:t>24</w:t>
      </w:r>
      <w:r w:rsidR="008707E3">
        <w:rPr>
          <w:rFonts w:ascii="Times New Roman" w:eastAsia="Times New Roman" w:hAnsi="Times New Roman" w:cs="Times New Roman"/>
          <w:sz w:val="20"/>
          <w:szCs w:val="20"/>
          <w:lang w:val="en-US"/>
        </w:rPr>
        <w:t>,</w:t>
      </w:r>
      <w:r w:rsidR="00857D08">
        <w:rPr>
          <w:rFonts w:ascii="Times New Roman" w:eastAsia="Times New Roman" w:hAnsi="Times New Roman" w:cs="Times New Roman"/>
          <w:sz w:val="20"/>
          <w:szCs w:val="20"/>
          <w:lang w:val="en-US"/>
        </w:rPr>
        <w:t>247</w:t>
      </w:r>
      <w:r w:rsidR="008707E3">
        <w:rPr>
          <w:rFonts w:ascii="Times New Roman" w:eastAsia="Times New Roman" w:hAnsi="Times New Roman" w:cs="Times New Roman"/>
          <w:sz w:val="20"/>
          <w:szCs w:val="20"/>
          <w:lang w:val="en-US"/>
        </w:rPr>
        <w:t>)</w:t>
      </w:r>
      <w:r w:rsidR="00D2099E" w:rsidRPr="00CA4239">
        <w:rPr>
          <w:rFonts w:ascii="Times New Roman" w:eastAsia="Times New Roman" w:hAnsi="Times New Roman" w:cs="Times New Roman"/>
          <w:sz w:val="20"/>
          <w:szCs w:val="20"/>
          <w:lang w:val="en-US"/>
        </w:rPr>
        <w:t>.</w:t>
      </w:r>
      <w:r w:rsidR="00D2099E" w:rsidRPr="00D2099E">
        <w:rPr>
          <w:rFonts w:ascii="Times New Roman" w:eastAsia="Times New Roman" w:hAnsi="Times New Roman" w:cs="Times New Roman"/>
          <w:sz w:val="20"/>
          <w:szCs w:val="20"/>
          <w:lang w:val="en-US"/>
        </w:rPr>
        <w:t> </w:t>
      </w:r>
      <w:r w:rsidR="00857D08">
        <w:rPr>
          <w:rFonts w:ascii="Times New Roman" w:eastAsia="Times New Roman" w:hAnsi="Times New Roman" w:cs="Times New Roman"/>
          <w:sz w:val="20"/>
          <w:szCs w:val="20"/>
          <w:lang w:val="en-US"/>
        </w:rPr>
        <w:t xml:space="preserve">As </w:t>
      </w:r>
      <w:proofErr w:type="gramStart"/>
      <w:r w:rsidR="00857D08">
        <w:rPr>
          <w:rFonts w:ascii="Times New Roman" w:eastAsia="Times New Roman" w:hAnsi="Times New Roman" w:cs="Times New Roman"/>
          <w:sz w:val="20"/>
          <w:szCs w:val="20"/>
          <w:lang w:val="en-US"/>
        </w:rPr>
        <w:t>at</w:t>
      </w:r>
      <w:proofErr w:type="gramEnd"/>
      <w:r w:rsidR="00857D08">
        <w:rPr>
          <w:rFonts w:ascii="Times New Roman" w:eastAsia="Times New Roman" w:hAnsi="Times New Roman" w:cs="Times New Roman"/>
          <w:sz w:val="20"/>
          <w:szCs w:val="20"/>
          <w:lang w:val="en-US"/>
        </w:rPr>
        <w:t xml:space="preserve"> June 30, 2022, the loan has been fully repaid.</w:t>
      </w:r>
    </w:p>
    <w:p w14:paraId="58BA9E05" w14:textId="77777777" w:rsidR="00656A62" w:rsidRPr="00D2099E" w:rsidRDefault="00656A62" w:rsidP="00D2099E">
      <w:pPr>
        <w:spacing w:after="0" w:line="240" w:lineRule="auto"/>
        <w:ind w:left="360"/>
        <w:jc w:val="both"/>
        <w:rPr>
          <w:rFonts w:ascii="Times New Roman" w:eastAsia="Times New Roman" w:hAnsi="Times New Roman" w:cs="Times New Roman"/>
          <w:sz w:val="20"/>
          <w:szCs w:val="20"/>
          <w:lang w:val="en-US"/>
        </w:rPr>
      </w:pPr>
    </w:p>
    <w:p w14:paraId="6C422172" w14:textId="30A6CBB8" w:rsidR="00656A62" w:rsidRDefault="00656A62" w:rsidP="00656A62">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(6) </w:t>
      </w:r>
      <w:r w:rsidRPr="00D2099E">
        <w:rPr>
          <w:rFonts w:ascii="Times New Roman" w:eastAsia="Times New Roman" w:hAnsi="Times New Roman" w:cs="Times New Roman"/>
          <w:sz w:val="20"/>
          <w:szCs w:val="20"/>
          <w:lang w:val="en-US"/>
        </w:rPr>
        <w:t xml:space="preserve">On </w:t>
      </w:r>
      <w:r>
        <w:rPr>
          <w:rFonts w:ascii="Times New Roman" w:eastAsia="Times New Roman" w:hAnsi="Times New Roman" w:cs="Times New Roman"/>
          <w:sz w:val="20"/>
          <w:szCs w:val="20"/>
          <w:lang w:val="en-US"/>
        </w:rPr>
        <w:t>May 25</w:t>
      </w:r>
      <w:r w:rsidRPr="00D2099E">
        <w:rPr>
          <w:rFonts w:ascii="Times New Roman" w:eastAsia="Times New Roman" w:hAnsi="Times New Roman" w:cs="Times New Roman"/>
          <w:sz w:val="20"/>
          <w:szCs w:val="20"/>
          <w:lang w:val="en-US"/>
        </w:rPr>
        <w:t>, 20</w:t>
      </w:r>
      <w:r>
        <w:rPr>
          <w:rFonts w:ascii="Times New Roman" w:eastAsia="Times New Roman" w:hAnsi="Times New Roman" w:cs="Times New Roman"/>
          <w:sz w:val="20"/>
          <w:szCs w:val="20"/>
          <w:lang w:val="en-US"/>
        </w:rPr>
        <w:t>22</w:t>
      </w:r>
      <w:r w:rsidRPr="00D2099E">
        <w:rPr>
          <w:rFonts w:ascii="Times New Roman" w:eastAsia="Times New Roman" w:hAnsi="Times New Roman" w:cs="Times New Roman"/>
          <w:sz w:val="20"/>
          <w:szCs w:val="20"/>
          <w:lang w:val="en-US"/>
        </w:rPr>
        <w:t xml:space="preserve">, </w:t>
      </w:r>
      <w:proofErr w:type="spellStart"/>
      <w:r w:rsidRPr="00D2099E">
        <w:rPr>
          <w:rFonts w:ascii="Times New Roman" w:eastAsia="Times New Roman" w:hAnsi="Times New Roman" w:cs="Times New Roman"/>
          <w:sz w:val="20"/>
          <w:szCs w:val="20"/>
          <w:lang w:val="en-US"/>
        </w:rPr>
        <w:t>Garanti</w:t>
      </w:r>
      <w:proofErr w:type="spellEnd"/>
      <w:r w:rsidRPr="00D2099E">
        <w:rPr>
          <w:rFonts w:ascii="Times New Roman" w:eastAsia="Times New Roman" w:hAnsi="Times New Roman" w:cs="Times New Roman"/>
          <w:sz w:val="20"/>
          <w:szCs w:val="20"/>
          <w:lang w:val="en-US"/>
        </w:rPr>
        <w:t xml:space="preserve"> Bank extended a long-term loan to Park Place Turkey Limited in the amount of ₺</w:t>
      </w:r>
      <w:r>
        <w:rPr>
          <w:rFonts w:ascii="Times New Roman" w:eastAsia="Times New Roman" w:hAnsi="Times New Roman" w:cs="Times New Roman"/>
          <w:sz w:val="20"/>
          <w:szCs w:val="20"/>
          <w:lang w:val="en-US"/>
        </w:rPr>
        <w:t>1,500,000</w:t>
      </w:r>
      <w:r w:rsidRPr="00D2099E">
        <w:rPr>
          <w:rFonts w:ascii="Times New Roman" w:eastAsia="Times New Roman" w:hAnsi="Times New Roman" w:cs="Times New Roman"/>
          <w:sz w:val="20"/>
          <w:szCs w:val="20"/>
          <w:lang w:val="en-US"/>
        </w:rPr>
        <w:t xml:space="preserve"> (or approximately US$</w:t>
      </w:r>
      <w:r>
        <w:rPr>
          <w:rFonts w:ascii="Times New Roman" w:eastAsia="Times New Roman" w:hAnsi="Times New Roman" w:cs="Times New Roman"/>
          <w:sz w:val="20"/>
          <w:szCs w:val="20"/>
          <w:lang w:val="en-US"/>
        </w:rPr>
        <w:t>91,961</w:t>
      </w:r>
      <w:r w:rsidRPr="00D2099E">
        <w:rPr>
          <w:rFonts w:ascii="Times New Roman" w:eastAsia="Times New Roman" w:hAnsi="Times New Roman" w:cs="Times New Roman"/>
          <w:sz w:val="20"/>
          <w:szCs w:val="20"/>
          <w:lang w:val="en-US"/>
        </w:rPr>
        <w:t>). The loan mature</w:t>
      </w:r>
      <w:r>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 on </w:t>
      </w:r>
      <w:r>
        <w:rPr>
          <w:rFonts w:ascii="Times New Roman" w:eastAsia="Times New Roman" w:hAnsi="Times New Roman" w:cs="Times New Roman"/>
          <w:sz w:val="20"/>
          <w:szCs w:val="20"/>
          <w:lang w:val="en-US"/>
        </w:rPr>
        <w:t>May 23</w:t>
      </w:r>
      <w:r w:rsidRPr="00D2099E">
        <w:rPr>
          <w:rFonts w:ascii="Times New Roman" w:eastAsia="Times New Roman" w:hAnsi="Times New Roman" w:cs="Times New Roman"/>
          <w:sz w:val="20"/>
          <w:szCs w:val="20"/>
          <w:lang w:val="en-US"/>
        </w:rPr>
        <w:t xml:space="preserve">, </w:t>
      </w:r>
      <w:proofErr w:type="gramStart"/>
      <w:r w:rsidRPr="00D2099E">
        <w:rPr>
          <w:rFonts w:ascii="Times New Roman" w:eastAsia="Times New Roman" w:hAnsi="Times New Roman" w:cs="Times New Roman"/>
          <w:sz w:val="20"/>
          <w:szCs w:val="20"/>
          <w:lang w:val="en-US"/>
        </w:rPr>
        <w:t>202</w:t>
      </w:r>
      <w:r>
        <w:rPr>
          <w:rFonts w:ascii="Times New Roman" w:eastAsia="Times New Roman" w:hAnsi="Times New Roman" w:cs="Times New Roman"/>
          <w:sz w:val="20"/>
          <w:szCs w:val="20"/>
          <w:lang w:val="en-US"/>
        </w:rPr>
        <w:t>4</w:t>
      </w:r>
      <w:proofErr w:type="gramEnd"/>
      <w:r w:rsidRPr="00D2099E">
        <w:rPr>
          <w:rFonts w:ascii="Times New Roman" w:eastAsia="Times New Roman" w:hAnsi="Times New Roman" w:cs="Times New Roman"/>
          <w:sz w:val="20"/>
          <w:szCs w:val="20"/>
          <w:lang w:val="en-US"/>
        </w:rPr>
        <w:t xml:space="preserve"> and b</w:t>
      </w:r>
      <w:r>
        <w:rPr>
          <w:rFonts w:ascii="Times New Roman" w:eastAsia="Times New Roman" w:hAnsi="Times New Roman" w:cs="Times New Roman"/>
          <w:sz w:val="20"/>
          <w:szCs w:val="20"/>
          <w:lang w:val="en-US"/>
        </w:rPr>
        <w:t>ears</w:t>
      </w:r>
      <w:r w:rsidRPr="00D2099E">
        <w:rPr>
          <w:rFonts w:ascii="Times New Roman" w:eastAsia="Times New Roman" w:hAnsi="Times New Roman" w:cs="Times New Roman"/>
          <w:sz w:val="20"/>
          <w:szCs w:val="20"/>
          <w:lang w:val="en-US"/>
        </w:rPr>
        <w:t xml:space="preserve"> interest at </w:t>
      </w:r>
      <w:r>
        <w:rPr>
          <w:rFonts w:ascii="Times New Roman" w:eastAsia="Times New Roman" w:hAnsi="Times New Roman" w:cs="Times New Roman"/>
          <w:sz w:val="20"/>
          <w:szCs w:val="20"/>
          <w:lang w:val="en-US"/>
        </w:rPr>
        <w:t>45</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33</w:t>
      </w:r>
      <w:r w:rsidRPr="00D2099E">
        <w:rPr>
          <w:rFonts w:ascii="Times New Roman" w:eastAsia="Times New Roman" w:hAnsi="Times New Roman" w:cs="Times New Roman"/>
          <w:sz w:val="20"/>
          <w:szCs w:val="20"/>
          <w:lang w:val="en-US"/>
        </w:rPr>
        <w:t xml:space="preserve">% per annum. Principal and accrued interest </w:t>
      </w:r>
      <w:r w:rsidR="00695EED">
        <w:rPr>
          <w:rFonts w:ascii="Times New Roman" w:eastAsia="Times New Roman" w:hAnsi="Times New Roman" w:cs="Times New Roman"/>
          <w:sz w:val="20"/>
          <w:szCs w:val="20"/>
          <w:lang w:val="en-US"/>
        </w:rPr>
        <w:t>are</w:t>
      </w:r>
      <w:r w:rsidRPr="00D2099E">
        <w:rPr>
          <w:rFonts w:ascii="Times New Roman" w:eastAsia="Times New Roman" w:hAnsi="Times New Roman" w:cs="Times New Roman"/>
          <w:sz w:val="20"/>
          <w:szCs w:val="20"/>
          <w:lang w:val="en-US"/>
        </w:rPr>
        <w:t xml:space="preserve"> paid monthly</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During the</w:t>
      </w:r>
      <w:r>
        <w:rPr>
          <w:rFonts w:ascii="Times New Roman" w:eastAsia="Times New Roman" w:hAnsi="Times New Roman" w:cs="Times New Roman"/>
          <w:sz w:val="20"/>
          <w:szCs w:val="20"/>
          <w:lang w:val="en-US"/>
        </w:rPr>
        <w:t xml:space="preserve"> </w:t>
      </w:r>
      <w:r w:rsidR="00695EED">
        <w:rPr>
          <w:rFonts w:ascii="Times New Roman" w:eastAsia="Times New Roman" w:hAnsi="Times New Roman" w:cs="Times New Roman"/>
          <w:sz w:val="20"/>
          <w:szCs w:val="20"/>
          <w:lang w:val="en-US"/>
        </w:rPr>
        <w:t>six</w:t>
      </w:r>
      <w:r>
        <w:rPr>
          <w:rFonts w:ascii="Times New Roman" w:eastAsia="Times New Roman" w:hAnsi="Times New Roman" w:cs="Times New Roman"/>
          <w:sz w:val="20"/>
          <w:szCs w:val="20"/>
          <w:lang w:val="en-US"/>
        </w:rPr>
        <w:t xml:space="preserve"> months</w:t>
      </w:r>
      <w:r w:rsidRPr="00D2099E">
        <w:rPr>
          <w:rFonts w:ascii="Times New Roman" w:eastAsia="Times New Roman" w:hAnsi="Times New Roman" w:cs="Times New Roman"/>
          <w:sz w:val="20"/>
          <w:szCs w:val="20"/>
          <w:lang w:val="en-US"/>
        </w:rPr>
        <w:t xml:space="preserve"> ended </w:t>
      </w:r>
      <w:r>
        <w:rPr>
          <w:rFonts w:ascii="Times New Roman" w:eastAsia="Times New Roman" w:hAnsi="Times New Roman" w:cs="Times New Roman"/>
          <w:sz w:val="20"/>
          <w:szCs w:val="20"/>
          <w:lang w:val="en-US"/>
        </w:rPr>
        <w:t>June 30</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w:t>
      </w:r>
      <w:r w:rsidRPr="006667B6">
        <w:rPr>
          <w:rFonts w:ascii="Times New Roman" w:eastAsia="Times New Roman" w:hAnsi="Times New Roman" w:cs="Times New Roman"/>
          <w:sz w:val="20"/>
          <w:szCs w:val="20"/>
          <w:lang w:val="en-US"/>
        </w:rPr>
        <w:t xml:space="preserve">made </w:t>
      </w:r>
      <w:r w:rsidRPr="00CA4239">
        <w:rPr>
          <w:rFonts w:ascii="Times New Roman" w:eastAsia="Times New Roman" w:hAnsi="Times New Roman" w:cs="Times New Roman"/>
          <w:sz w:val="20"/>
          <w:szCs w:val="20"/>
          <w:lang w:val="en-US"/>
        </w:rPr>
        <w:t>$</w:t>
      </w:r>
      <w:r w:rsidR="00695EED">
        <w:rPr>
          <w:rFonts w:ascii="Times New Roman" w:eastAsia="Times New Roman" w:hAnsi="Times New Roman" w:cs="Times New Roman"/>
          <w:sz w:val="20"/>
          <w:szCs w:val="20"/>
          <w:lang w:val="en-US"/>
        </w:rPr>
        <w:t>2,253</w:t>
      </w:r>
      <w:r>
        <w:rPr>
          <w:rFonts w:ascii="Times New Roman" w:eastAsia="Times New Roman" w:hAnsi="Times New Roman" w:cs="Times New Roman"/>
          <w:sz w:val="20"/>
          <w:szCs w:val="20"/>
          <w:lang w:val="en-US"/>
        </w:rPr>
        <w:t xml:space="preserve"> in</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principal payments and </w:t>
      </w:r>
      <w:r w:rsidRPr="00CA4239">
        <w:rPr>
          <w:rFonts w:ascii="Times New Roman" w:eastAsia="Times New Roman" w:hAnsi="Times New Roman" w:cs="Times New Roman"/>
          <w:sz w:val="20"/>
          <w:szCs w:val="20"/>
          <w:lang w:val="en-US"/>
        </w:rPr>
        <w:t>$</w:t>
      </w:r>
      <w:r w:rsidR="00695EED">
        <w:rPr>
          <w:rFonts w:ascii="Times New Roman" w:eastAsia="Times New Roman" w:hAnsi="Times New Roman" w:cs="Times New Roman"/>
          <w:sz w:val="20"/>
          <w:szCs w:val="20"/>
          <w:lang w:val="en-US"/>
        </w:rPr>
        <w:t xml:space="preserve">4,213 </w:t>
      </w:r>
      <w:r>
        <w:rPr>
          <w:rFonts w:ascii="Times New Roman" w:eastAsia="Times New Roman" w:hAnsi="Times New Roman" w:cs="Times New Roman"/>
          <w:sz w:val="20"/>
          <w:szCs w:val="20"/>
          <w:lang w:val="en-US"/>
        </w:rPr>
        <w:t>in interest payments.</w:t>
      </w:r>
    </w:p>
    <w:p w14:paraId="7B9E0D33" w14:textId="1DA6167F" w:rsid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7B9BA71" w14:textId="77777777" w:rsidR="00656A62" w:rsidRPr="00D2099E" w:rsidRDefault="00656A62" w:rsidP="00D2099E">
      <w:pPr>
        <w:spacing w:after="0" w:line="240" w:lineRule="auto"/>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2DA1EE66" w14:textId="77777777" w:rsidTr="005C7D2D">
        <w:tc>
          <w:tcPr>
            <w:tcW w:w="360" w:type="dxa"/>
            <w:hideMark/>
          </w:tcPr>
          <w:p w14:paraId="796D6153" w14:textId="76721517" w:rsidR="00D2099E" w:rsidRPr="00CA4239" w:rsidRDefault="00B42187"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9</w:t>
            </w:r>
            <w:r w:rsidR="00D2099E" w:rsidRPr="00CA4239">
              <w:rPr>
                <w:rFonts w:ascii="Times New Roman" w:eastAsia="Times New Roman" w:hAnsi="Times New Roman" w:cs="Times New Roman"/>
                <w:b/>
                <w:bCs/>
                <w:sz w:val="20"/>
                <w:szCs w:val="20"/>
                <w:lang w:val="en-US"/>
              </w:rPr>
              <w:t>.</w:t>
            </w:r>
          </w:p>
        </w:tc>
        <w:tc>
          <w:tcPr>
            <w:tcW w:w="0" w:type="auto"/>
            <w:hideMark/>
          </w:tcPr>
          <w:p w14:paraId="743B9A78" w14:textId="7777777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 xml:space="preserve">Leases </w:t>
            </w:r>
          </w:p>
        </w:tc>
      </w:tr>
    </w:tbl>
    <w:p w14:paraId="38437BD3"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5B1913C" w14:textId="77777777" w:rsidR="00435B1B"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The Company leases certain assets under lease agreements. On January 1, 2020, the Company </w:t>
      </w:r>
      <w:proofErr w:type="gramStart"/>
      <w:r w:rsidRPr="00D2099E">
        <w:rPr>
          <w:rFonts w:ascii="Times New Roman" w:eastAsia="Times New Roman" w:hAnsi="Times New Roman" w:cs="Times New Roman"/>
          <w:sz w:val="20"/>
          <w:szCs w:val="20"/>
          <w:lang w:val="en-US"/>
        </w:rPr>
        <w:t>entered into</w:t>
      </w:r>
      <w:proofErr w:type="gramEnd"/>
      <w:r w:rsidRPr="00D2099E">
        <w:rPr>
          <w:rFonts w:ascii="Times New Roman" w:eastAsia="Times New Roman" w:hAnsi="Times New Roman" w:cs="Times New Roman"/>
          <w:sz w:val="20"/>
          <w:szCs w:val="20"/>
          <w:lang w:val="en-US"/>
        </w:rPr>
        <w:t xml:space="preserve"> a one-year lease for office space, which the Company elected the short-term lease measurement and recognition exemption. </w:t>
      </w:r>
    </w:p>
    <w:p w14:paraId="37FA4223" w14:textId="77777777" w:rsidR="00435B1B" w:rsidRDefault="00435B1B" w:rsidP="00D2099E">
      <w:pPr>
        <w:spacing w:after="0" w:line="240" w:lineRule="auto"/>
        <w:ind w:left="360"/>
        <w:jc w:val="both"/>
        <w:rPr>
          <w:rFonts w:ascii="Times New Roman" w:eastAsia="Times New Roman" w:hAnsi="Times New Roman" w:cs="Times New Roman"/>
          <w:sz w:val="20"/>
          <w:szCs w:val="20"/>
          <w:lang w:val="en-US"/>
        </w:rPr>
      </w:pPr>
    </w:p>
    <w:p w14:paraId="0FF20D0C" w14:textId="63C6053E"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On January 3, 2020, the Company </w:t>
      </w:r>
      <w:proofErr w:type="gramStart"/>
      <w:r w:rsidRPr="00D2099E">
        <w:rPr>
          <w:rFonts w:ascii="Times New Roman" w:eastAsia="Times New Roman" w:hAnsi="Times New Roman" w:cs="Times New Roman"/>
          <w:sz w:val="20"/>
          <w:szCs w:val="20"/>
          <w:lang w:val="en-US"/>
        </w:rPr>
        <w:t>entered into</w:t>
      </w:r>
      <w:proofErr w:type="gramEnd"/>
      <w:r w:rsidRPr="00D2099E">
        <w:rPr>
          <w:rFonts w:ascii="Times New Roman" w:eastAsia="Times New Roman" w:hAnsi="Times New Roman" w:cs="Times New Roman"/>
          <w:sz w:val="20"/>
          <w:szCs w:val="20"/>
          <w:lang w:val="en-US"/>
        </w:rPr>
        <w:t xml:space="preserve"> a five-year lease for an office space</w:t>
      </w:r>
      <w:r w:rsidR="00116EEB">
        <w:rPr>
          <w:rFonts w:ascii="Times New Roman" w:eastAsia="Times New Roman" w:hAnsi="Times New Roman" w:cs="Times New Roman"/>
          <w:sz w:val="20"/>
          <w:szCs w:val="20"/>
          <w:lang w:val="en-US"/>
        </w:rPr>
        <w:t xml:space="preserve"> in Turkey</w:t>
      </w:r>
      <w:r w:rsidR="00F96AA1">
        <w:rPr>
          <w:rFonts w:ascii="Times New Roman" w:eastAsia="Times New Roman" w:hAnsi="Times New Roman" w:cs="Times New Roman"/>
          <w:sz w:val="20"/>
          <w:szCs w:val="20"/>
          <w:lang w:val="en-US"/>
        </w:rPr>
        <w:t>.</w:t>
      </w:r>
    </w:p>
    <w:p w14:paraId="53EB2C19"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8208DE9" w14:textId="77777777" w:rsidR="00543241" w:rsidRPr="00D2099E" w:rsidRDefault="00543241" w:rsidP="00543241">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As of </w:t>
      </w:r>
      <w:r>
        <w:rPr>
          <w:rFonts w:ascii="Times New Roman" w:eastAsia="Times New Roman" w:hAnsi="Times New Roman" w:cs="Times New Roman"/>
          <w:sz w:val="20"/>
          <w:szCs w:val="20"/>
          <w:lang w:val="en-US"/>
        </w:rPr>
        <w:t>June 30, 2022</w:t>
      </w:r>
      <w:r w:rsidRPr="00D2099E">
        <w:rPr>
          <w:rFonts w:ascii="Times New Roman" w:eastAsia="Times New Roman" w:hAnsi="Times New Roman" w:cs="Times New Roman"/>
          <w:sz w:val="20"/>
          <w:szCs w:val="20"/>
          <w:lang w:val="en-US"/>
        </w:rPr>
        <w:t xml:space="preserve">, the Company’s lease had a </w:t>
      </w:r>
      <w:proofErr w:type="gramStart"/>
      <w:r w:rsidRPr="00D2099E">
        <w:rPr>
          <w:rFonts w:ascii="Times New Roman" w:eastAsia="Times New Roman" w:hAnsi="Times New Roman" w:cs="Times New Roman"/>
          <w:sz w:val="20"/>
          <w:szCs w:val="20"/>
          <w:lang w:val="en-US"/>
        </w:rPr>
        <w:t>remaining lease t</w:t>
      </w:r>
      <w:r w:rsidRPr="008836F3">
        <w:rPr>
          <w:rFonts w:ascii="Times New Roman" w:eastAsia="Times New Roman" w:hAnsi="Times New Roman" w:cs="Times New Roman"/>
          <w:sz w:val="20"/>
          <w:szCs w:val="20"/>
          <w:lang w:val="en-US"/>
        </w:rPr>
        <w:t>erm</w:t>
      </w:r>
      <w:r>
        <w:rPr>
          <w:rFonts w:ascii="Times New Roman" w:eastAsia="Times New Roman" w:hAnsi="Times New Roman" w:cs="Times New Roman"/>
          <w:sz w:val="20"/>
          <w:szCs w:val="20"/>
          <w:lang w:val="en-US"/>
        </w:rPr>
        <w:t>s</w:t>
      </w:r>
      <w:r w:rsidRPr="008836F3">
        <w:rPr>
          <w:rFonts w:ascii="Times New Roman" w:eastAsia="Times New Roman" w:hAnsi="Times New Roman" w:cs="Times New Roman"/>
          <w:sz w:val="20"/>
          <w:szCs w:val="20"/>
          <w:lang w:val="en-US"/>
        </w:rPr>
        <w:t xml:space="preserve"> of </w:t>
      </w:r>
      <w:r w:rsidRPr="00CA4239">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50</w:t>
      </w:r>
      <w:r w:rsidRPr="008836F3">
        <w:rPr>
          <w:rFonts w:ascii="Times New Roman" w:eastAsia="Times New Roman" w:hAnsi="Times New Roman" w:cs="Times New Roman"/>
          <w:sz w:val="20"/>
          <w:szCs w:val="20"/>
          <w:lang w:val="en-US"/>
        </w:rPr>
        <w:t xml:space="preserve"> years</w:t>
      </w:r>
      <w:proofErr w:type="gramEnd"/>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R</w:t>
      </w:r>
      <w:r w:rsidRPr="00D2099E">
        <w:rPr>
          <w:rFonts w:ascii="Times New Roman" w:eastAsia="Times New Roman" w:hAnsi="Times New Roman" w:cs="Times New Roman"/>
          <w:sz w:val="20"/>
          <w:szCs w:val="20"/>
          <w:lang w:val="en-US"/>
        </w:rPr>
        <w:t>ight-of-use asset ha</w:t>
      </w:r>
      <w:r>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 been included within property and equipment</w:t>
      </w:r>
      <w:r>
        <w:rPr>
          <w:rFonts w:ascii="Times New Roman" w:eastAsia="Times New Roman" w:hAnsi="Times New Roman" w:cs="Times New Roman"/>
          <w:sz w:val="20"/>
          <w:szCs w:val="20"/>
          <w:lang w:val="en-US"/>
        </w:rPr>
        <w:t>. See Note 7.</w:t>
      </w:r>
    </w:p>
    <w:p w14:paraId="6DE1454F" w14:textId="7D699875" w:rsidR="00D2099E" w:rsidRPr="00D2099E" w:rsidRDefault="00D2099E" w:rsidP="00D2099E">
      <w:pPr>
        <w:spacing w:after="0" w:line="240" w:lineRule="auto"/>
        <w:jc w:val="both"/>
        <w:rPr>
          <w:rFonts w:ascii="Times New Roman" w:eastAsia="Times New Roman" w:hAnsi="Times New Roman" w:cs="Times New Roman"/>
          <w:sz w:val="20"/>
          <w:szCs w:val="20"/>
          <w:lang w:val="en-US"/>
        </w:rPr>
      </w:pPr>
    </w:p>
    <w:p w14:paraId="51DEE033" w14:textId="6A769C44" w:rsidR="00D2099E" w:rsidRPr="00D2099E" w:rsidRDefault="00EA78DE" w:rsidP="0008506C">
      <w:pPr>
        <w:tabs>
          <w:tab w:val="left" w:pos="7388"/>
        </w:tabs>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w:t>
      </w:r>
      <w:r w:rsidR="00D2099E" w:rsidRPr="00D2099E">
        <w:rPr>
          <w:rFonts w:ascii="Times New Roman" w:eastAsia="Times New Roman" w:hAnsi="Times New Roman" w:cs="Times New Roman"/>
          <w:sz w:val="20"/>
          <w:szCs w:val="20"/>
          <w:lang w:val="en-US"/>
        </w:rPr>
        <w:t xml:space="preserve">ease liabilities are measured at the commencement date based on the present value of future lease payments. As the Company’s lease did not provide an implicit rate, the Company uses its incremental borrowing rate based on the information available at the commencement date in determining the present value of future payments. The Company used a discount rate of </w:t>
      </w:r>
      <w:r w:rsidR="00F53EB3" w:rsidRPr="00D2099E">
        <w:rPr>
          <w:rFonts w:ascii="Times New Roman" w:eastAsia="Times New Roman" w:hAnsi="Times New Roman" w:cs="Times New Roman"/>
          <w:sz w:val="20"/>
          <w:szCs w:val="20"/>
          <w:lang w:val="en-US"/>
        </w:rPr>
        <w:t>1</w:t>
      </w:r>
      <w:r w:rsidR="00F53EB3">
        <w:rPr>
          <w:rFonts w:ascii="Times New Roman" w:eastAsia="Times New Roman" w:hAnsi="Times New Roman" w:cs="Times New Roman"/>
          <w:sz w:val="20"/>
          <w:szCs w:val="20"/>
          <w:lang w:val="en-US"/>
        </w:rPr>
        <w:t>1.82</w:t>
      </w:r>
      <w:r w:rsidR="00D2099E" w:rsidRPr="00D2099E">
        <w:rPr>
          <w:rFonts w:ascii="Times New Roman" w:eastAsia="Times New Roman" w:hAnsi="Times New Roman" w:cs="Times New Roman"/>
          <w:sz w:val="20"/>
          <w:szCs w:val="20"/>
          <w:lang w:val="en-US"/>
        </w:rPr>
        <w:t>% in determining its lease liabilities. The discount rate was derived from the Company’s assessment of current borrowings.</w:t>
      </w:r>
    </w:p>
    <w:p w14:paraId="2CA78857" w14:textId="1F3C07C0" w:rsidR="00D2099E" w:rsidRDefault="00D2099E" w:rsidP="00D2099E">
      <w:pPr>
        <w:shd w:val="clear" w:color="auto" w:fill="FFFFFF"/>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D0206FF" w14:textId="31D351F5" w:rsidR="00082532" w:rsidRDefault="00082532"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12FBFE5F" w14:textId="624B43ED" w:rsidR="00082532" w:rsidRDefault="00082532"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7C79D00F" w14:textId="682FBE0B"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0A9A89BC" w14:textId="65A2ADB0"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2CEE2237" w14:textId="46A35353"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02C06B9A" w14:textId="2AEC9B42"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520D022D" w14:textId="581968F7"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61DCA5CB" w14:textId="68D14352"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3F10942E" w14:textId="7A11780F"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0B37BF01" w14:textId="77777777"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484A4864" w14:textId="77777777" w:rsidR="00EE5824" w:rsidRDefault="00EE5824"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160C2F" w:rsidRPr="00CA4239" w14:paraId="6D28EF68" w14:textId="77777777" w:rsidTr="00AE52B2">
        <w:tc>
          <w:tcPr>
            <w:tcW w:w="360" w:type="dxa"/>
            <w:hideMark/>
          </w:tcPr>
          <w:p w14:paraId="4AEA9712" w14:textId="77777777" w:rsidR="00160C2F" w:rsidRPr="00CA4239" w:rsidRDefault="00160C2F"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lastRenderedPageBreak/>
              <w:t>9</w:t>
            </w:r>
            <w:r w:rsidRPr="00CA4239">
              <w:rPr>
                <w:rFonts w:ascii="Times New Roman" w:eastAsia="Times New Roman" w:hAnsi="Times New Roman" w:cs="Times New Roman"/>
                <w:b/>
                <w:bCs/>
                <w:sz w:val="20"/>
                <w:szCs w:val="20"/>
                <w:lang w:val="en-US"/>
              </w:rPr>
              <w:t>.</w:t>
            </w:r>
          </w:p>
        </w:tc>
        <w:tc>
          <w:tcPr>
            <w:tcW w:w="0" w:type="auto"/>
            <w:hideMark/>
          </w:tcPr>
          <w:p w14:paraId="24B2746B" w14:textId="61BF96ED" w:rsidR="00160C2F" w:rsidRPr="00CA4239" w:rsidRDefault="00160C2F"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 xml:space="preserve">Leases </w:t>
            </w:r>
            <w:r>
              <w:rPr>
                <w:rFonts w:ascii="Times New Roman" w:eastAsia="Times New Roman" w:hAnsi="Times New Roman" w:cs="Times New Roman"/>
                <w:b/>
                <w:bCs/>
                <w:sz w:val="20"/>
                <w:szCs w:val="20"/>
                <w:lang w:val="en-US"/>
              </w:rPr>
              <w:t>(continued)</w:t>
            </w:r>
          </w:p>
        </w:tc>
      </w:tr>
    </w:tbl>
    <w:p w14:paraId="09E19254" w14:textId="1BD1138F" w:rsidR="008456FC" w:rsidRDefault="008456FC"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tbl>
      <w:tblPr>
        <w:tblW w:w="4287" w:type="pct"/>
        <w:tblInd w:w="360" w:type="dxa"/>
        <w:tblCellMar>
          <w:left w:w="0" w:type="dxa"/>
          <w:right w:w="0" w:type="dxa"/>
        </w:tblCellMar>
        <w:tblLook w:val="04A0" w:firstRow="1" w:lastRow="0" w:firstColumn="1" w:lastColumn="0" w:noHBand="0" w:noVBand="1"/>
      </w:tblPr>
      <w:tblGrid>
        <w:gridCol w:w="3018"/>
        <w:gridCol w:w="1018"/>
        <w:gridCol w:w="425"/>
        <w:gridCol w:w="690"/>
        <w:gridCol w:w="67"/>
        <w:gridCol w:w="136"/>
        <w:gridCol w:w="562"/>
        <w:gridCol w:w="705"/>
        <w:gridCol w:w="136"/>
        <w:gridCol w:w="1132"/>
        <w:gridCol w:w="136"/>
      </w:tblGrid>
      <w:tr w:rsidR="00543241" w:rsidRPr="00543241" w14:paraId="2164369F" w14:textId="77777777" w:rsidTr="00247205">
        <w:tc>
          <w:tcPr>
            <w:tcW w:w="1880" w:type="pct"/>
            <w:tcBorders>
              <w:top w:val="single" w:sz="12" w:space="0" w:color="auto"/>
              <w:bottom w:val="single" w:sz="12" w:space="0" w:color="auto"/>
            </w:tcBorders>
            <w:shd w:val="clear" w:color="auto" w:fill="auto"/>
            <w:vAlign w:val="bottom"/>
            <w:hideMark/>
          </w:tcPr>
          <w:p w14:paraId="67FC7F3B" w14:textId="77777777" w:rsidR="00543241" w:rsidRPr="00543241" w:rsidRDefault="00543241" w:rsidP="00543241">
            <w:pPr>
              <w:spacing w:after="0" w:line="240" w:lineRule="auto"/>
              <w:jc w:val="both"/>
              <w:rPr>
                <w:rFonts w:ascii="Times New Roman" w:eastAsia="Times New Roman" w:hAnsi="Times New Roman" w:cs="Times New Roman"/>
                <w:b/>
                <w:bCs/>
                <w:sz w:val="20"/>
                <w:szCs w:val="20"/>
                <w:lang w:val="en-US"/>
              </w:rPr>
            </w:pPr>
            <w:r w:rsidRPr="00543241">
              <w:rPr>
                <w:rFonts w:ascii="Times New Roman" w:eastAsia="Times New Roman" w:hAnsi="Times New Roman" w:cs="Times New Roman"/>
                <w:b/>
                <w:bCs/>
                <w:sz w:val="20"/>
                <w:szCs w:val="20"/>
                <w:lang w:val="en-US"/>
              </w:rPr>
              <w:t>Lease liability</w:t>
            </w:r>
          </w:p>
        </w:tc>
        <w:tc>
          <w:tcPr>
            <w:tcW w:w="634"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5CA9EDE6"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695" w:type="pct"/>
            <w:gridSpan w:val="2"/>
            <w:tcBorders>
              <w:top w:val="single" w:sz="12" w:space="0" w:color="auto"/>
              <w:bottom w:val="single" w:sz="12" w:space="0" w:color="auto"/>
            </w:tcBorders>
            <w:shd w:val="clear" w:color="auto" w:fill="auto"/>
            <w:vAlign w:val="bottom"/>
            <w:hideMark/>
          </w:tcPr>
          <w:p w14:paraId="7E1866DE" w14:textId="77777777" w:rsidR="00543241" w:rsidRPr="00543241" w:rsidRDefault="00543241" w:rsidP="00543241">
            <w:pPr>
              <w:spacing w:after="0" w:line="240" w:lineRule="auto"/>
              <w:jc w:val="center"/>
              <w:rPr>
                <w:rFonts w:ascii="Times New Roman" w:eastAsia="Times New Roman" w:hAnsi="Times New Roman" w:cs="Times New Roman"/>
                <w:b/>
                <w:bCs/>
                <w:sz w:val="20"/>
                <w:szCs w:val="20"/>
                <w:lang w:val="en-US"/>
              </w:rPr>
            </w:pPr>
            <w:r w:rsidRPr="00543241">
              <w:rPr>
                <w:rFonts w:ascii="Times New Roman" w:eastAsia="Times New Roman" w:hAnsi="Times New Roman" w:cs="Times New Roman"/>
                <w:b/>
                <w:bCs/>
                <w:sz w:val="20"/>
                <w:szCs w:val="20"/>
                <w:lang w:val="en-US"/>
              </w:rPr>
              <w:t>June 30, 2022</w:t>
            </w:r>
          </w:p>
        </w:tc>
        <w:tc>
          <w:tcPr>
            <w:tcW w:w="42"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92F5C72"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85"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78FA3663"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789" w:type="pct"/>
            <w:gridSpan w:val="2"/>
            <w:tcBorders>
              <w:top w:val="single" w:sz="12" w:space="0" w:color="auto"/>
              <w:bottom w:val="single" w:sz="12" w:space="0" w:color="auto"/>
            </w:tcBorders>
            <w:shd w:val="clear" w:color="auto" w:fill="auto"/>
            <w:vAlign w:val="bottom"/>
            <w:hideMark/>
          </w:tcPr>
          <w:p w14:paraId="32055DEA" w14:textId="77777777" w:rsidR="00543241" w:rsidRPr="00543241" w:rsidRDefault="00543241" w:rsidP="00543241">
            <w:pPr>
              <w:spacing w:after="0" w:line="240" w:lineRule="auto"/>
              <w:jc w:val="center"/>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December 31, 2021</w:t>
            </w:r>
          </w:p>
        </w:tc>
        <w:tc>
          <w:tcPr>
            <w:tcW w:w="85"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12F0ADDB"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705" w:type="pct"/>
            <w:tcBorders>
              <w:top w:val="single" w:sz="12" w:space="0" w:color="auto"/>
              <w:bottom w:val="single" w:sz="12" w:space="0" w:color="auto"/>
            </w:tcBorders>
            <w:shd w:val="clear" w:color="auto" w:fill="auto"/>
          </w:tcPr>
          <w:p w14:paraId="364A67DA"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December 31, 2020</w:t>
            </w:r>
          </w:p>
        </w:tc>
        <w:tc>
          <w:tcPr>
            <w:tcW w:w="85" w:type="pct"/>
            <w:shd w:val="clear" w:color="auto" w:fill="auto"/>
          </w:tcPr>
          <w:p w14:paraId="5F7EE000"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r>
      <w:tr w:rsidR="00543241" w:rsidRPr="00543241" w14:paraId="28C71C5D" w14:textId="77777777" w:rsidTr="00247205">
        <w:tc>
          <w:tcPr>
            <w:tcW w:w="1880" w:type="pct"/>
            <w:tcBorders>
              <w:top w:val="single" w:sz="12" w:space="0" w:color="auto"/>
            </w:tcBorders>
            <w:shd w:val="clear" w:color="auto" w:fill="auto"/>
            <w:vAlign w:val="bottom"/>
            <w:hideMark/>
          </w:tcPr>
          <w:p w14:paraId="1C902457"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Beginning balance</w:t>
            </w:r>
          </w:p>
        </w:tc>
        <w:tc>
          <w:tcPr>
            <w:tcW w:w="634" w:type="pct"/>
            <w:tcBorders>
              <w:top w:val="single" w:sz="12" w:space="0" w:color="auto"/>
            </w:tcBorders>
            <w:shd w:val="clear" w:color="auto" w:fill="auto"/>
            <w:vAlign w:val="bottom"/>
            <w:hideMark/>
          </w:tcPr>
          <w:p w14:paraId="60CEE862"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265" w:type="pct"/>
            <w:tcBorders>
              <w:top w:val="single" w:sz="12" w:space="0" w:color="auto"/>
            </w:tcBorders>
            <w:shd w:val="clear" w:color="auto" w:fill="auto"/>
            <w:vAlign w:val="bottom"/>
            <w:hideMark/>
          </w:tcPr>
          <w:p w14:paraId="7CB5DC14"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430" w:type="pct"/>
            <w:tcBorders>
              <w:top w:val="single" w:sz="12" w:space="0" w:color="auto"/>
            </w:tcBorders>
            <w:shd w:val="clear" w:color="auto" w:fill="auto"/>
            <w:vAlign w:val="bottom"/>
          </w:tcPr>
          <w:p w14:paraId="67C8DB5B" w14:textId="77777777" w:rsidR="00543241" w:rsidRPr="00543241" w:rsidRDefault="00543241" w:rsidP="00543241">
            <w:pPr>
              <w:spacing w:after="0" w:line="240" w:lineRule="auto"/>
              <w:jc w:val="right"/>
              <w:rPr>
                <w:rFonts w:ascii="Times New Roman" w:eastAsia="Times New Roman" w:hAnsi="Times New Roman" w:cs="Times New Roman"/>
                <w:b/>
                <w:bCs/>
                <w:sz w:val="20"/>
                <w:szCs w:val="20"/>
                <w:lang w:val="en-US"/>
              </w:rPr>
            </w:pPr>
            <w:r w:rsidRPr="00543241">
              <w:rPr>
                <w:rFonts w:ascii="Times New Roman" w:eastAsia="Times New Roman" w:hAnsi="Times New Roman" w:cs="Times New Roman"/>
                <w:b/>
                <w:bCs/>
                <w:sz w:val="20"/>
                <w:szCs w:val="20"/>
                <w:lang w:val="en-US"/>
              </w:rPr>
              <w:t>15,324</w:t>
            </w:r>
          </w:p>
        </w:tc>
        <w:tc>
          <w:tcPr>
            <w:tcW w:w="42" w:type="pct"/>
            <w:tcBorders>
              <w:top w:val="single" w:sz="12" w:space="0" w:color="auto"/>
            </w:tcBorders>
            <w:shd w:val="clear" w:color="auto" w:fill="auto"/>
            <w:vAlign w:val="bottom"/>
            <w:hideMark/>
          </w:tcPr>
          <w:p w14:paraId="1F942813"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85" w:type="pct"/>
            <w:tcBorders>
              <w:top w:val="single" w:sz="12" w:space="0" w:color="auto"/>
            </w:tcBorders>
            <w:shd w:val="clear" w:color="auto" w:fill="auto"/>
            <w:vAlign w:val="bottom"/>
            <w:hideMark/>
          </w:tcPr>
          <w:p w14:paraId="11D2179A"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350" w:type="pct"/>
            <w:tcBorders>
              <w:top w:val="single" w:sz="12" w:space="0" w:color="auto"/>
            </w:tcBorders>
            <w:shd w:val="clear" w:color="auto" w:fill="auto"/>
            <w:vAlign w:val="bottom"/>
            <w:hideMark/>
          </w:tcPr>
          <w:p w14:paraId="43E03959"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439" w:type="pct"/>
            <w:tcBorders>
              <w:top w:val="single" w:sz="12" w:space="0" w:color="auto"/>
            </w:tcBorders>
            <w:shd w:val="clear" w:color="auto" w:fill="auto"/>
            <w:vAlign w:val="bottom"/>
            <w:hideMark/>
          </w:tcPr>
          <w:p w14:paraId="0C04F356"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39,809</w:t>
            </w:r>
          </w:p>
        </w:tc>
        <w:tc>
          <w:tcPr>
            <w:tcW w:w="85" w:type="pct"/>
            <w:tcBorders>
              <w:top w:val="single" w:sz="12" w:space="0" w:color="auto"/>
            </w:tcBorders>
            <w:shd w:val="clear" w:color="auto" w:fill="auto"/>
            <w:vAlign w:val="bottom"/>
            <w:hideMark/>
          </w:tcPr>
          <w:p w14:paraId="34F7E237"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705" w:type="pct"/>
            <w:tcBorders>
              <w:top w:val="single" w:sz="12" w:space="0" w:color="auto"/>
            </w:tcBorders>
            <w:shd w:val="clear" w:color="auto" w:fill="auto"/>
          </w:tcPr>
          <w:p w14:paraId="24AE25C2"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4,759</w:t>
            </w:r>
          </w:p>
        </w:tc>
        <w:tc>
          <w:tcPr>
            <w:tcW w:w="85" w:type="pct"/>
            <w:shd w:val="clear" w:color="auto" w:fill="auto"/>
          </w:tcPr>
          <w:p w14:paraId="47EB4BC8"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r>
      <w:tr w:rsidR="00543241" w:rsidRPr="00543241" w14:paraId="2E2C55A9" w14:textId="77777777" w:rsidTr="00543241">
        <w:tc>
          <w:tcPr>
            <w:tcW w:w="1880" w:type="pct"/>
            <w:shd w:val="clear" w:color="auto" w:fill="auto"/>
            <w:vAlign w:val="bottom"/>
            <w:hideMark/>
          </w:tcPr>
          <w:p w14:paraId="7997D40E"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Additions, cost</w:t>
            </w:r>
          </w:p>
        </w:tc>
        <w:tc>
          <w:tcPr>
            <w:tcW w:w="634" w:type="pct"/>
            <w:shd w:val="clear" w:color="auto" w:fill="auto"/>
            <w:vAlign w:val="bottom"/>
            <w:hideMark/>
          </w:tcPr>
          <w:p w14:paraId="50AF06BC"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265" w:type="pct"/>
            <w:shd w:val="clear" w:color="auto" w:fill="auto"/>
            <w:vAlign w:val="bottom"/>
            <w:hideMark/>
          </w:tcPr>
          <w:p w14:paraId="65A238A1"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430" w:type="pct"/>
            <w:shd w:val="clear" w:color="auto" w:fill="auto"/>
            <w:vAlign w:val="bottom"/>
          </w:tcPr>
          <w:p w14:paraId="1B636CA1" w14:textId="77777777" w:rsidR="00543241" w:rsidRPr="00543241" w:rsidRDefault="00543241" w:rsidP="00543241">
            <w:pPr>
              <w:spacing w:after="0" w:line="240" w:lineRule="auto"/>
              <w:jc w:val="right"/>
              <w:rPr>
                <w:rFonts w:ascii="Times New Roman" w:eastAsia="Times New Roman" w:hAnsi="Times New Roman" w:cs="Times New Roman"/>
                <w:b/>
                <w:bCs/>
                <w:sz w:val="20"/>
                <w:szCs w:val="20"/>
                <w:lang w:val="en-US"/>
              </w:rPr>
            </w:pPr>
            <w:r w:rsidRPr="00543241">
              <w:rPr>
                <w:rFonts w:ascii="Times New Roman" w:eastAsia="Times New Roman" w:hAnsi="Times New Roman" w:cs="Times New Roman"/>
                <w:b/>
                <w:bCs/>
                <w:sz w:val="20"/>
                <w:szCs w:val="20"/>
                <w:lang w:val="en-US"/>
              </w:rPr>
              <w:t>-</w:t>
            </w:r>
          </w:p>
        </w:tc>
        <w:tc>
          <w:tcPr>
            <w:tcW w:w="42" w:type="pct"/>
            <w:shd w:val="clear" w:color="auto" w:fill="auto"/>
            <w:vAlign w:val="bottom"/>
            <w:hideMark/>
          </w:tcPr>
          <w:p w14:paraId="504B24CB"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85" w:type="pct"/>
            <w:shd w:val="clear" w:color="auto" w:fill="auto"/>
            <w:vAlign w:val="bottom"/>
            <w:hideMark/>
          </w:tcPr>
          <w:p w14:paraId="6DCF6472"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350" w:type="pct"/>
            <w:shd w:val="clear" w:color="auto" w:fill="auto"/>
            <w:vAlign w:val="bottom"/>
            <w:hideMark/>
          </w:tcPr>
          <w:p w14:paraId="484D6E69"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439" w:type="pct"/>
            <w:shd w:val="clear" w:color="auto" w:fill="auto"/>
            <w:vAlign w:val="bottom"/>
            <w:hideMark/>
          </w:tcPr>
          <w:p w14:paraId="5D919BDE"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85" w:type="pct"/>
            <w:shd w:val="clear" w:color="auto" w:fill="auto"/>
            <w:vAlign w:val="bottom"/>
            <w:hideMark/>
          </w:tcPr>
          <w:p w14:paraId="361578CD"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705" w:type="pct"/>
            <w:shd w:val="clear" w:color="auto" w:fill="auto"/>
          </w:tcPr>
          <w:p w14:paraId="70C8328D"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57,919</w:t>
            </w:r>
          </w:p>
        </w:tc>
        <w:tc>
          <w:tcPr>
            <w:tcW w:w="85" w:type="pct"/>
            <w:shd w:val="clear" w:color="auto" w:fill="auto"/>
          </w:tcPr>
          <w:p w14:paraId="4B484282"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r>
      <w:tr w:rsidR="00543241" w:rsidRPr="00543241" w14:paraId="2147B889" w14:textId="77777777" w:rsidTr="00543241">
        <w:tc>
          <w:tcPr>
            <w:tcW w:w="1880" w:type="pct"/>
            <w:shd w:val="clear" w:color="auto" w:fill="auto"/>
            <w:vAlign w:val="bottom"/>
          </w:tcPr>
          <w:p w14:paraId="75DF0577"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Interest expense</w:t>
            </w:r>
          </w:p>
        </w:tc>
        <w:tc>
          <w:tcPr>
            <w:tcW w:w="634" w:type="pct"/>
            <w:shd w:val="clear" w:color="auto" w:fill="auto"/>
            <w:vAlign w:val="bottom"/>
          </w:tcPr>
          <w:p w14:paraId="07E1949B"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c>
          <w:tcPr>
            <w:tcW w:w="265" w:type="pct"/>
            <w:shd w:val="clear" w:color="auto" w:fill="auto"/>
            <w:vAlign w:val="bottom"/>
          </w:tcPr>
          <w:p w14:paraId="740EA0D9"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c>
          <w:tcPr>
            <w:tcW w:w="430" w:type="pct"/>
            <w:shd w:val="clear" w:color="auto" w:fill="auto"/>
            <w:vAlign w:val="bottom"/>
          </w:tcPr>
          <w:p w14:paraId="703D9AEB" w14:textId="77777777" w:rsidR="00543241" w:rsidRPr="00543241" w:rsidRDefault="00543241" w:rsidP="00543241">
            <w:pPr>
              <w:spacing w:after="0" w:line="240" w:lineRule="auto"/>
              <w:jc w:val="right"/>
              <w:rPr>
                <w:rFonts w:ascii="Times New Roman" w:eastAsia="Times New Roman" w:hAnsi="Times New Roman" w:cs="Times New Roman"/>
                <w:b/>
                <w:bCs/>
                <w:sz w:val="20"/>
                <w:szCs w:val="20"/>
                <w:lang w:val="en-US"/>
              </w:rPr>
            </w:pPr>
            <w:r w:rsidRPr="00543241">
              <w:rPr>
                <w:rFonts w:ascii="Times New Roman" w:eastAsia="Times New Roman" w:hAnsi="Times New Roman" w:cs="Times New Roman"/>
                <w:b/>
                <w:bCs/>
                <w:sz w:val="20"/>
                <w:szCs w:val="20"/>
                <w:lang w:val="en-US"/>
              </w:rPr>
              <w:t>823</w:t>
            </w:r>
          </w:p>
        </w:tc>
        <w:tc>
          <w:tcPr>
            <w:tcW w:w="42" w:type="pct"/>
            <w:shd w:val="clear" w:color="auto" w:fill="auto"/>
            <w:vAlign w:val="bottom"/>
          </w:tcPr>
          <w:p w14:paraId="066D0D67"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c>
          <w:tcPr>
            <w:tcW w:w="85" w:type="pct"/>
            <w:shd w:val="clear" w:color="auto" w:fill="auto"/>
            <w:vAlign w:val="bottom"/>
          </w:tcPr>
          <w:p w14:paraId="20A7EEC7"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c>
          <w:tcPr>
            <w:tcW w:w="350" w:type="pct"/>
            <w:shd w:val="clear" w:color="auto" w:fill="auto"/>
            <w:vAlign w:val="bottom"/>
          </w:tcPr>
          <w:p w14:paraId="65801145"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c>
          <w:tcPr>
            <w:tcW w:w="439" w:type="pct"/>
            <w:shd w:val="clear" w:color="auto" w:fill="auto"/>
            <w:vAlign w:val="bottom"/>
          </w:tcPr>
          <w:p w14:paraId="7D23811E"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3,480</w:t>
            </w:r>
          </w:p>
        </w:tc>
        <w:tc>
          <w:tcPr>
            <w:tcW w:w="85" w:type="pct"/>
            <w:shd w:val="clear" w:color="auto" w:fill="auto"/>
            <w:vAlign w:val="bottom"/>
          </w:tcPr>
          <w:p w14:paraId="561D622B"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c>
          <w:tcPr>
            <w:tcW w:w="705" w:type="pct"/>
            <w:shd w:val="clear" w:color="auto" w:fill="auto"/>
          </w:tcPr>
          <w:p w14:paraId="404BF8A4"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4,771</w:t>
            </w:r>
          </w:p>
        </w:tc>
        <w:tc>
          <w:tcPr>
            <w:tcW w:w="85" w:type="pct"/>
            <w:shd w:val="clear" w:color="auto" w:fill="auto"/>
          </w:tcPr>
          <w:p w14:paraId="3D8E906F"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p>
        </w:tc>
      </w:tr>
      <w:tr w:rsidR="00543241" w:rsidRPr="00543241" w14:paraId="076F1A95" w14:textId="77777777" w:rsidTr="00543241">
        <w:tc>
          <w:tcPr>
            <w:tcW w:w="1880" w:type="pct"/>
            <w:shd w:val="clear" w:color="auto" w:fill="auto"/>
            <w:vAlign w:val="bottom"/>
            <w:hideMark/>
          </w:tcPr>
          <w:p w14:paraId="577F1AD0"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Lease payments</w:t>
            </w:r>
          </w:p>
        </w:tc>
        <w:tc>
          <w:tcPr>
            <w:tcW w:w="634" w:type="pct"/>
            <w:shd w:val="clear" w:color="auto" w:fill="auto"/>
            <w:vAlign w:val="bottom"/>
            <w:hideMark/>
          </w:tcPr>
          <w:p w14:paraId="42347C7F"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265" w:type="pct"/>
            <w:shd w:val="clear" w:color="auto" w:fill="auto"/>
            <w:vAlign w:val="bottom"/>
            <w:hideMark/>
          </w:tcPr>
          <w:p w14:paraId="7298F34B"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430" w:type="pct"/>
            <w:shd w:val="clear" w:color="auto" w:fill="auto"/>
            <w:vAlign w:val="bottom"/>
          </w:tcPr>
          <w:p w14:paraId="70BA784F" w14:textId="77777777" w:rsidR="00543241" w:rsidRPr="00543241" w:rsidRDefault="00543241" w:rsidP="00543241">
            <w:pPr>
              <w:spacing w:after="0" w:line="240" w:lineRule="auto"/>
              <w:jc w:val="right"/>
              <w:rPr>
                <w:rFonts w:ascii="Times New Roman" w:eastAsia="Times New Roman" w:hAnsi="Times New Roman" w:cs="Times New Roman"/>
                <w:b/>
                <w:bCs/>
                <w:sz w:val="20"/>
                <w:szCs w:val="20"/>
                <w:lang w:val="en-US"/>
              </w:rPr>
            </w:pPr>
            <w:r w:rsidRPr="00543241">
              <w:rPr>
                <w:rFonts w:ascii="Times New Roman" w:eastAsia="Times New Roman" w:hAnsi="Times New Roman" w:cs="Times New Roman"/>
                <w:b/>
                <w:bCs/>
                <w:sz w:val="20"/>
                <w:szCs w:val="20"/>
                <w:lang w:val="en-US"/>
              </w:rPr>
              <w:t>(3,041</w:t>
            </w:r>
          </w:p>
        </w:tc>
        <w:tc>
          <w:tcPr>
            <w:tcW w:w="42" w:type="pct"/>
            <w:shd w:val="clear" w:color="auto" w:fill="auto"/>
            <w:vAlign w:val="bottom"/>
            <w:hideMark/>
          </w:tcPr>
          <w:p w14:paraId="3CA6567A"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85" w:type="pct"/>
            <w:shd w:val="clear" w:color="auto" w:fill="auto"/>
            <w:vAlign w:val="bottom"/>
            <w:hideMark/>
          </w:tcPr>
          <w:p w14:paraId="54504FD3"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350" w:type="pct"/>
            <w:shd w:val="clear" w:color="auto" w:fill="auto"/>
            <w:vAlign w:val="bottom"/>
            <w:hideMark/>
          </w:tcPr>
          <w:p w14:paraId="281332C3"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439" w:type="pct"/>
            <w:shd w:val="clear" w:color="auto" w:fill="auto"/>
            <w:vAlign w:val="bottom"/>
            <w:hideMark/>
          </w:tcPr>
          <w:p w14:paraId="038F25E8"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(11,114</w:t>
            </w:r>
          </w:p>
        </w:tc>
        <w:tc>
          <w:tcPr>
            <w:tcW w:w="85" w:type="pct"/>
            <w:shd w:val="clear" w:color="auto" w:fill="auto"/>
            <w:vAlign w:val="bottom"/>
            <w:hideMark/>
          </w:tcPr>
          <w:p w14:paraId="25ADD833"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705" w:type="pct"/>
            <w:shd w:val="clear" w:color="auto" w:fill="auto"/>
          </w:tcPr>
          <w:p w14:paraId="194BE8BB"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(16,574</w:t>
            </w:r>
          </w:p>
        </w:tc>
        <w:tc>
          <w:tcPr>
            <w:tcW w:w="85" w:type="pct"/>
            <w:shd w:val="clear" w:color="auto" w:fill="auto"/>
          </w:tcPr>
          <w:p w14:paraId="102C1D5C"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r>
      <w:tr w:rsidR="00543241" w:rsidRPr="00543241" w14:paraId="44C0088F" w14:textId="77777777" w:rsidTr="00543241">
        <w:tc>
          <w:tcPr>
            <w:tcW w:w="1880" w:type="pct"/>
            <w:shd w:val="clear" w:color="auto" w:fill="auto"/>
            <w:tcMar>
              <w:top w:w="0" w:type="dxa"/>
              <w:left w:w="0" w:type="dxa"/>
              <w:bottom w:w="30" w:type="dxa"/>
              <w:right w:w="0" w:type="dxa"/>
            </w:tcMar>
            <w:vAlign w:val="bottom"/>
            <w:hideMark/>
          </w:tcPr>
          <w:p w14:paraId="4C5B7688"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Foreign exchange impact</w:t>
            </w:r>
          </w:p>
        </w:tc>
        <w:tc>
          <w:tcPr>
            <w:tcW w:w="634" w:type="pct"/>
            <w:shd w:val="clear" w:color="auto" w:fill="auto"/>
            <w:tcMar>
              <w:top w:w="0" w:type="dxa"/>
              <w:left w:w="0" w:type="dxa"/>
              <w:bottom w:w="30" w:type="dxa"/>
              <w:right w:w="0" w:type="dxa"/>
            </w:tcMar>
            <w:vAlign w:val="bottom"/>
            <w:hideMark/>
          </w:tcPr>
          <w:p w14:paraId="6BDF2648"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265" w:type="pct"/>
            <w:tcBorders>
              <w:bottom w:val="single" w:sz="12" w:space="0" w:color="000000"/>
            </w:tcBorders>
            <w:shd w:val="clear" w:color="auto" w:fill="auto"/>
            <w:vAlign w:val="bottom"/>
            <w:hideMark/>
          </w:tcPr>
          <w:p w14:paraId="6ACC810E"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430" w:type="pct"/>
            <w:tcBorders>
              <w:bottom w:val="single" w:sz="12" w:space="0" w:color="000000"/>
            </w:tcBorders>
            <w:shd w:val="clear" w:color="auto" w:fill="auto"/>
            <w:vAlign w:val="bottom"/>
          </w:tcPr>
          <w:p w14:paraId="427FDB50" w14:textId="77777777" w:rsidR="00543241" w:rsidRPr="00543241" w:rsidRDefault="00543241" w:rsidP="00543241">
            <w:pPr>
              <w:spacing w:after="0" w:line="240" w:lineRule="auto"/>
              <w:jc w:val="right"/>
              <w:rPr>
                <w:rFonts w:ascii="Times New Roman" w:eastAsia="Times New Roman" w:hAnsi="Times New Roman" w:cs="Times New Roman"/>
                <w:b/>
                <w:bCs/>
                <w:sz w:val="20"/>
                <w:szCs w:val="20"/>
                <w:lang w:val="en-US"/>
              </w:rPr>
            </w:pPr>
            <w:r w:rsidRPr="00543241">
              <w:rPr>
                <w:rFonts w:ascii="Times New Roman" w:eastAsia="Times New Roman" w:hAnsi="Times New Roman" w:cs="Times New Roman"/>
                <w:b/>
                <w:bCs/>
                <w:sz w:val="20"/>
                <w:szCs w:val="20"/>
                <w:lang w:val="en-US"/>
              </w:rPr>
              <w:t>(1,381</w:t>
            </w:r>
          </w:p>
        </w:tc>
        <w:tc>
          <w:tcPr>
            <w:tcW w:w="42" w:type="pct"/>
            <w:shd w:val="clear" w:color="auto" w:fill="auto"/>
            <w:tcMar>
              <w:top w:w="0" w:type="dxa"/>
              <w:left w:w="0" w:type="dxa"/>
              <w:bottom w:w="30" w:type="dxa"/>
              <w:right w:w="0" w:type="dxa"/>
            </w:tcMar>
            <w:vAlign w:val="bottom"/>
            <w:hideMark/>
          </w:tcPr>
          <w:p w14:paraId="3E0D7530"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85" w:type="pct"/>
            <w:shd w:val="clear" w:color="auto" w:fill="auto"/>
            <w:tcMar>
              <w:top w:w="0" w:type="dxa"/>
              <w:left w:w="0" w:type="dxa"/>
              <w:bottom w:w="30" w:type="dxa"/>
              <w:right w:w="0" w:type="dxa"/>
            </w:tcMar>
            <w:vAlign w:val="bottom"/>
            <w:hideMark/>
          </w:tcPr>
          <w:p w14:paraId="25558636"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350" w:type="pct"/>
            <w:tcBorders>
              <w:bottom w:val="single" w:sz="12" w:space="0" w:color="000000"/>
            </w:tcBorders>
            <w:shd w:val="clear" w:color="auto" w:fill="auto"/>
            <w:vAlign w:val="bottom"/>
            <w:hideMark/>
          </w:tcPr>
          <w:p w14:paraId="5D0A7BF0"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439" w:type="pct"/>
            <w:tcBorders>
              <w:bottom w:val="single" w:sz="12" w:space="0" w:color="000000"/>
            </w:tcBorders>
            <w:shd w:val="clear" w:color="auto" w:fill="auto"/>
            <w:vAlign w:val="bottom"/>
            <w:hideMark/>
          </w:tcPr>
          <w:p w14:paraId="76419A79"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(16,851</w:t>
            </w:r>
          </w:p>
        </w:tc>
        <w:tc>
          <w:tcPr>
            <w:tcW w:w="85" w:type="pct"/>
            <w:shd w:val="clear" w:color="auto" w:fill="auto"/>
            <w:tcMar>
              <w:top w:w="0" w:type="dxa"/>
              <w:left w:w="0" w:type="dxa"/>
              <w:bottom w:w="30" w:type="dxa"/>
              <w:right w:w="0" w:type="dxa"/>
            </w:tcMar>
            <w:vAlign w:val="bottom"/>
            <w:hideMark/>
          </w:tcPr>
          <w:p w14:paraId="4DD01090"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705" w:type="pct"/>
            <w:tcBorders>
              <w:bottom w:val="single" w:sz="12" w:space="0" w:color="auto"/>
            </w:tcBorders>
            <w:shd w:val="clear" w:color="auto" w:fill="auto"/>
          </w:tcPr>
          <w:p w14:paraId="421840D9"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(11,066</w:t>
            </w:r>
          </w:p>
        </w:tc>
        <w:tc>
          <w:tcPr>
            <w:tcW w:w="85" w:type="pct"/>
            <w:shd w:val="clear" w:color="auto" w:fill="auto"/>
          </w:tcPr>
          <w:p w14:paraId="377CAB2F"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r>
      <w:tr w:rsidR="00543241" w:rsidRPr="00543241" w14:paraId="38314A7A" w14:textId="77777777" w:rsidTr="00543241">
        <w:tc>
          <w:tcPr>
            <w:tcW w:w="1880" w:type="pct"/>
            <w:tcBorders>
              <w:bottom w:val="single" w:sz="12" w:space="0" w:color="auto"/>
            </w:tcBorders>
            <w:shd w:val="clear" w:color="auto" w:fill="auto"/>
            <w:tcMar>
              <w:top w:w="0" w:type="dxa"/>
              <w:left w:w="0" w:type="dxa"/>
              <w:bottom w:w="30" w:type="dxa"/>
              <w:right w:w="0" w:type="dxa"/>
            </w:tcMar>
            <w:vAlign w:val="bottom"/>
            <w:hideMark/>
          </w:tcPr>
          <w:p w14:paraId="161531AA" w14:textId="2EA20D0D" w:rsidR="00543241" w:rsidRPr="00543241" w:rsidRDefault="001958E2" w:rsidP="00543241">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Ending balance</w:t>
            </w:r>
          </w:p>
        </w:tc>
        <w:tc>
          <w:tcPr>
            <w:tcW w:w="634" w:type="pct"/>
            <w:tcBorders>
              <w:bottom w:val="single" w:sz="12" w:space="0" w:color="auto"/>
            </w:tcBorders>
            <w:shd w:val="clear" w:color="auto" w:fill="auto"/>
            <w:tcMar>
              <w:top w:w="0" w:type="dxa"/>
              <w:left w:w="0" w:type="dxa"/>
              <w:bottom w:w="30" w:type="dxa"/>
              <w:right w:w="0" w:type="dxa"/>
            </w:tcMar>
            <w:vAlign w:val="bottom"/>
            <w:hideMark/>
          </w:tcPr>
          <w:p w14:paraId="461F06D2"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265" w:type="pct"/>
            <w:tcBorders>
              <w:bottom w:val="single" w:sz="12" w:space="0" w:color="auto"/>
            </w:tcBorders>
            <w:shd w:val="clear" w:color="auto" w:fill="auto"/>
            <w:vAlign w:val="bottom"/>
            <w:hideMark/>
          </w:tcPr>
          <w:p w14:paraId="2F558BBE"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430" w:type="pct"/>
            <w:tcBorders>
              <w:bottom w:val="single" w:sz="12" w:space="0" w:color="auto"/>
            </w:tcBorders>
            <w:shd w:val="clear" w:color="auto" w:fill="auto"/>
            <w:vAlign w:val="bottom"/>
          </w:tcPr>
          <w:p w14:paraId="7FDECF9C" w14:textId="77777777" w:rsidR="00543241" w:rsidRPr="00543241" w:rsidRDefault="00543241" w:rsidP="00543241">
            <w:pPr>
              <w:spacing w:after="0" w:line="240" w:lineRule="auto"/>
              <w:jc w:val="right"/>
              <w:rPr>
                <w:rFonts w:ascii="Times New Roman" w:eastAsia="Times New Roman" w:hAnsi="Times New Roman" w:cs="Times New Roman"/>
                <w:b/>
                <w:bCs/>
                <w:sz w:val="20"/>
                <w:szCs w:val="20"/>
                <w:lang w:val="en-US"/>
              </w:rPr>
            </w:pPr>
            <w:r w:rsidRPr="00543241">
              <w:rPr>
                <w:rFonts w:ascii="Times New Roman" w:eastAsia="Times New Roman" w:hAnsi="Times New Roman" w:cs="Times New Roman"/>
                <w:b/>
                <w:bCs/>
                <w:sz w:val="20"/>
                <w:szCs w:val="20"/>
                <w:lang w:val="en-US"/>
              </w:rPr>
              <w:t>11,725</w:t>
            </w:r>
          </w:p>
        </w:tc>
        <w:tc>
          <w:tcPr>
            <w:tcW w:w="42" w:type="pct"/>
            <w:tcBorders>
              <w:bottom w:val="single" w:sz="12" w:space="0" w:color="auto"/>
            </w:tcBorders>
            <w:shd w:val="clear" w:color="auto" w:fill="auto"/>
            <w:tcMar>
              <w:top w:w="0" w:type="dxa"/>
              <w:left w:w="0" w:type="dxa"/>
              <w:bottom w:w="30" w:type="dxa"/>
              <w:right w:w="0" w:type="dxa"/>
            </w:tcMar>
            <w:vAlign w:val="bottom"/>
            <w:hideMark/>
          </w:tcPr>
          <w:p w14:paraId="21CFA0D7"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85" w:type="pct"/>
            <w:tcBorders>
              <w:bottom w:val="single" w:sz="12" w:space="0" w:color="auto"/>
            </w:tcBorders>
            <w:shd w:val="clear" w:color="auto" w:fill="auto"/>
            <w:tcMar>
              <w:top w:w="0" w:type="dxa"/>
              <w:left w:w="0" w:type="dxa"/>
              <w:bottom w:w="30" w:type="dxa"/>
              <w:right w:w="0" w:type="dxa"/>
            </w:tcMar>
            <w:vAlign w:val="bottom"/>
            <w:hideMark/>
          </w:tcPr>
          <w:p w14:paraId="355A13AD"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350" w:type="pct"/>
            <w:tcBorders>
              <w:bottom w:val="single" w:sz="12" w:space="0" w:color="auto"/>
            </w:tcBorders>
            <w:shd w:val="clear" w:color="auto" w:fill="auto"/>
            <w:vAlign w:val="bottom"/>
            <w:hideMark/>
          </w:tcPr>
          <w:p w14:paraId="5BB196D5"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w:t>
            </w:r>
          </w:p>
        </w:tc>
        <w:tc>
          <w:tcPr>
            <w:tcW w:w="439" w:type="pct"/>
            <w:tcBorders>
              <w:bottom w:val="single" w:sz="12" w:space="0" w:color="auto"/>
            </w:tcBorders>
            <w:shd w:val="clear" w:color="auto" w:fill="auto"/>
            <w:vAlign w:val="bottom"/>
            <w:hideMark/>
          </w:tcPr>
          <w:p w14:paraId="46F4520E"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15,324</w:t>
            </w:r>
          </w:p>
        </w:tc>
        <w:tc>
          <w:tcPr>
            <w:tcW w:w="85" w:type="pct"/>
            <w:tcBorders>
              <w:bottom w:val="single" w:sz="12" w:space="0" w:color="auto"/>
            </w:tcBorders>
            <w:shd w:val="clear" w:color="auto" w:fill="auto"/>
            <w:tcMar>
              <w:top w:w="0" w:type="dxa"/>
              <w:left w:w="0" w:type="dxa"/>
              <w:bottom w:w="30" w:type="dxa"/>
              <w:right w:w="0" w:type="dxa"/>
            </w:tcMar>
            <w:vAlign w:val="bottom"/>
            <w:hideMark/>
          </w:tcPr>
          <w:p w14:paraId="25FCB369" w14:textId="77777777" w:rsidR="00543241" w:rsidRPr="00543241" w:rsidRDefault="00543241" w:rsidP="00543241">
            <w:pPr>
              <w:spacing w:after="0" w:line="240" w:lineRule="auto"/>
              <w:jc w:val="both"/>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w:t>
            </w:r>
          </w:p>
        </w:tc>
        <w:tc>
          <w:tcPr>
            <w:tcW w:w="705" w:type="pct"/>
            <w:tcBorders>
              <w:top w:val="single" w:sz="12" w:space="0" w:color="auto"/>
              <w:bottom w:val="single" w:sz="12" w:space="0" w:color="auto"/>
            </w:tcBorders>
            <w:shd w:val="clear" w:color="auto" w:fill="auto"/>
          </w:tcPr>
          <w:p w14:paraId="6A7B9231" w14:textId="77777777" w:rsidR="00543241" w:rsidRPr="00543241" w:rsidRDefault="00543241" w:rsidP="00543241">
            <w:pPr>
              <w:spacing w:after="0" w:line="240" w:lineRule="auto"/>
              <w:jc w:val="right"/>
              <w:rPr>
                <w:rFonts w:ascii="Times New Roman" w:eastAsia="Times New Roman" w:hAnsi="Times New Roman" w:cs="Times New Roman"/>
                <w:sz w:val="20"/>
                <w:szCs w:val="20"/>
                <w:lang w:val="en-US"/>
              </w:rPr>
            </w:pPr>
            <w:r w:rsidRPr="00543241">
              <w:rPr>
                <w:rFonts w:ascii="Times New Roman" w:eastAsia="Times New Roman" w:hAnsi="Times New Roman" w:cs="Times New Roman"/>
                <w:sz w:val="20"/>
                <w:szCs w:val="20"/>
                <w:lang w:val="en-US"/>
              </w:rPr>
              <w:t>$   39,809</w:t>
            </w:r>
          </w:p>
        </w:tc>
        <w:tc>
          <w:tcPr>
            <w:tcW w:w="85" w:type="pct"/>
            <w:shd w:val="clear" w:color="auto" w:fill="auto"/>
          </w:tcPr>
          <w:p w14:paraId="21A453D8" w14:textId="77777777" w:rsidR="00543241" w:rsidRPr="00543241" w:rsidRDefault="00543241" w:rsidP="00543241">
            <w:pPr>
              <w:spacing w:after="0" w:line="240" w:lineRule="auto"/>
              <w:jc w:val="both"/>
              <w:rPr>
                <w:rFonts w:ascii="Times New Roman" w:eastAsia="Times New Roman" w:hAnsi="Times New Roman" w:cs="Times New Roman"/>
                <w:b/>
                <w:bCs/>
                <w:sz w:val="20"/>
                <w:szCs w:val="20"/>
                <w:lang w:val="en-US"/>
              </w:rPr>
            </w:pPr>
          </w:p>
        </w:tc>
      </w:tr>
    </w:tbl>
    <w:p w14:paraId="3EE811B7" w14:textId="77777777" w:rsidR="00543241" w:rsidRDefault="00543241"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p w14:paraId="0DF644E0" w14:textId="4CA5C55E" w:rsidR="00116EEB" w:rsidRDefault="00D2099E" w:rsidP="00D2099E">
      <w:pPr>
        <w:shd w:val="clear" w:color="auto" w:fill="FFFFFF"/>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As </w:t>
      </w:r>
      <w:proofErr w:type="gramStart"/>
      <w:r w:rsidRPr="00D2099E">
        <w:rPr>
          <w:rFonts w:ascii="Times New Roman" w:eastAsia="Times New Roman" w:hAnsi="Times New Roman" w:cs="Times New Roman"/>
          <w:sz w:val="20"/>
          <w:szCs w:val="20"/>
          <w:lang w:val="en-US"/>
        </w:rPr>
        <w:t>at</w:t>
      </w:r>
      <w:proofErr w:type="gramEnd"/>
      <w:r w:rsidRPr="00D2099E">
        <w:rPr>
          <w:rFonts w:ascii="Times New Roman" w:eastAsia="Times New Roman" w:hAnsi="Times New Roman" w:cs="Times New Roman"/>
          <w:sz w:val="20"/>
          <w:szCs w:val="20"/>
          <w:lang w:val="en-US"/>
        </w:rPr>
        <w:t xml:space="preserve"> </w:t>
      </w:r>
      <w:r w:rsidR="00BA1277">
        <w:rPr>
          <w:rFonts w:ascii="Times New Roman" w:eastAsia="Times New Roman" w:hAnsi="Times New Roman" w:cs="Times New Roman"/>
          <w:sz w:val="20"/>
          <w:szCs w:val="20"/>
          <w:lang w:val="en-US"/>
        </w:rPr>
        <w:t>June 30</w:t>
      </w:r>
      <w:r w:rsidR="00BB3133">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the Company’s lease liability is as follows:</w:t>
      </w:r>
    </w:p>
    <w:p w14:paraId="2175CD88" w14:textId="7C058730" w:rsidR="00116EEB" w:rsidRDefault="00116EEB" w:rsidP="00D2099E">
      <w:pPr>
        <w:shd w:val="clear" w:color="auto" w:fill="FFFFFF"/>
        <w:spacing w:after="0" w:line="240" w:lineRule="auto"/>
        <w:ind w:left="360"/>
        <w:jc w:val="both"/>
        <w:rPr>
          <w:rFonts w:ascii="Times New Roman" w:eastAsia="Times New Roman" w:hAnsi="Times New Roman" w:cs="Times New Roman"/>
          <w:sz w:val="20"/>
          <w:szCs w:val="20"/>
          <w:lang w:val="en-US"/>
        </w:rPr>
      </w:pPr>
    </w:p>
    <w:tbl>
      <w:tblPr>
        <w:tblW w:w="4276" w:type="pct"/>
        <w:tblInd w:w="360" w:type="dxa"/>
        <w:tblCellMar>
          <w:left w:w="0" w:type="dxa"/>
          <w:right w:w="0" w:type="dxa"/>
        </w:tblCellMar>
        <w:tblLook w:val="04A0" w:firstRow="1" w:lastRow="0" w:firstColumn="1" w:lastColumn="0" w:noHBand="0" w:noVBand="1"/>
      </w:tblPr>
      <w:tblGrid>
        <w:gridCol w:w="3893"/>
        <w:gridCol w:w="135"/>
        <w:gridCol w:w="134"/>
        <w:gridCol w:w="991"/>
        <w:gridCol w:w="50"/>
        <w:gridCol w:w="107"/>
        <w:gridCol w:w="142"/>
        <w:gridCol w:w="1135"/>
        <w:gridCol w:w="142"/>
        <w:gridCol w:w="1135"/>
        <w:gridCol w:w="141"/>
      </w:tblGrid>
      <w:tr w:rsidR="00116EEB" w:rsidRPr="00D2099E" w14:paraId="278B55C2" w14:textId="77777777" w:rsidTr="00D23D47">
        <w:tc>
          <w:tcPr>
            <w:tcW w:w="2431" w:type="pct"/>
            <w:tcBorders>
              <w:top w:val="single" w:sz="12" w:space="0" w:color="auto"/>
              <w:bottom w:val="single" w:sz="12" w:space="0" w:color="auto"/>
            </w:tcBorders>
            <w:shd w:val="clear" w:color="auto" w:fill="auto"/>
            <w:vAlign w:val="bottom"/>
            <w:hideMark/>
          </w:tcPr>
          <w:p w14:paraId="62B3CA2D" w14:textId="77777777" w:rsidR="00116EEB" w:rsidRPr="00D2099E" w:rsidRDefault="00116EEB" w:rsidP="00D23D47">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Lease liability</w:t>
            </w:r>
          </w:p>
        </w:tc>
        <w:tc>
          <w:tcPr>
            <w:tcW w:w="84"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26600CFF"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3" w:type="pct"/>
            <w:gridSpan w:val="2"/>
            <w:tcBorders>
              <w:top w:val="single" w:sz="12" w:space="0" w:color="auto"/>
              <w:bottom w:val="single" w:sz="12" w:space="0" w:color="auto"/>
            </w:tcBorders>
            <w:shd w:val="clear" w:color="auto" w:fill="auto"/>
            <w:vAlign w:val="bottom"/>
            <w:hideMark/>
          </w:tcPr>
          <w:p w14:paraId="4DDF54A6" w14:textId="77777777" w:rsidR="00116EEB" w:rsidRPr="00D33273" w:rsidRDefault="00116EEB" w:rsidP="00D23D47">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June 30</w:t>
            </w:r>
            <w:r w:rsidRPr="00D33273">
              <w:rPr>
                <w:rFonts w:ascii="Times New Roman" w:eastAsia="Times New Roman" w:hAnsi="Times New Roman" w:cs="Times New Roman"/>
                <w:b/>
                <w:bCs/>
                <w:sz w:val="20"/>
                <w:szCs w:val="20"/>
                <w:lang w:val="en-US"/>
              </w:rPr>
              <w:t>, 2022</w:t>
            </w:r>
          </w:p>
        </w:tc>
        <w:tc>
          <w:tcPr>
            <w:tcW w:w="31"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BBF3F1F"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7"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42E5416F"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98" w:type="pct"/>
            <w:gridSpan w:val="2"/>
            <w:tcBorders>
              <w:top w:val="single" w:sz="12" w:space="0" w:color="auto"/>
              <w:bottom w:val="single" w:sz="12" w:space="0" w:color="auto"/>
            </w:tcBorders>
            <w:shd w:val="clear" w:color="auto" w:fill="auto"/>
            <w:vAlign w:val="bottom"/>
            <w:hideMark/>
          </w:tcPr>
          <w:p w14:paraId="700C0980" w14:textId="77777777" w:rsidR="00116EEB" w:rsidRPr="00D2099E" w:rsidRDefault="00116EEB" w:rsidP="00D23D47">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December 31, 2021</w:t>
            </w:r>
          </w:p>
        </w:tc>
        <w:tc>
          <w:tcPr>
            <w:tcW w:w="89"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18D56CF6"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9" w:type="pct"/>
            <w:tcBorders>
              <w:top w:val="single" w:sz="12" w:space="0" w:color="auto"/>
              <w:bottom w:val="single" w:sz="12" w:space="0" w:color="auto"/>
            </w:tcBorders>
            <w:shd w:val="clear" w:color="auto" w:fill="auto"/>
          </w:tcPr>
          <w:p w14:paraId="4EC1DDC7" w14:textId="77777777" w:rsidR="00116EEB" w:rsidRPr="00D2099E" w:rsidRDefault="00116EEB" w:rsidP="00D23D47">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December 31, 2020</w:t>
            </w:r>
          </w:p>
        </w:tc>
        <w:tc>
          <w:tcPr>
            <w:tcW w:w="89" w:type="pct"/>
            <w:shd w:val="clear" w:color="auto" w:fill="auto"/>
          </w:tcPr>
          <w:p w14:paraId="7E65EEE9"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p>
        </w:tc>
      </w:tr>
      <w:tr w:rsidR="00116EEB" w:rsidRPr="00D2099E" w14:paraId="122CB9A6" w14:textId="77777777" w:rsidTr="00D23D47">
        <w:tc>
          <w:tcPr>
            <w:tcW w:w="2431" w:type="pct"/>
            <w:tcBorders>
              <w:top w:val="single" w:sz="12" w:space="0" w:color="auto"/>
            </w:tcBorders>
            <w:shd w:val="clear" w:color="auto" w:fill="auto"/>
            <w:tcMar>
              <w:top w:w="0" w:type="dxa"/>
              <w:left w:w="0" w:type="dxa"/>
              <w:bottom w:w="30" w:type="dxa"/>
              <w:right w:w="0" w:type="dxa"/>
            </w:tcMar>
            <w:vAlign w:val="bottom"/>
            <w:hideMark/>
          </w:tcPr>
          <w:p w14:paraId="2765C9B9"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Current portion of operating lease liabilit</w:t>
            </w:r>
            <w:r>
              <w:rPr>
                <w:rFonts w:ascii="Times New Roman" w:eastAsia="Times New Roman" w:hAnsi="Times New Roman" w:cs="Times New Roman"/>
                <w:sz w:val="20"/>
                <w:szCs w:val="20"/>
                <w:lang w:val="en-US"/>
              </w:rPr>
              <w:t>y</w:t>
            </w:r>
          </w:p>
        </w:tc>
        <w:tc>
          <w:tcPr>
            <w:tcW w:w="84" w:type="pct"/>
            <w:tcBorders>
              <w:top w:val="single" w:sz="12" w:space="0" w:color="auto"/>
            </w:tcBorders>
            <w:shd w:val="clear" w:color="auto" w:fill="auto"/>
            <w:tcMar>
              <w:top w:w="0" w:type="dxa"/>
              <w:left w:w="0" w:type="dxa"/>
              <w:bottom w:w="30" w:type="dxa"/>
              <w:right w:w="0" w:type="dxa"/>
            </w:tcMar>
            <w:vAlign w:val="bottom"/>
            <w:hideMark/>
          </w:tcPr>
          <w:p w14:paraId="06F8744F"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4" w:type="pct"/>
            <w:tcBorders>
              <w:top w:val="single" w:sz="12" w:space="0" w:color="auto"/>
            </w:tcBorders>
            <w:shd w:val="clear" w:color="auto" w:fill="auto"/>
            <w:vAlign w:val="bottom"/>
            <w:hideMark/>
          </w:tcPr>
          <w:p w14:paraId="0492B3B9"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618" w:type="pct"/>
            <w:tcBorders>
              <w:top w:val="single" w:sz="12" w:space="0" w:color="auto"/>
            </w:tcBorders>
            <w:shd w:val="clear" w:color="auto" w:fill="auto"/>
            <w:vAlign w:val="bottom"/>
          </w:tcPr>
          <w:p w14:paraId="0B057C74" w14:textId="6BAA2DC4" w:rsidR="00116EEB" w:rsidRPr="00D33273" w:rsidRDefault="00EE5824" w:rsidP="00D23D47">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4,312</w:t>
            </w:r>
          </w:p>
        </w:tc>
        <w:tc>
          <w:tcPr>
            <w:tcW w:w="31" w:type="pct"/>
            <w:tcBorders>
              <w:top w:val="single" w:sz="12" w:space="0" w:color="auto"/>
            </w:tcBorders>
            <w:shd w:val="clear" w:color="auto" w:fill="auto"/>
            <w:tcMar>
              <w:top w:w="0" w:type="dxa"/>
              <w:left w:w="0" w:type="dxa"/>
              <w:bottom w:w="30" w:type="dxa"/>
              <w:right w:w="0" w:type="dxa"/>
            </w:tcMar>
            <w:vAlign w:val="bottom"/>
            <w:hideMark/>
          </w:tcPr>
          <w:p w14:paraId="6C84231D"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7" w:type="pct"/>
            <w:tcBorders>
              <w:top w:val="single" w:sz="12" w:space="0" w:color="auto"/>
            </w:tcBorders>
            <w:shd w:val="clear" w:color="auto" w:fill="auto"/>
            <w:tcMar>
              <w:top w:w="0" w:type="dxa"/>
              <w:left w:w="0" w:type="dxa"/>
              <w:bottom w:w="30" w:type="dxa"/>
              <w:right w:w="0" w:type="dxa"/>
            </w:tcMar>
            <w:vAlign w:val="bottom"/>
            <w:hideMark/>
          </w:tcPr>
          <w:p w14:paraId="2443F97C"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p>
        </w:tc>
        <w:tc>
          <w:tcPr>
            <w:tcW w:w="89" w:type="pct"/>
            <w:tcBorders>
              <w:top w:val="single" w:sz="12" w:space="0" w:color="auto"/>
            </w:tcBorders>
            <w:shd w:val="clear" w:color="auto" w:fill="auto"/>
            <w:vAlign w:val="bottom"/>
            <w:hideMark/>
          </w:tcPr>
          <w:p w14:paraId="5EC6DDE4"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709" w:type="pct"/>
            <w:tcBorders>
              <w:top w:val="single" w:sz="12" w:space="0" w:color="auto"/>
            </w:tcBorders>
            <w:shd w:val="clear" w:color="auto" w:fill="auto"/>
            <w:vAlign w:val="bottom"/>
            <w:hideMark/>
          </w:tcPr>
          <w:p w14:paraId="0E3B577C" w14:textId="77777777" w:rsidR="00116EEB" w:rsidRPr="00D2099E" w:rsidRDefault="00116EEB" w:rsidP="00D23D47">
            <w:pPr>
              <w:spacing w:after="0" w:line="240" w:lineRule="auto"/>
              <w:jc w:val="right"/>
              <w:rPr>
                <w:rFonts w:ascii="Times New Roman" w:eastAsia="Times New Roman" w:hAnsi="Times New Roman" w:cs="Times New Roman"/>
                <w:sz w:val="20"/>
                <w:szCs w:val="20"/>
                <w:lang w:val="en-US"/>
              </w:rPr>
            </w:pPr>
            <w:r w:rsidRPr="00292336">
              <w:rPr>
                <w:rFonts w:ascii="Times New Roman" w:eastAsia="Times New Roman" w:hAnsi="Times New Roman" w:cs="Times New Roman"/>
                <w:sz w:val="20"/>
                <w:szCs w:val="20"/>
                <w:lang w:val="en-US"/>
              </w:rPr>
              <w:t>6,732</w:t>
            </w:r>
          </w:p>
        </w:tc>
        <w:tc>
          <w:tcPr>
            <w:tcW w:w="89" w:type="pct"/>
            <w:tcBorders>
              <w:top w:val="single" w:sz="12" w:space="0" w:color="auto"/>
            </w:tcBorders>
            <w:shd w:val="clear" w:color="auto" w:fill="auto"/>
            <w:tcMar>
              <w:top w:w="0" w:type="dxa"/>
              <w:left w:w="0" w:type="dxa"/>
              <w:bottom w:w="30" w:type="dxa"/>
              <w:right w:w="0" w:type="dxa"/>
            </w:tcMar>
            <w:vAlign w:val="bottom"/>
            <w:hideMark/>
          </w:tcPr>
          <w:p w14:paraId="1597F9DB"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9" w:type="pct"/>
            <w:tcBorders>
              <w:top w:val="single" w:sz="12" w:space="0" w:color="auto"/>
            </w:tcBorders>
            <w:shd w:val="clear" w:color="auto" w:fill="auto"/>
          </w:tcPr>
          <w:p w14:paraId="0258F6D1" w14:textId="77777777" w:rsidR="00116EEB" w:rsidRPr="00D2099E" w:rsidRDefault="00116EEB" w:rsidP="00D23D4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12,116</w:t>
            </w:r>
          </w:p>
        </w:tc>
        <w:tc>
          <w:tcPr>
            <w:tcW w:w="89" w:type="pct"/>
            <w:shd w:val="clear" w:color="auto" w:fill="auto"/>
          </w:tcPr>
          <w:p w14:paraId="2A016281"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p>
        </w:tc>
      </w:tr>
      <w:tr w:rsidR="00116EEB" w:rsidRPr="00D2099E" w14:paraId="16742972" w14:textId="77777777" w:rsidTr="00D23D47">
        <w:tc>
          <w:tcPr>
            <w:tcW w:w="2431" w:type="pct"/>
            <w:shd w:val="clear" w:color="auto" w:fill="auto"/>
            <w:tcMar>
              <w:top w:w="0" w:type="dxa"/>
              <w:left w:w="0" w:type="dxa"/>
              <w:bottom w:w="30" w:type="dxa"/>
              <w:right w:w="0" w:type="dxa"/>
            </w:tcMar>
            <w:vAlign w:val="bottom"/>
            <w:hideMark/>
          </w:tcPr>
          <w:p w14:paraId="58DAC40F"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Long-term portion of operating lease liabilit</w:t>
            </w:r>
            <w:r>
              <w:rPr>
                <w:rFonts w:ascii="Times New Roman" w:eastAsia="Times New Roman" w:hAnsi="Times New Roman" w:cs="Times New Roman"/>
                <w:sz w:val="20"/>
                <w:szCs w:val="20"/>
                <w:lang w:val="en-US"/>
              </w:rPr>
              <w:t>y</w:t>
            </w:r>
          </w:p>
        </w:tc>
        <w:tc>
          <w:tcPr>
            <w:tcW w:w="84" w:type="pct"/>
            <w:shd w:val="clear" w:color="auto" w:fill="auto"/>
            <w:tcMar>
              <w:top w:w="0" w:type="dxa"/>
              <w:left w:w="0" w:type="dxa"/>
              <w:bottom w:w="30" w:type="dxa"/>
              <w:right w:w="0" w:type="dxa"/>
            </w:tcMar>
            <w:vAlign w:val="bottom"/>
            <w:hideMark/>
          </w:tcPr>
          <w:p w14:paraId="5BA05A79"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4" w:type="pct"/>
            <w:tcBorders>
              <w:bottom w:val="single" w:sz="4" w:space="0" w:color="auto"/>
            </w:tcBorders>
            <w:shd w:val="clear" w:color="auto" w:fill="auto"/>
            <w:vAlign w:val="bottom"/>
            <w:hideMark/>
          </w:tcPr>
          <w:p w14:paraId="31BBCACB"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18" w:type="pct"/>
            <w:tcBorders>
              <w:bottom w:val="single" w:sz="4" w:space="0" w:color="auto"/>
            </w:tcBorders>
            <w:shd w:val="clear" w:color="auto" w:fill="auto"/>
            <w:vAlign w:val="bottom"/>
          </w:tcPr>
          <w:p w14:paraId="0C5FAABC" w14:textId="1D9EDDD9" w:rsidR="00116EEB" w:rsidRPr="00D33273" w:rsidRDefault="00EE5824" w:rsidP="00D23D47">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7,413</w:t>
            </w:r>
          </w:p>
        </w:tc>
        <w:tc>
          <w:tcPr>
            <w:tcW w:w="31" w:type="pct"/>
            <w:tcBorders>
              <w:bottom w:val="single" w:sz="4" w:space="0" w:color="auto"/>
            </w:tcBorders>
            <w:shd w:val="clear" w:color="auto" w:fill="auto"/>
            <w:tcMar>
              <w:top w:w="0" w:type="dxa"/>
              <w:left w:w="0" w:type="dxa"/>
              <w:bottom w:w="30" w:type="dxa"/>
              <w:right w:w="0" w:type="dxa"/>
            </w:tcMar>
            <w:vAlign w:val="bottom"/>
            <w:hideMark/>
          </w:tcPr>
          <w:p w14:paraId="4D25B1BB"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7" w:type="pct"/>
            <w:tcBorders>
              <w:bottom w:val="single" w:sz="4" w:space="0" w:color="auto"/>
            </w:tcBorders>
            <w:shd w:val="clear" w:color="auto" w:fill="auto"/>
            <w:tcMar>
              <w:top w:w="0" w:type="dxa"/>
              <w:left w:w="0" w:type="dxa"/>
              <w:bottom w:w="30" w:type="dxa"/>
              <w:right w:w="0" w:type="dxa"/>
            </w:tcMar>
            <w:vAlign w:val="bottom"/>
            <w:hideMark/>
          </w:tcPr>
          <w:p w14:paraId="3A203F0E"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9" w:type="pct"/>
            <w:tcBorders>
              <w:bottom w:val="single" w:sz="4" w:space="0" w:color="auto"/>
            </w:tcBorders>
            <w:shd w:val="clear" w:color="auto" w:fill="auto"/>
            <w:vAlign w:val="bottom"/>
            <w:hideMark/>
          </w:tcPr>
          <w:p w14:paraId="021FDA0D"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9" w:type="pct"/>
            <w:tcBorders>
              <w:bottom w:val="single" w:sz="4" w:space="0" w:color="auto"/>
            </w:tcBorders>
            <w:shd w:val="clear" w:color="auto" w:fill="auto"/>
            <w:vAlign w:val="bottom"/>
            <w:hideMark/>
          </w:tcPr>
          <w:p w14:paraId="1AFCCFA9" w14:textId="77777777" w:rsidR="00116EEB" w:rsidRPr="00D2099E" w:rsidRDefault="00116EEB" w:rsidP="00D23D47">
            <w:pPr>
              <w:spacing w:after="0" w:line="240" w:lineRule="auto"/>
              <w:jc w:val="right"/>
              <w:rPr>
                <w:rFonts w:ascii="Times New Roman" w:eastAsia="Times New Roman" w:hAnsi="Times New Roman" w:cs="Times New Roman"/>
                <w:sz w:val="20"/>
                <w:szCs w:val="20"/>
                <w:lang w:val="en-US"/>
              </w:rPr>
            </w:pPr>
            <w:r w:rsidRPr="00292336">
              <w:rPr>
                <w:rFonts w:ascii="Times New Roman" w:eastAsia="Times New Roman" w:hAnsi="Times New Roman" w:cs="Times New Roman"/>
                <w:sz w:val="20"/>
                <w:szCs w:val="20"/>
                <w:lang w:val="en-US"/>
              </w:rPr>
              <w:t>8,592</w:t>
            </w:r>
          </w:p>
        </w:tc>
        <w:tc>
          <w:tcPr>
            <w:tcW w:w="89" w:type="pct"/>
            <w:tcBorders>
              <w:bottom w:val="single" w:sz="4" w:space="0" w:color="auto"/>
            </w:tcBorders>
            <w:shd w:val="clear" w:color="auto" w:fill="auto"/>
            <w:tcMar>
              <w:top w:w="0" w:type="dxa"/>
              <w:left w:w="0" w:type="dxa"/>
              <w:bottom w:w="30" w:type="dxa"/>
              <w:right w:w="0" w:type="dxa"/>
            </w:tcMar>
            <w:vAlign w:val="bottom"/>
            <w:hideMark/>
          </w:tcPr>
          <w:p w14:paraId="6FB73CF1"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9" w:type="pct"/>
            <w:tcBorders>
              <w:bottom w:val="single" w:sz="4" w:space="0" w:color="auto"/>
            </w:tcBorders>
            <w:shd w:val="clear" w:color="auto" w:fill="auto"/>
          </w:tcPr>
          <w:p w14:paraId="63A9E362" w14:textId="77777777" w:rsidR="00116EEB" w:rsidRPr="00D2099E" w:rsidRDefault="00116EEB" w:rsidP="00D23D4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27,693</w:t>
            </w:r>
          </w:p>
        </w:tc>
        <w:tc>
          <w:tcPr>
            <w:tcW w:w="89" w:type="pct"/>
            <w:shd w:val="clear" w:color="auto" w:fill="auto"/>
          </w:tcPr>
          <w:p w14:paraId="07850DEE"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p>
        </w:tc>
      </w:tr>
      <w:tr w:rsidR="00116EEB" w:rsidRPr="00D2099E" w14:paraId="6235CC73" w14:textId="77777777" w:rsidTr="00D23D47">
        <w:tc>
          <w:tcPr>
            <w:tcW w:w="2431" w:type="pct"/>
            <w:tcBorders>
              <w:bottom w:val="single" w:sz="12" w:space="0" w:color="auto"/>
            </w:tcBorders>
            <w:shd w:val="clear" w:color="auto" w:fill="auto"/>
            <w:tcMar>
              <w:top w:w="0" w:type="dxa"/>
              <w:left w:w="0" w:type="dxa"/>
              <w:bottom w:w="30" w:type="dxa"/>
              <w:right w:w="0" w:type="dxa"/>
            </w:tcMar>
            <w:vAlign w:val="bottom"/>
            <w:hideMark/>
          </w:tcPr>
          <w:p w14:paraId="0166C6EC"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sidRPr="00D2099E">
              <w:rPr>
                <w:rFonts w:ascii="Times New Roman" w:eastAsia="Times New Roman" w:hAnsi="Times New Roman" w:cs="Times New Roman"/>
                <w:vanish/>
                <w:sz w:val="20"/>
                <w:szCs w:val="20"/>
                <w:lang w:val="en-US"/>
              </w:rPr>
              <w:t>Total future minimum lease payments and total lease liability</w:t>
            </w:r>
          </w:p>
        </w:tc>
        <w:tc>
          <w:tcPr>
            <w:tcW w:w="84" w:type="pct"/>
            <w:tcBorders>
              <w:bottom w:val="single" w:sz="12" w:space="0" w:color="auto"/>
            </w:tcBorders>
            <w:shd w:val="clear" w:color="auto" w:fill="auto"/>
            <w:tcMar>
              <w:top w:w="0" w:type="dxa"/>
              <w:left w:w="0" w:type="dxa"/>
              <w:bottom w:w="30" w:type="dxa"/>
              <w:right w:w="0" w:type="dxa"/>
            </w:tcMar>
            <w:vAlign w:val="bottom"/>
            <w:hideMark/>
          </w:tcPr>
          <w:p w14:paraId="5EE9EA4E"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4" w:type="pct"/>
            <w:tcBorders>
              <w:top w:val="single" w:sz="4" w:space="0" w:color="auto"/>
              <w:bottom w:val="single" w:sz="12" w:space="0" w:color="auto"/>
            </w:tcBorders>
            <w:shd w:val="clear" w:color="auto" w:fill="auto"/>
            <w:vAlign w:val="bottom"/>
            <w:hideMark/>
          </w:tcPr>
          <w:p w14:paraId="4ECE905F"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618" w:type="pct"/>
            <w:tcBorders>
              <w:top w:val="single" w:sz="4" w:space="0" w:color="auto"/>
              <w:bottom w:val="single" w:sz="12" w:space="0" w:color="auto"/>
            </w:tcBorders>
            <w:shd w:val="clear" w:color="auto" w:fill="auto"/>
            <w:vAlign w:val="bottom"/>
          </w:tcPr>
          <w:p w14:paraId="6585703D" w14:textId="55E52763" w:rsidR="00116EEB" w:rsidRPr="00D33273" w:rsidRDefault="00EE5824" w:rsidP="00D23D47">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11,725</w:t>
            </w:r>
          </w:p>
        </w:tc>
        <w:tc>
          <w:tcPr>
            <w:tcW w:w="31" w:type="pct"/>
            <w:tcBorders>
              <w:top w:val="single" w:sz="4" w:space="0" w:color="auto"/>
              <w:bottom w:val="single" w:sz="12" w:space="0" w:color="auto"/>
            </w:tcBorders>
            <w:shd w:val="clear" w:color="auto" w:fill="auto"/>
            <w:tcMar>
              <w:top w:w="0" w:type="dxa"/>
              <w:left w:w="0" w:type="dxa"/>
              <w:bottom w:w="30" w:type="dxa"/>
              <w:right w:w="0" w:type="dxa"/>
            </w:tcMar>
            <w:vAlign w:val="bottom"/>
            <w:hideMark/>
          </w:tcPr>
          <w:p w14:paraId="4B2FCB4C"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7" w:type="pct"/>
            <w:tcBorders>
              <w:top w:val="single" w:sz="4" w:space="0" w:color="auto"/>
              <w:bottom w:val="single" w:sz="12" w:space="0" w:color="auto"/>
            </w:tcBorders>
            <w:shd w:val="clear" w:color="auto" w:fill="auto"/>
            <w:tcMar>
              <w:top w:w="0" w:type="dxa"/>
              <w:left w:w="0" w:type="dxa"/>
              <w:bottom w:w="30" w:type="dxa"/>
              <w:right w:w="0" w:type="dxa"/>
            </w:tcMar>
            <w:vAlign w:val="bottom"/>
            <w:hideMark/>
          </w:tcPr>
          <w:p w14:paraId="0396F51C"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p>
        </w:tc>
        <w:tc>
          <w:tcPr>
            <w:tcW w:w="89" w:type="pct"/>
            <w:tcBorders>
              <w:top w:val="single" w:sz="4" w:space="0" w:color="auto"/>
              <w:bottom w:val="single" w:sz="12" w:space="0" w:color="auto"/>
            </w:tcBorders>
            <w:shd w:val="clear" w:color="auto" w:fill="auto"/>
            <w:vAlign w:val="bottom"/>
            <w:hideMark/>
          </w:tcPr>
          <w:p w14:paraId="5145E61F"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709" w:type="pct"/>
            <w:tcBorders>
              <w:top w:val="single" w:sz="4" w:space="0" w:color="auto"/>
              <w:bottom w:val="single" w:sz="12" w:space="0" w:color="auto"/>
            </w:tcBorders>
            <w:shd w:val="clear" w:color="auto" w:fill="auto"/>
            <w:vAlign w:val="bottom"/>
            <w:hideMark/>
          </w:tcPr>
          <w:p w14:paraId="019A20E3" w14:textId="77777777" w:rsidR="00116EEB" w:rsidRPr="00D2099E" w:rsidRDefault="00116EEB" w:rsidP="00D23D47">
            <w:pPr>
              <w:spacing w:after="0" w:line="240" w:lineRule="auto"/>
              <w:jc w:val="right"/>
              <w:rPr>
                <w:rFonts w:ascii="Times New Roman" w:eastAsia="Times New Roman" w:hAnsi="Times New Roman" w:cs="Times New Roman"/>
                <w:sz w:val="20"/>
                <w:szCs w:val="20"/>
                <w:lang w:val="en-US"/>
              </w:rPr>
            </w:pPr>
            <w:r w:rsidRPr="00292336">
              <w:rPr>
                <w:rFonts w:ascii="Times New Roman" w:eastAsia="Times New Roman" w:hAnsi="Times New Roman" w:cs="Times New Roman"/>
                <w:sz w:val="20"/>
                <w:szCs w:val="20"/>
                <w:lang w:val="en-US"/>
              </w:rPr>
              <w:t>15</w:t>
            </w:r>
            <w:r w:rsidRPr="00D2099E">
              <w:rPr>
                <w:rFonts w:ascii="Times New Roman" w:eastAsia="Times New Roman" w:hAnsi="Times New Roman" w:cs="Times New Roman"/>
                <w:sz w:val="20"/>
                <w:szCs w:val="20"/>
                <w:lang w:val="en-US"/>
              </w:rPr>
              <w:t>,</w:t>
            </w:r>
            <w:r w:rsidRPr="00292336">
              <w:rPr>
                <w:rFonts w:ascii="Times New Roman" w:eastAsia="Times New Roman" w:hAnsi="Times New Roman" w:cs="Times New Roman"/>
                <w:sz w:val="20"/>
                <w:szCs w:val="20"/>
                <w:lang w:val="en-US"/>
              </w:rPr>
              <w:t>324</w:t>
            </w:r>
          </w:p>
        </w:tc>
        <w:tc>
          <w:tcPr>
            <w:tcW w:w="89" w:type="pct"/>
            <w:tcBorders>
              <w:top w:val="single" w:sz="4" w:space="0" w:color="auto"/>
              <w:bottom w:val="single" w:sz="12" w:space="0" w:color="auto"/>
            </w:tcBorders>
            <w:shd w:val="clear" w:color="auto" w:fill="auto"/>
            <w:tcMar>
              <w:top w:w="0" w:type="dxa"/>
              <w:left w:w="0" w:type="dxa"/>
              <w:bottom w:w="30" w:type="dxa"/>
              <w:right w:w="0" w:type="dxa"/>
            </w:tcMar>
            <w:vAlign w:val="bottom"/>
            <w:hideMark/>
          </w:tcPr>
          <w:p w14:paraId="10EC4DFA"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09" w:type="pct"/>
            <w:tcBorders>
              <w:top w:val="single" w:sz="4" w:space="0" w:color="auto"/>
              <w:bottom w:val="single" w:sz="12" w:space="0" w:color="auto"/>
            </w:tcBorders>
            <w:shd w:val="clear" w:color="auto" w:fill="auto"/>
          </w:tcPr>
          <w:p w14:paraId="54783B6C" w14:textId="77777777" w:rsidR="00116EEB" w:rsidRPr="00D2099E" w:rsidRDefault="00116EEB" w:rsidP="00D23D47">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39,809</w:t>
            </w:r>
          </w:p>
        </w:tc>
        <w:tc>
          <w:tcPr>
            <w:tcW w:w="89" w:type="pct"/>
            <w:shd w:val="clear" w:color="auto" w:fill="auto"/>
          </w:tcPr>
          <w:p w14:paraId="238C8E24" w14:textId="77777777" w:rsidR="00116EEB" w:rsidRPr="00D2099E" w:rsidRDefault="00116EEB" w:rsidP="00D23D47">
            <w:pPr>
              <w:spacing w:after="0" w:line="240" w:lineRule="auto"/>
              <w:jc w:val="both"/>
              <w:rPr>
                <w:rFonts w:ascii="Times New Roman" w:eastAsia="Times New Roman" w:hAnsi="Times New Roman" w:cs="Times New Roman"/>
                <w:sz w:val="20"/>
                <w:szCs w:val="20"/>
                <w:lang w:val="en-US"/>
              </w:rPr>
            </w:pPr>
          </w:p>
        </w:tc>
      </w:tr>
    </w:tbl>
    <w:p w14:paraId="7DF056B5" w14:textId="0E917CF2" w:rsidR="00D2099E" w:rsidRPr="00D2099E" w:rsidRDefault="00D2099E" w:rsidP="00064A08">
      <w:pPr>
        <w:shd w:val="clear" w:color="auto" w:fill="FFFFFF"/>
        <w:spacing w:after="0" w:line="240" w:lineRule="auto"/>
        <w:jc w:val="both"/>
        <w:rPr>
          <w:rFonts w:ascii="Times New Roman" w:eastAsia="Times New Roman" w:hAnsi="Times New Roman" w:cs="Times New Roman"/>
          <w:sz w:val="20"/>
          <w:szCs w:val="20"/>
          <w:lang w:val="en-US"/>
        </w:rPr>
      </w:pPr>
    </w:p>
    <w:p w14:paraId="3044C22B" w14:textId="7E730290" w:rsidR="00D2099E" w:rsidRPr="00D2099E" w:rsidRDefault="00D2099E" w:rsidP="00D2099E">
      <w:pPr>
        <w:shd w:val="clear" w:color="auto" w:fill="FFFFFF"/>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Future minimum lease payments to be paid by the Company as a lessee as of </w:t>
      </w:r>
      <w:r w:rsidR="00BA1277">
        <w:rPr>
          <w:rFonts w:ascii="Times New Roman" w:eastAsia="Times New Roman" w:hAnsi="Times New Roman" w:cs="Times New Roman"/>
          <w:sz w:val="20"/>
          <w:szCs w:val="20"/>
          <w:lang w:val="en-US"/>
        </w:rPr>
        <w:t>June 30</w:t>
      </w:r>
      <w:r w:rsidR="00BB3133">
        <w:rPr>
          <w:rFonts w:ascii="Times New Roman" w:eastAsia="Times New Roman" w:hAnsi="Times New Roman" w:cs="Times New Roman"/>
          <w:sz w:val="20"/>
          <w:szCs w:val="20"/>
          <w:lang w:val="en-US"/>
        </w:rPr>
        <w:t xml:space="preserve">, </w:t>
      </w:r>
      <w:proofErr w:type="gramStart"/>
      <w:r w:rsidR="00BB3133">
        <w:rPr>
          <w:rFonts w:ascii="Times New Roman" w:eastAsia="Times New Roman" w:hAnsi="Times New Roman" w:cs="Times New Roman"/>
          <w:sz w:val="20"/>
          <w:szCs w:val="20"/>
          <w:lang w:val="en-US"/>
        </w:rPr>
        <w:t>2022</w:t>
      </w:r>
      <w:proofErr w:type="gramEnd"/>
      <w:r w:rsidRPr="00D2099E">
        <w:rPr>
          <w:rFonts w:ascii="Times New Roman" w:eastAsia="Times New Roman" w:hAnsi="Times New Roman" w:cs="Times New Roman"/>
          <w:sz w:val="20"/>
          <w:szCs w:val="20"/>
          <w:lang w:val="en-US"/>
        </w:rPr>
        <w:t xml:space="preserve"> are as follows:</w:t>
      </w:r>
    </w:p>
    <w:p w14:paraId="32D58FEF" w14:textId="1D36466D"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4750" w:type="pct"/>
        <w:tblInd w:w="360" w:type="dxa"/>
        <w:tblCellMar>
          <w:left w:w="0" w:type="dxa"/>
          <w:right w:w="0" w:type="dxa"/>
        </w:tblCellMar>
        <w:tblLook w:val="04A0" w:firstRow="1" w:lastRow="0" w:firstColumn="1" w:lastColumn="0" w:noHBand="0" w:noVBand="1"/>
      </w:tblPr>
      <w:tblGrid>
        <w:gridCol w:w="5574"/>
        <w:gridCol w:w="405"/>
        <w:gridCol w:w="100"/>
        <w:gridCol w:w="1803"/>
        <w:gridCol w:w="1010"/>
      </w:tblGrid>
      <w:tr w:rsidR="00D2099E" w:rsidRPr="00D2099E" w14:paraId="6BC8CC78" w14:textId="77777777" w:rsidTr="00247205">
        <w:tc>
          <w:tcPr>
            <w:tcW w:w="3146" w:type="pct"/>
            <w:tcBorders>
              <w:bottom w:val="single" w:sz="12" w:space="0" w:color="auto"/>
            </w:tcBorders>
            <w:shd w:val="clear" w:color="auto" w:fill="auto"/>
            <w:vAlign w:val="bottom"/>
            <w:hideMark/>
          </w:tcPr>
          <w:p w14:paraId="45FF8037" w14:textId="77777777" w:rsidR="00D2099E" w:rsidRPr="00D2099E"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Operating lease commitments and lease liability</w:t>
            </w:r>
          </w:p>
        </w:tc>
        <w:tc>
          <w:tcPr>
            <w:tcW w:w="239" w:type="pct"/>
            <w:tcBorders>
              <w:bottom w:val="single" w:sz="12" w:space="0" w:color="auto"/>
            </w:tcBorders>
            <w:shd w:val="clear" w:color="auto" w:fill="auto"/>
            <w:tcMar>
              <w:top w:w="0" w:type="dxa"/>
              <w:left w:w="0" w:type="dxa"/>
              <w:bottom w:w="30" w:type="dxa"/>
              <w:right w:w="0" w:type="dxa"/>
            </w:tcMar>
            <w:vAlign w:val="bottom"/>
            <w:hideMark/>
          </w:tcPr>
          <w:p w14:paraId="75E6A74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36" w:type="pct"/>
            <w:gridSpan w:val="2"/>
            <w:tcBorders>
              <w:bottom w:val="single" w:sz="12" w:space="0" w:color="auto"/>
            </w:tcBorders>
            <w:shd w:val="clear" w:color="auto" w:fill="auto"/>
            <w:vAlign w:val="bottom"/>
            <w:hideMark/>
          </w:tcPr>
          <w:p w14:paraId="2CAB4A5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79" w:type="pct"/>
            <w:shd w:val="clear" w:color="auto" w:fill="auto"/>
            <w:tcMar>
              <w:top w:w="0" w:type="dxa"/>
              <w:left w:w="0" w:type="dxa"/>
              <w:bottom w:w="30" w:type="dxa"/>
              <w:right w:w="0" w:type="dxa"/>
            </w:tcMar>
            <w:vAlign w:val="bottom"/>
            <w:hideMark/>
          </w:tcPr>
          <w:p w14:paraId="424F003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30E08785" w14:textId="77777777" w:rsidTr="00247205">
        <w:tc>
          <w:tcPr>
            <w:tcW w:w="3146" w:type="pct"/>
            <w:tcBorders>
              <w:top w:val="single" w:sz="12" w:space="0" w:color="auto"/>
            </w:tcBorders>
            <w:shd w:val="clear" w:color="auto" w:fill="auto"/>
            <w:vAlign w:val="bottom"/>
            <w:hideMark/>
          </w:tcPr>
          <w:p w14:paraId="11590D29" w14:textId="1BEAC2C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p>
        </w:tc>
        <w:tc>
          <w:tcPr>
            <w:tcW w:w="239" w:type="pct"/>
            <w:tcBorders>
              <w:top w:val="single" w:sz="12" w:space="0" w:color="auto"/>
            </w:tcBorders>
            <w:shd w:val="clear" w:color="auto" w:fill="auto"/>
            <w:vAlign w:val="bottom"/>
          </w:tcPr>
          <w:p w14:paraId="205A9139" w14:textId="31BD34B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p>
        </w:tc>
        <w:tc>
          <w:tcPr>
            <w:tcW w:w="11" w:type="pct"/>
            <w:tcBorders>
              <w:top w:val="single" w:sz="12" w:space="0" w:color="auto"/>
            </w:tcBorders>
            <w:shd w:val="clear" w:color="auto" w:fill="auto"/>
            <w:vAlign w:val="bottom"/>
          </w:tcPr>
          <w:p w14:paraId="4D81FB71" w14:textId="429C0E12" w:rsidR="00D2099E" w:rsidRPr="00D2099E" w:rsidRDefault="00D2099E" w:rsidP="00D2099E">
            <w:pPr>
              <w:spacing w:after="0" w:line="240" w:lineRule="auto"/>
              <w:jc w:val="both"/>
              <w:rPr>
                <w:rFonts w:ascii="Times New Roman" w:eastAsia="Times New Roman" w:hAnsi="Times New Roman" w:cs="Times New Roman"/>
                <w:sz w:val="20"/>
                <w:szCs w:val="20"/>
                <w:lang w:val="en-US"/>
              </w:rPr>
            </w:pPr>
          </w:p>
        </w:tc>
        <w:tc>
          <w:tcPr>
            <w:tcW w:w="1025" w:type="pct"/>
            <w:tcBorders>
              <w:top w:val="single" w:sz="12" w:space="0" w:color="auto"/>
            </w:tcBorders>
            <w:shd w:val="clear" w:color="auto" w:fill="auto"/>
            <w:vAlign w:val="bottom"/>
          </w:tcPr>
          <w:p w14:paraId="0E97FFB0" w14:textId="183F2037" w:rsidR="00D2099E" w:rsidRPr="005328E1" w:rsidRDefault="00D2099E" w:rsidP="00D2099E">
            <w:pPr>
              <w:spacing w:after="0" w:line="240" w:lineRule="auto"/>
              <w:jc w:val="right"/>
              <w:rPr>
                <w:rFonts w:ascii="Times New Roman" w:eastAsia="Times New Roman" w:hAnsi="Times New Roman" w:cs="Times New Roman"/>
                <w:sz w:val="20"/>
                <w:szCs w:val="20"/>
                <w:highlight w:val="yellow"/>
                <w:lang w:val="en-US"/>
              </w:rPr>
            </w:pPr>
          </w:p>
        </w:tc>
        <w:tc>
          <w:tcPr>
            <w:tcW w:w="579" w:type="pct"/>
            <w:shd w:val="clear" w:color="auto" w:fill="auto"/>
            <w:vAlign w:val="bottom"/>
          </w:tcPr>
          <w:p w14:paraId="7838AA0C" w14:textId="48C3A23D" w:rsidR="00D2099E" w:rsidRPr="00D2099E" w:rsidRDefault="00D2099E" w:rsidP="00D2099E">
            <w:pPr>
              <w:spacing w:after="0" w:line="240" w:lineRule="auto"/>
              <w:jc w:val="both"/>
              <w:rPr>
                <w:rFonts w:ascii="Times New Roman" w:eastAsia="Times New Roman" w:hAnsi="Times New Roman" w:cs="Times New Roman"/>
                <w:sz w:val="20"/>
                <w:szCs w:val="20"/>
                <w:lang w:val="en-US"/>
              </w:rPr>
            </w:pPr>
          </w:p>
        </w:tc>
      </w:tr>
      <w:tr w:rsidR="00D2099E" w:rsidRPr="00D2099E" w14:paraId="4D2DA8B2" w14:textId="77777777" w:rsidTr="00247205">
        <w:tc>
          <w:tcPr>
            <w:tcW w:w="3146" w:type="pct"/>
            <w:shd w:val="clear" w:color="auto" w:fill="auto"/>
            <w:vAlign w:val="bottom"/>
            <w:hideMark/>
          </w:tcPr>
          <w:p w14:paraId="30BBC838" w14:textId="62FDF0D4" w:rsidR="00D2099E" w:rsidRPr="00D2099E" w:rsidRDefault="00BB3133"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Remainder of </w:t>
            </w:r>
            <w:r w:rsidR="00D2099E" w:rsidRPr="00D2099E">
              <w:rPr>
                <w:rFonts w:ascii="Times New Roman" w:eastAsia="Times New Roman" w:hAnsi="Times New Roman" w:cs="Times New Roman"/>
                <w:sz w:val="20"/>
                <w:szCs w:val="20"/>
                <w:lang w:val="en-US"/>
              </w:rPr>
              <w:t>2022</w:t>
            </w:r>
          </w:p>
        </w:tc>
        <w:tc>
          <w:tcPr>
            <w:tcW w:w="239" w:type="pct"/>
            <w:shd w:val="clear" w:color="auto" w:fill="auto"/>
            <w:vAlign w:val="bottom"/>
            <w:hideMark/>
          </w:tcPr>
          <w:p w14:paraId="2EFCCA16"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1" w:type="pct"/>
            <w:shd w:val="clear" w:color="auto" w:fill="auto"/>
            <w:vAlign w:val="bottom"/>
            <w:hideMark/>
          </w:tcPr>
          <w:p w14:paraId="32E17B3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5" w:type="pct"/>
            <w:shd w:val="clear" w:color="auto" w:fill="auto"/>
            <w:vAlign w:val="bottom"/>
            <w:hideMark/>
          </w:tcPr>
          <w:p w14:paraId="0F41DDC8" w14:textId="706FEFB1" w:rsidR="00D2099E" w:rsidRPr="00CA4239" w:rsidRDefault="00D7260A" w:rsidP="00D2099E">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47205">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00EE5824">
              <w:rPr>
                <w:rFonts w:ascii="Times New Roman" w:eastAsia="Times New Roman" w:hAnsi="Times New Roman" w:cs="Times New Roman"/>
                <w:sz w:val="20"/>
                <w:szCs w:val="20"/>
                <w:lang w:val="en-US"/>
              </w:rPr>
              <w:t>2,694</w:t>
            </w:r>
          </w:p>
        </w:tc>
        <w:tc>
          <w:tcPr>
            <w:tcW w:w="579" w:type="pct"/>
            <w:shd w:val="clear" w:color="auto" w:fill="auto"/>
            <w:vAlign w:val="bottom"/>
            <w:hideMark/>
          </w:tcPr>
          <w:p w14:paraId="6CE5F67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7E6BFA1A" w14:textId="77777777" w:rsidTr="00247205">
        <w:tc>
          <w:tcPr>
            <w:tcW w:w="3146" w:type="pct"/>
            <w:shd w:val="clear" w:color="auto" w:fill="auto"/>
            <w:vAlign w:val="bottom"/>
            <w:hideMark/>
          </w:tcPr>
          <w:p w14:paraId="6BAD909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2023</w:t>
            </w:r>
          </w:p>
        </w:tc>
        <w:tc>
          <w:tcPr>
            <w:tcW w:w="239" w:type="pct"/>
            <w:shd w:val="clear" w:color="auto" w:fill="auto"/>
            <w:vAlign w:val="bottom"/>
            <w:hideMark/>
          </w:tcPr>
          <w:p w14:paraId="7C9138E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1" w:type="pct"/>
            <w:shd w:val="clear" w:color="auto" w:fill="auto"/>
            <w:vAlign w:val="bottom"/>
            <w:hideMark/>
          </w:tcPr>
          <w:p w14:paraId="6A41423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5" w:type="pct"/>
            <w:shd w:val="clear" w:color="auto" w:fill="auto"/>
            <w:vAlign w:val="bottom"/>
            <w:hideMark/>
          </w:tcPr>
          <w:p w14:paraId="6497519D" w14:textId="6CE97192" w:rsidR="00D2099E" w:rsidRPr="00CA4239" w:rsidRDefault="00EE5824" w:rsidP="00D2099E">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5,389</w:t>
            </w:r>
          </w:p>
        </w:tc>
        <w:tc>
          <w:tcPr>
            <w:tcW w:w="579" w:type="pct"/>
            <w:shd w:val="clear" w:color="auto" w:fill="auto"/>
            <w:vAlign w:val="bottom"/>
            <w:hideMark/>
          </w:tcPr>
          <w:p w14:paraId="1C22CF0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78CB2668" w14:textId="77777777" w:rsidTr="00247205">
        <w:tc>
          <w:tcPr>
            <w:tcW w:w="3146" w:type="pct"/>
            <w:shd w:val="clear" w:color="auto" w:fill="auto"/>
            <w:tcMar>
              <w:top w:w="0" w:type="dxa"/>
              <w:left w:w="0" w:type="dxa"/>
              <w:bottom w:w="30" w:type="dxa"/>
              <w:right w:w="0" w:type="dxa"/>
            </w:tcMar>
            <w:vAlign w:val="bottom"/>
            <w:hideMark/>
          </w:tcPr>
          <w:p w14:paraId="0F66C61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2024</w:t>
            </w:r>
          </w:p>
        </w:tc>
        <w:tc>
          <w:tcPr>
            <w:tcW w:w="239" w:type="pct"/>
            <w:shd w:val="clear" w:color="auto" w:fill="auto"/>
            <w:tcMar>
              <w:top w:w="0" w:type="dxa"/>
              <w:left w:w="0" w:type="dxa"/>
              <w:bottom w:w="30" w:type="dxa"/>
              <w:right w:w="0" w:type="dxa"/>
            </w:tcMar>
            <w:vAlign w:val="bottom"/>
            <w:hideMark/>
          </w:tcPr>
          <w:p w14:paraId="74CAF40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1" w:type="pct"/>
            <w:tcBorders>
              <w:bottom w:val="single" w:sz="12" w:space="0" w:color="auto"/>
            </w:tcBorders>
            <w:shd w:val="clear" w:color="auto" w:fill="auto"/>
            <w:vAlign w:val="bottom"/>
            <w:hideMark/>
          </w:tcPr>
          <w:p w14:paraId="2900211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5" w:type="pct"/>
            <w:tcBorders>
              <w:bottom w:val="single" w:sz="12" w:space="0" w:color="auto"/>
            </w:tcBorders>
            <w:shd w:val="clear" w:color="auto" w:fill="auto"/>
            <w:vAlign w:val="bottom"/>
            <w:hideMark/>
          </w:tcPr>
          <w:p w14:paraId="0502F921" w14:textId="28E5C3D9" w:rsidR="00D2099E" w:rsidRPr="00CA4239" w:rsidRDefault="00EE5824" w:rsidP="00D2099E">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5,389</w:t>
            </w:r>
          </w:p>
        </w:tc>
        <w:tc>
          <w:tcPr>
            <w:tcW w:w="579" w:type="pct"/>
            <w:shd w:val="clear" w:color="auto" w:fill="auto"/>
            <w:tcMar>
              <w:top w:w="0" w:type="dxa"/>
              <w:left w:w="0" w:type="dxa"/>
              <w:bottom w:w="30" w:type="dxa"/>
              <w:right w:w="0" w:type="dxa"/>
            </w:tcMar>
            <w:vAlign w:val="bottom"/>
            <w:hideMark/>
          </w:tcPr>
          <w:p w14:paraId="5E1C252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76AAAA2B" w14:textId="77777777" w:rsidTr="00247205">
        <w:tc>
          <w:tcPr>
            <w:tcW w:w="3146" w:type="pct"/>
            <w:shd w:val="clear" w:color="auto" w:fill="auto"/>
            <w:vAlign w:val="bottom"/>
            <w:hideMark/>
          </w:tcPr>
          <w:p w14:paraId="248D55A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Total future minimum lease payments</w:t>
            </w:r>
          </w:p>
        </w:tc>
        <w:tc>
          <w:tcPr>
            <w:tcW w:w="239" w:type="pct"/>
            <w:shd w:val="clear" w:color="auto" w:fill="auto"/>
            <w:vAlign w:val="bottom"/>
            <w:hideMark/>
          </w:tcPr>
          <w:p w14:paraId="5D1C84EB"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1" w:type="pct"/>
            <w:tcBorders>
              <w:top w:val="single" w:sz="12" w:space="0" w:color="auto"/>
            </w:tcBorders>
            <w:shd w:val="clear" w:color="auto" w:fill="auto"/>
            <w:vAlign w:val="bottom"/>
            <w:hideMark/>
          </w:tcPr>
          <w:p w14:paraId="2A24189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5" w:type="pct"/>
            <w:tcBorders>
              <w:top w:val="single" w:sz="12" w:space="0" w:color="auto"/>
            </w:tcBorders>
            <w:shd w:val="clear" w:color="auto" w:fill="auto"/>
            <w:vAlign w:val="bottom"/>
            <w:hideMark/>
          </w:tcPr>
          <w:p w14:paraId="45D138CB" w14:textId="6FCDA658" w:rsidR="00D2099E" w:rsidRPr="00CA4239" w:rsidRDefault="00EE5824" w:rsidP="00D2099E">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13,472</w:t>
            </w:r>
          </w:p>
        </w:tc>
        <w:tc>
          <w:tcPr>
            <w:tcW w:w="579" w:type="pct"/>
            <w:shd w:val="clear" w:color="auto" w:fill="auto"/>
            <w:vAlign w:val="bottom"/>
            <w:hideMark/>
          </w:tcPr>
          <w:p w14:paraId="067CA3F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21407DEA" w14:textId="77777777" w:rsidTr="00247205">
        <w:tc>
          <w:tcPr>
            <w:tcW w:w="3146" w:type="pct"/>
            <w:shd w:val="clear" w:color="auto" w:fill="auto"/>
            <w:tcMar>
              <w:top w:w="0" w:type="dxa"/>
              <w:left w:w="0" w:type="dxa"/>
              <w:bottom w:w="30" w:type="dxa"/>
              <w:right w:w="0" w:type="dxa"/>
            </w:tcMar>
            <w:vAlign w:val="bottom"/>
            <w:hideMark/>
          </w:tcPr>
          <w:p w14:paraId="0C4F2E5B"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Discount</w:t>
            </w:r>
          </w:p>
        </w:tc>
        <w:tc>
          <w:tcPr>
            <w:tcW w:w="239" w:type="pct"/>
            <w:shd w:val="clear" w:color="auto" w:fill="auto"/>
            <w:tcMar>
              <w:top w:w="0" w:type="dxa"/>
              <w:left w:w="0" w:type="dxa"/>
              <w:bottom w:w="30" w:type="dxa"/>
              <w:right w:w="0" w:type="dxa"/>
            </w:tcMar>
            <w:vAlign w:val="bottom"/>
            <w:hideMark/>
          </w:tcPr>
          <w:p w14:paraId="54B220E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1" w:type="pct"/>
            <w:tcBorders>
              <w:bottom w:val="single" w:sz="12" w:space="0" w:color="000000"/>
            </w:tcBorders>
            <w:shd w:val="clear" w:color="auto" w:fill="auto"/>
            <w:vAlign w:val="bottom"/>
            <w:hideMark/>
          </w:tcPr>
          <w:p w14:paraId="50A5924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5" w:type="pct"/>
            <w:tcBorders>
              <w:bottom w:val="single" w:sz="12" w:space="0" w:color="000000"/>
            </w:tcBorders>
            <w:shd w:val="clear" w:color="auto" w:fill="auto"/>
            <w:vAlign w:val="bottom"/>
            <w:hideMark/>
          </w:tcPr>
          <w:p w14:paraId="7AE90BB3" w14:textId="5ACC645A" w:rsidR="00D2099E" w:rsidRPr="00CA4239" w:rsidRDefault="00D2099E" w:rsidP="00D2099E">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w:t>
            </w:r>
            <w:r w:rsidR="00EE5824">
              <w:rPr>
                <w:rFonts w:ascii="Times New Roman" w:eastAsia="Times New Roman" w:hAnsi="Times New Roman" w:cs="Times New Roman"/>
                <w:sz w:val="20"/>
                <w:szCs w:val="20"/>
                <w:lang w:val="en-US"/>
              </w:rPr>
              <w:t>1,747</w:t>
            </w:r>
          </w:p>
        </w:tc>
        <w:tc>
          <w:tcPr>
            <w:tcW w:w="579" w:type="pct"/>
            <w:shd w:val="clear" w:color="auto" w:fill="auto"/>
            <w:tcMar>
              <w:top w:w="0" w:type="dxa"/>
              <w:left w:w="0" w:type="dxa"/>
              <w:bottom w:w="30" w:type="dxa"/>
              <w:right w:w="0" w:type="dxa"/>
            </w:tcMar>
            <w:vAlign w:val="bottom"/>
            <w:hideMark/>
          </w:tcPr>
          <w:p w14:paraId="5972B96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r>
      <w:tr w:rsidR="00D2099E" w:rsidRPr="00D2099E" w14:paraId="22770BB3" w14:textId="77777777" w:rsidTr="00247205">
        <w:tc>
          <w:tcPr>
            <w:tcW w:w="3146" w:type="pct"/>
            <w:tcBorders>
              <w:bottom w:val="single" w:sz="12" w:space="0" w:color="auto"/>
            </w:tcBorders>
            <w:shd w:val="clear" w:color="auto" w:fill="auto"/>
            <w:tcMar>
              <w:top w:w="0" w:type="dxa"/>
              <w:left w:w="0" w:type="dxa"/>
              <w:bottom w:w="30" w:type="dxa"/>
              <w:right w:w="0" w:type="dxa"/>
            </w:tcMar>
            <w:vAlign w:val="bottom"/>
            <w:hideMark/>
          </w:tcPr>
          <w:p w14:paraId="422B426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Total</w:t>
            </w:r>
          </w:p>
        </w:tc>
        <w:tc>
          <w:tcPr>
            <w:tcW w:w="239" w:type="pct"/>
            <w:tcBorders>
              <w:bottom w:val="single" w:sz="12" w:space="0" w:color="auto"/>
            </w:tcBorders>
            <w:shd w:val="clear" w:color="auto" w:fill="auto"/>
            <w:tcMar>
              <w:top w:w="0" w:type="dxa"/>
              <w:left w:w="0" w:type="dxa"/>
              <w:bottom w:w="30" w:type="dxa"/>
              <w:right w:w="0" w:type="dxa"/>
            </w:tcMar>
            <w:vAlign w:val="bottom"/>
            <w:hideMark/>
          </w:tcPr>
          <w:p w14:paraId="109EBBA4" w14:textId="268087F8"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sidR="00247205">
              <w:rPr>
                <w:rFonts w:ascii="Times New Roman" w:eastAsia="Times New Roman" w:hAnsi="Times New Roman" w:cs="Times New Roman"/>
                <w:sz w:val="20"/>
                <w:szCs w:val="20"/>
                <w:lang w:val="en-US"/>
              </w:rPr>
              <w:t xml:space="preserve">    </w:t>
            </w:r>
          </w:p>
        </w:tc>
        <w:tc>
          <w:tcPr>
            <w:tcW w:w="11" w:type="pct"/>
            <w:tcBorders>
              <w:bottom w:val="single" w:sz="12" w:space="0" w:color="auto"/>
            </w:tcBorders>
            <w:shd w:val="clear" w:color="auto" w:fill="auto"/>
            <w:vAlign w:val="bottom"/>
            <w:hideMark/>
          </w:tcPr>
          <w:p w14:paraId="349136BB"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025" w:type="pct"/>
            <w:tcBorders>
              <w:bottom w:val="single" w:sz="12" w:space="0" w:color="auto"/>
            </w:tcBorders>
            <w:shd w:val="clear" w:color="auto" w:fill="auto"/>
            <w:vAlign w:val="bottom"/>
            <w:hideMark/>
          </w:tcPr>
          <w:p w14:paraId="41ED6798" w14:textId="2A96C67E" w:rsidR="00D2099E" w:rsidRPr="00CA4239" w:rsidRDefault="00EE5824" w:rsidP="00D2099E">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11,725</w:t>
            </w:r>
          </w:p>
        </w:tc>
        <w:tc>
          <w:tcPr>
            <w:tcW w:w="579" w:type="pct"/>
            <w:shd w:val="clear" w:color="auto" w:fill="auto"/>
            <w:tcMar>
              <w:top w:w="0" w:type="dxa"/>
              <w:left w:w="0" w:type="dxa"/>
              <w:bottom w:w="30" w:type="dxa"/>
              <w:right w:w="0" w:type="dxa"/>
            </w:tcMar>
            <w:vAlign w:val="bottom"/>
            <w:hideMark/>
          </w:tcPr>
          <w:p w14:paraId="4BAC0CE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bl>
    <w:p w14:paraId="0299A221" w14:textId="143F82EF" w:rsidR="00D2099E" w:rsidRDefault="00D2099E" w:rsidP="00564BE4">
      <w:pPr>
        <w:spacing w:after="0" w:line="240" w:lineRule="auto"/>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5B1BBE69" w14:textId="77777777" w:rsidTr="005C7D2D">
        <w:tc>
          <w:tcPr>
            <w:tcW w:w="360" w:type="dxa"/>
            <w:hideMark/>
          </w:tcPr>
          <w:p w14:paraId="5AED7100" w14:textId="4593E144" w:rsidR="00D2099E" w:rsidRPr="00CA4239" w:rsidRDefault="00B42187"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10</w:t>
            </w:r>
            <w:r w:rsidR="00D2099E" w:rsidRPr="00CA4239">
              <w:rPr>
                <w:rFonts w:ascii="Times New Roman" w:eastAsia="Times New Roman" w:hAnsi="Times New Roman" w:cs="Times New Roman"/>
                <w:b/>
                <w:bCs/>
                <w:sz w:val="20"/>
                <w:szCs w:val="20"/>
                <w:lang w:val="en-US"/>
              </w:rPr>
              <w:t>.</w:t>
            </w:r>
          </w:p>
        </w:tc>
        <w:tc>
          <w:tcPr>
            <w:tcW w:w="0" w:type="auto"/>
            <w:hideMark/>
          </w:tcPr>
          <w:p w14:paraId="621502DD" w14:textId="1DBCF101"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 xml:space="preserve">Notes </w:t>
            </w:r>
            <w:r w:rsidR="000748E8" w:rsidRPr="00CA4239">
              <w:rPr>
                <w:rFonts w:ascii="Times New Roman" w:eastAsia="Times New Roman" w:hAnsi="Times New Roman" w:cs="Times New Roman"/>
                <w:b/>
                <w:bCs/>
                <w:sz w:val="20"/>
                <w:szCs w:val="20"/>
                <w:lang w:val="en-US"/>
              </w:rPr>
              <w:t>and Amounts R</w:t>
            </w:r>
            <w:r w:rsidRPr="00CA4239">
              <w:rPr>
                <w:rFonts w:ascii="Times New Roman" w:eastAsia="Times New Roman" w:hAnsi="Times New Roman" w:cs="Times New Roman"/>
                <w:b/>
                <w:bCs/>
                <w:sz w:val="20"/>
                <w:szCs w:val="20"/>
                <w:lang w:val="en-US"/>
              </w:rPr>
              <w:t xml:space="preserve">eceivable </w:t>
            </w:r>
            <w:r w:rsidR="00E3584C" w:rsidRPr="00CA4239">
              <w:rPr>
                <w:rFonts w:ascii="Times New Roman" w:eastAsia="Times New Roman" w:hAnsi="Times New Roman" w:cs="Times New Roman"/>
                <w:b/>
                <w:bCs/>
                <w:sz w:val="20"/>
                <w:szCs w:val="20"/>
                <w:lang w:val="en-US"/>
              </w:rPr>
              <w:t xml:space="preserve">for </w:t>
            </w:r>
            <w:r w:rsidR="00F45E31">
              <w:rPr>
                <w:rFonts w:ascii="Times New Roman" w:eastAsia="Times New Roman" w:hAnsi="Times New Roman" w:cs="Times New Roman"/>
                <w:b/>
                <w:bCs/>
                <w:sz w:val="20"/>
                <w:szCs w:val="20"/>
                <w:lang w:val="en-US"/>
              </w:rPr>
              <w:t>Equity Issued</w:t>
            </w:r>
          </w:p>
        </w:tc>
      </w:tr>
    </w:tbl>
    <w:p w14:paraId="7C10DE10" w14:textId="43536A75" w:rsidR="00D2099E" w:rsidRDefault="00D2099E" w:rsidP="00D2099E">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vanish/>
          <w:sz w:val="20"/>
          <w:szCs w:val="20"/>
          <w:lang w:val="en-US"/>
        </w:rPr>
        <w:t> Schedule of Notes Receivable</w:t>
      </w:r>
    </w:p>
    <w:tbl>
      <w:tblPr>
        <w:tblW w:w="4250" w:type="pct"/>
        <w:tblInd w:w="360" w:type="dxa"/>
        <w:tblCellMar>
          <w:left w:w="0" w:type="dxa"/>
          <w:right w:w="0" w:type="dxa"/>
        </w:tblCellMar>
        <w:tblLook w:val="04A0" w:firstRow="1" w:lastRow="0" w:firstColumn="1" w:lastColumn="0" w:noHBand="0" w:noVBand="1"/>
      </w:tblPr>
      <w:tblGrid>
        <w:gridCol w:w="5881"/>
        <w:gridCol w:w="154"/>
        <w:gridCol w:w="100"/>
        <w:gridCol w:w="1746"/>
        <w:gridCol w:w="75"/>
      </w:tblGrid>
      <w:tr w:rsidR="000748E8" w:rsidRPr="00D2099E" w14:paraId="49FCF55B" w14:textId="77777777" w:rsidTr="00D33273">
        <w:tc>
          <w:tcPr>
            <w:tcW w:w="0" w:type="auto"/>
            <w:tcBorders>
              <w:top w:val="single" w:sz="12" w:space="0" w:color="auto"/>
              <w:bottom w:val="single" w:sz="12" w:space="0" w:color="auto"/>
            </w:tcBorders>
            <w:shd w:val="clear" w:color="auto" w:fill="auto"/>
            <w:vAlign w:val="bottom"/>
            <w:hideMark/>
          </w:tcPr>
          <w:p w14:paraId="4EB97DC8"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3D1B32BB"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5775F7F0" w14:textId="754999BA" w:rsidR="000748E8" w:rsidRPr="00D33273" w:rsidRDefault="003338A8" w:rsidP="00D5701C">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June 30</w:t>
            </w:r>
            <w:r w:rsidR="00E36274" w:rsidRPr="00D33273">
              <w:rPr>
                <w:rFonts w:ascii="Times New Roman" w:eastAsia="Times New Roman" w:hAnsi="Times New Roman" w:cs="Times New Roman"/>
                <w:b/>
                <w:bCs/>
                <w:sz w:val="20"/>
                <w:szCs w:val="20"/>
                <w:lang w:val="en-US"/>
              </w:rPr>
              <w:t>, 2022</w:t>
            </w:r>
          </w:p>
        </w:tc>
        <w:tc>
          <w:tcPr>
            <w:tcW w:w="0" w:type="auto"/>
            <w:shd w:val="clear" w:color="auto" w:fill="auto"/>
            <w:tcMar>
              <w:top w:w="0" w:type="dxa"/>
              <w:left w:w="0" w:type="dxa"/>
              <w:bottom w:w="30" w:type="dxa"/>
              <w:right w:w="0" w:type="dxa"/>
            </w:tcMar>
            <w:vAlign w:val="bottom"/>
            <w:hideMark/>
          </w:tcPr>
          <w:p w14:paraId="63B5A161"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748E8" w:rsidRPr="00D2099E" w14:paraId="40FE5611" w14:textId="77777777" w:rsidTr="00D33273">
        <w:tc>
          <w:tcPr>
            <w:tcW w:w="3696" w:type="pct"/>
            <w:tcBorders>
              <w:top w:val="single" w:sz="12" w:space="0" w:color="auto"/>
            </w:tcBorders>
            <w:shd w:val="clear" w:color="auto" w:fill="auto"/>
            <w:vAlign w:val="bottom"/>
            <w:hideMark/>
          </w:tcPr>
          <w:p w14:paraId="085D8C36" w14:textId="21424754"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r w:rsidRPr="00D2099E">
              <w:rPr>
                <w:rFonts w:ascii="Times New Roman" w:eastAsia="Times New Roman" w:hAnsi="Times New Roman" w:cs="Times New Roman"/>
                <w:sz w:val="20"/>
                <w:szCs w:val="20"/>
                <w:lang w:val="en-US"/>
              </w:rPr>
              <w:t>otes receivable</w:t>
            </w:r>
          </w:p>
        </w:tc>
        <w:tc>
          <w:tcPr>
            <w:tcW w:w="97" w:type="pct"/>
            <w:tcBorders>
              <w:top w:val="single" w:sz="12" w:space="0" w:color="auto"/>
            </w:tcBorders>
            <w:shd w:val="clear" w:color="auto" w:fill="auto"/>
            <w:vAlign w:val="bottom"/>
            <w:hideMark/>
          </w:tcPr>
          <w:p w14:paraId="07D8B987"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3" w:type="pct"/>
            <w:tcBorders>
              <w:top w:val="single" w:sz="12" w:space="0" w:color="auto"/>
            </w:tcBorders>
            <w:shd w:val="clear" w:color="auto" w:fill="auto"/>
            <w:vAlign w:val="bottom"/>
            <w:hideMark/>
          </w:tcPr>
          <w:p w14:paraId="20523594"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097" w:type="pct"/>
            <w:tcBorders>
              <w:top w:val="single" w:sz="12" w:space="0" w:color="auto"/>
            </w:tcBorders>
            <w:shd w:val="clear" w:color="auto" w:fill="auto"/>
            <w:vAlign w:val="bottom"/>
          </w:tcPr>
          <w:p w14:paraId="0CDE37D3" w14:textId="2AE489A9" w:rsidR="000748E8" w:rsidRPr="00D33273" w:rsidRDefault="00180098" w:rsidP="00D5701C">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1,158,832</w:t>
            </w:r>
          </w:p>
        </w:tc>
        <w:tc>
          <w:tcPr>
            <w:tcW w:w="47" w:type="pct"/>
            <w:shd w:val="clear" w:color="auto" w:fill="auto"/>
            <w:vAlign w:val="bottom"/>
            <w:hideMark/>
          </w:tcPr>
          <w:p w14:paraId="441050F3"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748E8" w:rsidRPr="00D2099E" w14:paraId="47FF7365" w14:textId="77777777" w:rsidTr="00D33273">
        <w:tc>
          <w:tcPr>
            <w:tcW w:w="0" w:type="auto"/>
            <w:shd w:val="clear" w:color="auto" w:fill="auto"/>
            <w:tcMar>
              <w:top w:w="0" w:type="dxa"/>
              <w:left w:w="0" w:type="dxa"/>
              <w:bottom w:w="30" w:type="dxa"/>
              <w:right w:w="0" w:type="dxa"/>
            </w:tcMar>
            <w:vAlign w:val="bottom"/>
            <w:hideMark/>
          </w:tcPr>
          <w:p w14:paraId="78389134" w14:textId="17DE55EF"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Amounts receivable</w:t>
            </w:r>
          </w:p>
        </w:tc>
        <w:tc>
          <w:tcPr>
            <w:tcW w:w="0" w:type="auto"/>
            <w:shd w:val="clear" w:color="auto" w:fill="auto"/>
            <w:tcMar>
              <w:top w:w="0" w:type="dxa"/>
              <w:left w:w="0" w:type="dxa"/>
              <w:bottom w:w="30" w:type="dxa"/>
              <w:right w:w="0" w:type="dxa"/>
            </w:tcMar>
            <w:vAlign w:val="bottom"/>
            <w:hideMark/>
          </w:tcPr>
          <w:p w14:paraId="2D277F96"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5F567588"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tcPr>
          <w:p w14:paraId="12E7CCA8" w14:textId="239B5920" w:rsidR="000748E8" w:rsidRPr="00D33273" w:rsidRDefault="00695EED" w:rsidP="00D5701C">
            <w:pPr>
              <w:spacing w:after="0" w:line="240" w:lineRule="auto"/>
              <w:jc w:val="right"/>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52,977</w:t>
            </w:r>
            <w:r w:rsidR="00A3472C" w:rsidRPr="00D33273">
              <w:rPr>
                <w:rFonts w:ascii="Times New Roman" w:eastAsia="Times New Roman" w:hAnsi="Times New Roman" w:cs="Times New Roman"/>
                <w:b/>
                <w:bCs/>
                <w:sz w:val="20"/>
                <w:szCs w:val="20"/>
                <w:lang w:val="en-US"/>
              </w:rPr>
              <w:t>*</w:t>
            </w:r>
          </w:p>
        </w:tc>
        <w:tc>
          <w:tcPr>
            <w:tcW w:w="0" w:type="auto"/>
            <w:shd w:val="clear" w:color="auto" w:fill="auto"/>
            <w:tcMar>
              <w:top w:w="0" w:type="dxa"/>
              <w:left w:w="0" w:type="dxa"/>
              <w:bottom w:w="30" w:type="dxa"/>
              <w:right w:w="0" w:type="dxa"/>
            </w:tcMar>
            <w:vAlign w:val="bottom"/>
            <w:hideMark/>
          </w:tcPr>
          <w:p w14:paraId="61A3123C"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748E8" w:rsidRPr="00D2099E" w14:paraId="42FCE5C5" w14:textId="77777777" w:rsidTr="00D33273">
        <w:trPr>
          <w:hidden/>
        </w:trPr>
        <w:tc>
          <w:tcPr>
            <w:tcW w:w="0" w:type="auto"/>
            <w:tcBorders>
              <w:bottom w:val="single" w:sz="12" w:space="0" w:color="auto"/>
            </w:tcBorders>
            <w:shd w:val="clear" w:color="auto" w:fill="auto"/>
            <w:tcMar>
              <w:top w:w="0" w:type="dxa"/>
              <w:left w:w="0" w:type="dxa"/>
              <w:bottom w:w="30" w:type="dxa"/>
              <w:right w:w="0" w:type="dxa"/>
            </w:tcMar>
            <w:vAlign w:val="bottom"/>
            <w:hideMark/>
          </w:tcPr>
          <w:p w14:paraId="2DFABD3D"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vanish/>
                <w:sz w:val="20"/>
                <w:szCs w:val="20"/>
                <w:lang w:val="en-US"/>
              </w:rPr>
              <w:t>Notes receivable</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073A94F2"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6D70BBD6"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tcBorders>
              <w:bottom w:val="single" w:sz="12" w:space="0" w:color="auto"/>
            </w:tcBorders>
            <w:shd w:val="clear" w:color="auto" w:fill="auto"/>
            <w:vAlign w:val="bottom"/>
          </w:tcPr>
          <w:p w14:paraId="18E2FC3A" w14:textId="1A5A886D" w:rsidR="000748E8" w:rsidRPr="00D33273" w:rsidRDefault="001138B0" w:rsidP="00D5701C">
            <w:pPr>
              <w:spacing w:after="0" w:line="240" w:lineRule="auto"/>
              <w:jc w:val="right"/>
              <w:rPr>
                <w:rFonts w:ascii="Times New Roman" w:eastAsia="Times New Roman" w:hAnsi="Times New Roman" w:cs="Times New Roman"/>
                <w:b/>
                <w:bCs/>
                <w:sz w:val="20"/>
                <w:szCs w:val="20"/>
                <w:lang w:val="en-US"/>
              </w:rPr>
            </w:pPr>
            <w:r w:rsidRPr="00D33273">
              <w:rPr>
                <w:rFonts w:ascii="Times New Roman" w:eastAsia="Times New Roman" w:hAnsi="Times New Roman" w:cs="Times New Roman"/>
                <w:b/>
                <w:bCs/>
                <w:sz w:val="20"/>
                <w:szCs w:val="20"/>
                <w:lang w:val="en-US"/>
              </w:rPr>
              <w:t>1,</w:t>
            </w:r>
            <w:r w:rsidR="001840E8">
              <w:rPr>
                <w:rFonts w:ascii="Times New Roman" w:eastAsia="Times New Roman" w:hAnsi="Times New Roman" w:cs="Times New Roman"/>
                <w:b/>
                <w:bCs/>
                <w:sz w:val="20"/>
                <w:szCs w:val="20"/>
                <w:lang w:val="en-US"/>
              </w:rPr>
              <w:t>211</w:t>
            </w:r>
            <w:r w:rsidRPr="00D33273">
              <w:rPr>
                <w:rFonts w:ascii="Times New Roman" w:eastAsia="Times New Roman" w:hAnsi="Times New Roman" w:cs="Times New Roman"/>
                <w:b/>
                <w:bCs/>
                <w:sz w:val="20"/>
                <w:szCs w:val="20"/>
                <w:lang w:val="en-US"/>
              </w:rPr>
              <w:t>,</w:t>
            </w:r>
            <w:r w:rsidR="001840E8">
              <w:rPr>
                <w:rFonts w:ascii="Times New Roman" w:eastAsia="Times New Roman" w:hAnsi="Times New Roman" w:cs="Times New Roman"/>
                <w:b/>
                <w:bCs/>
                <w:sz w:val="20"/>
                <w:szCs w:val="20"/>
                <w:lang w:val="en-US"/>
              </w:rPr>
              <w:t>809</w:t>
            </w:r>
          </w:p>
        </w:tc>
        <w:tc>
          <w:tcPr>
            <w:tcW w:w="0" w:type="auto"/>
            <w:shd w:val="clear" w:color="auto" w:fill="auto"/>
            <w:tcMar>
              <w:top w:w="0" w:type="dxa"/>
              <w:left w:w="0" w:type="dxa"/>
              <w:bottom w:w="30" w:type="dxa"/>
              <w:right w:w="0" w:type="dxa"/>
            </w:tcMar>
            <w:vAlign w:val="bottom"/>
            <w:hideMark/>
          </w:tcPr>
          <w:p w14:paraId="56F2FDBB" w14:textId="77777777" w:rsidR="000748E8" w:rsidRPr="00D2099E" w:rsidRDefault="000748E8" w:rsidP="00D5701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bl>
    <w:p w14:paraId="215D0616" w14:textId="3B8FE81B" w:rsidR="00A25014" w:rsidRDefault="00A25014" w:rsidP="00D3327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*Consists of receivables for the exercise of warrants and options at various exercise prices during the year   </w:t>
      </w:r>
    </w:p>
    <w:p w14:paraId="08BF4034" w14:textId="01D4F6BB" w:rsidR="00A25014" w:rsidRPr="00D2099E" w:rsidRDefault="00D46BF8" w:rsidP="00064A08">
      <w:pPr>
        <w:spacing w:after="0" w:line="240" w:lineRule="auto"/>
        <w:ind w:left="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w:t>
      </w:r>
      <w:r w:rsidR="00A25014">
        <w:rPr>
          <w:rFonts w:ascii="Times New Roman" w:eastAsia="Times New Roman" w:hAnsi="Times New Roman" w:cs="Times New Roman"/>
          <w:sz w:val="20"/>
          <w:szCs w:val="20"/>
          <w:lang w:val="en-US"/>
        </w:rPr>
        <w:t xml:space="preserve">nded December 31, </w:t>
      </w:r>
      <w:proofErr w:type="gramStart"/>
      <w:r w:rsidR="00A25014">
        <w:rPr>
          <w:rFonts w:ascii="Times New Roman" w:eastAsia="Times New Roman" w:hAnsi="Times New Roman" w:cs="Times New Roman"/>
          <w:sz w:val="20"/>
          <w:szCs w:val="20"/>
          <w:lang w:val="en-US"/>
        </w:rPr>
        <w:t>2021</w:t>
      </w:r>
      <w:proofErr w:type="gramEnd"/>
      <w:r w:rsidR="00695EED">
        <w:rPr>
          <w:rFonts w:ascii="Times New Roman" w:eastAsia="Times New Roman" w:hAnsi="Times New Roman" w:cs="Times New Roman"/>
          <w:sz w:val="20"/>
          <w:szCs w:val="20"/>
          <w:lang w:val="en-US"/>
        </w:rPr>
        <w:t xml:space="preserve"> and six months ended June 30, 2022</w:t>
      </w:r>
      <w:r w:rsidR="00C51F30">
        <w:rPr>
          <w:rFonts w:ascii="Times New Roman" w:eastAsia="Times New Roman" w:hAnsi="Times New Roman" w:cs="Times New Roman"/>
          <w:sz w:val="20"/>
          <w:szCs w:val="20"/>
          <w:lang w:val="en-US"/>
        </w:rPr>
        <w:t>. The receivables are unsecured, non-interest-bearing and due on demand.</w:t>
      </w:r>
    </w:p>
    <w:p w14:paraId="0CFE052D" w14:textId="1BA486AB" w:rsidR="000748E8" w:rsidRDefault="000748E8" w:rsidP="00D2099E">
      <w:pPr>
        <w:spacing w:after="0" w:line="240" w:lineRule="auto"/>
        <w:rPr>
          <w:rFonts w:ascii="Times New Roman" w:eastAsia="Times New Roman" w:hAnsi="Times New Roman" w:cs="Times New Roman"/>
          <w:sz w:val="20"/>
          <w:szCs w:val="20"/>
          <w:lang w:val="en-US"/>
        </w:rPr>
      </w:pPr>
    </w:p>
    <w:p w14:paraId="787D5E36" w14:textId="448E1172" w:rsidR="00D2099E" w:rsidRPr="00D2099E" w:rsidRDefault="00D2099E" w:rsidP="005328E1">
      <w:pPr>
        <w:spacing w:after="0" w:line="240" w:lineRule="auto"/>
        <w:ind w:left="360"/>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During the year ended December 31, 2021, the Company entered into agreements with certain warrant</w:t>
      </w:r>
      <w:r w:rsidR="00564BE4" w:rsidRPr="00CA4239">
        <w:rPr>
          <w:rFonts w:ascii="Times New Roman" w:eastAsia="Times New Roman" w:hAnsi="Times New Roman" w:cs="Times New Roman"/>
          <w:sz w:val="20"/>
          <w:szCs w:val="20"/>
          <w:lang w:val="en-US"/>
        </w:rPr>
        <w:t xml:space="preserve"> and option</w:t>
      </w:r>
      <w:r w:rsidRPr="00CA4239">
        <w:rPr>
          <w:rFonts w:ascii="Times New Roman" w:eastAsia="Times New Roman" w:hAnsi="Times New Roman" w:cs="Times New Roman"/>
          <w:sz w:val="20"/>
          <w:szCs w:val="20"/>
          <w:lang w:val="en-US"/>
        </w:rPr>
        <w:t xml:space="preserve"> holders for the following notes receivables as consideration for the exercise of warrants</w:t>
      </w:r>
      <w:r w:rsidR="00564BE4" w:rsidRPr="00CA4239">
        <w:rPr>
          <w:rFonts w:ascii="Times New Roman" w:eastAsia="Times New Roman" w:hAnsi="Times New Roman" w:cs="Times New Roman"/>
          <w:sz w:val="20"/>
          <w:szCs w:val="20"/>
          <w:lang w:val="en-US"/>
        </w:rPr>
        <w:t xml:space="preserve"> and options</w:t>
      </w:r>
      <w:r w:rsidRPr="00CA4239">
        <w:rPr>
          <w:rFonts w:ascii="Times New Roman" w:eastAsia="Times New Roman" w:hAnsi="Times New Roman" w:cs="Times New Roman"/>
          <w:sz w:val="20"/>
          <w:szCs w:val="20"/>
          <w:lang w:val="en-US"/>
        </w:rPr>
        <w:t>:</w:t>
      </w:r>
    </w:p>
    <w:p w14:paraId="0A3209A9" w14:textId="77777777" w:rsidR="00E3584C" w:rsidRDefault="00E3584C" w:rsidP="00440F54">
      <w:pPr>
        <w:spacing w:after="0" w:line="240" w:lineRule="auto"/>
        <w:ind w:left="360"/>
        <w:jc w:val="both"/>
        <w:rPr>
          <w:rFonts w:ascii="Times New Roman" w:eastAsia="Times New Roman" w:hAnsi="Times New Roman" w:cs="Times New Roman"/>
          <w:sz w:val="20"/>
          <w:szCs w:val="20"/>
          <w:lang w:val="en-US"/>
        </w:rPr>
      </w:pPr>
    </w:p>
    <w:p w14:paraId="0E226275" w14:textId="51AC5F54" w:rsidR="00D2099E" w:rsidRDefault="00D2099E" w:rsidP="00440F54">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a principal sum of $48,087 ($60,000 CAD) as consideration for the exercise of 500,000 warrants at approximately $0.10 ($0.12 CAD). See summary table below for terms specific to the promissory note.</w:t>
      </w:r>
    </w:p>
    <w:p w14:paraId="150CF491" w14:textId="77777777" w:rsidR="00564BE4" w:rsidRPr="00D2099E" w:rsidRDefault="00564BE4" w:rsidP="00440F54">
      <w:pPr>
        <w:spacing w:after="0" w:line="240" w:lineRule="auto"/>
        <w:ind w:left="360"/>
        <w:jc w:val="both"/>
        <w:rPr>
          <w:rFonts w:ascii="Times New Roman" w:eastAsia="Times New Roman" w:hAnsi="Times New Roman" w:cs="Times New Roman"/>
          <w:sz w:val="20"/>
          <w:szCs w:val="20"/>
          <w:lang w:val="en-US"/>
        </w:rPr>
      </w:pPr>
    </w:p>
    <w:p w14:paraId="0D7676C5" w14:textId="2D0F27E2" w:rsidR="00D2099E" w:rsidRDefault="00D2099E" w:rsidP="00440F54">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w:t>
      </w:r>
      <w:r w:rsidR="00564BE4">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agreement with a principal sum of $48,087 ($60,000 CAD) as consideration for the exercise of 500,000 warrants at approximately $0.10 ($0.12 CAD). See summary table below for terms specific to the promissory note.</w:t>
      </w:r>
    </w:p>
    <w:p w14:paraId="3979CE56" w14:textId="77777777" w:rsidR="00564BE4" w:rsidRPr="00D2099E" w:rsidRDefault="00564BE4" w:rsidP="00440F54">
      <w:pPr>
        <w:spacing w:after="0" w:line="240" w:lineRule="auto"/>
        <w:ind w:left="360"/>
        <w:jc w:val="both"/>
        <w:rPr>
          <w:rFonts w:ascii="Times New Roman" w:eastAsia="Times New Roman" w:hAnsi="Times New Roman" w:cs="Times New Roman"/>
          <w:sz w:val="20"/>
          <w:szCs w:val="20"/>
          <w:lang w:val="en-US"/>
        </w:rPr>
      </w:pPr>
    </w:p>
    <w:p w14:paraId="4E2C12F9" w14:textId="77777777" w:rsidR="00697F10" w:rsidRDefault="00697F10" w:rsidP="00440F54">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697F10" w:rsidRPr="00CA4239" w14:paraId="7EE2C835" w14:textId="77777777" w:rsidTr="00F80521">
        <w:tc>
          <w:tcPr>
            <w:tcW w:w="360" w:type="dxa"/>
            <w:hideMark/>
          </w:tcPr>
          <w:p w14:paraId="26615DBE" w14:textId="77777777" w:rsidR="00697F10" w:rsidRPr="00CA4239" w:rsidRDefault="00697F10" w:rsidP="00F80521">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10</w:t>
            </w:r>
            <w:r w:rsidRPr="00CA4239">
              <w:rPr>
                <w:rFonts w:ascii="Times New Roman" w:eastAsia="Times New Roman" w:hAnsi="Times New Roman" w:cs="Times New Roman"/>
                <w:b/>
                <w:bCs/>
                <w:sz w:val="20"/>
                <w:szCs w:val="20"/>
                <w:lang w:val="en-US"/>
              </w:rPr>
              <w:t>.</w:t>
            </w:r>
          </w:p>
        </w:tc>
        <w:tc>
          <w:tcPr>
            <w:tcW w:w="0" w:type="auto"/>
            <w:hideMark/>
          </w:tcPr>
          <w:p w14:paraId="005603F7" w14:textId="77777777" w:rsidR="00697F10" w:rsidRPr="00CA4239" w:rsidRDefault="00697F10" w:rsidP="00F80521">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 xml:space="preserve">Notes and Amounts Receivable for </w:t>
            </w:r>
            <w:r>
              <w:rPr>
                <w:rFonts w:ascii="Times New Roman" w:eastAsia="Times New Roman" w:hAnsi="Times New Roman" w:cs="Times New Roman"/>
                <w:b/>
                <w:bCs/>
                <w:sz w:val="20"/>
                <w:szCs w:val="20"/>
                <w:lang w:val="en-US"/>
              </w:rPr>
              <w:t>Equity Issued (continued)</w:t>
            </w:r>
          </w:p>
        </w:tc>
      </w:tr>
    </w:tbl>
    <w:p w14:paraId="48600309" w14:textId="77777777" w:rsidR="00697F10" w:rsidRDefault="00697F10" w:rsidP="00440F54">
      <w:pPr>
        <w:spacing w:after="0" w:line="240" w:lineRule="auto"/>
        <w:ind w:left="360"/>
        <w:jc w:val="both"/>
        <w:rPr>
          <w:rFonts w:ascii="Times New Roman" w:eastAsia="Times New Roman" w:hAnsi="Times New Roman" w:cs="Times New Roman"/>
          <w:sz w:val="20"/>
          <w:szCs w:val="20"/>
          <w:lang w:val="en-US"/>
        </w:rPr>
      </w:pPr>
    </w:p>
    <w:p w14:paraId="14B71CBD" w14:textId="0BE0C130" w:rsidR="00D2099E" w:rsidRPr="00D2099E" w:rsidRDefault="00D2099E" w:rsidP="00440F54">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a principal sum of $48,087 ($60,000 CAD) as consideration for the exercise of 500,000 warrants at approximately $0.10 ($0.12 CAD). See summary table below for terms specific to the promissory note.</w:t>
      </w:r>
    </w:p>
    <w:p w14:paraId="4FD648D7" w14:textId="77777777" w:rsidR="00D2099E" w:rsidRPr="00D2099E" w:rsidRDefault="00D2099E" w:rsidP="00533F93">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AB53333" w14:textId="77777777" w:rsidR="00D2099E" w:rsidRPr="00D2099E" w:rsidRDefault="00D2099E" w:rsidP="00440F54">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a principal sum of $24,044 ($30,000 CAD) as consideration for the exercise of 250,000 warrants at approximately $0.10 ($0.12 CAD). See summary table below for terms specific to the promissory note.</w:t>
      </w:r>
    </w:p>
    <w:p w14:paraId="447A163A" w14:textId="6A7FAC18" w:rsidR="00D2099E" w:rsidRPr="00D2099E" w:rsidRDefault="00D2099E" w:rsidP="005328E1">
      <w:pPr>
        <w:tabs>
          <w:tab w:val="left" w:pos="7200"/>
        </w:tabs>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r w:rsidR="00D075A6">
        <w:rPr>
          <w:rFonts w:ascii="Times New Roman" w:eastAsia="Times New Roman" w:hAnsi="Times New Roman" w:cs="Times New Roman"/>
          <w:sz w:val="20"/>
          <w:szCs w:val="20"/>
          <w:lang w:val="en-US"/>
        </w:rPr>
        <w:tab/>
      </w:r>
    </w:p>
    <w:p w14:paraId="1AB37BB9" w14:textId="2F47525F" w:rsidR="00D2099E" w:rsidRDefault="00D2099E" w:rsidP="00440F54">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a principal sum of $14,426 ($18,000 CAD) as consideration for the exercise of 150,000 warrants at approximately $0.10 ($0.12 CAD). See summary table below for terms specific to the promissory note.</w:t>
      </w:r>
    </w:p>
    <w:p w14:paraId="44F1D4BE" w14:textId="7C8CADCC" w:rsidR="00E3584C" w:rsidRDefault="00E3584C" w:rsidP="00440F54">
      <w:pPr>
        <w:spacing w:after="0" w:line="240" w:lineRule="auto"/>
        <w:ind w:left="360"/>
        <w:jc w:val="both"/>
        <w:rPr>
          <w:rFonts w:ascii="Times New Roman" w:eastAsia="Times New Roman" w:hAnsi="Times New Roman" w:cs="Times New Roman"/>
          <w:sz w:val="20"/>
          <w:szCs w:val="20"/>
          <w:lang w:val="en-US"/>
        </w:rPr>
      </w:pPr>
    </w:p>
    <w:p w14:paraId="61C0D5A7" w14:textId="77777777" w:rsidR="00E3584C" w:rsidRPr="00D2099E" w:rsidRDefault="00E3584C" w:rsidP="00E3584C">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the CFO of the Company with a principal sum of $48,088 ($60,000 CAD) as consideration for the exercise of 500,000 warrants at approximately $0.10 ($0.12 CAD). See summary table below for terms specific to the promissory note.</w:t>
      </w:r>
    </w:p>
    <w:p w14:paraId="3DD14434" w14:textId="77777777" w:rsidR="00E3584C" w:rsidRPr="00D2099E" w:rsidRDefault="00E3584C" w:rsidP="00E3584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2032653F" w14:textId="77777777" w:rsidR="00E3584C" w:rsidRPr="00D2099E" w:rsidRDefault="00E3584C" w:rsidP="00E3584C">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a principal sum of $144,261 ($180,000 CAD) as consideration for the exercise of 1,500,000 warrants at approximately $0.10 ($0.12 CAD). See summary table below for terms specific to the promissory note.</w:t>
      </w:r>
    </w:p>
    <w:p w14:paraId="4862DA02" w14:textId="77777777" w:rsidR="00E3584C" w:rsidRPr="00D2099E" w:rsidRDefault="00E3584C" w:rsidP="00E3584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3525A71" w14:textId="77777777" w:rsidR="00E3584C" w:rsidRPr="00D2099E" w:rsidRDefault="00E3584C" w:rsidP="00E3584C">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a principal sum of $96,174 ($120,000 CAD) as consideration for the exercise of 1,000,000 warrants at approximately $0.10 ($0.12 CAD). See summary table below for terms specific to the promissory note.</w:t>
      </w:r>
    </w:p>
    <w:p w14:paraId="5964611D" w14:textId="77777777" w:rsidR="00E3584C" w:rsidRPr="00D2099E" w:rsidRDefault="00E3584C" w:rsidP="00E3584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7AEE7AFC" w14:textId="77777777" w:rsidR="00E3584C" w:rsidRPr="00D2099E" w:rsidRDefault="00E3584C" w:rsidP="00E3584C">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the CEO of the Company with a principal sum of $19,235 ($24,000 CAD) as consideration for the exercise of 200,000 warrants at approximately $0.10 ($0.12 CAD). See summary table below for terms specific to the promissory note.</w:t>
      </w:r>
    </w:p>
    <w:p w14:paraId="29F11381" w14:textId="77777777" w:rsidR="00E3584C" w:rsidRPr="00D2099E" w:rsidRDefault="00E3584C" w:rsidP="00E3584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70E0238D" w14:textId="76B5B809" w:rsidR="00E3584C" w:rsidRDefault="00E3584C">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July 31, 2021, the Company entered into a promissory note agreement with the CEO of the Company with a principal sum of $226,971($283,200 CAD) as consideration for the exercise of 2,360,000 warrants at approximately $0.10 ($0.12 CAD). See summary table below for terms specific to the promissory note.</w:t>
      </w:r>
    </w:p>
    <w:p w14:paraId="043EE92B" w14:textId="7C83CA8B" w:rsidR="00564BE4" w:rsidRDefault="00564BE4" w:rsidP="00564BE4">
      <w:pPr>
        <w:spacing w:after="0" w:line="240" w:lineRule="auto"/>
        <w:ind w:left="360"/>
        <w:rPr>
          <w:rFonts w:ascii="Times New Roman" w:eastAsia="Times New Roman" w:hAnsi="Times New Roman" w:cs="Times New Roman"/>
          <w:sz w:val="20"/>
          <w:szCs w:val="20"/>
          <w:lang w:val="en-US"/>
        </w:rPr>
      </w:pPr>
    </w:p>
    <w:p w14:paraId="66FE31FA" w14:textId="19400B8C" w:rsidR="00564BE4" w:rsidRPr="00440F54" w:rsidRDefault="00564BE4" w:rsidP="00440F54">
      <w:pPr>
        <w:spacing w:after="0" w:line="240" w:lineRule="auto"/>
        <w:ind w:left="360"/>
        <w:jc w:val="both"/>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On November 10, 2021, the Company entered into a promissory note agreement with</w:t>
      </w:r>
      <w:r w:rsidR="00041B89" w:rsidRPr="00440F54">
        <w:rPr>
          <w:rFonts w:ascii="Times New Roman" w:eastAsia="Times New Roman" w:hAnsi="Times New Roman" w:cs="Times New Roman"/>
          <w:sz w:val="20"/>
          <w:szCs w:val="20"/>
          <w:lang w:val="en-US"/>
        </w:rPr>
        <w:t xml:space="preserve"> the CEO of the Company with</w:t>
      </w:r>
      <w:r w:rsidRPr="00440F54">
        <w:rPr>
          <w:rFonts w:ascii="Times New Roman" w:eastAsia="Times New Roman" w:hAnsi="Times New Roman" w:cs="Times New Roman"/>
          <w:sz w:val="20"/>
          <w:szCs w:val="20"/>
          <w:lang w:val="en-US"/>
        </w:rPr>
        <w:t xml:space="preserve"> a principal sum of $189,680 </w:t>
      </w:r>
      <w:r w:rsidR="006F0F8D" w:rsidRPr="00440F54">
        <w:rPr>
          <w:rFonts w:ascii="Times New Roman" w:eastAsia="Times New Roman" w:hAnsi="Times New Roman" w:cs="Times New Roman"/>
          <w:sz w:val="20"/>
          <w:szCs w:val="20"/>
          <w:lang w:val="en-US"/>
        </w:rPr>
        <w:t xml:space="preserve">($237,286 CAD) </w:t>
      </w:r>
      <w:r w:rsidRPr="00440F54">
        <w:rPr>
          <w:rFonts w:ascii="Times New Roman" w:eastAsia="Times New Roman" w:hAnsi="Times New Roman" w:cs="Times New Roman"/>
          <w:sz w:val="20"/>
          <w:szCs w:val="20"/>
          <w:lang w:val="en-US"/>
        </w:rPr>
        <w:t xml:space="preserve">as consideration for the exercise of </w:t>
      </w:r>
      <w:r w:rsidR="006F0F8D" w:rsidRPr="00440F54">
        <w:rPr>
          <w:rFonts w:ascii="Times New Roman" w:eastAsia="Times New Roman" w:hAnsi="Times New Roman" w:cs="Times New Roman"/>
          <w:sz w:val="20"/>
          <w:szCs w:val="20"/>
          <w:lang w:val="en-US"/>
        </w:rPr>
        <w:t>1,416,667 warrants at approximately $0.10 ($0.12 CAD)</w:t>
      </w:r>
      <w:r w:rsidR="0021017F" w:rsidRPr="00440F54">
        <w:rPr>
          <w:rFonts w:ascii="Times New Roman" w:eastAsia="Times New Roman" w:hAnsi="Times New Roman" w:cs="Times New Roman"/>
          <w:sz w:val="20"/>
          <w:szCs w:val="20"/>
          <w:lang w:val="en-US"/>
        </w:rPr>
        <w:t xml:space="preserve">, </w:t>
      </w:r>
      <w:r w:rsidR="006F0F8D" w:rsidRPr="00440F54">
        <w:rPr>
          <w:rFonts w:ascii="Times New Roman" w:eastAsia="Times New Roman" w:hAnsi="Times New Roman" w:cs="Times New Roman"/>
          <w:sz w:val="20"/>
          <w:szCs w:val="20"/>
          <w:lang w:val="en-US"/>
        </w:rPr>
        <w:t>500,000 options at approximately $0.12 ($0.15 CAD)</w:t>
      </w:r>
      <w:r w:rsidR="0021017F" w:rsidRPr="00440F54">
        <w:rPr>
          <w:rFonts w:ascii="Times New Roman" w:eastAsia="Times New Roman" w:hAnsi="Times New Roman" w:cs="Times New Roman"/>
          <w:sz w:val="20"/>
          <w:szCs w:val="20"/>
          <w:lang w:val="en-US"/>
        </w:rPr>
        <w:t>, and 320,000 options at approximately $0.06 ($0.08 CAD)</w:t>
      </w:r>
      <w:r w:rsidR="00EC2B6A" w:rsidRPr="00440F54">
        <w:rPr>
          <w:rFonts w:ascii="Times New Roman" w:eastAsia="Times New Roman" w:hAnsi="Times New Roman" w:cs="Times New Roman"/>
          <w:sz w:val="20"/>
          <w:szCs w:val="20"/>
          <w:lang w:val="en-US"/>
        </w:rPr>
        <w:t xml:space="preserve"> after </w:t>
      </w:r>
      <w:r w:rsidR="0021017F" w:rsidRPr="00440F54">
        <w:rPr>
          <w:rFonts w:ascii="Times New Roman" w:eastAsia="Times New Roman" w:hAnsi="Times New Roman" w:cs="Times New Roman"/>
          <w:sz w:val="20"/>
          <w:szCs w:val="20"/>
          <w:lang w:val="en-US"/>
        </w:rPr>
        <w:t xml:space="preserve">first </w:t>
      </w:r>
      <w:r w:rsidR="00EC2B6A" w:rsidRPr="00440F54">
        <w:rPr>
          <w:rFonts w:ascii="Times New Roman" w:eastAsia="Times New Roman" w:hAnsi="Times New Roman" w:cs="Times New Roman"/>
          <w:sz w:val="20"/>
          <w:szCs w:val="20"/>
          <w:lang w:val="en-US"/>
        </w:rPr>
        <w:t>offsetting the consideration against amounts owed to the CEO</w:t>
      </w:r>
      <w:r w:rsidR="006F0F8D" w:rsidRPr="00440F54">
        <w:rPr>
          <w:rFonts w:ascii="Times New Roman" w:eastAsia="Times New Roman" w:hAnsi="Times New Roman" w:cs="Times New Roman"/>
          <w:sz w:val="20"/>
          <w:szCs w:val="20"/>
          <w:lang w:val="en-US"/>
        </w:rPr>
        <w:t>. See summary table below for terms specific to the promissory note.</w:t>
      </w:r>
    </w:p>
    <w:p w14:paraId="26083801" w14:textId="24593CC8" w:rsidR="006F0F8D" w:rsidRPr="00440F54" w:rsidRDefault="006F0F8D" w:rsidP="00440F54">
      <w:pPr>
        <w:spacing w:after="0" w:line="240" w:lineRule="auto"/>
        <w:ind w:left="360"/>
        <w:jc w:val="both"/>
        <w:rPr>
          <w:rFonts w:ascii="Times New Roman" w:eastAsia="Times New Roman" w:hAnsi="Times New Roman" w:cs="Times New Roman"/>
          <w:sz w:val="20"/>
          <w:szCs w:val="20"/>
          <w:lang w:val="en-US"/>
        </w:rPr>
      </w:pPr>
    </w:p>
    <w:p w14:paraId="45FD33C6" w14:textId="6099B3A7" w:rsidR="006F0F8D" w:rsidRPr="00440F54" w:rsidRDefault="006F0F8D" w:rsidP="00440F54">
      <w:pPr>
        <w:spacing w:after="0" w:line="240" w:lineRule="auto"/>
        <w:ind w:left="360"/>
        <w:jc w:val="both"/>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On November 10, 2021, the Company entered into a promissory note agreement with a principal sum of $95,924 ($120,000 CAD) as consideration for the exercise of 1,</w:t>
      </w:r>
      <w:r w:rsidR="00EC2B6A" w:rsidRPr="00440F54">
        <w:rPr>
          <w:rFonts w:ascii="Times New Roman" w:eastAsia="Times New Roman" w:hAnsi="Times New Roman" w:cs="Times New Roman"/>
          <w:sz w:val="20"/>
          <w:szCs w:val="20"/>
          <w:lang w:val="en-US"/>
        </w:rPr>
        <w:t>000</w:t>
      </w:r>
      <w:r w:rsidRPr="00440F54">
        <w:rPr>
          <w:rFonts w:ascii="Times New Roman" w:eastAsia="Times New Roman" w:hAnsi="Times New Roman" w:cs="Times New Roman"/>
          <w:sz w:val="20"/>
          <w:szCs w:val="20"/>
          <w:lang w:val="en-US"/>
        </w:rPr>
        <w:t>,</w:t>
      </w:r>
      <w:r w:rsidR="00EC2B6A" w:rsidRPr="00440F54">
        <w:rPr>
          <w:rFonts w:ascii="Times New Roman" w:eastAsia="Times New Roman" w:hAnsi="Times New Roman" w:cs="Times New Roman"/>
          <w:sz w:val="20"/>
          <w:szCs w:val="20"/>
          <w:lang w:val="en-US"/>
        </w:rPr>
        <w:t>000</w:t>
      </w:r>
      <w:r w:rsidRPr="00440F54">
        <w:rPr>
          <w:rFonts w:ascii="Times New Roman" w:eastAsia="Times New Roman" w:hAnsi="Times New Roman" w:cs="Times New Roman"/>
          <w:sz w:val="20"/>
          <w:szCs w:val="20"/>
          <w:lang w:val="en-US"/>
        </w:rPr>
        <w:t xml:space="preserve"> warrants at approximately $0.10 ($0.12 CAD). See summary table below for terms specific to the promissory note.</w:t>
      </w:r>
    </w:p>
    <w:p w14:paraId="26684F5A" w14:textId="77777777" w:rsidR="0055668C" w:rsidRPr="00440F54" w:rsidRDefault="0055668C" w:rsidP="00440F54">
      <w:pPr>
        <w:spacing w:after="0" w:line="240" w:lineRule="auto"/>
        <w:ind w:left="360"/>
        <w:jc w:val="both"/>
        <w:rPr>
          <w:rFonts w:ascii="Times New Roman" w:eastAsia="Times New Roman" w:hAnsi="Times New Roman" w:cs="Times New Roman"/>
          <w:sz w:val="20"/>
          <w:szCs w:val="20"/>
          <w:lang w:val="en-US"/>
        </w:rPr>
      </w:pPr>
    </w:p>
    <w:p w14:paraId="741ABA78" w14:textId="5DA50763" w:rsidR="0055668C" w:rsidRPr="00440F54" w:rsidRDefault="0055668C" w:rsidP="00440F54">
      <w:pPr>
        <w:spacing w:after="0" w:line="240" w:lineRule="auto"/>
        <w:ind w:left="360"/>
        <w:jc w:val="both"/>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On November 10, 2021, the Company entered into a promissory note agreement with a principal sum of $1</w:t>
      </w:r>
      <w:r w:rsidR="001C1045">
        <w:rPr>
          <w:rFonts w:ascii="Times New Roman" w:eastAsia="Times New Roman" w:hAnsi="Times New Roman" w:cs="Times New Roman"/>
          <w:sz w:val="20"/>
          <w:szCs w:val="20"/>
          <w:lang w:val="en-US"/>
        </w:rPr>
        <w:t>46</w:t>
      </w:r>
      <w:r w:rsidRPr="00440F54">
        <w:rPr>
          <w:rFonts w:ascii="Times New Roman" w:eastAsia="Times New Roman" w:hAnsi="Times New Roman" w:cs="Times New Roman"/>
          <w:sz w:val="20"/>
          <w:szCs w:val="20"/>
          <w:lang w:val="en-US"/>
        </w:rPr>
        <w:t>,</w:t>
      </w:r>
      <w:r w:rsidR="001C1045">
        <w:rPr>
          <w:rFonts w:ascii="Times New Roman" w:eastAsia="Times New Roman" w:hAnsi="Times New Roman" w:cs="Times New Roman"/>
          <w:sz w:val="20"/>
          <w:szCs w:val="20"/>
          <w:lang w:val="en-US"/>
        </w:rPr>
        <w:t>639</w:t>
      </w:r>
      <w:r w:rsidRPr="00440F54">
        <w:rPr>
          <w:rFonts w:ascii="Times New Roman" w:eastAsia="Times New Roman" w:hAnsi="Times New Roman" w:cs="Times New Roman"/>
          <w:sz w:val="20"/>
          <w:szCs w:val="20"/>
          <w:lang w:val="en-US"/>
        </w:rPr>
        <w:t xml:space="preserve"> ($</w:t>
      </w:r>
      <w:r w:rsidR="001C1045">
        <w:rPr>
          <w:rFonts w:ascii="Times New Roman" w:eastAsia="Times New Roman" w:hAnsi="Times New Roman" w:cs="Times New Roman"/>
          <w:sz w:val="20"/>
          <w:szCs w:val="20"/>
          <w:lang w:val="en-US"/>
        </w:rPr>
        <w:t>193</w:t>
      </w:r>
      <w:r w:rsidRPr="00440F54">
        <w:rPr>
          <w:rFonts w:ascii="Times New Roman" w:eastAsia="Times New Roman" w:hAnsi="Times New Roman" w:cs="Times New Roman"/>
          <w:sz w:val="20"/>
          <w:szCs w:val="20"/>
          <w:lang w:val="en-US"/>
        </w:rPr>
        <w:t>,</w:t>
      </w:r>
      <w:r w:rsidR="001C1045">
        <w:rPr>
          <w:rFonts w:ascii="Times New Roman" w:eastAsia="Times New Roman" w:hAnsi="Times New Roman" w:cs="Times New Roman"/>
          <w:sz w:val="20"/>
          <w:szCs w:val="20"/>
          <w:lang w:val="en-US"/>
        </w:rPr>
        <w:t>443</w:t>
      </w:r>
      <w:r w:rsidRPr="00440F54">
        <w:rPr>
          <w:rFonts w:ascii="Times New Roman" w:eastAsia="Times New Roman" w:hAnsi="Times New Roman" w:cs="Times New Roman"/>
          <w:sz w:val="20"/>
          <w:szCs w:val="20"/>
          <w:lang w:val="en-US"/>
        </w:rPr>
        <w:t xml:space="preserve"> CAD) as consideration for the exercise of 1,800,000 warrants at approximately $0.10 ($0.12 CAD)</w:t>
      </w:r>
      <w:r w:rsidR="0021017F" w:rsidRPr="00440F54">
        <w:rPr>
          <w:rFonts w:ascii="Times New Roman" w:eastAsia="Times New Roman" w:hAnsi="Times New Roman" w:cs="Times New Roman"/>
          <w:sz w:val="20"/>
          <w:szCs w:val="20"/>
          <w:lang w:val="en-US"/>
        </w:rPr>
        <w:t>, 500,000 warrants at approximately $0.08 ($0.10 CAD)</w:t>
      </w:r>
      <w:r w:rsidRPr="00440F54">
        <w:rPr>
          <w:rFonts w:ascii="Times New Roman" w:eastAsia="Times New Roman" w:hAnsi="Times New Roman" w:cs="Times New Roman"/>
          <w:sz w:val="20"/>
          <w:szCs w:val="20"/>
          <w:lang w:val="en-US"/>
        </w:rPr>
        <w:t xml:space="preserve"> and </w:t>
      </w:r>
      <w:r w:rsidR="0021017F" w:rsidRPr="00440F54">
        <w:rPr>
          <w:rFonts w:ascii="Times New Roman" w:eastAsia="Times New Roman" w:hAnsi="Times New Roman" w:cs="Times New Roman"/>
          <w:sz w:val="20"/>
          <w:szCs w:val="20"/>
          <w:lang w:val="en-US"/>
        </w:rPr>
        <w:t>320</w:t>
      </w:r>
      <w:r w:rsidRPr="00440F54">
        <w:rPr>
          <w:rFonts w:ascii="Times New Roman" w:eastAsia="Times New Roman" w:hAnsi="Times New Roman" w:cs="Times New Roman"/>
          <w:sz w:val="20"/>
          <w:szCs w:val="20"/>
          <w:lang w:val="en-US"/>
        </w:rPr>
        <w:t>,</w:t>
      </w:r>
      <w:r w:rsidR="0021017F" w:rsidRPr="00440F54">
        <w:rPr>
          <w:rFonts w:ascii="Times New Roman" w:eastAsia="Times New Roman" w:hAnsi="Times New Roman" w:cs="Times New Roman"/>
          <w:sz w:val="20"/>
          <w:szCs w:val="20"/>
          <w:lang w:val="en-US"/>
        </w:rPr>
        <w:t>000</w:t>
      </w:r>
      <w:r w:rsidRPr="00440F54">
        <w:rPr>
          <w:rFonts w:ascii="Times New Roman" w:eastAsia="Times New Roman" w:hAnsi="Times New Roman" w:cs="Times New Roman"/>
          <w:sz w:val="20"/>
          <w:szCs w:val="20"/>
          <w:lang w:val="en-US"/>
        </w:rPr>
        <w:t xml:space="preserve"> </w:t>
      </w:r>
      <w:r w:rsidR="0021017F" w:rsidRPr="00440F54">
        <w:rPr>
          <w:rFonts w:ascii="Times New Roman" w:eastAsia="Times New Roman" w:hAnsi="Times New Roman" w:cs="Times New Roman"/>
          <w:sz w:val="20"/>
          <w:szCs w:val="20"/>
          <w:lang w:val="en-US"/>
        </w:rPr>
        <w:t>options</w:t>
      </w:r>
      <w:r w:rsidRPr="00440F54">
        <w:rPr>
          <w:rFonts w:ascii="Times New Roman" w:eastAsia="Times New Roman" w:hAnsi="Times New Roman" w:cs="Times New Roman"/>
          <w:sz w:val="20"/>
          <w:szCs w:val="20"/>
          <w:lang w:val="en-US"/>
        </w:rPr>
        <w:t xml:space="preserve"> at approximately $0.08 ($0.10 CAD)</w:t>
      </w:r>
      <w:r w:rsidR="00EC2B6A" w:rsidRPr="00440F54">
        <w:rPr>
          <w:rFonts w:ascii="Times New Roman" w:eastAsia="Times New Roman" w:hAnsi="Times New Roman" w:cs="Times New Roman"/>
          <w:sz w:val="20"/>
          <w:szCs w:val="20"/>
          <w:lang w:val="en-US"/>
        </w:rPr>
        <w:t xml:space="preserve"> after </w:t>
      </w:r>
      <w:r w:rsidR="0021017F" w:rsidRPr="00440F54">
        <w:rPr>
          <w:rFonts w:ascii="Times New Roman" w:eastAsia="Times New Roman" w:hAnsi="Times New Roman" w:cs="Times New Roman"/>
          <w:sz w:val="20"/>
          <w:szCs w:val="20"/>
          <w:lang w:val="en-US"/>
        </w:rPr>
        <w:t xml:space="preserve">first </w:t>
      </w:r>
      <w:r w:rsidR="00EC2B6A" w:rsidRPr="00440F54">
        <w:rPr>
          <w:rFonts w:ascii="Times New Roman" w:eastAsia="Times New Roman" w:hAnsi="Times New Roman" w:cs="Times New Roman"/>
          <w:sz w:val="20"/>
          <w:szCs w:val="20"/>
          <w:lang w:val="en-US"/>
        </w:rPr>
        <w:t xml:space="preserve">offsetting the consideration against amounts owed to the </w:t>
      </w:r>
      <w:r w:rsidR="0021017F" w:rsidRPr="00440F54">
        <w:rPr>
          <w:rFonts w:ascii="Times New Roman" w:eastAsia="Times New Roman" w:hAnsi="Times New Roman" w:cs="Times New Roman"/>
          <w:sz w:val="20"/>
          <w:szCs w:val="20"/>
          <w:lang w:val="en-US"/>
        </w:rPr>
        <w:t>note holder</w:t>
      </w:r>
      <w:r w:rsidRPr="00440F54">
        <w:rPr>
          <w:rFonts w:ascii="Times New Roman" w:eastAsia="Times New Roman" w:hAnsi="Times New Roman" w:cs="Times New Roman"/>
          <w:sz w:val="20"/>
          <w:szCs w:val="20"/>
          <w:lang w:val="en-US"/>
        </w:rPr>
        <w:t>. See summary table below for terms specific to the promissory note.</w:t>
      </w:r>
    </w:p>
    <w:p w14:paraId="0E7D83E6" w14:textId="68590A52" w:rsidR="006F0F8D" w:rsidRPr="00440F54" w:rsidRDefault="006F0F8D" w:rsidP="00440F54">
      <w:pPr>
        <w:spacing w:after="0" w:line="240" w:lineRule="auto"/>
        <w:ind w:left="360"/>
        <w:jc w:val="both"/>
        <w:rPr>
          <w:rFonts w:ascii="Times New Roman" w:eastAsia="Times New Roman" w:hAnsi="Times New Roman" w:cs="Times New Roman"/>
          <w:sz w:val="20"/>
          <w:szCs w:val="20"/>
          <w:lang w:val="en-US"/>
        </w:rPr>
      </w:pPr>
    </w:p>
    <w:p w14:paraId="4DB95F03" w14:textId="77777777" w:rsidR="008D0343" w:rsidRDefault="0055668C" w:rsidP="00440F54">
      <w:pPr>
        <w:spacing w:after="0" w:line="240" w:lineRule="auto"/>
        <w:ind w:left="360"/>
        <w:jc w:val="both"/>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 xml:space="preserve">On November 10, 2021, the Company entered into a promissory note agreement with </w:t>
      </w:r>
      <w:r w:rsidR="00041B89" w:rsidRPr="00440F54">
        <w:rPr>
          <w:rFonts w:ascii="Times New Roman" w:eastAsia="Times New Roman" w:hAnsi="Times New Roman" w:cs="Times New Roman"/>
          <w:sz w:val="20"/>
          <w:szCs w:val="20"/>
          <w:lang w:val="en-US"/>
        </w:rPr>
        <w:t xml:space="preserve">a director of the Company with </w:t>
      </w:r>
      <w:r w:rsidRPr="00440F54">
        <w:rPr>
          <w:rFonts w:ascii="Times New Roman" w:eastAsia="Times New Roman" w:hAnsi="Times New Roman" w:cs="Times New Roman"/>
          <w:sz w:val="20"/>
          <w:szCs w:val="20"/>
          <w:lang w:val="en-US"/>
        </w:rPr>
        <w:t>a principal sum of $34,846 ($43,592 CAD) as consideration for the exercise of 670,000 options at approximately $0.06 ($0.08 CAD)</w:t>
      </w:r>
      <w:r w:rsidR="0021017F" w:rsidRPr="00440F54">
        <w:rPr>
          <w:rFonts w:ascii="Times New Roman" w:eastAsia="Times New Roman" w:hAnsi="Times New Roman" w:cs="Times New Roman"/>
          <w:sz w:val="20"/>
          <w:szCs w:val="20"/>
          <w:lang w:val="en-US"/>
        </w:rPr>
        <w:t xml:space="preserve"> after first offsetting the consideration against amounts owed to the director</w:t>
      </w:r>
      <w:r w:rsidRPr="00440F54">
        <w:rPr>
          <w:rFonts w:ascii="Times New Roman" w:eastAsia="Times New Roman" w:hAnsi="Times New Roman" w:cs="Times New Roman"/>
          <w:sz w:val="20"/>
          <w:szCs w:val="20"/>
          <w:lang w:val="en-US"/>
        </w:rPr>
        <w:t xml:space="preserve">. </w:t>
      </w:r>
    </w:p>
    <w:p w14:paraId="7414F099" w14:textId="77777777" w:rsidR="008D0343" w:rsidRDefault="008D0343" w:rsidP="00440F54">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8D0343" w:rsidRPr="00CA4239" w14:paraId="2EDAB1AA" w14:textId="77777777" w:rsidTr="00AE52B2">
        <w:tc>
          <w:tcPr>
            <w:tcW w:w="360" w:type="dxa"/>
            <w:hideMark/>
          </w:tcPr>
          <w:p w14:paraId="679CD89D" w14:textId="77777777" w:rsidR="008D0343" w:rsidRPr="00CA4239" w:rsidRDefault="008D0343"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10</w:t>
            </w:r>
            <w:r w:rsidRPr="00CA4239">
              <w:rPr>
                <w:rFonts w:ascii="Times New Roman" w:eastAsia="Times New Roman" w:hAnsi="Times New Roman" w:cs="Times New Roman"/>
                <w:b/>
                <w:bCs/>
                <w:sz w:val="20"/>
                <w:szCs w:val="20"/>
                <w:lang w:val="en-US"/>
              </w:rPr>
              <w:t>.</w:t>
            </w:r>
          </w:p>
        </w:tc>
        <w:tc>
          <w:tcPr>
            <w:tcW w:w="0" w:type="auto"/>
            <w:hideMark/>
          </w:tcPr>
          <w:p w14:paraId="072EF0DB" w14:textId="022B000B" w:rsidR="008D0343" w:rsidRPr="00CA4239" w:rsidRDefault="008D0343"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 xml:space="preserve">Notes and Amounts Receivable for </w:t>
            </w:r>
            <w:r w:rsidR="00D74D93">
              <w:rPr>
                <w:rFonts w:ascii="Times New Roman" w:eastAsia="Times New Roman" w:hAnsi="Times New Roman" w:cs="Times New Roman"/>
                <w:b/>
                <w:bCs/>
                <w:sz w:val="20"/>
                <w:szCs w:val="20"/>
                <w:lang w:val="en-US"/>
              </w:rPr>
              <w:t>Equity Issued</w:t>
            </w:r>
            <w:r>
              <w:rPr>
                <w:rFonts w:ascii="Times New Roman" w:eastAsia="Times New Roman" w:hAnsi="Times New Roman" w:cs="Times New Roman"/>
                <w:b/>
                <w:bCs/>
                <w:sz w:val="20"/>
                <w:szCs w:val="20"/>
                <w:lang w:val="en-US"/>
              </w:rPr>
              <w:t xml:space="preserve"> (continued)</w:t>
            </w:r>
          </w:p>
        </w:tc>
      </w:tr>
    </w:tbl>
    <w:p w14:paraId="2F0E5C63" w14:textId="77777777" w:rsidR="008D0343" w:rsidRDefault="008D0343" w:rsidP="00440F54">
      <w:pPr>
        <w:spacing w:after="0" w:line="240" w:lineRule="auto"/>
        <w:ind w:left="360"/>
        <w:jc w:val="both"/>
        <w:rPr>
          <w:rFonts w:ascii="Times New Roman" w:eastAsia="Times New Roman" w:hAnsi="Times New Roman" w:cs="Times New Roman"/>
          <w:sz w:val="20"/>
          <w:szCs w:val="20"/>
          <w:lang w:val="en-US"/>
        </w:rPr>
      </w:pPr>
    </w:p>
    <w:p w14:paraId="177C0121" w14:textId="429025FE" w:rsidR="0055668C" w:rsidRDefault="0055668C" w:rsidP="00440F54">
      <w:pPr>
        <w:spacing w:after="0" w:line="240" w:lineRule="auto"/>
        <w:ind w:left="360"/>
        <w:jc w:val="both"/>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See summary table below for terms specific to the promissory note.</w:t>
      </w:r>
    </w:p>
    <w:p w14:paraId="729B5B11" w14:textId="2EDDD9E8" w:rsidR="00D2099E" w:rsidRDefault="00D2099E" w:rsidP="005328E1">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vanish/>
          <w:sz w:val="20"/>
          <w:szCs w:val="20"/>
          <w:lang w:val="en-US"/>
        </w:rPr>
        <w:t>Schedule of Promissory Note</w:t>
      </w:r>
      <w:r w:rsidRPr="00D2099E">
        <w:rPr>
          <w:rFonts w:ascii="Times New Roman" w:eastAsia="Times New Roman" w:hAnsi="Times New Roman" w:cs="Times New Roman"/>
          <w:sz w:val="20"/>
          <w:szCs w:val="20"/>
          <w:lang w:val="en-US"/>
        </w:rPr>
        <w:t> </w:t>
      </w:r>
    </w:p>
    <w:tbl>
      <w:tblPr>
        <w:tblW w:w="495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2"/>
        <w:gridCol w:w="138"/>
        <w:gridCol w:w="248"/>
        <w:gridCol w:w="828"/>
        <w:gridCol w:w="96"/>
        <w:gridCol w:w="30"/>
        <w:gridCol w:w="548"/>
        <w:gridCol w:w="82"/>
        <w:gridCol w:w="283"/>
        <w:gridCol w:w="1050"/>
        <w:gridCol w:w="83"/>
        <w:gridCol w:w="59"/>
        <w:gridCol w:w="407"/>
        <w:gridCol w:w="83"/>
        <w:gridCol w:w="30"/>
        <w:gridCol w:w="1871"/>
        <w:gridCol w:w="45"/>
        <w:gridCol w:w="38"/>
        <w:gridCol w:w="30"/>
        <w:gridCol w:w="30"/>
        <w:gridCol w:w="2292"/>
      </w:tblGrid>
      <w:tr w:rsidR="00180098" w:rsidRPr="00D2099E" w14:paraId="1BD41C46" w14:textId="77777777" w:rsidTr="00D33273">
        <w:tc>
          <w:tcPr>
            <w:tcW w:w="1010" w:type="dxa"/>
            <w:tcBorders>
              <w:top w:val="single" w:sz="12" w:space="0" w:color="auto"/>
              <w:left w:val="nil"/>
              <w:bottom w:val="single" w:sz="12" w:space="0" w:color="auto"/>
              <w:right w:val="nil"/>
            </w:tcBorders>
            <w:shd w:val="clear" w:color="auto" w:fill="auto"/>
            <w:vAlign w:val="bottom"/>
            <w:hideMark/>
          </w:tcPr>
          <w:p w14:paraId="32AF5A5E"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single" w:sz="12" w:space="0" w:color="auto"/>
              <w:left w:val="nil"/>
              <w:bottom w:val="single" w:sz="12" w:space="0" w:color="auto"/>
              <w:right w:val="nil"/>
            </w:tcBorders>
            <w:shd w:val="clear" w:color="auto" w:fill="auto"/>
            <w:tcMar>
              <w:top w:w="0" w:type="dxa"/>
              <w:left w:w="0" w:type="dxa"/>
              <w:bottom w:w="30" w:type="dxa"/>
              <w:right w:w="0" w:type="dxa"/>
            </w:tcMar>
            <w:vAlign w:val="bottom"/>
            <w:hideMark/>
          </w:tcPr>
          <w:p w14:paraId="0C2A849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75" w:type="dxa"/>
            <w:gridSpan w:val="2"/>
            <w:tcBorders>
              <w:top w:val="single" w:sz="12" w:space="0" w:color="auto"/>
              <w:left w:val="nil"/>
              <w:bottom w:val="single" w:sz="12" w:space="0" w:color="auto"/>
              <w:right w:val="nil"/>
            </w:tcBorders>
            <w:shd w:val="clear" w:color="auto" w:fill="auto"/>
            <w:vAlign w:val="bottom"/>
            <w:hideMark/>
          </w:tcPr>
          <w:p w14:paraId="562E6B47"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 </w:t>
            </w:r>
            <w:proofErr w:type="gramStart"/>
            <w:r w:rsidRPr="00D2099E">
              <w:rPr>
                <w:rFonts w:ascii="Times New Roman" w:eastAsia="Times New Roman" w:hAnsi="Times New Roman" w:cs="Times New Roman"/>
                <w:sz w:val="20"/>
                <w:szCs w:val="20"/>
                <w:lang w:val="en-US"/>
              </w:rPr>
              <w:t>of</w:t>
            </w:r>
            <w:proofErr w:type="gramEnd"/>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Securities</w:t>
            </w:r>
            <w:r w:rsidRPr="00D2099E">
              <w:rPr>
                <w:rFonts w:ascii="Times New Roman" w:eastAsia="Times New Roman" w:hAnsi="Times New Roman" w:cs="Times New Roman"/>
                <w:sz w:val="20"/>
                <w:szCs w:val="20"/>
                <w:lang w:val="en-US"/>
              </w:rPr>
              <w:t xml:space="preserve"> exercised</w:t>
            </w:r>
          </w:p>
        </w:tc>
        <w:tc>
          <w:tcPr>
            <w:tcW w:w="96" w:type="dxa"/>
            <w:tcBorders>
              <w:top w:val="single" w:sz="12" w:space="0" w:color="auto"/>
              <w:left w:val="nil"/>
              <w:bottom w:val="single" w:sz="12" w:space="0" w:color="auto"/>
              <w:right w:val="nil"/>
            </w:tcBorders>
            <w:shd w:val="clear" w:color="auto" w:fill="auto"/>
            <w:tcMar>
              <w:top w:w="0" w:type="dxa"/>
              <w:left w:w="0" w:type="dxa"/>
              <w:bottom w:w="30" w:type="dxa"/>
              <w:right w:w="0" w:type="dxa"/>
            </w:tcMar>
            <w:vAlign w:val="bottom"/>
            <w:hideMark/>
          </w:tcPr>
          <w:p w14:paraId="4DD6606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77" w:type="dxa"/>
            <w:gridSpan w:val="2"/>
            <w:tcBorders>
              <w:top w:val="single" w:sz="12" w:space="0" w:color="auto"/>
              <w:left w:val="nil"/>
              <w:bottom w:val="single" w:sz="12" w:space="0" w:color="auto"/>
              <w:right w:val="nil"/>
            </w:tcBorders>
            <w:shd w:val="clear" w:color="auto" w:fill="auto"/>
            <w:tcMar>
              <w:top w:w="0" w:type="dxa"/>
              <w:left w:w="0" w:type="dxa"/>
              <w:bottom w:w="30" w:type="dxa"/>
              <w:right w:w="0" w:type="dxa"/>
            </w:tcMar>
            <w:vAlign w:val="bottom"/>
            <w:hideMark/>
          </w:tcPr>
          <w:p w14:paraId="343C3E0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14" w:type="dxa"/>
            <w:gridSpan w:val="3"/>
            <w:tcBorders>
              <w:top w:val="single" w:sz="12" w:space="0" w:color="auto"/>
              <w:left w:val="nil"/>
              <w:bottom w:val="single" w:sz="12" w:space="0" w:color="auto"/>
              <w:right w:val="nil"/>
            </w:tcBorders>
            <w:shd w:val="clear" w:color="auto" w:fill="auto"/>
            <w:vAlign w:val="bottom"/>
            <w:hideMark/>
          </w:tcPr>
          <w:p w14:paraId="0625909B"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Principal</w:t>
            </w:r>
          </w:p>
        </w:tc>
        <w:tc>
          <w:tcPr>
            <w:tcW w:w="142" w:type="dxa"/>
            <w:gridSpan w:val="2"/>
            <w:tcBorders>
              <w:top w:val="single" w:sz="12" w:space="0" w:color="auto"/>
              <w:left w:val="nil"/>
              <w:bottom w:val="single" w:sz="12" w:space="0" w:color="auto"/>
              <w:right w:val="nil"/>
            </w:tcBorders>
            <w:shd w:val="clear" w:color="auto" w:fill="auto"/>
            <w:tcMar>
              <w:top w:w="0" w:type="dxa"/>
              <w:left w:w="0" w:type="dxa"/>
              <w:bottom w:w="30" w:type="dxa"/>
              <w:right w:w="0" w:type="dxa"/>
            </w:tcMar>
            <w:vAlign w:val="bottom"/>
            <w:hideMark/>
          </w:tcPr>
          <w:p w14:paraId="6A2944E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07" w:type="dxa"/>
            <w:tcBorders>
              <w:top w:val="single" w:sz="12" w:space="0" w:color="auto"/>
              <w:left w:val="nil"/>
              <w:bottom w:val="single" w:sz="12" w:space="0" w:color="auto"/>
              <w:right w:val="nil"/>
            </w:tcBorders>
            <w:shd w:val="clear" w:color="auto" w:fill="auto"/>
            <w:tcMar>
              <w:top w:w="0" w:type="dxa"/>
              <w:left w:w="0" w:type="dxa"/>
              <w:bottom w:w="30" w:type="dxa"/>
              <w:right w:w="0" w:type="dxa"/>
            </w:tcMar>
            <w:vAlign w:val="bottom"/>
            <w:hideMark/>
          </w:tcPr>
          <w:p w14:paraId="4C452D6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82" w:type="dxa"/>
            <w:gridSpan w:val="3"/>
            <w:tcBorders>
              <w:top w:val="single" w:sz="12" w:space="0" w:color="auto"/>
              <w:left w:val="nil"/>
              <w:bottom w:val="single" w:sz="12" w:space="0" w:color="auto"/>
              <w:right w:val="nil"/>
            </w:tcBorders>
            <w:shd w:val="clear" w:color="auto" w:fill="auto"/>
            <w:vAlign w:val="bottom"/>
            <w:hideMark/>
          </w:tcPr>
          <w:p w14:paraId="14EBC04E"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Maturity date</w:t>
            </w:r>
          </w:p>
        </w:tc>
        <w:tc>
          <w:tcPr>
            <w:tcW w:w="45" w:type="dxa"/>
            <w:tcBorders>
              <w:top w:val="single" w:sz="12" w:space="0" w:color="auto"/>
              <w:left w:val="nil"/>
              <w:bottom w:val="single" w:sz="12" w:space="0" w:color="auto"/>
              <w:right w:val="nil"/>
            </w:tcBorders>
            <w:shd w:val="clear" w:color="auto" w:fill="auto"/>
            <w:tcMar>
              <w:top w:w="0" w:type="dxa"/>
              <w:left w:w="0" w:type="dxa"/>
              <w:bottom w:w="30" w:type="dxa"/>
              <w:right w:w="0" w:type="dxa"/>
            </w:tcMar>
            <w:vAlign w:val="bottom"/>
            <w:hideMark/>
          </w:tcPr>
          <w:p w14:paraId="333D3BC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388" w:type="dxa"/>
            <w:gridSpan w:val="4"/>
            <w:tcBorders>
              <w:top w:val="single" w:sz="12" w:space="0" w:color="auto"/>
              <w:left w:val="nil"/>
              <w:bottom w:val="single" w:sz="12" w:space="0" w:color="auto"/>
              <w:right w:val="nil"/>
            </w:tcBorders>
            <w:shd w:val="clear" w:color="auto" w:fill="auto"/>
            <w:vAlign w:val="bottom"/>
            <w:hideMark/>
          </w:tcPr>
          <w:p w14:paraId="4F2B8AD9"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Interest rate</w:t>
            </w:r>
          </w:p>
        </w:tc>
      </w:tr>
      <w:tr w:rsidR="00334F19" w:rsidRPr="00D2099E" w14:paraId="71015C46" w14:textId="77777777" w:rsidTr="00D33273">
        <w:tc>
          <w:tcPr>
            <w:tcW w:w="1010" w:type="dxa"/>
            <w:tcBorders>
              <w:top w:val="single" w:sz="12" w:space="0" w:color="auto"/>
              <w:left w:val="nil"/>
              <w:bottom w:val="nil"/>
              <w:right w:val="nil"/>
            </w:tcBorders>
            <w:shd w:val="clear" w:color="auto" w:fill="auto"/>
            <w:vAlign w:val="bottom"/>
            <w:hideMark/>
          </w:tcPr>
          <w:p w14:paraId="0EE798DC" w14:textId="77777777" w:rsidR="00180098" w:rsidRPr="00D2099E" w:rsidRDefault="00180098" w:rsidP="007F2074">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Current</w:t>
            </w:r>
          </w:p>
        </w:tc>
        <w:tc>
          <w:tcPr>
            <w:tcW w:w="138" w:type="dxa"/>
            <w:tcBorders>
              <w:top w:val="single" w:sz="12" w:space="0" w:color="auto"/>
              <w:left w:val="nil"/>
              <w:bottom w:val="nil"/>
              <w:right w:val="nil"/>
            </w:tcBorders>
            <w:shd w:val="clear" w:color="auto" w:fill="auto"/>
            <w:vAlign w:val="bottom"/>
            <w:hideMark/>
          </w:tcPr>
          <w:p w14:paraId="65DFDEC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75" w:type="dxa"/>
            <w:gridSpan w:val="2"/>
            <w:tcBorders>
              <w:top w:val="single" w:sz="12" w:space="0" w:color="auto"/>
              <w:left w:val="nil"/>
              <w:bottom w:val="nil"/>
              <w:right w:val="nil"/>
            </w:tcBorders>
            <w:shd w:val="clear" w:color="auto" w:fill="auto"/>
            <w:vAlign w:val="bottom"/>
            <w:hideMark/>
          </w:tcPr>
          <w:p w14:paraId="587159B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6" w:type="dxa"/>
            <w:tcBorders>
              <w:top w:val="single" w:sz="12" w:space="0" w:color="auto"/>
              <w:left w:val="nil"/>
              <w:bottom w:val="nil"/>
              <w:right w:val="nil"/>
            </w:tcBorders>
            <w:shd w:val="clear" w:color="auto" w:fill="auto"/>
            <w:vAlign w:val="bottom"/>
            <w:hideMark/>
          </w:tcPr>
          <w:p w14:paraId="0F8CC0B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77" w:type="dxa"/>
            <w:gridSpan w:val="2"/>
            <w:tcBorders>
              <w:top w:val="single" w:sz="12" w:space="0" w:color="auto"/>
              <w:left w:val="nil"/>
              <w:bottom w:val="nil"/>
              <w:right w:val="nil"/>
            </w:tcBorders>
            <w:shd w:val="clear" w:color="auto" w:fill="auto"/>
            <w:vAlign w:val="bottom"/>
            <w:hideMark/>
          </w:tcPr>
          <w:p w14:paraId="25CAF00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14" w:type="dxa"/>
            <w:gridSpan w:val="3"/>
            <w:tcBorders>
              <w:top w:val="single" w:sz="12" w:space="0" w:color="auto"/>
              <w:left w:val="nil"/>
              <w:bottom w:val="nil"/>
              <w:right w:val="nil"/>
            </w:tcBorders>
            <w:shd w:val="clear" w:color="auto" w:fill="auto"/>
            <w:vAlign w:val="bottom"/>
            <w:hideMark/>
          </w:tcPr>
          <w:p w14:paraId="7566D617"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42" w:type="dxa"/>
            <w:gridSpan w:val="2"/>
            <w:tcBorders>
              <w:top w:val="single" w:sz="12" w:space="0" w:color="auto"/>
              <w:left w:val="nil"/>
              <w:bottom w:val="nil"/>
              <w:right w:val="nil"/>
            </w:tcBorders>
            <w:shd w:val="clear" w:color="auto" w:fill="auto"/>
            <w:vAlign w:val="bottom"/>
            <w:hideMark/>
          </w:tcPr>
          <w:p w14:paraId="05302E3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07" w:type="dxa"/>
            <w:tcBorders>
              <w:top w:val="single" w:sz="12" w:space="0" w:color="auto"/>
              <w:left w:val="nil"/>
              <w:bottom w:val="nil"/>
              <w:right w:val="nil"/>
            </w:tcBorders>
            <w:shd w:val="clear" w:color="auto" w:fill="auto"/>
            <w:vAlign w:val="bottom"/>
            <w:hideMark/>
          </w:tcPr>
          <w:p w14:paraId="246A93A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82" w:type="dxa"/>
            <w:gridSpan w:val="3"/>
            <w:tcBorders>
              <w:top w:val="single" w:sz="12" w:space="0" w:color="auto"/>
              <w:left w:val="nil"/>
              <w:bottom w:val="nil"/>
              <w:right w:val="nil"/>
            </w:tcBorders>
            <w:shd w:val="clear" w:color="auto" w:fill="auto"/>
            <w:vAlign w:val="bottom"/>
            <w:hideMark/>
          </w:tcPr>
          <w:p w14:paraId="27AE6D8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45" w:type="dxa"/>
            <w:tcBorders>
              <w:top w:val="single" w:sz="12" w:space="0" w:color="auto"/>
              <w:left w:val="nil"/>
              <w:bottom w:val="nil"/>
              <w:right w:val="nil"/>
            </w:tcBorders>
            <w:shd w:val="clear" w:color="auto" w:fill="auto"/>
            <w:vAlign w:val="bottom"/>
            <w:hideMark/>
          </w:tcPr>
          <w:p w14:paraId="69AD301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388" w:type="dxa"/>
            <w:gridSpan w:val="4"/>
            <w:tcBorders>
              <w:top w:val="single" w:sz="12" w:space="0" w:color="auto"/>
              <w:left w:val="nil"/>
              <w:bottom w:val="nil"/>
              <w:right w:val="nil"/>
            </w:tcBorders>
            <w:shd w:val="clear" w:color="auto" w:fill="auto"/>
            <w:vAlign w:val="bottom"/>
            <w:hideMark/>
          </w:tcPr>
          <w:p w14:paraId="341B6802"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334F19" w:rsidRPr="00D2099E" w14:paraId="20F24449" w14:textId="77777777" w:rsidTr="00D33273">
        <w:tc>
          <w:tcPr>
            <w:tcW w:w="1010" w:type="dxa"/>
            <w:tcBorders>
              <w:top w:val="nil"/>
              <w:left w:val="nil"/>
              <w:bottom w:val="nil"/>
              <w:right w:val="nil"/>
            </w:tcBorders>
            <w:shd w:val="clear" w:color="auto" w:fill="auto"/>
            <w:vAlign w:val="bottom"/>
            <w:hideMark/>
          </w:tcPr>
          <w:p w14:paraId="54422FC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38" w:type="dxa"/>
            <w:tcBorders>
              <w:top w:val="nil"/>
              <w:left w:val="nil"/>
              <w:bottom w:val="nil"/>
              <w:right w:val="nil"/>
            </w:tcBorders>
            <w:shd w:val="clear" w:color="auto" w:fill="auto"/>
            <w:vAlign w:val="bottom"/>
            <w:hideMark/>
          </w:tcPr>
          <w:p w14:paraId="0A2F2B4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4E9CEC2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751D9E4A"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500,000</w:t>
            </w:r>
          </w:p>
        </w:tc>
        <w:tc>
          <w:tcPr>
            <w:tcW w:w="30" w:type="dxa"/>
            <w:tcBorders>
              <w:top w:val="nil"/>
              <w:left w:val="nil"/>
              <w:bottom w:val="nil"/>
              <w:right w:val="nil"/>
            </w:tcBorders>
            <w:shd w:val="clear" w:color="auto" w:fill="auto"/>
            <w:vAlign w:val="bottom"/>
            <w:hideMark/>
          </w:tcPr>
          <w:p w14:paraId="0C4E673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36DA2C8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6AEA18F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31CBCBB7"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48,087</w:t>
            </w:r>
          </w:p>
        </w:tc>
        <w:tc>
          <w:tcPr>
            <w:tcW w:w="549" w:type="dxa"/>
            <w:gridSpan w:val="3"/>
            <w:tcBorders>
              <w:top w:val="nil"/>
              <w:left w:val="nil"/>
              <w:bottom w:val="nil"/>
              <w:right w:val="nil"/>
            </w:tcBorders>
            <w:shd w:val="clear" w:color="auto" w:fill="auto"/>
            <w:vAlign w:val="bottom"/>
            <w:hideMark/>
          </w:tcPr>
          <w:p w14:paraId="7252F03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72D550E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7C8E9F1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September 30, 2021</w:t>
            </w:r>
          </w:p>
        </w:tc>
        <w:tc>
          <w:tcPr>
            <w:tcW w:w="30" w:type="dxa"/>
            <w:tcBorders>
              <w:top w:val="nil"/>
              <w:left w:val="nil"/>
              <w:bottom w:val="nil"/>
              <w:right w:val="nil"/>
            </w:tcBorders>
            <w:shd w:val="clear" w:color="auto" w:fill="auto"/>
            <w:vAlign w:val="bottom"/>
            <w:hideMark/>
          </w:tcPr>
          <w:p w14:paraId="067A0D1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1355468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497FB010"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5A0B7015" w14:textId="77777777" w:rsidTr="00D33273">
        <w:tc>
          <w:tcPr>
            <w:tcW w:w="1010" w:type="dxa"/>
            <w:tcBorders>
              <w:top w:val="nil"/>
              <w:left w:val="nil"/>
              <w:bottom w:val="nil"/>
              <w:right w:val="nil"/>
            </w:tcBorders>
            <w:shd w:val="clear" w:color="auto" w:fill="auto"/>
            <w:vAlign w:val="bottom"/>
            <w:hideMark/>
          </w:tcPr>
          <w:p w14:paraId="093262C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nil"/>
              <w:left w:val="nil"/>
              <w:bottom w:val="nil"/>
              <w:right w:val="nil"/>
            </w:tcBorders>
            <w:shd w:val="clear" w:color="auto" w:fill="auto"/>
            <w:vAlign w:val="bottom"/>
            <w:hideMark/>
          </w:tcPr>
          <w:p w14:paraId="6D0490A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632F775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2F0248DB"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500,000</w:t>
            </w:r>
          </w:p>
        </w:tc>
        <w:tc>
          <w:tcPr>
            <w:tcW w:w="30" w:type="dxa"/>
            <w:tcBorders>
              <w:top w:val="nil"/>
              <w:left w:val="nil"/>
              <w:bottom w:val="nil"/>
              <w:right w:val="nil"/>
            </w:tcBorders>
            <w:shd w:val="clear" w:color="auto" w:fill="auto"/>
            <w:vAlign w:val="bottom"/>
            <w:hideMark/>
          </w:tcPr>
          <w:p w14:paraId="05B1C3E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0FB4BC8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23B0369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3A2B329F"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48,087</w:t>
            </w:r>
          </w:p>
        </w:tc>
        <w:tc>
          <w:tcPr>
            <w:tcW w:w="549" w:type="dxa"/>
            <w:gridSpan w:val="3"/>
            <w:tcBorders>
              <w:top w:val="nil"/>
              <w:left w:val="nil"/>
              <w:bottom w:val="nil"/>
              <w:right w:val="nil"/>
            </w:tcBorders>
            <w:shd w:val="clear" w:color="auto" w:fill="auto"/>
            <w:vAlign w:val="bottom"/>
            <w:hideMark/>
          </w:tcPr>
          <w:p w14:paraId="2641C997"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44DF78C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4C2A2D3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December 31, 2021</w:t>
            </w:r>
          </w:p>
        </w:tc>
        <w:tc>
          <w:tcPr>
            <w:tcW w:w="30" w:type="dxa"/>
            <w:tcBorders>
              <w:top w:val="nil"/>
              <w:left w:val="nil"/>
              <w:bottom w:val="nil"/>
              <w:right w:val="nil"/>
            </w:tcBorders>
            <w:shd w:val="clear" w:color="auto" w:fill="auto"/>
            <w:vAlign w:val="bottom"/>
            <w:hideMark/>
          </w:tcPr>
          <w:p w14:paraId="09162BB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3296F76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649EC712"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2D751920" w14:textId="77777777" w:rsidTr="00D33273">
        <w:tc>
          <w:tcPr>
            <w:tcW w:w="1010" w:type="dxa"/>
            <w:tcBorders>
              <w:top w:val="nil"/>
              <w:left w:val="nil"/>
              <w:bottom w:val="nil"/>
              <w:right w:val="nil"/>
            </w:tcBorders>
            <w:shd w:val="clear" w:color="auto" w:fill="auto"/>
            <w:vAlign w:val="bottom"/>
            <w:hideMark/>
          </w:tcPr>
          <w:p w14:paraId="03D7ADF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nil"/>
              <w:left w:val="nil"/>
              <w:bottom w:val="nil"/>
              <w:right w:val="nil"/>
            </w:tcBorders>
            <w:shd w:val="clear" w:color="auto" w:fill="auto"/>
            <w:vAlign w:val="bottom"/>
            <w:hideMark/>
          </w:tcPr>
          <w:p w14:paraId="0439E2D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3BC0A44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686B24E3"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500,000</w:t>
            </w:r>
          </w:p>
        </w:tc>
        <w:tc>
          <w:tcPr>
            <w:tcW w:w="30" w:type="dxa"/>
            <w:tcBorders>
              <w:top w:val="nil"/>
              <w:left w:val="nil"/>
              <w:bottom w:val="nil"/>
              <w:right w:val="nil"/>
            </w:tcBorders>
            <w:shd w:val="clear" w:color="auto" w:fill="auto"/>
            <w:vAlign w:val="bottom"/>
            <w:hideMark/>
          </w:tcPr>
          <w:p w14:paraId="7173044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64784CF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762DA80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5093D787"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48,087</w:t>
            </w:r>
          </w:p>
        </w:tc>
        <w:tc>
          <w:tcPr>
            <w:tcW w:w="549" w:type="dxa"/>
            <w:gridSpan w:val="3"/>
            <w:tcBorders>
              <w:top w:val="nil"/>
              <w:left w:val="nil"/>
              <w:bottom w:val="nil"/>
              <w:right w:val="nil"/>
            </w:tcBorders>
            <w:shd w:val="clear" w:color="auto" w:fill="auto"/>
            <w:vAlign w:val="bottom"/>
            <w:hideMark/>
          </w:tcPr>
          <w:p w14:paraId="52C03ED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3438A8E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7CB4B97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November 30, 2021</w:t>
            </w:r>
          </w:p>
        </w:tc>
        <w:tc>
          <w:tcPr>
            <w:tcW w:w="30" w:type="dxa"/>
            <w:tcBorders>
              <w:top w:val="nil"/>
              <w:left w:val="nil"/>
              <w:bottom w:val="nil"/>
              <w:right w:val="nil"/>
            </w:tcBorders>
            <w:shd w:val="clear" w:color="auto" w:fill="auto"/>
            <w:vAlign w:val="bottom"/>
            <w:hideMark/>
          </w:tcPr>
          <w:p w14:paraId="3C3B639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4D67960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19F28686"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7C85AA26" w14:textId="77777777" w:rsidTr="00D33273">
        <w:tc>
          <w:tcPr>
            <w:tcW w:w="1010" w:type="dxa"/>
            <w:tcBorders>
              <w:top w:val="nil"/>
              <w:left w:val="nil"/>
              <w:bottom w:val="nil"/>
              <w:right w:val="nil"/>
            </w:tcBorders>
            <w:shd w:val="clear" w:color="auto" w:fill="auto"/>
            <w:vAlign w:val="bottom"/>
            <w:hideMark/>
          </w:tcPr>
          <w:p w14:paraId="0051A51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nil"/>
              <w:left w:val="nil"/>
              <w:bottom w:val="nil"/>
              <w:right w:val="nil"/>
            </w:tcBorders>
            <w:shd w:val="clear" w:color="auto" w:fill="auto"/>
            <w:vAlign w:val="bottom"/>
            <w:hideMark/>
          </w:tcPr>
          <w:p w14:paraId="5737FDC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1A0EEC7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49929C86"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250,000</w:t>
            </w:r>
          </w:p>
        </w:tc>
        <w:tc>
          <w:tcPr>
            <w:tcW w:w="30" w:type="dxa"/>
            <w:tcBorders>
              <w:top w:val="nil"/>
              <w:left w:val="nil"/>
              <w:bottom w:val="nil"/>
              <w:right w:val="nil"/>
            </w:tcBorders>
            <w:shd w:val="clear" w:color="auto" w:fill="auto"/>
            <w:vAlign w:val="bottom"/>
            <w:hideMark/>
          </w:tcPr>
          <w:p w14:paraId="188B8DD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3CCDE7D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424428C7"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4BDD35EE"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24,044</w:t>
            </w:r>
          </w:p>
        </w:tc>
        <w:tc>
          <w:tcPr>
            <w:tcW w:w="549" w:type="dxa"/>
            <w:gridSpan w:val="3"/>
            <w:tcBorders>
              <w:top w:val="nil"/>
              <w:left w:val="nil"/>
              <w:bottom w:val="nil"/>
              <w:right w:val="nil"/>
            </w:tcBorders>
            <w:shd w:val="clear" w:color="auto" w:fill="auto"/>
            <w:vAlign w:val="bottom"/>
            <w:hideMark/>
          </w:tcPr>
          <w:p w14:paraId="006ACAE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1BF782F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0167552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November 30, 2021</w:t>
            </w:r>
          </w:p>
        </w:tc>
        <w:tc>
          <w:tcPr>
            <w:tcW w:w="30" w:type="dxa"/>
            <w:tcBorders>
              <w:top w:val="nil"/>
              <w:left w:val="nil"/>
              <w:bottom w:val="nil"/>
              <w:right w:val="nil"/>
            </w:tcBorders>
            <w:shd w:val="clear" w:color="auto" w:fill="auto"/>
            <w:vAlign w:val="bottom"/>
            <w:hideMark/>
          </w:tcPr>
          <w:p w14:paraId="7439C8C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67D9B26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259D4D11"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07AB0B0C" w14:textId="77777777" w:rsidTr="00D33273">
        <w:tc>
          <w:tcPr>
            <w:tcW w:w="1010" w:type="dxa"/>
            <w:tcBorders>
              <w:top w:val="nil"/>
              <w:left w:val="nil"/>
              <w:bottom w:val="nil"/>
              <w:right w:val="nil"/>
            </w:tcBorders>
            <w:shd w:val="clear" w:color="auto" w:fill="auto"/>
            <w:vAlign w:val="bottom"/>
            <w:hideMark/>
          </w:tcPr>
          <w:p w14:paraId="2EDD7D2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nil"/>
              <w:left w:val="nil"/>
              <w:bottom w:val="nil"/>
              <w:right w:val="nil"/>
            </w:tcBorders>
            <w:shd w:val="clear" w:color="auto" w:fill="auto"/>
            <w:vAlign w:val="bottom"/>
            <w:hideMark/>
          </w:tcPr>
          <w:p w14:paraId="0216F2B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456972F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796CB244"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150,000</w:t>
            </w:r>
          </w:p>
        </w:tc>
        <w:tc>
          <w:tcPr>
            <w:tcW w:w="30" w:type="dxa"/>
            <w:tcBorders>
              <w:top w:val="nil"/>
              <w:left w:val="nil"/>
              <w:bottom w:val="nil"/>
              <w:right w:val="nil"/>
            </w:tcBorders>
            <w:shd w:val="clear" w:color="auto" w:fill="auto"/>
            <w:vAlign w:val="bottom"/>
            <w:hideMark/>
          </w:tcPr>
          <w:p w14:paraId="59FFDC8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47BD052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397CAE7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7F3F107B"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14,426</w:t>
            </w:r>
          </w:p>
        </w:tc>
        <w:tc>
          <w:tcPr>
            <w:tcW w:w="549" w:type="dxa"/>
            <w:gridSpan w:val="3"/>
            <w:tcBorders>
              <w:top w:val="nil"/>
              <w:left w:val="nil"/>
              <w:bottom w:val="nil"/>
              <w:right w:val="nil"/>
            </w:tcBorders>
            <w:shd w:val="clear" w:color="auto" w:fill="auto"/>
            <w:vAlign w:val="bottom"/>
            <w:hideMark/>
          </w:tcPr>
          <w:p w14:paraId="3168306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0516954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4E686EF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December 31, 2021</w:t>
            </w:r>
          </w:p>
        </w:tc>
        <w:tc>
          <w:tcPr>
            <w:tcW w:w="30" w:type="dxa"/>
            <w:tcBorders>
              <w:top w:val="nil"/>
              <w:left w:val="nil"/>
              <w:bottom w:val="nil"/>
              <w:right w:val="nil"/>
            </w:tcBorders>
            <w:shd w:val="clear" w:color="auto" w:fill="auto"/>
            <w:vAlign w:val="bottom"/>
            <w:hideMark/>
          </w:tcPr>
          <w:p w14:paraId="17752AA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04F33D37"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02801EF5"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60099E1D" w14:textId="77777777" w:rsidTr="00D33273">
        <w:tc>
          <w:tcPr>
            <w:tcW w:w="1010" w:type="dxa"/>
            <w:tcBorders>
              <w:top w:val="nil"/>
              <w:left w:val="nil"/>
              <w:bottom w:val="nil"/>
              <w:right w:val="nil"/>
            </w:tcBorders>
            <w:shd w:val="clear" w:color="auto" w:fill="auto"/>
            <w:vAlign w:val="bottom"/>
          </w:tcPr>
          <w:p w14:paraId="47D391A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38" w:type="dxa"/>
            <w:tcBorders>
              <w:top w:val="nil"/>
              <w:left w:val="nil"/>
              <w:bottom w:val="nil"/>
              <w:right w:val="nil"/>
            </w:tcBorders>
            <w:shd w:val="clear" w:color="auto" w:fill="auto"/>
            <w:vAlign w:val="bottom"/>
          </w:tcPr>
          <w:p w14:paraId="1A8728F5"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48" w:type="dxa"/>
            <w:tcBorders>
              <w:top w:val="nil"/>
              <w:left w:val="nil"/>
              <w:bottom w:val="nil"/>
              <w:right w:val="nil"/>
            </w:tcBorders>
            <w:shd w:val="clear" w:color="auto" w:fill="auto"/>
            <w:vAlign w:val="bottom"/>
          </w:tcPr>
          <w:p w14:paraId="4E3AF37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923" w:type="dxa"/>
            <w:gridSpan w:val="2"/>
            <w:tcBorders>
              <w:top w:val="nil"/>
              <w:left w:val="nil"/>
              <w:bottom w:val="nil"/>
              <w:right w:val="nil"/>
            </w:tcBorders>
            <w:shd w:val="clear" w:color="auto" w:fill="auto"/>
            <w:vAlign w:val="bottom"/>
          </w:tcPr>
          <w:p w14:paraId="469A88AD" w14:textId="77777777" w:rsidR="00180098" w:rsidRPr="00440F54" w:rsidRDefault="00180098" w:rsidP="007F2074">
            <w:pPr>
              <w:spacing w:after="0" w:line="240" w:lineRule="auto"/>
              <w:jc w:val="right"/>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2,236,667</w:t>
            </w:r>
          </w:p>
        </w:tc>
        <w:tc>
          <w:tcPr>
            <w:tcW w:w="30" w:type="dxa"/>
            <w:tcBorders>
              <w:top w:val="nil"/>
              <w:left w:val="nil"/>
              <w:bottom w:val="nil"/>
              <w:right w:val="nil"/>
            </w:tcBorders>
            <w:shd w:val="clear" w:color="auto" w:fill="auto"/>
            <w:vAlign w:val="bottom"/>
          </w:tcPr>
          <w:p w14:paraId="317A1F07"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629" w:type="dxa"/>
            <w:gridSpan w:val="2"/>
            <w:tcBorders>
              <w:top w:val="nil"/>
              <w:left w:val="nil"/>
              <w:bottom w:val="nil"/>
              <w:right w:val="nil"/>
            </w:tcBorders>
            <w:shd w:val="clear" w:color="auto" w:fill="auto"/>
            <w:vAlign w:val="bottom"/>
          </w:tcPr>
          <w:p w14:paraId="350522A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83" w:type="dxa"/>
            <w:tcBorders>
              <w:top w:val="nil"/>
              <w:left w:val="nil"/>
              <w:bottom w:val="nil"/>
              <w:right w:val="nil"/>
            </w:tcBorders>
            <w:shd w:val="clear" w:color="auto" w:fill="auto"/>
            <w:vAlign w:val="bottom"/>
          </w:tcPr>
          <w:p w14:paraId="210EB1E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tcPr>
          <w:p w14:paraId="4BCC2AA9"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189,680</w:t>
            </w:r>
          </w:p>
        </w:tc>
        <w:tc>
          <w:tcPr>
            <w:tcW w:w="549" w:type="dxa"/>
            <w:gridSpan w:val="3"/>
            <w:tcBorders>
              <w:top w:val="nil"/>
              <w:left w:val="nil"/>
              <w:bottom w:val="nil"/>
              <w:right w:val="nil"/>
            </w:tcBorders>
            <w:shd w:val="clear" w:color="auto" w:fill="auto"/>
            <w:vAlign w:val="bottom"/>
          </w:tcPr>
          <w:p w14:paraId="728D684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35E5CE7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952" w:type="dxa"/>
            <w:gridSpan w:val="3"/>
            <w:tcBorders>
              <w:top w:val="nil"/>
              <w:left w:val="nil"/>
              <w:bottom w:val="nil"/>
              <w:right w:val="nil"/>
            </w:tcBorders>
            <w:shd w:val="clear" w:color="auto" w:fill="auto"/>
            <w:vAlign w:val="bottom"/>
          </w:tcPr>
          <w:p w14:paraId="4C2FB73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November 10, 2022</w:t>
            </w:r>
          </w:p>
        </w:tc>
        <w:tc>
          <w:tcPr>
            <w:tcW w:w="30" w:type="dxa"/>
            <w:tcBorders>
              <w:top w:val="nil"/>
              <w:left w:val="nil"/>
              <w:bottom w:val="nil"/>
              <w:right w:val="nil"/>
            </w:tcBorders>
            <w:shd w:val="clear" w:color="auto" w:fill="auto"/>
            <w:vAlign w:val="bottom"/>
          </w:tcPr>
          <w:p w14:paraId="5D9504C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38E56F4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290" w:type="dxa"/>
            <w:tcBorders>
              <w:top w:val="nil"/>
              <w:left w:val="nil"/>
              <w:bottom w:val="nil"/>
              <w:right w:val="nil"/>
            </w:tcBorders>
            <w:shd w:val="clear" w:color="auto" w:fill="auto"/>
            <w:vAlign w:val="bottom"/>
          </w:tcPr>
          <w:p w14:paraId="54EA0174"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13E26AD8" w14:textId="77777777" w:rsidTr="00D33273">
        <w:tc>
          <w:tcPr>
            <w:tcW w:w="1010" w:type="dxa"/>
            <w:tcBorders>
              <w:top w:val="nil"/>
              <w:left w:val="nil"/>
              <w:bottom w:val="nil"/>
              <w:right w:val="nil"/>
            </w:tcBorders>
            <w:shd w:val="clear" w:color="auto" w:fill="auto"/>
            <w:vAlign w:val="bottom"/>
          </w:tcPr>
          <w:p w14:paraId="6C03A9A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38" w:type="dxa"/>
            <w:tcBorders>
              <w:top w:val="nil"/>
              <w:left w:val="nil"/>
              <w:bottom w:val="nil"/>
              <w:right w:val="nil"/>
            </w:tcBorders>
            <w:shd w:val="clear" w:color="auto" w:fill="auto"/>
            <w:vAlign w:val="bottom"/>
          </w:tcPr>
          <w:p w14:paraId="63916EA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48" w:type="dxa"/>
            <w:tcBorders>
              <w:top w:val="nil"/>
              <w:left w:val="nil"/>
              <w:bottom w:val="nil"/>
              <w:right w:val="nil"/>
            </w:tcBorders>
            <w:shd w:val="clear" w:color="auto" w:fill="auto"/>
            <w:vAlign w:val="bottom"/>
          </w:tcPr>
          <w:p w14:paraId="5D4F9D1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923" w:type="dxa"/>
            <w:gridSpan w:val="2"/>
            <w:tcBorders>
              <w:top w:val="nil"/>
              <w:left w:val="nil"/>
              <w:bottom w:val="nil"/>
              <w:right w:val="nil"/>
            </w:tcBorders>
            <w:shd w:val="clear" w:color="auto" w:fill="auto"/>
            <w:vAlign w:val="bottom"/>
          </w:tcPr>
          <w:p w14:paraId="5249742F" w14:textId="77777777" w:rsidR="00180098" w:rsidRPr="00440F54" w:rsidRDefault="00180098" w:rsidP="007F2074">
            <w:pPr>
              <w:spacing w:after="0" w:line="240" w:lineRule="auto"/>
              <w:jc w:val="right"/>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1,000,000</w:t>
            </w:r>
          </w:p>
        </w:tc>
        <w:tc>
          <w:tcPr>
            <w:tcW w:w="30" w:type="dxa"/>
            <w:tcBorders>
              <w:top w:val="nil"/>
              <w:left w:val="nil"/>
              <w:bottom w:val="nil"/>
              <w:right w:val="nil"/>
            </w:tcBorders>
            <w:shd w:val="clear" w:color="auto" w:fill="auto"/>
            <w:vAlign w:val="bottom"/>
          </w:tcPr>
          <w:p w14:paraId="66FB153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629" w:type="dxa"/>
            <w:gridSpan w:val="2"/>
            <w:tcBorders>
              <w:top w:val="nil"/>
              <w:left w:val="nil"/>
              <w:bottom w:val="nil"/>
              <w:right w:val="nil"/>
            </w:tcBorders>
            <w:shd w:val="clear" w:color="auto" w:fill="auto"/>
            <w:vAlign w:val="bottom"/>
          </w:tcPr>
          <w:p w14:paraId="4969357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83" w:type="dxa"/>
            <w:tcBorders>
              <w:top w:val="nil"/>
              <w:left w:val="nil"/>
              <w:bottom w:val="nil"/>
              <w:right w:val="nil"/>
            </w:tcBorders>
            <w:shd w:val="clear" w:color="auto" w:fill="auto"/>
            <w:vAlign w:val="bottom"/>
          </w:tcPr>
          <w:p w14:paraId="643524A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tcPr>
          <w:p w14:paraId="65CC996C"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95,924</w:t>
            </w:r>
          </w:p>
        </w:tc>
        <w:tc>
          <w:tcPr>
            <w:tcW w:w="549" w:type="dxa"/>
            <w:gridSpan w:val="3"/>
            <w:tcBorders>
              <w:top w:val="nil"/>
              <w:left w:val="nil"/>
              <w:bottom w:val="nil"/>
              <w:right w:val="nil"/>
            </w:tcBorders>
            <w:shd w:val="clear" w:color="auto" w:fill="auto"/>
            <w:vAlign w:val="bottom"/>
          </w:tcPr>
          <w:p w14:paraId="7526B44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68DDEA4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952" w:type="dxa"/>
            <w:gridSpan w:val="3"/>
            <w:tcBorders>
              <w:top w:val="nil"/>
              <w:left w:val="nil"/>
              <w:bottom w:val="nil"/>
              <w:right w:val="nil"/>
            </w:tcBorders>
            <w:shd w:val="clear" w:color="auto" w:fill="auto"/>
            <w:vAlign w:val="bottom"/>
          </w:tcPr>
          <w:p w14:paraId="2472209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November 10, 2022</w:t>
            </w:r>
          </w:p>
        </w:tc>
        <w:tc>
          <w:tcPr>
            <w:tcW w:w="30" w:type="dxa"/>
            <w:tcBorders>
              <w:top w:val="nil"/>
              <w:left w:val="nil"/>
              <w:bottom w:val="nil"/>
              <w:right w:val="nil"/>
            </w:tcBorders>
            <w:shd w:val="clear" w:color="auto" w:fill="auto"/>
            <w:vAlign w:val="bottom"/>
          </w:tcPr>
          <w:p w14:paraId="4958A5B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68DADA3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290" w:type="dxa"/>
            <w:tcBorders>
              <w:top w:val="nil"/>
              <w:left w:val="nil"/>
              <w:bottom w:val="nil"/>
              <w:right w:val="nil"/>
            </w:tcBorders>
            <w:shd w:val="clear" w:color="auto" w:fill="auto"/>
            <w:vAlign w:val="bottom"/>
          </w:tcPr>
          <w:p w14:paraId="2EF23D4F"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0BC1EDB4" w14:textId="77777777" w:rsidTr="00D33273">
        <w:tc>
          <w:tcPr>
            <w:tcW w:w="1010" w:type="dxa"/>
            <w:tcBorders>
              <w:top w:val="nil"/>
              <w:left w:val="nil"/>
              <w:bottom w:val="nil"/>
              <w:right w:val="nil"/>
            </w:tcBorders>
            <w:shd w:val="clear" w:color="auto" w:fill="auto"/>
            <w:vAlign w:val="bottom"/>
          </w:tcPr>
          <w:p w14:paraId="70299285"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38" w:type="dxa"/>
            <w:tcBorders>
              <w:top w:val="nil"/>
              <w:left w:val="nil"/>
              <w:bottom w:val="nil"/>
              <w:right w:val="nil"/>
            </w:tcBorders>
            <w:shd w:val="clear" w:color="auto" w:fill="auto"/>
            <w:vAlign w:val="bottom"/>
          </w:tcPr>
          <w:p w14:paraId="05E6DF0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48" w:type="dxa"/>
            <w:tcBorders>
              <w:top w:val="nil"/>
              <w:left w:val="nil"/>
              <w:bottom w:val="nil"/>
              <w:right w:val="nil"/>
            </w:tcBorders>
            <w:shd w:val="clear" w:color="auto" w:fill="auto"/>
            <w:vAlign w:val="bottom"/>
          </w:tcPr>
          <w:p w14:paraId="0507840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923" w:type="dxa"/>
            <w:gridSpan w:val="2"/>
            <w:tcBorders>
              <w:top w:val="nil"/>
              <w:left w:val="nil"/>
              <w:bottom w:val="nil"/>
              <w:right w:val="nil"/>
            </w:tcBorders>
            <w:shd w:val="clear" w:color="auto" w:fill="auto"/>
            <w:vAlign w:val="bottom"/>
          </w:tcPr>
          <w:p w14:paraId="0C611B59" w14:textId="77777777" w:rsidR="00180098" w:rsidRPr="00440F54" w:rsidRDefault="00180098" w:rsidP="007F2074">
            <w:pPr>
              <w:spacing w:after="0" w:line="240" w:lineRule="auto"/>
              <w:jc w:val="right"/>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2,620,000</w:t>
            </w:r>
          </w:p>
        </w:tc>
        <w:tc>
          <w:tcPr>
            <w:tcW w:w="30" w:type="dxa"/>
            <w:tcBorders>
              <w:top w:val="nil"/>
              <w:left w:val="nil"/>
              <w:bottom w:val="nil"/>
              <w:right w:val="nil"/>
            </w:tcBorders>
            <w:shd w:val="clear" w:color="auto" w:fill="auto"/>
            <w:vAlign w:val="bottom"/>
          </w:tcPr>
          <w:p w14:paraId="0462E327"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629" w:type="dxa"/>
            <w:gridSpan w:val="2"/>
            <w:tcBorders>
              <w:top w:val="nil"/>
              <w:left w:val="nil"/>
              <w:bottom w:val="nil"/>
              <w:right w:val="nil"/>
            </w:tcBorders>
            <w:shd w:val="clear" w:color="auto" w:fill="auto"/>
            <w:vAlign w:val="bottom"/>
          </w:tcPr>
          <w:p w14:paraId="60B0FD0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83" w:type="dxa"/>
            <w:tcBorders>
              <w:top w:val="nil"/>
              <w:left w:val="nil"/>
              <w:bottom w:val="nil"/>
              <w:right w:val="nil"/>
            </w:tcBorders>
            <w:shd w:val="clear" w:color="auto" w:fill="auto"/>
            <w:vAlign w:val="bottom"/>
          </w:tcPr>
          <w:p w14:paraId="00E7AF5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tcPr>
          <w:p w14:paraId="533D6BA0"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146,639</w:t>
            </w:r>
          </w:p>
        </w:tc>
        <w:tc>
          <w:tcPr>
            <w:tcW w:w="549" w:type="dxa"/>
            <w:gridSpan w:val="3"/>
            <w:tcBorders>
              <w:top w:val="nil"/>
              <w:left w:val="nil"/>
              <w:bottom w:val="nil"/>
              <w:right w:val="nil"/>
            </w:tcBorders>
            <w:shd w:val="clear" w:color="auto" w:fill="auto"/>
            <w:vAlign w:val="bottom"/>
          </w:tcPr>
          <w:p w14:paraId="7656B19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76E8CD3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952" w:type="dxa"/>
            <w:gridSpan w:val="3"/>
            <w:tcBorders>
              <w:top w:val="nil"/>
              <w:left w:val="nil"/>
              <w:bottom w:val="nil"/>
              <w:right w:val="nil"/>
            </w:tcBorders>
            <w:shd w:val="clear" w:color="auto" w:fill="auto"/>
            <w:vAlign w:val="bottom"/>
          </w:tcPr>
          <w:p w14:paraId="5C14C61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November 10, 2022</w:t>
            </w:r>
          </w:p>
        </w:tc>
        <w:tc>
          <w:tcPr>
            <w:tcW w:w="30" w:type="dxa"/>
            <w:tcBorders>
              <w:top w:val="nil"/>
              <w:left w:val="nil"/>
              <w:bottom w:val="nil"/>
              <w:right w:val="nil"/>
            </w:tcBorders>
            <w:shd w:val="clear" w:color="auto" w:fill="auto"/>
            <w:vAlign w:val="bottom"/>
          </w:tcPr>
          <w:p w14:paraId="23FF37F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1113DF7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290" w:type="dxa"/>
            <w:tcBorders>
              <w:top w:val="nil"/>
              <w:left w:val="nil"/>
              <w:bottom w:val="nil"/>
              <w:right w:val="nil"/>
            </w:tcBorders>
            <w:shd w:val="clear" w:color="auto" w:fill="auto"/>
            <w:vAlign w:val="bottom"/>
          </w:tcPr>
          <w:p w14:paraId="4271C4E8"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0C1442FE" w14:textId="77777777" w:rsidTr="00D33273">
        <w:tc>
          <w:tcPr>
            <w:tcW w:w="1010" w:type="dxa"/>
            <w:tcBorders>
              <w:top w:val="nil"/>
              <w:left w:val="nil"/>
              <w:bottom w:val="nil"/>
              <w:right w:val="nil"/>
            </w:tcBorders>
            <w:shd w:val="clear" w:color="auto" w:fill="auto"/>
            <w:vAlign w:val="bottom"/>
          </w:tcPr>
          <w:p w14:paraId="29C8C2D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38" w:type="dxa"/>
            <w:tcBorders>
              <w:top w:val="nil"/>
              <w:left w:val="nil"/>
              <w:bottom w:val="nil"/>
              <w:right w:val="nil"/>
            </w:tcBorders>
            <w:shd w:val="clear" w:color="auto" w:fill="auto"/>
            <w:vAlign w:val="bottom"/>
          </w:tcPr>
          <w:p w14:paraId="15E8AC7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48" w:type="dxa"/>
            <w:tcBorders>
              <w:top w:val="nil"/>
              <w:left w:val="nil"/>
              <w:bottom w:val="nil"/>
              <w:right w:val="nil"/>
            </w:tcBorders>
            <w:shd w:val="clear" w:color="auto" w:fill="auto"/>
            <w:vAlign w:val="bottom"/>
          </w:tcPr>
          <w:p w14:paraId="1A2E428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923" w:type="dxa"/>
            <w:gridSpan w:val="2"/>
            <w:tcBorders>
              <w:top w:val="nil"/>
              <w:left w:val="nil"/>
              <w:bottom w:val="nil"/>
              <w:right w:val="nil"/>
            </w:tcBorders>
            <w:shd w:val="clear" w:color="auto" w:fill="auto"/>
            <w:vAlign w:val="bottom"/>
          </w:tcPr>
          <w:p w14:paraId="7BBC00D2" w14:textId="77777777" w:rsidR="00180098" w:rsidRPr="00440F54" w:rsidRDefault="00180098" w:rsidP="007F2074">
            <w:pPr>
              <w:spacing w:after="0" w:line="240" w:lineRule="auto"/>
              <w:jc w:val="right"/>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670,000</w:t>
            </w:r>
          </w:p>
        </w:tc>
        <w:tc>
          <w:tcPr>
            <w:tcW w:w="30" w:type="dxa"/>
            <w:tcBorders>
              <w:top w:val="nil"/>
              <w:left w:val="nil"/>
              <w:bottom w:val="nil"/>
              <w:right w:val="nil"/>
            </w:tcBorders>
            <w:shd w:val="clear" w:color="auto" w:fill="auto"/>
            <w:vAlign w:val="bottom"/>
          </w:tcPr>
          <w:p w14:paraId="7678842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629" w:type="dxa"/>
            <w:gridSpan w:val="2"/>
            <w:tcBorders>
              <w:top w:val="nil"/>
              <w:left w:val="nil"/>
              <w:bottom w:val="nil"/>
              <w:right w:val="nil"/>
            </w:tcBorders>
            <w:shd w:val="clear" w:color="auto" w:fill="auto"/>
            <w:vAlign w:val="bottom"/>
          </w:tcPr>
          <w:p w14:paraId="0873B75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83" w:type="dxa"/>
            <w:tcBorders>
              <w:top w:val="nil"/>
              <w:left w:val="nil"/>
              <w:bottom w:val="nil"/>
              <w:right w:val="nil"/>
            </w:tcBorders>
            <w:shd w:val="clear" w:color="auto" w:fill="auto"/>
            <w:vAlign w:val="bottom"/>
          </w:tcPr>
          <w:p w14:paraId="5A4D94B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tcPr>
          <w:p w14:paraId="6D4E2F74"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34,846</w:t>
            </w:r>
          </w:p>
        </w:tc>
        <w:tc>
          <w:tcPr>
            <w:tcW w:w="549" w:type="dxa"/>
            <w:gridSpan w:val="3"/>
            <w:tcBorders>
              <w:top w:val="nil"/>
              <w:left w:val="nil"/>
              <w:bottom w:val="nil"/>
              <w:right w:val="nil"/>
            </w:tcBorders>
            <w:shd w:val="clear" w:color="auto" w:fill="auto"/>
            <w:vAlign w:val="bottom"/>
          </w:tcPr>
          <w:p w14:paraId="6B7F573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0F41F6B5"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952" w:type="dxa"/>
            <w:gridSpan w:val="3"/>
            <w:tcBorders>
              <w:top w:val="nil"/>
              <w:left w:val="nil"/>
              <w:bottom w:val="nil"/>
              <w:right w:val="nil"/>
            </w:tcBorders>
            <w:shd w:val="clear" w:color="auto" w:fill="auto"/>
            <w:vAlign w:val="bottom"/>
          </w:tcPr>
          <w:p w14:paraId="70A23ED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November 10, 2022</w:t>
            </w:r>
          </w:p>
        </w:tc>
        <w:tc>
          <w:tcPr>
            <w:tcW w:w="30" w:type="dxa"/>
            <w:tcBorders>
              <w:top w:val="nil"/>
              <w:left w:val="nil"/>
              <w:bottom w:val="nil"/>
              <w:right w:val="nil"/>
            </w:tcBorders>
            <w:shd w:val="clear" w:color="auto" w:fill="auto"/>
            <w:vAlign w:val="bottom"/>
          </w:tcPr>
          <w:p w14:paraId="1B529E9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4B9A0B4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290" w:type="dxa"/>
            <w:tcBorders>
              <w:top w:val="nil"/>
              <w:left w:val="nil"/>
              <w:bottom w:val="nil"/>
              <w:right w:val="nil"/>
            </w:tcBorders>
            <w:shd w:val="clear" w:color="auto" w:fill="auto"/>
            <w:vAlign w:val="bottom"/>
          </w:tcPr>
          <w:p w14:paraId="6FB04EA7"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48FD89A6" w14:textId="77777777" w:rsidTr="00D33273">
        <w:tc>
          <w:tcPr>
            <w:tcW w:w="1010" w:type="dxa"/>
            <w:tcBorders>
              <w:top w:val="nil"/>
              <w:left w:val="nil"/>
              <w:bottom w:val="nil"/>
              <w:right w:val="nil"/>
            </w:tcBorders>
            <w:shd w:val="clear" w:color="auto" w:fill="auto"/>
            <w:vAlign w:val="bottom"/>
            <w:hideMark/>
          </w:tcPr>
          <w:p w14:paraId="005AC625"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nil"/>
              <w:left w:val="nil"/>
              <w:bottom w:val="nil"/>
              <w:right w:val="nil"/>
            </w:tcBorders>
            <w:shd w:val="clear" w:color="auto" w:fill="auto"/>
            <w:vAlign w:val="bottom"/>
            <w:hideMark/>
          </w:tcPr>
          <w:p w14:paraId="357031F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2C389C6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12D41573" w14:textId="77777777" w:rsidR="00180098" w:rsidRPr="00817E46" w:rsidRDefault="00180098" w:rsidP="007F2074">
            <w:pPr>
              <w:spacing w:after="0" w:line="240" w:lineRule="auto"/>
              <w:jc w:val="right"/>
              <w:rPr>
                <w:rFonts w:ascii="Times New Roman" w:eastAsia="Times New Roman" w:hAnsi="Times New Roman" w:cs="Times New Roman"/>
                <w:sz w:val="20"/>
                <w:szCs w:val="20"/>
                <w:lang w:val="en-US"/>
              </w:rPr>
            </w:pPr>
            <w:r w:rsidRPr="00817E46">
              <w:rPr>
                <w:rFonts w:ascii="Times New Roman" w:eastAsia="Times New Roman" w:hAnsi="Times New Roman" w:cs="Times New Roman"/>
                <w:sz w:val="20"/>
                <w:szCs w:val="20"/>
                <w:lang w:val="en-US"/>
              </w:rPr>
              <w:t>500,000</w:t>
            </w:r>
          </w:p>
        </w:tc>
        <w:tc>
          <w:tcPr>
            <w:tcW w:w="30" w:type="dxa"/>
            <w:tcBorders>
              <w:top w:val="nil"/>
              <w:left w:val="nil"/>
              <w:bottom w:val="nil"/>
              <w:right w:val="nil"/>
            </w:tcBorders>
            <w:shd w:val="clear" w:color="auto" w:fill="auto"/>
            <w:vAlign w:val="bottom"/>
            <w:hideMark/>
          </w:tcPr>
          <w:p w14:paraId="6D4798F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6EC3504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55EBC86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5172EC35"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48,088</w:t>
            </w:r>
          </w:p>
        </w:tc>
        <w:tc>
          <w:tcPr>
            <w:tcW w:w="549" w:type="dxa"/>
            <w:gridSpan w:val="3"/>
            <w:tcBorders>
              <w:top w:val="nil"/>
              <w:left w:val="nil"/>
              <w:bottom w:val="nil"/>
              <w:right w:val="nil"/>
            </w:tcBorders>
            <w:shd w:val="clear" w:color="auto" w:fill="auto"/>
            <w:vAlign w:val="bottom"/>
            <w:hideMark/>
          </w:tcPr>
          <w:p w14:paraId="40DC8538"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66EF989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10BEFF7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July 31, 2023</w:t>
            </w:r>
          </w:p>
        </w:tc>
        <w:tc>
          <w:tcPr>
            <w:tcW w:w="30" w:type="dxa"/>
            <w:tcBorders>
              <w:top w:val="nil"/>
              <w:left w:val="nil"/>
              <w:bottom w:val="nil"/>
              <w:right w:val="nil"/>
            </w:tcBorders>
            <w:shd w:val="clear" w:color="auto" w:fill="auto"/>
            <w:vAlign w:val="bottom"/>
            <w:hideMark/>
          </w:tcPr>
          <w:p w14:paraId="0A5ACA0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5804391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350E1D90"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08F9D5C6" w14:textId="77777777" w:rsidTr="00D33273">
        <w:tc>
          <w:tcPr>
            <w:tcW w:w="1010" w:type="dxa"/>
            <w:tcBorders>
              <w:top w:val="nil"/>
              <w:left w:val="nil"/>
              <w:bottom w:val="nil"/>
              <w:right w:val="nil"/>
            </w:tcBorders>
            <w:shd w:val="clear" w:color="auto" w:fill="auto"/>
            <w:vAlign w:val="bottom"/>
            <w:hideMark/>
          </w:tcPr>
          <w:p w14:paraId="4196736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nil"/>
              <w:left w:val="nil"/>
              <w:bottom w:val="nil"/>
              <w:right w:val="nil"/>
            </w:tcBorders>
            <w:shd w:val="clear" w:color="auto" w:fill="auto"/>
            <w:vAlign w:val="bottom"/>
            <w:hideMark/>
          </w:tcPr>
          <w:p w14:paraId="43D5346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6548C117"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33246F7D" w14:textId="77777777" w:rsidR="00180098" w:rsidRPr="00817E46" w:rsidRDefault="00180098" w:rsidP="007F2074">
            <w:pPr>
              <w:spacing w:after="0" w:line="240" w:lineRule="auto"/>
              <w:jc w:val="right"/>
              <w:rPr>
                <w:rFonts w:ascii="Times New Roman" w:eastAsia="Times New Roman" w:hAnsi="Times New Roman" w:cs="Times New Roman"/>
                <w:sz w:val="20"/>
                <w:szCs w:val="20"/>
                <w:lang w:val="en-US"/>
              </w:rPr>
            </w:pPr>
            <w:r w:rsidRPr="00817E46">
              <w:rPr>
                <w:rFonts w:ascii="Times New Roman" w:eastAsia="Times New Roman" w:hAnsi="Times New Roman" w:cs="Times New Roman"/>
                <w:sz w:val="20"/>
                <w:szCs w:val="20"/>
                <w:lang w:val="en-US"/>
              </w:rPr>
              <w:t>1,500,000</w:t>
            </w:r>
          </w:p>
        </w:tc>
        <w:tc>
          <w:tcPr>
            <w:tcW w:w="30" w:type="dxa"/>
            <w:tcBorders>
              <w:top w:val="nil"/>
              <w:left w:val="nil"/>
              <w:bottom w:val="nil"/>
              <w:right w:val="nil"/>
            </w:tcBorders>
            <w:shd w:val="clear" w:color="auto" w:fill="auto"/>
            <w:vAlign w:val="bottom"/>
            <w:hideMark/>
          </w:tcPr>
          <w:p w14:paraId="17D5E9F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047DCDF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6952AA9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2367F984"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144,261</w:t>
            </w:r>
          </w:p>
        </w:tc>
        <w:tc>
          <w:tcPr>
            <w:tcW w:w="549" w:type="dxa"/>
            <w:gridSpan w:val="3"/>
            <w:tcBorders>
              <w:top w:val="nil"/>
              <w:left w:val="nil"/>
              <w:bottom w:val="nil"/>
              <w:right w:val="nil"/>
            </w:tcBorders>
            <w:shd w:val="clear" w:color="auto" w:fill="auto"/>
            <w:vAlign w:val="bottom"/>
            <w:hideMark/>
          </w:tcPr>
          <w:p w14:paraId="66DC046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21A2FB1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0487FA0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July 31, 2023</w:t>
            </w:r>
          </w:p>
        </w:tc>
        <w:tc>
          <w:tcPr>
            <w:tcW w:w="30" w:type="dxa"/>
            <w:tcBorders>
              <w:top w:val="nil"/>
              <w:left w:val="nil"/>
              <w:bottom w:val="nil"/>
              <w:right w:val="nil"/>
            </w:tcBorders>
            <w:shd w:val="clear" w:color="auto" w:fill="auto"/>
            <w:vAlign w:val="bottom"/>
            <w:hideMark/>
          </w:tcPr>
          <w:p w14:paraId="6F9083E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16207A07"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76F61B02"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366CBB16" w14:textId="77777777" w:rsidTr="00D33273">
        <w:tc>
          <w:tcPr>
            <w:tcW w:w="1010" w:type="dxa"/>
            <w:tcBorders>
              <w:top w:val="nil"/>
              <w:left w:val="nil"/>
              <w:bottom w:val="nil"/>
              <w:right w:val="nil"/>
            </w:tcBorders>
            <w:shd w:val="clear" w:color="auto" w:fill="auto"/>
            <w:vAlign w:val="bottom"/>
            <w:hideMark/>
          </w:tcPr>
          <w:p w14:paraId="738ACFD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nil"/>
              <w:left w:val="nil"/>
              <w:bottom w:val="nil"/>
              <w:right w:val="nil"/>
            </w:tcBorders>
            <w:shd w:val="clear" w:color="auto" w:fill="auto"/>
            <w:vAlign w:val="bottom"/>
            <w:hideMark/>
          </w:tcPr>
          <w:p w14:paraId="2F544CD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50139C0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1B54C767" w14:textId="77777777" w:rsidR="00180098" w:rsidRPr="00817E46" w:rsidRDefault="00180098" w:rsidP="007F2074">
            <w:pPr>
              <w:spacing w:after="0" w:line="240" w:lineRule="auto"/>
              <w:jc w:val="right"/>
              <w:rPr>
                <w:rFonts w:ascii="Times New Roman" w:eastAsia="Times New Roman" w:hAnsi="Times New Roman" w:cs="Times New Roman"/>
                <w:sz w:val="20"/>
                <w:szCs w:val="20"/>
                <w:lang w:val="en-US"/>
              </w:rPr>
            </w:pPr>
            <w:r w:rsidRPr="00817E46">
              <w:rPr>
                <w:rFonts w:ascii="Times New Roman" w:eastAsia="Times New Roman" w:hAnsi="Times New Roman" w:cs="Times New Roman"/>
                <w:sz w:val="20"/>
                <w:szCs w:val="20"/>
                <w:lang w:val="en-US"/>
              </w:rPr>
              <w:t>1,000,000</w:t>
            </w:r>
          </w:p>
        </w:tc>
        <w:tc>
          <w:tcPr>
            <w:tcW w:w="30" w:type="dxa"/>
            <w:tcBorders>
              <w:top w:val="nil"/>
              <w:left w:val="nil"/>
              <w:bottom w:val="nil"/>
              <w:right w:val="nil"/>
            </w:tcBorders>
            <w:shd w:val="clear" w:color="auto" w:fill="auto"/>
            <w:vAlign w:val="bottom"/>
            <w:hideMark/>
          </w:tcPr>
          <w:p w14:paraId="1E72899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2B164C0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116EF23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684F3418"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96,174</w:t>
            </w:r>
          </w:p>
        </w:tc>
        <w:tc>
          <w:tcPr>
            <w:tcW w:w="549" w:type="dxa"/>
            <w:gridSpan w:val="3"/>
            <w:tcBorders>
              <w:top w:val="nil"/>
              <w:left w:val="nil"/>
              <w:bottom w:val="nil"/>
              <w:right w:val="nil"/>
            </w:tcBorders>
            <w:shd w:val="clear" w:color="auto" w:fill="auto"/>
            <w:vAlign w:val="bottom"/>
            <w:hideMark/>
          </w:tcPr>
          <w:p w14:paraId="418E702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10729165"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16408CC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July 31, 2023</w:t>
            </w:r>
          </w:p>
        </w:tc>
        <w:tc>
          <w:tcPr>
            <w:tcW w:w="30" w:type="dxa"/>
            <w:tcBorders>
              <w:top w:val="nil"/>
              <w:left w:val="nil"/>
              <w:bottom w:val="nil"/>
              <w:right w:val="nil"/>
            </w:tcBorders>
            <w:shd w:val="clear" w:color="auto" w:fill="auto"/>
            <w:vAlign w:val="bottom"/>
            <w:hideMark/>
          </w:tcPr>
          <w:p w14:paraId="4564C9BD"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469C3AA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72827D64"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34F19" w:rsidRPr="00D2099E" w14:paraId="64C96409" w14:textId="77777777" w:rsidTr="00D33273">
        <w:tc>
          <w:tcPr>
            <w:tcW w:w="1010" w:type="dxa"/>
            <w:tcBorders>
              <w:top w:val="nil"/>
              <w:left w:val="nil"/>
              <w:bottom w:val="nil"/>
              <w:right w:val="nil"/>
            </w:tcBorders>
            <w:shd w:val="clear" w:color="auto" w:fill="auto"/>
            <w:vAlign w:val="bottom"/>
            <w:hideMark/>
          </w:tcPr>
          <w:p w14:paraId="045214F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38" w:type="dxa"/>
            <w:tcBorders>
              <w:top w:val="nil"/>
              <w:left w:val="nil"/>
              <w:bottom w:val="nil"/>
              <w:right w:val="nil"/>
            </w:tcBorders>
            <w:shd w:val="clear" w:color="auto" w:fill="auto"/>
            <w:vAlign w:val="bottom"/>
            <w:hideMark/>
          </w:tcPr>
          <w:p w14:paraId="5BFBC0C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nil"/>
              <w:left w:val="nil"/>
              <w:bottom w:val="nil"/>
              <w:right w:val="nil"/>
            </w:tcBorders>
            <w:shd w:val="clear" w:color="auto" w:fill="auto"/>
            <w:vAlign w:val="bottom"/>
            <w:hideMark/>
          </w:tcPr>
          <w:p w14:paraId="641FFCE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nil"/>
              <w:left w:val="nil"/>
              <w:bottom w:val="nil"/>
              <w:right w:val="nil"/>
            </w:tcBorders>
            <w:shd w:val="clear" w:color="auto" w:fill="auto"/>
            <w:vAlign w:val="bottom"/>
            <w:hideMark/>
          </w:tcPr>
          <w:p w14:paraId="3A35AC2B" w14:textId="77777777" w:rsidR="00180098" w:rsidRPr="00817E46" w:rsidRDefault="00180098" w:rsidP="007F2074">
            <w:pPr>
              <w:spacing w:after="0" w:line="240" w:lineRule="auto"/>
              <w:jc w:val="right"/>
              <w:rPr>
                <w:rFonts w:ascii="Times New Roman" w:eastAsia="Times New Roman" w:hAnsi="Times New Roman" w:cs="Times New Roman"/>
                <w:sz w:val="20"/>
                <w:szCs w:val="20"/>
                <w:lang w:val="en-US"/>
              </w:rPr>
            </w:pPr>
            <w:r w:rsidRPr="00817E46">
              <w:rPr>
                <w:rFonts w:ascii="Times New Roman" w:eastAsia="Times New Roman" w:hAnsi="Times New Roman" w:cs="Times New Roman"/>
                <w:sz w:val="20"/>
                <w:szCs w:val="20"/>
                <w:lang w:val="en-US"/>
              </w:rPr>
              <w:t>200,000</w:t>
            </w:r>
          </w:p>
        </w:tc>
        <w:tc>
          <w:tcPr>
            <w:tcW w:w="30" w:type="dxa"/>
            <w:tcBorders>
              <w:top w:val="nil"/>
              <w:left w:val="nil"/>
              <w:bottom w:val="nil"/>
              <w:right w:val="nil"/>
            </w:tcBorders>
            <w:shd w:val="clear" w:color="auto" w:fill="auto"/>
            <w:vAlign w:val="bottom"/>
            <w:hideMark/>
          </w:tcPr>
          <w:p w14:paraId="381AB255"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nil"/>
              <w:right w:val="nil"/>
            </w:tcBorders>
            <w:shd w:val="clear" w:color="auto" w:fill="auto"/>
            <w:vAlign w:val="bottom"/>
            <w:hideMark/>
          </w:tcPr>
          <w:p w14:paraId="7338300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83" w:type="dxa"/>
            <w:tcBorders>
              <w:top w:val="nil"/>
              <w:left w:val="nil"/>
              <w:bottom w:val="nil"/>
              <w:right w:val="nil"/>
            </w:tcBorders>
            <w:shd w:val="clear" w:color="auto" w:fill="auto"/>
            <w:vAlign w:val="bottom"/>
            <w:hideMark/>
          </w:tcPr>
          <w:p w14:paraId="4D96A15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nil"/>
              <w:right w:val="nil"/>
            </w:tcBorders>
            <w:shd w:val="clear" w:color="auto" w:fill="auto"/>
            <w:vAlign w:val="bottom"/>
            <w:hideMark/>
          </w:tcPr>
          <w:p w14:paraId="26B8F7CD"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19,235</w:t>
            </w:r>
          </w:p>
        </w:tc>
        <w:tc>
          <w:tcPr>
            <w:tcW w:w="549" w:type="dxa"/>
            <w:gridSpan w:val="3"/>
            <w:tcBorders>
              <w:top w:val="nil"/>
              <w:left w:val="nil"/>
              <w:bottom w:val="nil"/>
              <w:right w:val="nil"/>
            </w:tcBorders>
            <w:shd w:val="clear" w:color="auto" w:fill="auto"/>
            <w:vAlign w:val="bottom"/>
            <w:hideMark/>
          </w:tcPr>
          <w:p w14:paraId="210741DA"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2E75FB8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nil"/>
              <w:right w:val="nil"/>
            </w:tcBorders>
            <w:shd w:val="clear" w:color="auto" w:fill="auto"/>
            <w:vAlign w:val="bottom"/>
            <w:hideMark/>
          </w:tcPr>
          <w:p w14:paraId="7F3F076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July 28, 2023</w:t>
            </w:r>
          </w:p>
        </w:tc>
        <w:tc>
          <w:tcPr>
            <w:tcW w:w="30" w:type="dxa"/>
            <w:tcBorders>
              <w:top w:val="nil"/>
              <w:left w:val="nil"/>
              <w:bottom w:val="nil"/>
              <w:right w:val="nil"/>
            </w:tcBorders>
            <w:shd w:val="clear" w:color="auto" w:fill="auto"/>
            <w:vAlign w:val="bottom"/>
            <w:hideMark/>
          </w:tcPr>
          <w:p w14:paraId="300C4F2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nil"/>
              <w:right w:val="nil"/>
            </w:tcBorders>
            <w:shd w:val="clear" w:color="auto" w:fill="auto"/>
            <w:vAlign w:val="bottom"/>
            <w:hideMark/>
          </w:tcPr>
          <w:p w14:paraId="6344E5A1"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nil"/>
              <w:right w:val="nil"/>
            </w:tcBorders>
            <w:shd w:val="clear" w:color="auto" w:fill="auto"/>
            <w:vAlign w:val="bottom"/>
            <w:hideMark/>
          </w:tcPr>
          <w:p w14:paraId="652A2B40"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43F2A" w:rsidRPr="00D2099E" w14:paraId="5F2FFE1B" w14:textId="77777777" w:rsidTr="00D33273">
        <w:tc>
          <w:tcPr>
            <w:tcW w:w="1010" w:type="dxa"/>
            <w:tcBorders>
              <w:top w:val="nil"/>
              <w:left w:val="nil"/>
              <w:bottom w:val="nil"/>
              <w:right w:val="nil"/>
            </w:tcBorders>
            <w:shd w:val="clear" w:color="auto" w:fill="auto"/>
            <w:vAlign w:val="bottom"/>
          </w:tcPr>
          <w:p w14:paraId="1D0FA2F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38" w:type="dxa"/>
            <w:tcBorders>
              <w:top w:val="nil"/>
              <w:left w:val="nil"/>
              <w:bottom w:val="nil"/>
              <w:right w:val="nil"/>
            </w:tcBorders>
            <w:shd w:val="clear" w:color="auto" w:fill="auto"/>
            <w:vAlign w:val="bottom"/>
          </w:tcPr>
          <w:p w14:paraId="7BEC5EB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48" w:type="dxa"/>
            <w:tcBorders>
              <w:top w:val="nil"/>
              <w:left w:val="nil"/>
              <w:bottom w:val="single" w:sz="12" w:space="0" w:color="auto"/>
              <w:right w:val="nil"/>
            </w:tcBorders>
            <w:shd w:val="clear" w:color="auto" w:fill="auto"/>
            <w:vAlign w:val="bottom"/>
          </w:tcPr>
          <w:p w14:paraId="35FB2D3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923" w:type="dxa"/>
            <w:gridSpan w:val="2"/>
            <w:tcBorders>
              <w:top w:val="nil"/>
              <w:left w:val="nil"/>
              <w:bottom w:val="single" w:sz="12" w:space="0" w:color="auto"/>
              <w:right w:val="nil"/>
            </w:tcBorders>
            <w:shd w:val="clear" w:color="auto" w:fill="auto"/>
            <w:vAlign w:val="bottom"/>
          </w:tcPr>
          <w:p w14:paraId="00014AA8" w14:textId="77777777" w:rsidR="00180098" w:rsidRPr="00817E46" w:rsidRDefault="00180098" w:rsidP="007F2074">
            <w:pPr>
              <w:spacing w:after="0" w:line="240" w:lineRule="auto"/>
              <w:jc w:val="right"/>
              <w:rPr>
                <w:rFonts w:ascii="Times New Roman" w:eastAsia="Times New Roman" w:hAnsi="Times New Roman" w:cs="Times New Roman"/>
                <w:sz w:val="20"/>
                <w:szCs w:val="20"/>
                <w:lang w:val="en-US"/>
              </w:rPr>
            </w:pPr>
            <w:r w:rsidRPr="00817E46">
              <w:rPr>
                <w:rFonts w:ascii="Times New Roman" w:eastAsia="Times New Roman" w:hAnsi="Times New Roman" w:cs="Times New Roman"/>
                <w:sz w:val="20"/>
                <w:szCs w:val="20"/>
                <w:lang w:val="en-US"/>
              </w:rPr>
              <w:t>2,360,000</w:t>
            </w:r>
          </w:p>
        </w:tc>
        <w:tc>
          <w:tcPr>
            <w:tcW w:w="30" w:type="dxa"/>
            <w:tcBorders>
              <w:top w:val="nil"/>
              <w:left w:val="nil"/>
              <w:bottom w:val="nil"/>
              <w:right w:val="nil"/>
            </w:tcBorders>
            <w:shd w:val="clear" w:color="auto" w:fill="auto"/>
            <w:vAlign w:val="bottom"/>
          </w:tcPr>
          <w:p w14:paraId="4C99B5B2"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629" w:type="dxa"/>
            <w:gridSpan w:val="2"/>
            <w:tcBorders>
              <w:top w:val="nil"/>
              <w:left w:val="nil"/>
              <w:bottom w:val="nil"/>
              <w:right w:val="nil"/>
            </w:tcBorders>
            <w:shd w:val="clear" w:color="auto" w:fill="auto"/>
            <w:vAlign w:val="bottom"/>
          </w:tcPr>
          <w:p w14:paraId="3FDC3D0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83" w:type="dxa"/>
            <w:tcBorders>
              <w:top w:val="nil"/>
              <w:left w:val="nil"/>
              <w:bottom w:val="single" w:sz="12" w:space="0" w:color="auto"/>
              <w:right w:val="nil"/>
            </w:tcBorders>
            <w:shd w:val="clear" w:color="auto" w:fill="auto"/>
            <w:vAlign w:val="bottom"/>
          </w:tcPr>
          <w:p w14:paraId="7F1D918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nil"/>
              <w:left w:val="nil"/>
              <w:bottom w:val="single" w:sz="12" w:space="0" w:color="auto"/>
              <w:right w:val="nil"/>
            </w:tcBorders>
            <w:shd w:val="clear" w:color="auto" w:fill="auto"/>
            <w:vAlign w:val="bottom"/>
          </w:tcPr>
          <w:p w14:paraId="2C63CD8B"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226,971</w:t>
            </w:r>
          </w:p>
        </w:tc>
        <w:tc>
          <w:tcPr>
            <w:tcW w:w="549" w:type="dxa"/>
            <w:gridSpan w:val="3"/>
            <w:tcBorders>
              <w:top w:val="nil"/>
              <w:left w:val="nil"/>
              <w:bottom w:val="nil"/>
              <w:right w:val="nil"/>
            </w:tcBorders>
            <w:shd w:val="clear" w:color="auto" w:fill="auto"/>
            <w:vAlign w:val="bottom"/>
          </w:tcPr>
          <w:p w14:paraId="0BD112A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6EC5839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1952" w:type="dxa"/>
            <w:gridSpan w:val="3"/>
            <w:tcBorders>
              <w:top w:val="nil"/>
              <w:left w:val="nil"/>
              <w:bottom w:val="nil"/>
              <w:right w:val="nil"/>
            </w:tcBorders>
            <w:shd w:val="clear" w:color="auto" w:fill="auto"/>
            <w:vAlign w:val="bottom"/>
          </w:tcPr>
          <w:p w14:paraId="2A56C393"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July 28, 2023</w:t>
            </w:r>
          </w:p>
        </w:tc>
        <w:tc>
          <w:tcPr>
            <w:tcW w:w="30" w:type="dxa"/>
            <w:tcBorders>
              <w:top w:val="nil"/>
              <w:left w:val="nil"/>
              <w:bottom w:val="nil"/>
              <w:right w:val="nil"/>
            </w:tcBorders>
            <w:shd w:val="clear" w:color="auto" w:fill="auto"/>
            <w:vAlign w:val="bottom"/>
          </w:tcPr>
          <w:p w14:paraId="5D99B86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30" w:type="dxa"/>
            <w:tcBorders>
              <w:top w:val="nil"/>
              <w:left w:val="nil"/>
              <w:bottom w:val="nil"/>
              <w:right w:val="nil"/>
            </w:tcBorders>
            <w:shd w:val="clear" w:color="auto" w:fill="auto"/>
            <w:vAlign w:val="bottom"/>
          </w:tcPr>
          <w:p w14:paraId="6D43B3EF"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p>
        </w:tc>
        <w:tc>
          <w:tcPr>
            <w:tcW w:w="2290" w:type="dxa"/>
            <w:tcBorders>
              <w:top w:val="nil"/>
              <w:left w:val="nil"/>
              <w:bottom w:val="nil"/>
              <w:right w:val="nil"/>
            </w:tcBorders>
            <w:shd w:val="clear" w:color="auto" w:fill="auto"/>
            <w:vAlign w:val="bottom"/>
          </w:tcPr>
          <w:p w14:paraId="595ACF55" w14:textId="77777777" w:rsidR="00180098" w:rsidRPr="00D2099E" w:rsidRDefault="00180098" w:rsidP="007F2074">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w:t>
            </w:r>
          </w:p>
        </w:tc>
      </w:tr>
      <w:tr w:rsidR="00343F2A" w:rsidRPr="00D2099E" w14:paraId="547CB668" w14:textId="77777777" w:rsidTr="00D33273">
        <w:tc>
          <w:tcPr>
            <w:tcW w:w="1010" w:type="dxa"/>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4F3436D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b/>
                <w:bCs/>
                <w:sz w:val="20"/>
                <w:szCs w:val="20"/>
                <w:lang w:val="en-US"/>
              </w:rPr>
              <w:t>Total</w:t>
            </w:r>
          </w:p>
        </w:tc>
        <w:tc>
          <w:tcPr>
            <w:tcW w:w="138" w:type="dxa"/>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21279DB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48" w:type="dxa"/>
            <w:tcBorders>
              <w:top w:val="single" w:sz="12" w:space="0" w:color="auto"/>
              <w:left w:val="nil"/>
              <w:bottom w:val="single" w:sz="12" w:space="0" w:color="auto"/>
              <w:right w:val="nil"/>
            </w:tcBorders>
            <w:shd w:val="clear" w:color="auto" w:fill="auto"/>
            <w:vAlign w:val="bottom"/>
            <w:hideMark/>
          </w:tcPr>
          <w:p w14:paraId="07DA01EC"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23" w:type="dxa"/>
            <w:gridSpan w:val="2"/>
            <w:tcBorders>
              <w:top w:val="single" w:sz="12" w:space="0" w:color="auto"/>
              <w:left w:val="nil"/>
              <w:bottom w:val="single" w:sz="12" w:space="0" w:color="auto"/>
              <w:right w:val="nil"/>
            </w:tcBorders>
            <w:shd w:val="clear" w:color="auto" w:fill="auto"/>
            <w:vAlign w:val="bottom"/>
            <w:hideMark/>
          </w:tcPr>
          <w:p w14:paraId="5188740E" w14:textId="10251D29" w:rsidR="00180098" w:rsidRPr="00817E46" w:rsidRDefault="00180098" w:rsidP="00CA4239">
            <w:pPr>
              <w:spacing w:after="0" w:line="240" w:lineRule="auto"/>
              <w:rPr>
                <w:rFonts w:ascii="Times New Roman" w:eastAsia="Times New Roman" w:hAnsi="Times New Roman" w:cs="Times New Roman"/>
                <w:sz w:val="20"/>
                <w:szCs w:val="20"/>
                <w:lang w:val="en-US"/>
              </w:rPr>
            </w:pPr>
            <w:r w:rsidRPr="00440F54">
              <w:rPr>
                <w:rFonts w:ascii="Times New Roman" w:eastAsia="Times New Roman" w:hAnsi="Times New Roman" w:cs="Times New Roman"/>
                <w:sz w:val="20"/>
                <w:szCs w:val="20"/>
                <w:lang w:val="en-US"/>
              </w:rPr>
              <w:t>13,986,667</w:t>
            </w:r>
          </w:p>
        </w:tc>
        <w:tc>
          <w:tcPr>
            <w:tcW w:w="30" w:type="dxa"/>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7AD91533" w14:textId="15AE70E0"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629" w:type="dxa"/>
            <w:gridSpan w:val="2"/>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750F36BE"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 </w:t>
            </w:r>
          </w:p>
        </w:tc>
        <w:tc>
          <w:tcPr>
            <w:tcW w:w="283" w:type="dxa"/>
            <w:tcBorders>
              <w:top w:val="single" w:sz="12" w:space="0" w:color="auto"/>
              <w:left w:val="nil"/>
              <w:bottom w:val="single" w:sz="12" w:space="0" w:color="auto"/>
              <w:right w:val="nil"/>
            </w:tcBorders>
            <w:shd w:val="clear" w:color="auto" w:fill="auto"/>
            <w:vAlign w:val="bottom"/>
            <w:hideMark/>
          </w:tcPr>
          <w:p w14:paraId="63B4028B"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132" w:type="dxa"/>
            <w:gridSpan w:val="2"/>
            <w:tcBorders>
              <w:top w:val="single" w:sz="12" w:space="0" w:color="auto"/>
              <w:left w:val="nil"/>
              <w:bottom w:val="single" w:sz="12" w:space="0" w:color="auto"/>
              <w:right w:val="nil"/>
            </w:tcBorders>
            <w:shd w:val="clear" w:color="auto" w:fill="auto"/>
            <w:vAlign w:val="bottom"/>
            <w:hideMark/>
          </w:tcPr>
          <w:p w14:paraId="0BD28184"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1,184,549</w:t>
            </w:r>
          </w:p>
        </w:tc>
        <w:tc>
          <w:tcPr>
            <w:tcW w:w="549" w:type="dxa"/>
            <w:gridSpan w:val="3"/>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25BF5176"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37A4F1A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52" w:type="dxa"/>
            <w:gridSpan w:val="3"/>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4DD7B969"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67F0C2E4"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0" w:type="dxa"/>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1A718530" w14:textId="77777777" w:rsidR="00180098" w:rsidRPr="00D2099E" w:rsidRDefault="00180098"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2290" w:type="dxa"/>
            <w:tcBorders>
              <w:top w:val="nil"/>
              <w:left w:val="nil"/>
              <w:bottom w:val="single" w:sz="12" w:space="0" w:color="auto"/>
              <w:right w:val="nil"/>
            </w:tcBorders>
            <w:shd w:val="clear" w:color="auto" w:fill="auto"/>
            <w:tcMar>
              <w:top w:w="0" w:type="dxa"/>
              <w:left w:w="0" w:type="dxa"/>
              <w:bottom w:w="30" w:type="dxa"/>
              <w:right w:w="0" w:type="dxa"/>
            </w:tcMar>
            <w:vAlign w:val="bottom"/>
            <w:hideMark/>
          </w:tcPr>
          <w:p w14:paraId="100F4C8B" w14:textId="77777777" w:rsidR="00180098" w:rsidRPr="00D2099E" w:rsidRDefault="00180098" w:rsidP="007F2074">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bl>
    <w:p w14:paraId="31C053AE" w14:textId="0C5C7EC5" w:rsidR="00F40D4B" w:rsidRDefault="00F40D4B" w:rsidP="00D2099E">
      <w:pPr>
        <w:spacing w:after="0" w:line="240" w:lineRule="auto"/>
        <w:jc w:val="both"/>
        <w:rPr>
          <w:rFonts w:ascii="Times New Roman" w:eastAsia="Times New Roman" w:hAnsi="Times New Roman" w:cs="Times New Roman"/>
          <w:sz w:val="20"/>
          <w:szCs w:val="20"/>
          <w:lang w:val="en-US"/>
        </w:rPr>
      </w:pPr>
    </w:p>
    <w:p w14:paraId="5377F8AC" w14:textId="6B48AD9F" w:rsidR="00F956B0" w:rsidRDefault="00F956B0" w:rsidP="00F956B0">
      <w:pPr>
        <w:spacing w:after="0" w:line="240" w:lineRule="auto"/>
        <w:ind w:firstLine="360"/>
        <w:jc w:val="both"/>
        <w:rPr>
          <w:rFonts w:ascii="Times New Roman" w:eastAsia="Times New Roman" w:hAnsi="Times New Roman" w:cs="Times New Roman"/>
          <w:sz w:val="20"/>
          <w:szCs w:val="20"/>
          <w:lang w:val="en-US"/>
        </w:rPr>
      </w:pPr>
      <w:r w:rsidRPr="00817E46">
        <w:rPr>
          <w:rFonts w:ascii="Times New Roman" w:eastAsia="Times New Roman" w:hAnsi="Times New Roman" w:cs="Times New Roman"/>
          <w:sz w:val="20"/>
          <w:szCs w:val="20"/>
          <w:lang w:val="en-US"/>
        </w:rPr>
        <w:t>*</w:t>
      </w:r>
      <w:r w:rsidR="00C82865" w:rsidRPr="00440F54">
        <w:rPr>
          <w:rFonts w:ascii="Times New Roman" w:eastAsia="Times New Roman" w:hAnsi="Times New Roman" w:cs="Times New Roman"/>
          <w:sz w:val="20"/>
          <w:szCs w:val="20"/>
          <w:lang w:val="en-US"/>
        </w:rPr>
        <w:t xml:space="preserve">Includes </w:t>
      </w:r>
      <w:r w:rsidR="00817E46" w:rsidRPr="00440F54">
        <w:rPr>
          <w:rFonts w:ascii="Times New Roman" w:eastAsia="Times New Roman" w:hAnsi="Times New Roman" w:cs="Times New Roman"/>
          <w:sz w:val="20"/>
          <w:szCs w:val="20"/>
          <w:lang w:val="en-US"/>
        </w:rPr>
        <w:t>12</w:t>
      </w:r>
      <w:r w:rsidR="00C82865" w:rsidRPr="00440F54">
        <w:rPr>
          <w:rFonts w:ascii="Times New Roman" w:eastAsia="Times New Roman" w:hAnsi="Times New Roman" w:cs="Times New Roman"/>
          <w:sz w:val="20"/>
          <w:szCs w:val="20"/>
          <w:lang w:val="en-US"/>
        </w:rPr>
        <w:t>,</w:t>
      </w:r>
      <w:r w:rsidR="00817E46" w:rsidRPr="00440F54">
        <w:rPr>
          <w:rFonts w:ascii="Times New Roman" w:eastAsia="Times New Roman" w:hAnsi="Times New Roman" w:cs="Times New Roman"/>
          <w:sz w:val="20"/>
          <w:szCs w:val="20"/>
          <w:lang w:val="en-US"/>
        </w:rPr>
        <w:t>176</w:t>
      </w:r>
      <w:r w:rsidR="00C82865" w:rsidRPr="00440F54">
        <w:rPr>
          <w:rFonts w:ascii="Times New Roman" w:eastAsia="Times New Roman" w:hAnsi="Times New Roman" w:cs="Times New Roman"/>
          <w:sz w:val="20"/>
          <w:szCs w:val="20"/>
          <w:lang w:val="en-US"/>
        </w:rPr>
        <w:t>,</w:t>
      </w:r>
      <w:r w:rsidR="00817E46" w:rsidRPr="00440F54">
        <w:rPr>
          <w:rFonts w:ascii="Times New Roman" w:eastAsia="Times New Roman" w:hAnsi="Times New Roman" w:cs="Times New Roman"/>
          <w:sz w:val="20"/>
          <w:szCs w:val="20"/>
          <w:lang w:val="en-US"/>
        </w:rPr>
        <w:t>667</w:t>
      </w:r>
      <w:r w:rsidR="00C82865" w:rsidRPr="00440F54">
        <w:rPr>
          <w:rFonts w:ascii="Times New Roman" w:eastAsia="Times New Roman" w:hAnsi="Times New Roman" w:cs="Times New Roman"/>
          <w:sz w:val="20"/>
          <w:szCs w:val="20"/>
          <w:lang w:val="en-US"/>
        </w:rPr>
        <w:t xml:space="preserve"> warrants exercised and</w:t>
      </w:r>
      <w:r w:rsidR="00817E46" w:rsidRPr="00817E46">
        <w:rPr>
          <w:rFonts w:ascii="Times New Roman" w:eastAsia="Times New Roman" w:hAnsi="Times New Roman" w:cs="Times New Roman"/>
          <w:sz w:val="20"/>
          <w:szCs w:val="20"/>
          <w:lang w:val="en-US"/>
        </w:rPr>
        <w:t xml:space="preserve"> 1,810,000</w:t>
      </w:r>
      <w:r w:rsidR="00817E46">
        <w:rPr>
          <w:rFonts w:ascii="Times New Roman" w:eastAsia="Times New Roman" w:hAnsi="Times New Roman" w:cs="Times New Roman"/>
          <w:sz w:val="20"/>
          <w:szCs w:val="20"/>
          <w:lang w:val="en-US"/>
        </w:rPr>
        <w:t xml:space="preserve"> options exercised</w:t>
      </w:r>
      <w:r w:rsidR="00C82865">
        <w:rPr>
          <w:rFonts w:ascii="Times New Roman" w:eastAsia="Times New Roman" w:hAnsi="Times New Roman" w:cs="Times New Roman"/>
          <w:sz w:val="20"/>
          <w:szCs w:val="20"/>
          <w:lang w:val="en-US"/>
        </w:rPr>
        <w:t xml:space="preserve"> </w:t>
      </w:r>
    </w:p>
    <w:p w14:paraId="3737E885" w14:textId="77777777" w:rsidR="005D702C" w:rsidRPr="00D2099E" w:rsidRDefault="005D702C" w:rsidP="00722478">
      <w:pPr>
        <w:spacing w:after="0" w:line="240" w:lineRule="auto"/>
        <w:ind w:firstLine="360"/>
        <w:jc w:val="both"/>
        <w:rPr>
          <w:rFonts w:ascii="Times New Roman" w:eastAsia="Times New Roman" w:hAnsi="Times New Roman" w:cs="Times New Roman"/>
          <w:sz w:val="20"/>
          <w:szCs w:val="20"/>
          <w:lang w:val="en-US"/>
        </w:rPr>
      </w:pPr>
    </w:p>
    <w:p w14:paraId="4FAE5526" w14:textId="3E82DCD2" w:rsidR="00D2099E" w:rsidRPr="00D2099E" w:rsidRDefault="00D2099E" w:rsidP="00722478">
      <w:pPr>
        <w:spacing w:after="0" w:line="240" w:lineRule="auto"/>
        <w:ind w:firstLine="360"/>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following is a continuity of the Company’s promissory note receivable:</w:t>
      </w:r>
      <w:r w:rsidRPr="00D2099E">
        <w:rPr>
          <w:rFonts w:ascii="Times New Roman" w:eastAsia="Times New Roman" w:hAnsi="Times New Roman" w:cs="Times New Roman"/>
          <w:vanish/>
          <w:sz w:val="20"/>
          <w:szCs w:val="20"/>
          <w:lang w:val="en-US"/>
        </w:rPr>
        <w:t> Schedule of  Company’s Promissory Note Receivable</w:t>
      </w:r>
    </w:p>
    <w:p w14:paraId="4F54ABEB"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4881" w:type="pct"/>
        <w:tblInd w:w="360" w:type="dxa"/>
        <w:tblCellMar>
          <w:left w:w="0" w:type="dxa"/>
          <w:right w:w="0" w:type="dxa"/>
        </w:tblCellMar>
        <w:tblLook w:val="04A0" w:firstRow="1" w:lastRow="0" w:firstColumn="1" w:lastColumn="0" w:noHBand="0" w:noVBand="1"/>
      </w:tblPr>
      <w:tblGrid>
        <w:gridCol w:w="7112"/>
        <w:gridCol w:w="174"/>
        <w:gridCol w:w="292"/>
        <w:gridCol w:w="1418"/>
        <w:gridCol w:w="141"/>
      </w:tblGrid>
      <w:tr w:rsidR="00F40D4B" w:rsidRPr="00D2099E" w14:paraId="05E6828D" w14:textId="77777777" w:rsidTr="00D33273">
        <w:tc>
          <w:tcPr>
            <w:tcW w:w="0" w:type="auto"/>
            <w:tcBorders>
              <w:bottom w:val="single" w:sz="12" w:space="0" w:color="auto"/>
            </w:tcBorders>
            <w:shd w:val="clear" w:color="auto" w:fill="auto"/>
            <w:vAlign w:val="bottom"/>
            <w:hideMark/>
          </w:tcPr>
          <w:p w14:paraId="4EBA0CA9" w14:textId="77777777" w:rsidR="00F40D4B" w:rsidRPr="00D2099E" w:rsidRDefault="00F40D4B" w:rsidP="002F6A75">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b/>
                <w:bCs/>
                <w:sz w:val="20"/>
                <w:szCs w:val="20"/>
                <w:lang w:val="en-US"/>
              </w:rPr>
              <w:t>Notes Receivable</w:t>
            </w:r>
          </w:p>
        </w:tc>
        <w:tc>
          <w:tcPr>
            <w:tcW w:w="95" w:type="pct"/>
            <w:tcBorders>
              <w:bottom w:val="single" w:sz="12" w:space="0" w:color="auto"/>
            </w:tcBorders>
            <w:shd w:val="clear" w:color="auto" w:fill="auto"/>
            <w:tcMar>
              <w:top w:w="0" w:type="dxa"/>
              <w:left w:w="0" w:type="dxa"/>
              <w:bottom w:w="30" w:type="dxa"/>
              <w:right w:w="0" w:type="dxa"/>
            </w:tcMar>
            <w:vAlign w:val="bottom"/>
            <w:hideMark/>
          </w:tcPr>
          <w:p w14:paraId="52849E36"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36" w:type="pct"/>
            <w:gridSpan w:val="2"/>
            <w:tcBorders>
              <w:bottom w:val="single" w:sz="12" w:space="0" w:color="auto"/>
            </w:tcBorders>
            <w:shd w:val="clear" w:color="auto" w:fill="auto"/>
            <w:vAlign w:val="bottom"/>
            <w:hideMark/>
          </w:tcPr>
          <w:p w14:paraId="44B67042" w14:textId="1DE722DF" w:rsidR="00F40D4B" w:rsidRPr="00D2099E" w:rsidRDefault="00F40D4B" w:rsidP="002F6A75">
            <w:pPr>
              <w:spacing w:after="0" w:line="240" w:lineRule="auto"/>
              <w:jc w:val="center"/>
              <w:rPr>
                <w:rFonts w:ascii="Times New Roman" w:eastAsia="Times New Roman" w:hAnsi="Times New Roman" w:cs="Times New Roman"/>
                <w:sz w:val="20"/>
                <w:szCs w:val="20"/>
                <w:lang w:val="en-US"/>
              </w:rPr>
            </w:pPr>
          </w:p>
        </w:tc>
        <w:tc>
          <w:tcPr>
            <w:tcW w:w="77" w:type="pct"/>
            <w:shd w:val="clear" w:color="auto" w:fill="auto"/>
            <w:tcMar>
              <w:top w:w="0" w:type="dxa"/>
              <w:left w:w="0" w:type="dxa"/>
              <w:bottom w:w="30" w:type="dxa"/>
              <w:right w:w="0" w:type="dxa"/>
            </w:tcMar>
            <w:vAlign w:val="bottom"/>
            <w:hideMark/>
          </w:tcPr>
          <w:p w14:paraId="25FD6A5F"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F956B0" w:rsidRPr="00D2099E" w14:paraId="17E53C7F" w14:textId="77777777" w:rsidTr="00D33273">
        <w:tc>
          <w:tcPr>
            <w:tcW w:w="0" w:type="auto"/>
            <w:tcBorders>
              <w:top w:val="single" w:sz="12" w:space="0" w:color="auto"/>
            </w:tcBorders>
            <w:shd w:val="clear" w:color="auto" w:fill="auto"/>
            <w:vAlign w:val="bottom"/>
            <w:hideMark/>
          </w:tcPr>
          <w:p w14:paraId="772B0BFF" w14:textId="1E0D005C"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Balance</w:t>
            </w:r>
            <w:r w:rsidR="00003ADB">
              <w:rPr>
                <w:rFonts w:ascii="Times New Roman" w:eastAsia="Times New Roman" w:hAnsi="Times New Roman" w:cs="Times New Roman"/>
                <w:sz w:val="20"/>
                <w:szCs w:val="20"/>
                <w:lang w:val="en-US"/>
              </w:rPr>
              <w:t>, Jan</w:t>
            </w:r>
            <w:r w:rsidR="00D46BF8">
              <w:rPr>
                <w:rFonts w:ascii="Times New Roman" w:eastAsia="Times New Roman" w:hAnsi="Times New Roman" w:cs="Times New Roman"/>
                <w:sz w:val="20"/>
                <w:szCs w:val="20"/>
                <w:lang w:val="en-US"/>
              </w:rPr>
              <w:t>uary</w:t>
            </w:r>
            <w:r w:rsidR="00003ADB">
              <w:rPr>
                <w:rFonts w:ascii="Times New Roman" w:eastAsia="Times New Roman" w:hAnsi="Times New Roman" w:cs="Times New Roman"/>
                <w:sz w:val="20"/>
                <w:szCs w:val="20"/>
                <w:lang w:val="en-US"/>
              </w:rPr>
              <w:t xml:space="preserve"> 1, 2021</w:t>
            </w:r>
          </w:p>
        </w:tc>
        <w:tc>
          <w:tcPr>
            <w:tcW w:w="95" w:type="pct"/>
            <w:tcBorders>
              <w:top w:val="single" w:sz="12" w:space="0" w:color="auto"/>
            </w:tcBorders>
            <w:shd w:val="clear" w:color="auto" w:fill="auto"/>
            <w:vAlign w:val="bottom"/>
            <w:hideMark/>
          </w:tcPr>
          <w:p w14:paraId="49783F5B"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60" w:type="pct"/>
            <w:tcBorders>
              <w:top w:val="single" w:sz="12" w:space="0" w:color="auto"/>
            </w:tcBorders>
            <w:shd w:val="clear" w:color="auto" w:fill="auto"/>
            <w:vAlign w:val="bottom"/>
            <w:hideMark/>
          </w:tcPr>
          <w:p w14:paraId="25235A81"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776" w:type="pct"/>
            <w:tcBorders>
              <w:top w:val="single" w:sz="12" w:space="0" w:color="auto"/>
            </w:tcBorders>
            <w:shd w:val="clear" w:color="auto" w:fill="auto"/>
            <w:vAlign w:val="bottom"/>
            <w:hideMark/>
          </w:tcPr>
          <w:p w14:paraId="5853D589" w14:textId="77777777" w:rsidR="00F40D4B" w:rsidRPr="00D2099E" w:rsidRDefault="00F40D4B" w:rsidP="002F6A75">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77" w:type="pct"/>
            <w:shd w:val="clear" w:color="auto" w:fill="auto"/>
            <w:vAlign w:val="bottom"/>
            <w:hideMark/>
          </w:tcPr>
          <w:p w14:paraId="2333DE56"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F956B0" w:rsidRPr="00D2099E" w14:paraId="6B2B9FA4" w14:textId="77777777" w:rsidTr="00D33273">
        <w:tc>
          <w:tcPr>
            <w:tcW w:w="3892" w:type="pct"/>
            <w:shd w:val="clear" w:color="auto" w:fill="auto"/>
            <w:vAlign w:val="bottom"/>
            <w:hideMark/>
          </w:tcPr>
          <w:p w14:paraId="504E90E7"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Additions</w:t>
            </w:r>
          </w:p>
        </w:tc>
        <w:tc>
          <w:tcPr>
            <w:tcW w:w="95" w:type="pct"/>
            <w:shd w:val="clear" w:color="auto" w:fill="auto"/>
            <w:vAlign w:val="bottom"/>
            <w:hideMark/>
          </w:tcPr>
          <w:p w14:paraId="7119D3AB"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60" w:type="pct"/>
            <w:shd w:val="clear" w:color="auto" w:fill="auto"/>
            <w:vAlign w:val="bottom"/>
            <w:hideMark/>
          </w:tcPr>
          <w:p w14:paraId="06DA3A97"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76" w:type="pct"/>
            <w:shd w:val="clear" w:color="auto" w:fill="auto"/>
            <w:vAlign w:val="bottom"/>
            <w:hideMark/>
          </w:tcPr>
          <w:p w14:paraId="7D0662E2" w14:textId="37D46482" w:rsidR="00F40D4B" w:rsidRPr="00CA4239" w:rsidRDefault="00DE52FF"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1,</w:t>
            </w:r>
            <w:r w:rsidR="009A4B66" w:rsidRPr="00CA4239">
              <w:rPr>
                <w:rFonts w:ascii="Times New Roman" w:eastAsia="Times New Roman" w:hAnsi="Times New Roman" w:cs="Times New Roman"/>
                <w:sz w:val="20"/>
                <w:szCs w:val="20"/>
                <w:lang w:val="en-US"/>
              </w:rPr>
              <w:t>184</w:t>
            </w:r>
            <w:r w:rsidRPr="00CA4239">
              <w:rPr>
                <w:rFonts w:ascii="Times New Roman" w:eastAsia="Times New Roman" w:hAnsi="Times New Roman" w:cs="Times New Roman"/>
                <w:sz w:val="20"/>
                <w:szCs w:val="20"/>
                <w:lang w:val="en-US"/>
              </w:rPr>
              <w:t>,</w:t>
            </w:r>
            <w:r w:rsidR="009A4B66" w:rsidRPr="00CA4239">
              <w:rPr>
                <w:rFonts w:ascii="Times New Roman" w:eastAsia="Times New Roman" w:hAnsi="Times New Roman" w:cs="Times New Roman"/>
                <w:sz w:val="20"/>
                <w:szCs w:val="20"/>
                <w:lang w:val="en-US"/>
              </w:rPr>
              <w:t>549</w:t>
            </w:r>
          </w:p>
        </w:tc>
        <w:tc>
          <w:tcPr>
            <w:tcW w:w="77" w:type="pct"/>
            <w:shd w:val="clear" w:color="auto" w:fill="auto"/>
            <w:vAlign w:val="bottom"/>
            <w:hideMark/>
          </w:tcPr>
          <w:p w14:paraId="790C627F" w14:textId="77777777" w:rsidR="00F40D4B" w:rsidRPr="00CA4239" w:rsidRDefault="00F40D4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F956B0" w:rsidRPr="00D2099E" w14:paraId="45BE1FC1" w14:textId="77777777" w:rsidTr="00D33273">
        <w:tc>
          <w:tcPr>
            <w:tcW w:w="0" w:type="auto"/>
            <w:shd w:val="clear" w:color="auto" w:fill="auto"/>
            <w:vAlign w:val="bottom"/>
            <w:hideMark/>
          </w:tcPr>
          <w:p w14:paraId="03983A03"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Repayments</w:t>
            </w:r>
          </w:p>
        </w:tc>
        <w:tc>
          <w:tcPr>
            <w:tcW w:w="95" w:type="pct"/>
            <w:shd w:val="clear" w:color="auto" w:fill="auto"/>
            <w:vAlign w:val="bottom"/>
            <w:hideMark/>
          </w:tcPr>
          <w:p w14:paraId="01F63A11"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60" w:type="pct"/>
            <w:shd w:val="clear" w:color="auto" w:fill="auto"/>
            <w:vAlign w:val="bottom"/>
            <w:hideMark/>
          </w:tcPr>
          <w:p w14:paraId="5E1E61C2"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76" w:type="pct"/>
            <w:shd w:val="clear" w:color="auto" w:fill="auto"/>
            <w:vAlign w:val="bottom"/>
            <w:hideMark/>
          </w:tcPr>
          <w:p w14:paraId="4E994989" w14:textId="77777777" w:rsidR="00F40D4B" w:rsidRPr="00CA4239" w:rsidRDefault="00F40D4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(23,745</w:t>
            </w:r>
          </w:p>
        </w:tc>
        <w:tc>
          <w:tcPr>
            <w:tcW w:w="77" w:type="pct"/>
            <w:shd w:val="clear" w:color="auto" w:fill="auto"/>
            <w:vAlign w:val="bottom"/>
            <w:hideMark/>
          </w:tcPr>
          <w:p w14:paraId="69A6F97D" w14:textId="77777777" w:rsidR="00F40D4B" w:rsidRPr="00CA4239" w:rsidRDefault="00F40D4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w:t>
            </w:r>
          </w:p>
        </w:tc>
      </w:tr>
      <w:tr w:rsidR="00F956B0" w:rsidRPr="00D2099E" w14:paraId="217FDEB8" w14:textId="77777777" w:rsidTr="00D33273">
        <w:tc>
          <w:tcPr>
            <w:tcW w:w="0" w:type="auto"/>
            <w:shd w:val="clear" w:color="auto" w:fill="auto"/>
            <w:vAlign w:val="bottom"/>
            <w:hideMark/>
          </w:tcPr>
          <w:p w14:paraId="29D505CF"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Accrued interest</w:t>
            </w:r>
          </w:p>
        </w:tc>
        <w:tc>
          <w:tcPr>
            <w:tcW w:w="95" w:type="pct"/>
            <w:shd w:val="clear" w:color="auto" w:fill="auto"/>
            <w:vAlign w:val="bottom"/>
            <w:hideMark/>
          </w:tcPr>
          <w:p w14:paraId="6C4C8FBE"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60" w:type="pct"/>
            <w:shd w:val="clear" w:color="auto" w:fill="auto"/>
            <w:vAlign w:val="bottom"/>
            <w:hideMark/>
          </w:tcPr>
          <w:p w14:paraId="5033590B"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76" w:type="pct"/>
            <w:shd w:val="clear" w:color="auto" w:fill="auto"/>
            <w:vAlign w:val="bottom"/>
            <w:hideMark/>
          </w:tcPr>
          <w:p w14:paraId="5CEBDFEC" w14:textId="6A209ECC" w:rsidR="00F40D4B" w:rsidRPr="00CA4239" w:rsidRDefault="00DE52FF"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17</w:t>
            </w:r>
            <w:r w:rsidR="00F40D4B" w:rsidRPr="00CA4239">
              <w:rPr>
                <w:rFonts w:ascii="Times New Roman" w:eastAsia="Times New Roman" w:hAnsi="Times New Roman" w:cs="Times New Roman"/>
                <w:sz w:val="20"/>
                <w:szCs w:val="20"/>
                <w:lang w:val="en-US"/>
              </w:rPr>
              <w:t>,</w:t>
            </w:r>
            <w:r w:rsidR="009A4B66" w:rsidRPr="00CA4239">
              <w:rPr>
                <w:rFonts w:ascii="Times New Roman" w:eastAsia="Times New Roman" w:hAnsi="Times New Roman" w:cs="Times New Roman"/>
                <w:sz w:val="20"/>
                <w:szCs w:val="20"/>
                <w:lang w:val="en-US"/>
              </w:rPr>
              <w:t>73</w:t>
            </w:r>
            <w:r w:rsidR="006A22C0" w:rsidRPr="00CA4239">
              <w:rPr>
                <w:rFonts w:ascii="Times New Roman" w:eastAsia="Times New Roman" w:hAnsi="Times New Roman" w:cs="Times New Roman"/>
                <w:sz w:val="20"/>
                <w:szCs w:val="20"/>
                <w:lang w:val="en-US"/>
              </w:rPr>
              <w:t>3</w:t>
            </w:r>
          </w:p>
        </w:tc>
        <w:tc>
          <w:tcPr>
            <w:tcW w:w="77" w:type="pct"/>
            <w:shd w:val="clear" w:color="auto" w:fill="auto"/>
            <w:vAlign w:val="bottom"/>
            <w:hideMark/>
          </w:tcPr>
          <w:p w14:paraId="5FFA5446" w14:textId="77777777" w:rsidR="00F40D4B" w:rsidRPr="00CA4239" w:rsidRDefault="00F40D4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F956B0" w:rsidRPr="00D2099E" w14:paraId="580DE8F5" w14:textId="77777777" w:rsidTr="00D33273">
        <w:tc>
          <w:tcPr>
            <w:tcW w:w="0" w:type="auto"/>
            <w:shd w:val="clear" w:color="auto" w:fill="auto"/>
            <w:tcMar>
              <w:top w:w="0" w:type="dxa"/>
              <w:left w:w="0" w:type="dxa"/>
              <w:bottom w:w="30" w:type="dxa"/>
              <w:right w:w="0" w:type="dxa"/>
            </w:tcMar>
            <w:vAlign w:val="bottom"/>
            <w:hideMark/>
          </w:tcPr>
          <w:p w14:paraId="418FF1CA" w14:textId="5A6F69B0"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Foreign </w:t>
            </w:r>
            <w:r w:rsidR="001D23EB">
              <w:rPr>
                <w:rFonts w:ascii="Times New Roman" w:eastAsia="Times New Roman" w:hAnsi="Times New Roman" w:cs="Times New Roman"/>
                <w:sz w:val="20"/>
                <w:szCs w:val="20"/>
                <w:lang w:val="en-US"/>
              </w:rPr>
              <w:t>exchange loss</w:t>
            </w:r>
            <w:r w:rsidR="006A69D8">
              <w:rPr>
                <w:rFonts w:ascii="Times New Roman" w:eastAsia="Times New Roman" w:hAnsi="Times New Roman" w:cs="Times New Roman"/>
                <w:sz w:val="20"/>
                <w:szCs w:val="20"/>
                <w:lang w:val="en-US"/>
              </w:rPr>
              <w:t xml:space="preserve"> on revaluation</w:t>
            </w:r>
          </w:p>
        </w:tc>
        <w:tc>
          <w:tcPr>
            <w:tcW w:w="95" w:type="pct"/>
            <w:shd w:val="clear" w:color="auto" w:fill="auto"/>
            <w:tcMar>
              <w:top w:w="0" w:type="dxa"/>
              <w:left w:w="0" w:type="dxa"/>
              <w:bottom w:w="30" w:type="dxa"/>
              <w:right w:w="0" w:type="dxa"/>
            </w:tcMar>
            <w:vAlign w:val="bottom"/>
            <w:hideMark/>
          </w:tcPr>
          <w:p w14:paraId="4A3BAE05"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60" w:type="pct"/>
            <w:tcBorders>
              <w:bottom w:val="single" w:sz="12" w:space="0" w:color="000000"/>
            </w:tcBorders>
            <w:shd w:val="clear" w:color="auto" w:fill="auto"/>
            <w:vAlign w:val="bottom"/>
            <w:hideMark/>
          </w:tcPr>
          <w:p w14:paraId="6E8FD546"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776" w:type="pct"/>
            <w:tcBorders>
              <w:bottom w:val="single" w:sz="12" w:space="0" w:color="000000"/>
            </w:tcBorders>
            <w:shd w:val="clear" w:color="auto" w:fill="auto"/>
            <w:vAlign w:val="bottom"/>
            <w:hideMark/>
          </w:tcPr>
          <w:p w14:paraId="1EF5C802" w14:textId="4E11E527" w:rsidR="00F40D4B" w:rsidRPr="00CA4239" w:rsidRDefault="00F40D4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w:t>
            </w:r>
            <w:r w:rsidR="009A4B66" w:rsidRPr="00CA4239">
              <w:rPr>
                <w:rFonts w:ascii="Times New Roman" w:eastAsia="Times New Roman" w:hAnsi="Times New Roman" w:cs="Times New Roman"/>
                <w:sz w:val="20"/>
                <w:szCs w:val="20"/>
                <w:lang w:val="en-US"/>
              </w:rPr>
              <w:t>19</w:t>
            </w:r>
            <w:r w:rsidRPr="00CA4239">
              <w:rPr>
                <w:rFonts w:ascii="Times New Roman" w:eastAsia="Times New Roman" w:hAnsi="Times New Roman" w:cs="Times New Roman"/>
                <w:sz w:val="20"/>
                <w:szCs w:val="20"/>
                <w:lang w:val="en-US"/>
              </w:rPr>
              <w:t>,</w:t>
            </w:r>
            <w:r w:rsidR="009A4B66" w:rsidRPr="00CA4239">
              <w:rPr>
                <w:rFonts w:ascii="Times New Roman" w:eastAsia="Times New Roman" w:hAnsi="Times New Roman" w:cs="Times New Roman"/>
                <w:sz w:val="20"/>
                <w:szCs w:val="20"/>
                <w:lang w:val="en-US"/>
              </w:rPr>
              <w:t>705</w:t>
            </w:r>
          </w:p>
        </w:tc>
        <w:tc>
          <w:tcPr>
            <w:tcW w:w="77" w:type="pct"/>
            <w:shd w:val="clear" w:color="auto" w:fill="auto"/>
            <w:tcMar>
              <w:top w:w="0" w:type="dxa"/>
              <w:left w:w="0" w:type="dxa"/>
              <w:bottom w:w="30" w:type="dxa"/>
              <w:right w:w="0" w:type="dxa"/>
            </w:tcMar>
            <w:vAlign w:val="bottom"/>
            <w:hideMark/>
          </w:tcPr>
          <w:p w14:paraId="5606A5A7" w14:textId="47EE2AE1" w:rsidR="00F40D4B" w:rsidRPr="00CA4239" w:rsidRDefault="00F40D4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w:t>
            </w:r>
          </w:p>
        </w:tc>
      </w:tr>
      <w:tr w:rsidR="00F956B0" w:rsidRPr="00D2099E" w14:paraId="6C4F0E49" w14:textId="77777777" w:rsidTr="00D33273">
        <w:tc>
          <w:tcPr>
            <w:tcW w:w="0" w:type="auto"/>
            <w:tcBorders>
              <w:bottom w:val="single" w:sz="12" w:space="0" w:color="auto"/>
            </w:tcBorders>
            <w:shd w:val="clear" w:color="auto" w:fill="auto"/>
            <w:tcMar>
              <w:top w:w="0" w:type="dxa"/>
              <w:left w:w="0" w:type="dxa"/>
              <w:bottom w:w="30" w:type="dxa"/>
              <w:right w:w="0" w:type="dxa"/>
            </w:tcMar>
            <w:vAlign w:val="bottom"/>
            <w:hideMark/>
          </w:tcPr>
          <w:p w14:paraId="28AEF16C" w14:textId="295D9A8A" w:rsidR="00F40D4B" w:rsidRPr="00D2099E" w:rsidRDefault="00D46BF8" w:rsidP="002F6A7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Balance,</w:t>
            </w:r>
            <w:r w:rsidR="00003ADB">
              <w:rPr>
                <w:rFonts w:ascii="Times New Roman" w:eastAsia="Times New Roman" w:hAnsi="Times New Roman" w:cs="Times New Roman"/>
                <w:sz w:val="20"/>
                <w:szCs w:val="20"/>
                <w:lang w:val="en-US"/>
              </w:rPr>
              <w:t xml:space="preserve"> Dec</w:t>
            </w:r>
            <w:r w:rsidR="00936DDE">
              <w:rPr>
                <w:rFonts w:ascii="Times New Roman" w:eastAsia="Times New Roman" w:hAnsi="Times New Roman" w:cs="Times New Roman"/>
                <w:sz w:val="20"/>
                <w:szCs w:val="20"/>
                <w:lang w:val="en-US"/>
              </w:rPr>
              <w:t>ember</w:t>
            </w:r>
            <w:r w:rsidR="00003ADB">
              <w:rPr>
                <w:rFonts w:ascii="Times New Roman" w:eastAsia="Times New Roman" w:hAnsi="Times New Roman" w:cs="Times New Roman"/>
                <w:sz w:val="20"/>
                <w:szCs w:val="20"/>
                <w:lang w:val="en-US"/>
              </w:rPr>
              <w:t xml:space="preserve"> 31, </w:t>
            </w:r>
            <w:proofErr w:type="gramStart"/>
            <w:r w:rsidR="00003ADB">
              <w:rPr>
                <w:rFonts w:ascii="Times New Roman" w:eastAsia="Times New Roman" w:hAnsi="Times New Roman" w:cs="Times New Roman"/>
                <w:sz w:val="20"/>
                <w:szCs w:val="20"/>
                <w:lang w:val="en-US"/>
              </w:rPr>
              <w:t>2021</w:t>
            </w:r>
            <w:proofErr w:type="gramEnd"/>
            <w:r w:rsidR="008A0B03">
              <w:rPr>
                <w:rFonts w:ascii="Times New Roman" w:eastAsia="Times New Roman" w:hAnsi="Times New Roman" w:cs="Times New Roman"/>
                <w:sz w:val="20"/>
                <w:szCs w:val="20"/>
                <w:lang w:val="en-US"/>
              </w:rPr>
              <w:t xml:space="preserve"> and </w:t>
            </w:r>
            <w:r w:rsidR="0028781C">
              <w:rPr>
                <w:rFonts w:ascii="Times New Roman" w:eastAsia="Times New Roman" w:hAnsi="Times New Roman" w:cs="Times New Roman"/>
                <w:sz w:val="20"/>
                <w:szCs w:val="20"/>
                <w:lang w:val="en-US"/>
              </w:rPr>
              <w:t>June 30</w:t>
            </w:r>
            <w:r w:rsidR="008A0B03">
              <w:rPr>
                <w:rFonts w:ascii="Times New Roman" w:eastAsia="Times New Roman" w:hAnsi="Times New Roman" w:cs="Times New Roman"/>
                <w:sz w:val="20"/>
                <w:szCs w:val="20"/>
                <w:lang w:val="en-US"/>
              </w:rPr>
              <w:t>, 2022</w:t>
            </w:r>
          </w:p>
        </w:tc>
        <w:tc>
          <w:tcPr>
            <w:tcW w:w="95" w:type="pct"/>
            <w:tcBorders>
              <w:bottom w:val="single" w:sz="12" w:space="0" w:color="auto"/>
            </w:tcBorders>
            <w:shd w:val="clear" w:color="auto" w:fill="auto"/>
            <w:tcMar>
              <w:top w:w="0" w:type="dxa"/>
              <w:left w:w="0" w:type="dxa"/>
              <w:bottom w:w="30" w:type="dxa"/>
              <w:right w:w="0" w:type="dxa"/>
            </w:tcMar>
            <w:vAlign w:val="bottom"/>
            <w:hideMark/>
          </w:tcPr>
          <w:p w14:paraId="5A707DB8"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60" w:type="pct"/>
            <w:tcBorders>
              <w:bottom w:val="single" w:sz="12" w:space="0" w:color="auto"/>
            </w:tcBorders>
            <w:shd w:val="clear" w:color="auto" w:fill="auto"/>
            <w:vAlign w:val="bottom"/>
            <w:hideMark/>
          </w:tcPr>
          <w:p w14:paraId="2893F29B" w14:textId="77777777" w:rsidR="00F40D4B" w:rsidRPr="00D2099E" w:rsidRDefault="00F40D4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776" w:type="pct"/>
            <w:tcBorders>
              <w:bottom w:val="single" w:sz="12" w:space="0" w:color="auto"/>
            </w:tcBorders>
            <w:shd w:val="clear" w:color="auto" w:fill="auto"/>
            <w:vAlign w:val="bottom"/>
            <w:hideMark/>
          </w:tcPr>
          <w:p w14:paraId="4ECEFA53" w14:textId="174CF3C7" w:rsidR="00F40D4B" w:rsidRPr="00CA4239" w:rsidRDefault="00DE52FF"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1,1</w:t>
            </w:r>
            <w:r w:rsidR="009A4B66" w:rsidRPr="00CA4239">
              <w:rPr>
                <w:rFonts w:ascii="Times New Roman" w:eastAsia="Times New Roman" w:hAnsi="Times New Roman" w:cs="Times New Roman"/>
                <w:sz w:val="20"/>
                <w:szCs w:val="20"/>
                <w:lang w:val="en-US"/>
              </w:rPr>
              <w:t>58</w:t>
            </w:r>
            <w:r w:rsidRPr="00CA4239">
              <w:rPr>
                <w:rFonts w:ascii="Times New Roman" w:eastAsia="Times New Roman" w:hAnsi="Times New Roman" w:cs="Times New Roman"/>
                <w:sz w:val="20"/>
                <w:szCs w:val="20"/>
                <w:lang w:val="en-US"/>
              </w:rPr>
              <w:t>,</w:t>
            </w:r>
            <w:r w:rsidR="009A4B66" w:rsidRPr="00CA4239">
              <w:rPr>
                <w:rFonts w:ascii="Times New Roman" w:eastAsia="Times New Roman" w:hAnsi="Times New Roman" w:cs="Times New Roman"/>
                <w:sz w:val="20"/>
                <w:szCs w:val="20"/>
                <w:lang w:val="en-US"/>
              </w:rPr>
              <w:t>832</w:t>
            </w:r>
          </w:p>
        </w:tc>
        <w:tc>
          <w:tcPr>
            <w:tcW w:w="77" w:type="pct"/>
            <w:shd w:val="clear" w:color="auto" w:fill="auto"/>
            <w:tcMar>
              <w:top w:w="0" w:type="dxa"/>
              <w:left w:w="0" w:type="dxa"/>
              <w:bottom w:w="30" w:type="dxa"/>
              <w:right w:w="0" w:type="dxa"/>
            </w:tcMar>
            <w:vAlign w:val="bottom"/>
            <w:hideMark/>
          </w:tcPr>
          <w:p w14:paraId="75663012" w14:textId="77777777" w:rsidR="00F40D4B" w:rsidRPr="00CA4239" w:rsidRDefault="00F40D4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bl>
    <w:p w14:paraId="205F65F8" w14:textId="77777777" w:rsidR="00D26450" w:rsidRDefault="00D26450" w:rsidP="00D2099E">
      <w:pPr>
        <w:spacing w:after="0" w:line="240" w:lineRule="auto"/>
        <w:ind w:left="360"/>
        <w:jc w:val="both"/>
        <w:rPr>
          <w:rFonts w:ascii="Times New Roman" w:eastAsia="Times New Roman" w:hAnsi="Times New Roman" w:cs="Times New Roman"/>
          <w:sz w:val="20"/>
          <w:szCs w:val="20"/>
          <w:lang w:val="en-US"/>
        </w:rPr>
      </w:pPr>
    </w:p>
    <w:p w14:paraId="4D5F12B8" w14:textId="64BE4D7A" w:rsidR="00DE52FF" w:rsidRDefault="00D26450" w:rsidP="00D2099E">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During the </w:t>
      </w:r>
      <w:r w:rsidR="0028781C">
        <w:rPr>
          <w:rFonts w:ascii="Times New Roman" w:eastAsia="Times New Roman" w:hAnsi="Times New Roman" w:cs="Times New Roman"/>
          <w:sz w:val="20"/>
          <w:szCs w:val="20"/>
          <w:lang w:val="en-US"/>
        </w:rPr>
        <w:t>six</w:t>
      </w:r>
      <w:r>
        <w:rPr>
          <w:rFonts w:ascii="Times New Roman" w:eastAsia="Times New Roman" w:hAnsi="Times New Roman" w:cs="Times New Roman"/>
          <w:sz w:val="20"/>
          <w:szCs w:val="20"/>
          <w:lang w:val="en-US"/>
        </w:rPr>
        <w:t xml:space="preserve"> months ended </w:t>
      </w:r>
      <w:r w:rsidR="0028781C">
        <w:rPr>
          <w:rFonts w:ascii="Times New Roman" w:eastAsia="Times New Roman" w:hAnsi="Times New Roman" w:cs="Times New Roman"/>
          <w:sz w:val="20"/>
          <w:szCs w:val="20"/>
          <w:lang w:val="en-US"/>
        </w:rPr>
        <w:t>June 30</w:t>
      </w:r>
      <w:r>
        <w:rPr>
          <w:rFonts w:ascii="Times New Roman" w:eastAsia="Times New Roman" w:hAnsi="Times New Roman" w:cs="Times New Roman"/>
          <w:sz w:val="20"/>
          <w:szCs w:val="20"/>
          <w:lang w:val="en-US"/>
        </w:rPr>
        <w:t>, 2022, the accrued interest income totaled $</w:t>
      </w:r>
      <w:r w:rsidR="0028781C">
        <w:rPr>
          <w:rFonts w:ascii="Times New Roman" w:eastAsia="Times New Roman" w:hAnsi="Times New Roman" w:cs="Times New Roman"/>
          <w:sz w:val="20"/>
          <w:szCs w:val="20"/>
          <w:lang w:val="en-US"/>
        </w:rPr>
        <w:t>27,957</w:t>
      </w:r>
      <w:r>
        <w:rPr>
          <w:rFonts w:ascii="Times New Roman" w:eastAsia="Times New Roman" w:hAnsi="Times New Roman" w:cs="Times New Roman"/>
          <w:sz w:val="20"/>
          <w:szCs w:val="20"/>
          <w:lang w:val="en-US"/>
        </w:rPr>
        <w:t xml:space="preserve"> (2021 - $nil). As </w:t>
      </w:r>
      <w:proofErr w:type="gramStart"/>
      <w:r>
        <w:rPr>
          <w:rFonts w:ascii="Times New Roman" w:eastAsia="Times New Roman" w:hAnsi="Times New Roman" w:cs="Times New Roman"/>
          <w:sz w:val="20"/>
          <w:szCs w:val="20"/>
          <w:lang w:val="en-US"/>
        </w:rPr>
        <w:t>at</w:t>
      </w:r>
      <w:proofErr w:type="gramEnd"/>
      <w:r>
        <w:rPr>
          <w:rFonts w:ascii="Times New Roman" w:eastAsia="Times New Roman" w:hAnsi="Times New Roman" w:cs="Times New Roman"/>
          <w:sz w:val="20"/>
          <w:szCs w:val="20"/>
          <w:lang w:val="en-US"/>
        </w:rPr>
        <w:t xml:space="preserve"> </w:t>
      </w:r>
      <w:r w:rsidR="0028781C">
        <w:rPr>
          <w:rFonts w:ascii="Times New Roman" w:eastAsia="Times New Roman" w:hAnsi="Times New Roman" w:cs="Times New Roman"/>
          <w:sz w:val="20"/>
          <w:szCs w:val="20"/>
          <w:lang w:val="en-US"/>
        </w:rPr>
        <w:t>June 30</w:t>
      </w:r>
      <w:r w:rsidR="00744B78">
        <w:rPr>
          <w:rFonts w:ascii="Times New Roman" w:eastAsia="Times New Roman" w:hAnsi="Times New Roman" w:cs="Times New Roman"/>
          <w:sz w:val="20"/>
          <w:szCs w:val="20"/>
          <w:lang w:val="en-US"/>
        </w:rPr>
        <w:t xml:space="preserve">, 2022, </w:t>
      </w:r>
      <w:r>
        <w:rPr>
          <w:rFonts w:ascii="Times New Roman" w:eastAsia="Times New Roman" w:hAnsi="Times New Roman" w:cs="Times New Roman"/>
          <w:sz w:val="20"/>
          <w:szCs w:val="20"/>
          <w:lang w:val="en-US"/>
        </w:rPr>
        <w:t>accrued interest of $</w:t>
      </w:r>
      <w:r w:rsidR="0028781C">
        <w:rPr>
          <w:rFonts w:ascii="Times New Roman" w:eastAsia="Times New Roman" w:hAnsi="Times New Roman" w:cs="Times New Roman"/>
          <w:sz w:val="20"/>
          <w:szCs w:val="20"/>
          <w:lang w:val="en-US"/>
        </w:rPr>
        <w:t>27,957</w:t>
      </w:r>
      <w:r>
        <w:rPr>
          <w:rFonts w:ascii="Times New Roman" w:eastAsia="Times New Roman" w:hAnsi="Times New Roman" w:cs="Times New Roman"/>
          <w:sz w:val="20"/>
          <w:szCs w:val="20"/>
          <w:lang w:val="en-US"/>
        </w:rPr>
        <w:t xml:space="preserve"> was included in amounts receivable (Note 4)</w:t>
      </w:r>
      <w:r w:rsidR="00744B78">
        <w:rPr>
          <w:rFonts w:ascii="Times New Roman" w:eastAsia="Times New Roman" w:hAnsi="Times New Roman" w:cs="Times New Roman"/>
          <w:sz w:val="20"/>
          <w:szCs w:val="20"/>
          <w:lang w:val="en-US"/>
        </w:rPr>
        <w:t xml:space="preserve">. </w:t>
      </w:r>
    </w:p>
    <w:p w14:paraId="11FBC1E3" w14:textId="5093E85B" w:rsidR="00535764" w:rsidRDefault="0053576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5545BA42" w14:textId="77777777" w:rsidR="00D26450" w:rsidRPr="00D2099E" w:rsidRDefault="00D26450" w:rsidP="00D2099E">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0B4265A6" w14:textId="77777777" w:rsidTr="005C7D2D">
        <w:tc>
          <w:tcPr>
            <w:tcW w:w="360" w:type="dxa"/>
            <w:hideMark/>
          </w:tcPr>
          <w:p w14:paraId="7236136C" w14:textId="26F27525" w:rsidR="00D2099E" w:rsidRPr="00CA4239" w:rsidRDefault="009532E4"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sidR="000F481A">
              <w:rPr>
                <w:rFonts w:ascii="Times New Roman" w:eastAsia="Times New Roman" w:hAnsi="Times New Roman" w:cs="Times New Roman"/>
                <w:b/>
                <w:bCs/>
                <w:sz w:val="20"/>
                <w:szCs w:val="20"/>
                <w:lang w:val="en-US"/>
              </w:rPr>
              <w:t>1</w:t>
            </w:r>
            <w:r w:rsidR="00D2099E" w:rsidRPr="00CA4239">
              <w:rPr>
                <w:rFonts w:ascii="Times New Roman" w:eastAsia="Times New Roman" w:hAnsi="Times New Roman" w:cs="Times New Roman"/>
                <w:b/>
                <w:bCs/>
                <w:sz w:val="20"/>
                <w:szCs w:val="20"/>
                <w:lang w:val="en-US"/>
              </w:rPr>
              <w:t>.</w:t>
            </w:r>
          </w:p>
        </w:tc>
        <w:tc>
          <w:tcPr>
            <w:tcW w:w="0" w:type="auto"/>
            <w:hideMark/>
          </w:tcPr>
          <w:p w14:paraId="1F93FC4A" w14:textId="7777777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 xml:space="preserve">Asset Retirement Obligations </w:t>
            </w:r>
          </w:p>
        </w:tc>
      </w:tr>
    </w:tbl>
    <w:p w14:paraId="0094B4C4" w14:textId="37AE433D"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DCD6233" w14:textId="71FA128E" w:rsidR="00D2099E" w:rsidRPr="00D2099E" w:rsidRDefault="00D2099E" w:rsidP="00722478">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following is a continuity of the Company’s asset retirement obligations:</w:t>
      </w:r>
    </w:p>
    <w:p w14:paraId="24882D0F" w14:textId="27B4F563" w:rsidR="00D2099E" w:rsidRDefault="00D2099E" w:rsidP="00D2099E">
      <w:pPr>
        <w:spacing w:after="0" w:line="240" w:lineRule="auto"/>
        <w:jc w:val="both"/>
        <w:rPr>
          <w:rFonts w:ascii="Times New Roman" w:eastAsia="Times New Roman" w:hAnsi="Times New Roman" w:cs="Times New Roman"/>
          <w:sz w:val="20"/>
          <w:szCs w:val="20"/>
          <w:lang w:val="en-US"/>
        </w:rPr>
      </w:pPr>
    </w:p>
    <w:tbl>
      <w:tblPr>
        <w:tblW w:w="3746" w:type="pct"/>
        <w:tblInd w:w="360" w:type="dxa"/>
        <w:tblLayout w:type="fixed"/>
        <w:tblCellMar>
          <w:left w:w="0" w:type="dxa"/>
          <w:right w:w="0" w:type="dxa"/>
        </w:tblCellMar>
        <w:tblLook w:val="04A0" w:firstRow="1" w:lastRow="0" w:firstColumn="1" w:lastColumn="0" w:noHBand="0" w:noVBand="1"/>
      </w:tblPr>
      <w:tblGrid>
        <w:gridCol w:w="3599"/>
        <w:gridCol w:w="278"/>
        <w:gridCol w:w="135"/>
        <w:gridCol w:w="1135"/>
        <w:gridCol w:w="139"/>
        <w:gridCol w:w="50"/>
        <w:gridCol w:w="116"/>
        <w:gridCol w:w="1138"/>
        <w:gridCol w:w="283"/>
        <w:gridCol w:w="140"/>
      </w:tblGrid>
      <w:tr w:rsidR="00C96E25" w:rsidRPr="00D2099E" w14:paraId="5E5659AF" w14:textId="71981DA3" w:rsidTr="00D33273">
        <w:tc>
          <w:tcPr>
            <w:tcW w:w="2566" w:type="pct"/>
            <w:tcBorders>
              <w:top w:val="single" w:sz="12" w:space="0" w:color="auto"/>
              <w:bottom w:val="single" w:sz="12" w:space="0" w:color="auto"/>
            </w:tcBorders>
            <w:shd w:val="clear" w:color="auto" w:fill="auto"/>
            <w:vAlign w:val="bottom"/>
            <w:hideMark/>
          </w:tcPr>
          <w:p w14:paraId="1FB55CF3" w14:textId="77777777" w:rsidR="00C96E25" w:rsidRPr="00D2099E" w:rsidRDefault="00C96E25"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98"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BBB9FEF" w14:textId="77777777" w:rsidR="00C96E25" w:rsidRPr="00D2099E" w:rsidRDefault="00C96E25"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04" w:type="pct"/>
            <w:gridSpan w:val="2"/>
            <w:tcBorders>
              <w:top w:val="single" w:sz="12" w:space="0" w:color="auto"/>
              <w:bottom w:val="single" w:sz="12" w:space="0" w:color="auto"/>
            </w:tcBorders>
            <w:shd w:val="clear" w:color="auto" w:fill="auto"/>
            <w:vAlign w:val="bottom"/>
            <w:hideMark/>
          </w:tcPr>
          <w:p w14:paraId="37F35C81" w14:textId="73AF263F" w:rsidR="00C96E25" w:rsidRPr="00D2099E" w:rsidRDefault="00CE1E28" w:rsidP="002F6A75">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June 30</w:t>
            </w:r>
            <w:r w:rsidR="00C96E25">
              <w:rPr>
                <w:rFonts w:ascii="Times New Roman" w:eastAsia="Times New Roman" w:hAnsi="Times New Roman" w:cs="Times New Roman"/>
                <w:sz w:val="20"/>
                <w:szCs w:val="20"/>
                <w:lang w:val="en-US"/>
              </w:rPr>
              <w:t>, 2022</w:t>
            </w:r>
          </w:p>
        </w:tc>
        <w:tc>
          <w:tcPr>
            <w:tcW w:w="99"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E30A20C" w14:textId="77777777" w:rsidR="00C96E25" w:rsidRPr="00D2099E" w:rsidRDefault="00C96E25"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7AC57063" w14:textId="77777777" w:rsidR="00C96E25" w:rsidRPr="00D2099E" w:rsidRDefault="00C96E25"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93" w:type="pct"/>
            <w:gridSpan w:val="2"/>
            <w:tcBorders>
              <w:top w:val="single" w:sz="12" w:space="0" w:color="auto"/>
              <w:bottom w:val="single" w:sz="12" w:space="0" w:color="auto"/>
            </w:tcBorders>
            <w:shd w:val="clear" w:color="auto" w:fill="auto"/>
            <w:vAlign w:val="bottom"/>
            <w:hideMark/>
          </w:tcPr>
          <w:p w14:paraId="0375717E" w14:textId="3182AF5C" w:rsidR="00C96E25" w:rsidRPr="00D2099E" w:rsidRDefault="00C96E25" w:rsidP="002F6A75">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December 31, 202</w:t>
            </w:r>
            <w:r>
              <w:rPr>
                <w:rFonts w:ascii="Times New Roman" w:eastAsia="Times New Roman" w:hAnsi="Times New Roman" w:cs="Times New Roman"/>
                <w:sz w:val="20"/>
                <w:szCs w:val="20"/>
                <w:lang w:val="en-US"/>
              </w:rPr>
              <w:t>1</w:t>
            </w:r>
          </w:p>
        </w:tc>
        <w:tc>
          <w:tcPr>
            <w:tcW w:w="202"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4B8F9510" w14:textId="77777777" w:rsidR="00C96E25" w:rsidRPr="00D2099E" w:rsidRDefault="00C96E25"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 w:type="pct"/>
            <w:shd w:val="clear" w:color="auto" w:fill="auto"/>
          </w:tcPr>
          <w:p w14:paraId="73B5E69B" w14:textId="77777777" w:rsidR="00C96E25" w:rsidRPr="00D2099E" w:rsidRDefault="00C96E25" w:rsidP="002F6A75">
            <w:pPr>
              <w:spacing w:after="0" w:line="240" w:lineRule="auto"/>
              <w:jc w:val="both"/>
              <w:rPr>
                <w:rFonts w:ascii="Times New Roman" w:eastAsia="Times New Roman" w:hAnsi="Times New Roman" w:cs="Times New Roman"/>
                <w:sz w:val="20"/>
                <w:szCs w:val="20"/>
                <w:lang w:val="en-US"/>
              </w:rPr>
            </w:pPr>
          </w:p>
        </w:tc>
      </w:tr>
      <w:tr w:rsidR="00680958" w:rsidRPr="00D2099E" w14:paraId="02DE9D2B" w14:textId="245CB3D5" w:rsidTr="00D33273">
        <w:tc>
          <w:tcPr>
            <w:tcW w:w="2566" w:type="pct"/>
            <w:tcBorders>
              <w:top w:val="single" w:sz="12" w:space="0" w:color="auto"/>
            </w:tcBorders>
            <w:shd w:val="clear" w:color="auto" w:fill="auto"/>
            <w:vAlign w:val="bottom"/>
            <w:hideMark/>
          </w:tcPr>
          <w:p w14:paraId="7FD65435" w14:textId="10AEC232" w:rsidR="00C96E25" w:rsidRPr="00D2099E" w:rsidRDefault="00943EBF" w:rsidP="00E362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Balance at the</w:t>
            </w:r>
            <w:r w:rsidR="00C96E25" w:rsidRPr="00D2099E">
              <w:rPr>
                <w:rFonts w:ascii="Times New Roman" w:eastAsia="Times New Roman" w:hAnsi="Times New Roman" w:cs="Times New Roman"/>
                <w:sz w:val="20"/>
                <w:szCs w:val="20"/>
                <w:lang w:val="en-US"/>
              </w:rPr>
              <w:t xml:space="preserve"> beginning of period</w:t>
            </w:r>
          </w:p>
        </w:tc>
        <w:tc>
          <w:tcPr>
            <w:tcW w:w="198" w:type="pct"/>
            <w:tcBorders>
              <w:top w:val="single" w:sz="12" w:space="0" w:color="auto"/>
            </w:tcBorders>
            <w:shd w:val="clear" w:color="auto" w:fill="auto"/>
            <w:vAlign w:val="bottom"/>
            <w:hideMark/>
          </w:tcPr>
          <w:p w14:paraId="5C6981F8"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6" w:type="pct"/>
            <w:tcBorders>
              <w:top w:val="single" w:sz="12" w:space="0" w:color="auto"/>
            </w:tcBorders>
            <w:shd w:val="clear" w:color="auto" w:fill="auto"/>
            <w:vAlign w:val="bottom"/>
            <w:hideMark/>
          </w:tcPr>
          <w:p w14:paraId="56ABE5BA"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809" w:type="pct"/>
            <w:tcBorders>
              <w:top w:val="single" w:sz="12" w:space="0" w:color="auto"/>
            </w:tcBorders>
            <w:shd w:val="clear" w:color="auto" w:fill="auto"/>
            <w:vAlign w:val="bottom"/>
          </w:tcPr>
          <w:p w14:paraId="1B98FA39" w14:textId="15748880" w:rsidR="00C96E25" w:rsidRPr="00866E49" w:rsidRDefault="00C96E25" w:rsidP="00E362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8,993,108</w:t>
            </w:r>
          </w:p>
        </w:tc>
        <w:tc>
          <w:tcPr>
            <w:tcW w:w="99" w:type="pct"/>
            <w:tcBorders>
              <w:top w:val="single" w:sz="12" w:space="0" w:color="auto"/>
            </w:tcBorders>
            <w:shd w:val="clear" w:color="auto" w:fill="auto"/>
            <w:vAlign w:val="bottom"/>
            <w:hideMark/>
          </w:tcPr>
          <w:p w14:paraId="56C41487"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 w:type="pct"/>
            <w:tcBorders>
              <w:top w:val="single" w:sz="12" w:space="0" w:color="auto"/>
            </w:tcBorders>
            <w:shd w:val="clear" w:color="auto" w:fill="auto"/>
            <w:vAlign w:val="bottom"/>
            <w:hideMark/>
          </w:tcPr>
          <w:p w14:paraId="3B54653F"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3" w:type="pct"/>
            <w:tcBorders>
              <w:top w:val="single" w:sz="12" w:space="0" w:color="auto"/>
            </w:tcBorders>
            <w:shd w:val="clear" w:color="auto" w:fill="auto"/>
            <w:vAlign w:val="bottom"/>
            <w:hideMark/>
          </w:tcPr>
          <w:p w14:paraId="2FBCF270"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811" w:type="pct"/>
            <w:tcBorders>
              <w:top w:val="single" w:sz="12" w:space="0" w:color="auto"/>
            </w:tcBorders>
            <w:shd w:val="clear" w:color="auto" w:fill="auto"/>
            <w:vAlign w:val="bottom"/>
            <w:hideMark/>
          </w:tcPr>
          <w:p w14:paraId="7EAD7046" w14:textId="531E4018" w:rsidR="00C96E25" w:rsidRPr="00D2099E" w:rsidRDefault="00C96E25" w:rsidP="00E362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9,355,422</w:t>
            </w:r>
          </w:p>
        </w:tc>
        <w:tc>
          <w:tcPr>
            <w:tcW w:w="202" w:type="pct"/>
            <w:tcBorders>
              <w:top w:val="single" w:sz="12" w:space="0" w:color="auto"/>
            </w:tcBorders>
            <w:shd w:val="clear" w:color="auto" w:fill="auto"/>
            <w:vAlign w:val="bottom"/>
            <w:hideMark/>
          </w:tcPr>
          <w:p w14:paraId="5EB93978"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 w:type="pct"/>
            <w:shd w:val="clear" w:color="auto" w:fill="auto"/>
          </w:tcPr>
          <w:p w14:paraId="136BBF09"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p>
        </w:tc>
      </w:tr>
      <w:tr w:rsidR="00680958" w:rsidRPr="00D2099E" w14:paraId="24CB9D2A" w14:textId="278C68C7" w:rsidTr="00680958">
        <w:tc>
          <w:tcPr>
            <w:tcW w:w="2566" w:type="pct"/>
            <w:shd w:val="clear" w:color="auto" w:fill="auto"/>
            <w:vAlign w:val="bottom"/>
            <w:hideMark/>
          </w:tcPr>
          <w:p w14:paraId="314035AA"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Accretion expense</w:t>
            </w:r>
          </w:p>
        </w:tc>
        <w:tc>
          <w:tcPr>
            <w:tcW w:w="198" w:type="pct"/>
            <w:shd w:val="clear" w:color="auto" w:fill="auto"/>
            <w:vAlign w:val="bottom"/>
            <w:hideMark/>
          </w:tcPr>
          <w:p w14:paraId="075799B3"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6" w:type="pct"/>
            <w:shd w:val="clear" w:color="auto" w:fill="auto"/>
            <w:vAlign w:val="bottom"/>
            <w:hideMark/>
          </w:tcPr>
          <w:p w14:paraId="46B01176"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9" w:type="pct"/>
            <w:shd w:val="clear" w:color="auto" w:fill="auto"/>
            <w:vAlign w:val="bottom"/>
          </w:tcPr>
          <w:p w14:paraId="6B9AC6DD" w14:textId="215B404A" w:rsidR="00C96E25" w:rsidRPr="00407DE6" w:rsidRDefault="00063DEB" w:rsidP="00E36274">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82,905</w:t>
            </w:r>
          </w:p>
        </w:tc>
        <w:tc>
          <w:tcPr>
            <w:tcW w:w="99" w:type="pct"/>
            <w:shd w:val="clear" w:color="auto" w:fill="auto"/>
            <w:vAlign w:val="bottom"/>
            <w:hideMark/>
          </w:tcPr>
          <w:p w14:paraId="2BCBF4D0"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 w:type="pct"/>
            <w:shd w:val="clear" w:color="auto" w:fill="auto"/>
            <w:vAlign w:val="bottom"/>
            <w:hideMark/>
          </w:tcPr>
          <w:p w14:paraId="4A7B9206"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3" w:type="pct"/>
            <w:shd w:val="clear" w:color="auto" w:fill="auto"/>
            <w:vAlign w:val="bottom"/>
            <w:hideMark/>
          </w:tcPr>
          <w:p w14:paraId="019DCE72"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11" w:type="pct"/>
            <w:shd w:val="clear" w:color="auto" w:fill="auto"/>
            <w:vAlign w:val="bottom"/>
            <w:hideMark/>
          </w:tcPr>
          <w:p w14:paraId="1E058BDC" w14:textId="1B5CA6FF" w:rsidR="00C96E25" w:rsidRPr="00D2099E" w:rsidRDefault="00FB6E4B" w:rsidP="00E362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91,98</w:t>
            </w:r>
            <w:r w:rsidR="00C927BA">
              <w:rPr>
                <w:rFonts w:ascii="Times New Roman" w:eastAsia="Times New Roman" w:hAnsi="Times New Roman" w:cs="Times New Roman"/>
                <w:sz w:val="20"/>
                <w:szCs w:val="20"/>
                <w:lang w:val="en-US"/>
              </w:rPr>
              <w:t>2</w:t>
            </w:r>
          </w:p>
        </w:tc>
        <w:tc>
          <w:tcPr>
            <w:tcW w:w="202" w:type="pct"/>
            <w:shd w:val="clear" w:color="auto" w:fill="auto"/>
            <w:vAlign w:val="bottom"/>
            <w:hideMark/>
          </w:tcPr>
          <w:p w14:paraId="55D34359"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 w:type="pct"/>
            <w:shd w:val="clear" w:color="auto" w:fill="auto"/>
          </w:tcPr>
          <w:p w14:paraId="509C7016" w14:textId="4E059EB9" w:rsidR="00C96E25" w:rsidRPr="00D2099E" w:rsidRDefault="00C96E25" w:rsidP="00E36274">
            <w:pPr>
              <w:spacing w:after="0" w:line="240" w:lineRule="auto"/>
              <w:jc w:val="both"/>
              <w:rPr>
                <w:rFonts w:ascii="Times New Roman" w:eastAsia="Times New Roman" w:hAnsi="Times New Roman" w:cs="Times New Roman"/>
                <w:sz w:val="20"/>
                <w:szCs w:val="20"/>
                <w:lang w:val="en-US"/>
              </w:rPr>
            </w:pPr>
          </w:p>
        </w:tc>
      </w:tr>
      <w:tr w:rsidR="00680958" w:rsidRPr="00D2099E" w14:paraId="222541B4" w14:textId="1C84D502" w:rsidTr="00680958">
        <w:tc>
          <w:tcPr>
            <w:tcW w:w="2566" w:type="pct"/>
            <w:shd w:val="clear" w:color="auto" w:fill="auto"/>
            <w:tcMar>
              <w:top w:w="0" w:type="dxa"/>
              <w:left w:w="0" w:type="dxa"/>
              <w:bottom w:w="30" w:type="dxa"/>
              <w:right w:w="0" w:type="dxa"/>
            </w:tcMar>
            <w:vAlign w:val="bottom"/>
            <w:hideMark/>
          </w:tcPr>
          <w:p w14:paraId="32591EBD"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Change in estimate</w:t>
            </w:r>
          </w:p>
        </w:tc>
        <w:tc>
          <w:tcPr>
            <w:tcW w:w="198" w:type="pct"/>
            <w:shd w:val="clear" w:color="auto" w:fill="auto"/>
            <w:tcMar>
              <w:top w:w="0" w:type="dxa"/>
              <w:left w:w="0" w:type="dxa"/>
              <w:bottom w:w="30" w:type="dxa"/>
              <w:right w:w="0" w:type="dxa"/>
            </w:tcMar>
            <w:vAlign w:val="bottom"/>
            <w:hideMark/>
          </w:tcPr>
          <w:p w14:paraId="1FFD0145"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6" w:type="pct"/>
            <w:tcBorders>
              <w:bottom w:val="single" w:sz="12" w:space="0" w:color="000000"/>
            </w:tcBorders>
            <w:shd w:val="clear" w:color="auto" w:fill="auto"/>
            <w:vAlign w:val="bottom"/>
            <w:hideMark/>
          </w:tcPr>
          <w:p w14:paraId="482667EB"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09" w:type="pct"/>
            <w:tcBorders>
              <w:bottom w:val="single" w:sz="12" w:space="0" w:color="000000"/>
            </w:tcBorders>
            <w:shd w:val="clear" w:color="auto" w:fill="auto"/>
            <w:vAlign w:val="bottom"/>
          </w:tcPr>
          <w:p w14:paraId="046D7086" w14:textId="4D9F8F0E" w:rsidR="00C96E25" w:rsidRPr="00407DE6" w:rsidRDefault="00C96E25" w:rsidP="00E36274">
            <w:pPr>
              <w:spacing w:after="0" w:line="240" w:lineRule="auto"/>
              <w:jc w:val="right"/>
              <w:rPr>
                <w:rFonts w:ascii="Times New Roman" w:eastAsia="Times New Roman" w:hAnsi="Times New Roman" w:cs="Times New Roman"/>
                <w:sz w:val="20"/>
                <w:szCs w:val="20"/>
                <w:lang w:val="en-US"/>
              </w:rPr>
            </w:pPr>
            <w:r w:rsidRPr="00407DE6">
              <w:rPr>
                <w:rFonts w:ascii="Times New Roman" w:eastAsia="Times New Roman" w:hAnsi="Times New Roman" w:cs="Times New Roman"/>
                <w:sz w:val="20"/>
                <w:szCs w:val="20"/>
                <w:lang w:val="en-US"/>
              </w:rPr>
              <w:t>(</w:t>
            </w:r>
            <w:r w:rsidR="00063DEB" w:rsidRPr="00064A08">
              <w:rPr>
                <w:rFonts w:ascii="Times New Roman" w:eastAsia="Times New Roman" w:hAnsi="Times New Roman" w:cs="Times New Roman"/>
                <w:sz w:val="20"/>
                <w:szCs w:val="20"/>
                <w:lang w:val="en-US"/>
              </w:rPr>
              <w:t>644,380</w:t>
            </w:r>
          </w:p>
        </w:tc>
        <w:tc>
          <w:tcPr>
            <w:tcW w:w="99" w:type="pct"/>
            <w:shd w:val="clear" w:color="auto" w:fill="auto"/>
            <w:tcMar>
              <w:top w:w="0" w:type="dxa"/>
              <w:left w:w="0" w:type="dxa"/>
              <w:bottom w:w="30" w:type="dxa"/>
              <w:right w:w="0" w:type="dxa"/>
            </w:tcMar>
            <w:vAlign w:val="bottom"/>
            <w:hideMark/>
          </w:tcPr>
          <w:p w14:paraId="75828976" w14:textId="33EF2F1D"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 </w:t>
            </w:r>
          </w:p>
        </w:tc>
        <w:tc>
          <w:tcPr>
            <w:tcW w:w="36" w:type="pct"/>
            <w:shd w:val="clear" w:color="auto" w:fill="auto"/>
            <w:tcMar>
              <w:top w:w="0" w:type="dxa"/>
              <w:left w:w="0" w:type="dxa"/>
              <w:bottom w:w="30" w:type="dxa"/>
              <w:right w:w="0" w:type="dxa"/>
            </w:tcMar>
            <w:vAlign w:val="bottom"/>
            <w:hideMark/>
          </w:tcPr>
          <w:p w14:paraId="2BE06A55"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3" w:type="pct"/>
            <w:tcBorders>
              <w:bottom w:val="single" w:sz="12" w:space="0" w:color="000000"/>
            </w:tcBorders>
            <w:shd w:val="clear" w:color="auto" w:fill="auto"/>
            <w:vAlign w:val="bottom"/>
            <w:hideMark/>
          </w:tcPr>
          <w:p w14:paraId="5B5BF919"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11" w:type="pct"/>
            <w:tcBorders>
              <w:bottom w:val="single" w:sz="12" w:space="0" w:color="000000"/>
            </w:tcBorders>
            <w:shd w:val="clear" w:color="auto" w:fill="auto"/>
            <w:vAlign w:val="bottom"/>
            <w:hideMark/>
          </w:tcPr>
          <w:p w14:paraId="72701317" w14:textId="4A9DBF6B" w:rsidR="00C96E25" w:rsidRPr="00D2099E" w:rsidRDefault="00C96E25" w:rsidP="00E362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FB6E4B">
              <w:rPr>
                <w:rFonts w:ascii="Times New Roman" w:eastAsia="Times New Roman" w:hAnsi="Times New Roman" w:cs="Times New Roman"/>
                <w:sz w:val="20"/>
                <w:szCs w:val="20"/>
                <w:lang w:val="en-US"/>
              </w:rPr>
              <w:t>454,296</w:t>
            </w:r>
          </w:p>
        </w:tc>
        <w:tc>
          <w:tcPr>
            <w:tcW w:w="202" w:type="pct"/>
            <w:shd w:val="clear" w:color="auto" w:fill="auto"/>
            <w:tcMar>
              <w:top w:w="0" w:type="dxa"/>
              <w:left w:w="0" w:type="dxa"/>
              <w:bottom w:w="30" w:type="dxa"/>
              <w:right w:w="0" w:type="dxa"/>
            </w:tcMar>
            <w:vAlign w:val="bottom"/>
            <w:hideMark/>
          </w:tcPr>
          <w:p w14:paraId="50993F7B" w14:textId="30387BBD" w:rsidR="00C96E25" w:rsidRPr="00D2099E" w:rsidRDefault="00C96E25" w:rsidP="00CA4239">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 </w:t>
            </w:r>
          </w:p>
        </w:tc>
        <w:tc>
          <w:tcPr>
            <w:tcW w:w="102" w:type="pct"/>
            <w:shd w:val="clear" w:color="auto" w:fill="auto"/>
          </w:tcPr>
          <w:p w14:paraId="2EEC7F7A"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p>
        </w:tc>
      </w:tr>
      <w:tr w:rsidR="00680958" w:rsidRPr="00D2099E" w14:paraId="0E0386E7" w14:textId="41E32551" w:rsidTr="00680958">
        <w:tc>
          <w:tcPr>
            <w:tcW w:w="2566" w:type="pct"/>
            <w:tcBorders>
              <w:bottom w:val="single" w:sz="12" w:space="0" w:color="auto"/>
            </w:tcBorders>
            <w:shd w:val="clear" w:color="auto" w:fill="auto"/>
            <w:tcMar>
              <w:top w:w="0" w:type="dxa"/>
              <w:left w:w="0" w:type="dxa"/>
              <w:bottom w:w="30" w:type="dxa"/>
              <w:right w:w="0" w:type="dxa"/>
            </w:tcMar>
            <w:vAlign w:val="bottom"/>
            <w:hideMark/>
          </w:tcPr>
          <w:p w14:paraId="0A565F13" w14:textId="4B9742B6" w:rsidR="00C96E25" w:rsidRPr="00D2099E" w:rsidRDefault="00943EBF" w:rsidP="00E36274">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Balance at the</w:t>
            </w:r>
            <w:r w:rsidR="00C96E25" w:rsidRPr="00D2099E">
              <w:rPr>
                <w:rFonts w:ascii="Times New Roman" w:eastAsia="Times New Roman" w:hAnsi="Times New Roman" w:cs="Times New Roman"/>
                <w:sz w:val="20"/>
                <w:szCs w:val="20"/>
                <w:lang w:val="en-US"/>
              </w:rPr>
              <w:t xml:space="preserve"> end of period</w:t>
            </w:r>
          </w:p>
        </w:tc>
        <w:tc>
          <w:tcPr>
            <w:tcW w:w="198" w:type="pct"/>
            <w:tcBorders>
              <w:bottom w:val="single" w:sz="12" w:space="0" w:color="auto"/>
            </w:tcBorders>
            <w:shd w:val="clear" w:color="auto" w:fill="auto"/>
            <w:tcMar>
              <w:top w:w="0" w:type="dxa"/>
              <w:left w:w="0" w:type="dxa"/>
              <w:bottom w:w="30" w:type="dxa"/>
              <w:right w:w="0" w:type="dxa"/>
            </w:tcMar>
            <w:vAlign w:val="bottom"/>
            <w:hideMark/>
          </w:tcPr>
          <w:p w14:paraId="2E8A16B9"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96" w:type="pct"/>
            <w:tcBorders>
              <w:bottom w:val="single" w:sz="12" w:space="0" w:color="auto"/>
            </w:tcBorders>
            <w:shd w:val="clear" w:color="auto" w:fill="auto"/>
            <w:vAlign w:val="bottom"/>
            <w:hideMark/>
          </w:tcPr>
          <w:p w14:paraId="0296813E"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809" w:type="pct"/>
            <w:tcBorders>
              <w:bottom w:val="single" w:sz="12" w:space="0" w:color="auto"/>
            </w:tcBorders>
            <w:shd w:val="clear" w:color="auto" w:fill="auto"/>
            <w:vAlign w:val="bottom"/>
          </w:tcPr>
          <w:p w14:paraId="62E8C651" w14:textId="06D1472C" w:rsidR="00C96E25" w:rsidRPr="00407DE6" w:rsidRDefault="00C96E25" w:rsidP="00E36274">
            <w:pPr>
              <w:spacing w:after="0" w:line="240" w:lineRule="auto"/>
              <w:jc w:val="right"/>
              <w:rPr>
                <w:rFonts w:ascii="Times New Roman" w:eastAsia="Times New Roman" w:hAnsi="Times New Roman" w:cs="Times New Roman"/>
                <w:sz w:val="20"/>
                <w:szCs w:val="20"/>
                <w:lang w:val="en-US"/>
              </w:rPr>
            </w:pPr>
            <w:r w:rsidRPr="00407DE6">
              <w:rPr>
                <w:rFonts w:ascii="Times New Roman" w:eastAsia="Times New Roman" w:hAnsi="Times New Roman" w:cs="Times New Roman"/>
                <w:sz w:val="20"/>
                <w:szCs w:val="20"/>
                <w:lang w:val="en-US"/>
              </w:rPr>
              <w:t>8,</w:t>
            </w:r>
            <w:r w:rsidR="00063DEB" w:rsidRPr="00064A08">
              <w:rPr>
                <w:rFonts w:ascii="Times New Roman" w:eastAsia="Times New Roman" w:hAnsi="Times New Roman" w:cs="Times New Roman"/>
                <w:sz w:val="20"/>
                <w:szCs w:val="20"/>
                <w:lang w:val="en-US"/>
              </w:rPr>
              <w:t>431</w:t>
            </w:r>
            <w:r w:rsidRPr="00407DE6">
              <w:rPr>
                <w:rFonts w:ascii="Times New Roman" w:eastAsia="Times New Roman" w:hAnsi="Times New Roman" w:cs="Times New Roman"/>
                <w:sz w:val="20"/>
                <w:szCs w:val="20"/>
                <w:lang w:val="en-US"/>
              </w:rPr>
              <w:t>,</w:t>
            </w:r>
            <w:r w:rsidR="00063DEB" w:rsidRPr="00064A08">
              <w:rPr>
                <w:rFonts w:ascii="Times New Roman" w:eastAsia="Times New Roman" w:hAnsi="Times New Roman" w:cs="Times New Roman"/>
                <w:sz w:val="20"/>
                <w:szCs w:val="20"/>
                <w:lang w:val="en-US"/>
              </w:rPr>
              <w:t>633</w:t>
            </w:r>
          </w:p>
        </w:tc>
        <w:tc>
          <w:tcPr>
            <w:tcW w:w="99" w:type="pct"/>
            <w:tcBorders>
              <w:bottom w:val="single" w:sz="12" w:space="0" w:color="auto"/>
            </w:tcBorders>
            <w:shd w:val="clear" w:color="auto" w:fill="auto"/>
            <w:tcMar>
              <w:top w:w="0" w:type="dxa"/>
              <w:left w:w="0" w:type="dxa"/>
              <w:bottom w:w="30" w:type="dxa"/>
              <w:right w:w="0" w:type="dxa"/>
            </w:tcMar>
            <w:vAlign w:val="bottom"/>
            <w:hideMark/>
          </w:tcPr>
          <w:p w14:paraId="170D045F" w14:textId="2A99CC5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 w:type="pct"/>
            <w:tcBorders>
              <w:bottom w:val="single" w:sz="12" w:space="0" w:color="auto"/>
            </w:tcBorders>
            <w:shd w:val="clear" w:color="auto" w:fill="auto"/>
            <w:tcMar>
              <w:top w:w="0" w:type="dxa"/>
              <w:left w:w="0" w:type="dxa"/>
              <w:bottom w:w="30" w:type="dxa"/>
              <w:right w:w="0" w:type="dxa"/>
            </w:tcMar>
            <w:vAlign w:val="bottom"/>
            <w:hideMark/>
          </w:tcPr>
          <w:p w14:paraId="696D6D0D"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83" w:type="pct"/>
            <w:tcBorders>
              <w:bottom w:val="single" w:sz="12" w:space="0" w:color="auto"/>
            </w:tcBorders>
            <w:shd w:val="clear" w:color="auto" w:fill="auto"/>
            <w:vAlign w:val="bottom"/>
            <w:hideMark/>
          </w:tcPr>
          <w:p w14:paraId="25FD82EF"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811" w:type="pct"/>
            <w:tcBorders>
              <w:bottom w:val="single" w:sz="12" w:space="0" w:color="auto"/>
            </w:tcBorders>
            <w:shd w:val="clear" w:color="auto" w:fill="auto"/>
            <w:vAlign w:val="bottom"/>
            <w:hideMark/>
          </w:tcPr>
          <w:p w14:paraId="0994E44B" w14:textId="15029349" w:rsidR="00C96E25" w:rsidRPr="00D2099E" w:rsidRDefault="00C96E25" w:rsidP="00E36274">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8,993,108</w:t>
            </w:r>
          </w:p>
        </w:tc>
        <w:tc>
          <w:tcPr>
            <w:tcW w:w="202" w:type="pct"/>
            <w:tcBorders>
              <w:bottom w:val="single" w:sz="12" w:space="0" w:color="auto"/>
            </w:tcBorders>
            <w:shd w:val="clear" w:color="auto" w:fill="auto"/>
            <w:tcMar>
              <w:top w:w="0" w:type="dxa"/>
              <w:left w:w="0" w:type="dxa"/>
              <w:bottom w:w="30" w:type="dxa"/>
              <w:right w:w="0" w:type="dxa"/>
            </w:tcMar>
            <w:vAlign w:val="bottom"/>
            <w:hideMark/>
          </w:tcPr>
          <w:p w14:paraId="3006C014"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102" w:type="pct"/>
            <w:shd w:val="clear" w:color="auto" w:fill="auto"/>
          </w:tcPr>
          <w:p w14:paraId="421B5E88" w14:textId="77777777" w:rsidR="00C96E25" w:rsidRPr="00D2099E" w:rsidRDefault="00C96E25" w:rsidP="00E36274">
            <w:pPr>
              <w:spacing w:after="0" w:line="240" w:lineRule="auto"/>
              <w:jc w:val="both"/>
              <w:rPr>
                <w:rFonts w:ascii="Times New Roman" w:eastAsia="Times New Roman" w:hAnsi="Times New Roman" w:cs="Times New Roman"/>
                <w:sz w:val="20"/>
                <w:szCs w:val="20"/>
                <w:lang w:val="en-US"/>
              </w:rPr>
            </w:pPr>
          </w:p>
        </w:tc>
      </w:tr>
    </w:tbl>
    <w:p w14:paraId="643694B4" w14:textId="40CBCB22" w:rsidR="00866E49" w:rsidRDefault="00866E49" w:rsidP="00D2099E">
      <w:pPr>
        <w:spacing w:after="0" w:line="240" w:lineRule="auto"/>
        <w:jc w:val="both"/>
        <w:rPr>
          <w:rFonts w:ascii="Times New Roman" w:eastAsia="Times New Roman" w:hAnsi="Times New Roman" w:cs="Times New Roman"/>
          <w:sz w:val="20"/>
          <w:szCs w:val="20"/>
          <w:lang w:val="en-US"/>
        </w:rPr>
      </w:pPr>
    </w:p>
    <w:p w14:paraId="653C9E3B" w14:textId="6E85E393" w:rsidR="00D8125E" w:rsidRDefault="00983AC3" w:rsidP="00D33273">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Company’s asset retirement obligations </w:t>
      </w:r>
      <w:r w:rsidR="00CC24B5">
        <w:rPr>
          <w:rFonts w:ascii="Times New Roman" w:eastAsia="Times New Roman" w:hAnsi="Times New Roman" w:cs="Times New Roman"/>
          <w:sz w:val="20"/>
          <w:szCs w:val="20"/>
          <w:lang w:val="en-US"/>
        </w:rPr>
        <w:t>(ARO)</w:t>
      </w:r>
      <w:r>
        <w:rPr>
          <w:rFonts w:ascii="Times New Roman" w:eastAsia="Times New Roman" w:hAnsi="Times New Roman" w:cs="Times New Roman"/>
          <w:sz w:val="20"/>
          <w:szCs w:val="20"/>
          <w:lang w:val="en-US"/>
        </w:rPr>
        <w:t xml:space="preserve">result from its interest in oil and gas assets including well sites. The total ARO is estimated based </w:t>
      </w:r>
      <w:r w:rsidR="00367F74">
        <w:rPr>
          <w:rFonts w:ascii="Times New Roman" w:eastAsia="Times New Roman" w:hAnsi="Times New Roman" w:cs="Times New Roman"/>
          <w:sz w:val="20"/>
          <w:szCs w:val="20"/>
          <w:lang w:val="en-US"/>
        </w:rPr>
        <w:t xml:space="preserve">on </w:t>
      </w:r>
      <w:r>
        <w:rPr>
          <w:rFonts w:ascii="Times New Roman" w:eastAsia="Times New Roman" w:hAnsi="Times New Roman" w:cs="Times New Roman"/>
          <w:sz w:val="20"/>
          <w:szCs w:val="20"/>
          <w:lang w:val="en-US"/>
        </w:rPr>
        <w:t xml:space="preserve">the Company’s net ownership interest in all sites, estimated costs to reclaim and abandon these wells and the estimated timing of the costs </w:t>
      </w:r>
      <w:r w:rsidRPr="00407DE6">
        <w:rPr>
          <w:rFonts w:ascii="Times New Roman" w:eastAsia="Times New Roman" w:hAnsi="Times New Roman" w:cs="Times New Roman"/>
          <w:sz w:val="20"/>
          <w:szCs w:val="20"/>
          <w:lang w:val="en-US"/>
        </w:rPr>
        <w:t xml:space="preserve">to be included in future years. </w:t>
      </w:r>
      <w:r w:rsidR="00E455F0" w:rsidRPr="00407DE6">
        <w:rPr>
          <w:rFonts w:ascii="Times New Roman" w:eastAsia="Times New Roman" w:hAnsi="Times New Roman" w:cs="Times New Roman"/>
          <w:sz w:val="20"/>
          <w:szCs w:val="20"/>
          <w:lang w:val="en-US"/>
        </w:rPr>
        <w:t xml:space="preserve">The Company estimated the total undiscounted amount required to settle the ARO as </w:t>
      </w:r>
      <w:proofErr w:type="gramStart"/>
      <w:r w:rsidR="00E455F0" w:rsidRPr="00407DE6">
        <w:rPr>
          <w:rFonts w:ascii="Times New Roman" w:eastAsia="Times New Roman" w:hAnsi="Times New Roman" w:cs="Times New Roman"/>
          <w:sz w:val="20"/>
          <w:szCs w:val="20"/>
          <w:lang w:val="en-US"/>
        </w:rPr>
        <w:t>at</w:t>
      </w:r>
      <w:proofErr w:type="gramEnd"/>
      <w:r w:rsidR="00E455F0" w:rsidRPr="00407DE6">
        <w:rPr>
          <w:rFonts w:ascii="Times New Roman" w:eastAsia="Times New Roman" w:hAnsi="Times New Roman" w:cs="Times New Roman"/>
          <w:sz w:val="20"/>
          <w:szCs w:val="20"/>
          <w:lang w:val="en-US"/>
        </w:rPr>
        <w:t xml:space="preserve"> </w:t>
      </w:r>
      <w:r w:rsidR="00407DE6" w:rsidRPr="00064A08">
        <w:rPr>
          <w:rFonts w:ascii="Times New Roman" w:eastAsia="Times New Roman" w:hAnsi="Times New Roman" w:cs="Times New Roman"/>
          <w:sz w:val="20"/>
          <w:szCs w:val="20"/>
          <w:lang w:val="en-US"/>
        </w:rPr>
        <w:t>June 30</w:t>
      </w:r>
      <w:r w:rsidR="00E455F0" w:rsidRPr="00407DE6">
        <w:rPr>
          <w:rFonts w:ascii="Times New Roman" w:eastAsia="Times New Roman" w:hAnsi="Times New Roman" w:cs="Times New Roman"/>
          <w:sz w:val="20"/>
          <w:szCs w:val="20"/>
          <w:lang w:val="en-US"/>
        </w:rPr>
        <w:t xml:space="preserve">, 2022 is $8.2 million (December 31, 2021 - $8.2 million). </w:t>
      </w:r>
      <w:r w:rsidR="00EB45EF" w:rsidRPr="00407DE6">
        <w:rPr>
          <w:rFonts w:ascii="Times New Roman" w:eastAsia="Times New Roman" w:hAnsi="Times New Roman" w:cs="Times New Roman"/>
          <w:sz w:val="20"/>
          <w:szCs w:val="20"/>
          <w:lang w:val="en-US"/>
        </w:rPr>
        <w:t>The ARO is calculated using a</w:t>
      </w:r>
      <w:r w:rsidR="00317BEA" w:rsidRPr="00407DE6">
        <w:rPr>
          <w:rFonts w:ascii="Times New Roman" w:eastAsia="Times New Roman" w:hAnsi="Times New Roman" w:cs="Times New Roman"/>
          <w:sz w:val="20"/>
          <w:szCs w:val="20"/>
          <w:lang w:val="en-US"/>
        </w:rPr>
        <w:t>n</w:t>
      </w:r>
      <w:r w:rsidR="00EB45EF" w:rsidRPr="00407DE6">
        <w:rPr>
          <w:rFonts w:ascii="Times New Roman" w:eastAsia="Times New Roman" w:hAnsi="Times New Roman" w:cs="Times New Roman"/>
          <w:sz w:val="20"/>
          <w:szCs w:val="20"/>
          <w:lang w:val="en-US"/>
        </w:rPr>
        <w:t xml:space="preserve"> inflation rate of 2.5% (December 31, 2021 – 2.5%) and discounted using an interest free rate of </w:t>
      </w:r>
      <w:r w:rsidR="00407DE6" w:rsidRPr="00064A08">
        <w:rPr>
          <w:rFonts w:ascii="Times New Roman" w:eastAsia="Times New Roman" w:hAnsi="Times New Roman" w:cs="Times New Roman"/>
          <w:sz w:val="20"/>
          <w:szCs w:val="20"/>
          <w:lang w:val="en-US"/>
        </w:rPr>
        <w:t>3</w:t>
      </w:r>
      <w:r w:rsidR="00EB45EF" w:rsidRPr="00407DE6">
        <w:rPr>
          <w:rFonts w:ascii="Times New Roman" w:eastAsia="Times New Roman" w:hAnsi="Times New Roman" w:cs="Times New Roman"/>
          <w:sz w:val="20"/>
          <w:szCs w:val="20"/>
          <w:lang w:val="en-US"/>
        </w:rPr>
        <w:t>.</w:t>
      </w:r>
      <w:r w:rsidR="00407DE6" w:rsidRPr="00064A08">
        <w:rPr>
          <w:rFonts w:ascii="Times New Roman" w:eastAsia="Times New Roman" w:hAnsi="Times New Roman" w:cs="Times New Roman"/>
          <w:sz w:val="20"/>
          <w:szCs w:val="20"/>
          <w:lang w:val="en-US"/>
        </w:rPr>
        <w:t>01</w:t>
      </w:r>
      <w:r w:rsidR="00EB45EF" w:rsidRPr="00407DE6">
        <w:rPr>
          <w:rFonts w:ascii="Times New Roman" w:eastAsia="Times New Roman" w:hAnsi="Times New Roman" w:cs="Times New Roman"/>
          <w:sz w:val="20"/>
          <w:szCs w:val="20"/>
          <w:lang w:val="en-US"/>
        </w:rPr>
        <w:t>% (December 31, 2021 – 1.49%).</w:t>
      </w:r>
    </w:p>
    <w:p w14:paraId="31D8E843" w14:textId="308281B0" w:rsidR="00D2099E" w:rsidRPr="00D2099E" w:rsidRDefault="004F2281" w:rsidP="00D2099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D2099E"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2A85EAD6" w14:textId="77777777" w:rsidTr="005C7D2D">
        <w:tc>
          <w:tcPr>
            <w:tcW w:w="360" w:type="dxa"/>
            <w:hideMark/>
          </w:tcPr>
          <w:p w14:paraId="69532F06" w14:textId="19B5FCA1"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sidR="00C80046">
              <w:rPr>
                <w:rFonts w:ascii="Times New Roman" w:eastAsia="Times New Roman" w:hAnsi="Times New Roman" w:cs="Times New Roman"/>
                <w:b/>
                <w:bCs/>
                <w:sz w:val="20"/>
                <w:szCs w:val="20"/>
                <w:lang w:val="en-US"/>
              </w:rPr>
              <w:t>2</w:t>
            </w:r>
            <w:r w:rsidRPr="00CA4239">
              <w:rPr>
                <w:rFonts w:ascii="Times New Roman" w:eastAsia="Times New Roman" w:hAnsi="Times New Roman" w:cs="Times New Roman"/>
                <w:b/>
                <w:bCs/>
                <w:sz w:val="20"/>
                <w:szCs w:val="20"/>
                <w:lang w:val="en-US"/>
              </w:rPr>
              <w:t>.</w:t>
            </w:r>
          </w:p>
        </w:tc>
        <w:tc>
          <w:tcPr>
            <w:tcW w:w="0" w:type="auto"/>
            <w:hideMark/>
          </w:tcPr>
          <w:p w14:paraId="373FED78" w14:textId="7777777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 xml:space="preserve">Convertible Debentures </w:t>
            </w:r>
          </w:p>
        </w:tc>
      </w:tr>
    </w:tbl>
    <w:p w14:paraId="6E8EF03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7CA1DA45" w14:textId="3382CEB9"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On September 30, 2019, the Company closed an unbrokered private placement of convertible debt, issuing $123,095 ($163,000 CAD) in debentures to two investors. The convertible debentures bear interest at 10% per annum, payable annually in advance. They are convertible any time during the term of the debenture into units (each unit consists of one share and one warrant; each warrant can acquire one share at an exercise price of $0.20 USD or $0.25 CAD per share, based on the currency initially subscribed) at a conversion price of $0.12 USD or $0.15 CAD per unit, based on the currency initially subscribed. The convertible debt </w:t>
      </w:r>
      <w:r w:rsidR="00675DE4">
        <w:rPr>
          <w:rFonts w:ascii="Times New Roman" w:eastAsia="Times New Roman" w:hAnsi="Times New Roman" w:cs="Times New Roman"/>
          <w:sz w:val="20"/>
          <w:szCs w:val="20"/>
          <w:lang w:val="en-US"/>
        </w:rPr>
        <w:t>was set to mature</w:t>
      </w:r>
      <w:r w:rsidRPr="00D2099E">
        <w:rPr>
          <w:rFonts w:ascii="Times New Roman" w:eastAsia="Times New Roman" w:hAnsi="Times New Roman" w:cs="Times New Roman"/>
          <w:sz w:val="20"/>
          <w:szCs w:val="20"/>
          <w:lang w:val="en-US"/>
        </w:rPr>
        <w:t xml:space="preserve"> on September 30, </w:t>
      </w:r>
      <w:proofErr w:type="gramStart"/>
      <w:r w:rsidRPr="00D2099E">
        <w:rPr>
          <w:rFonts w:ascii="Times New Roman" w:eastAsia="Times New Roman" w:hAnsi="Times New Roman" w:cs="Times New Roman"/>
          <w:sz w:val="20"/>
          <w:szCs w:val="20"/>
          <w:lang w:val="en-US"/>
        </w:rPr>
        <w:t>2021</w:t>
      </w:r>
      <w:proofErr w:type="gramEnd"/>
      <w:r w:rsidRPr="00D2099E">
        <w:rPr>
          <w:rFonts w:ascii="Times New Roman" w:eastAsia="Times New Roman" w:hAnsi="Times New Roman" w:cs="Times New Roman"/>
          <w:sz w:val="20"/>
          <w:szCs w:val="20"/>
          <w:lang w:val="en-US"/>
        </w:rPr>
        <w:t xml:space="preserve"> and </w:t>
      </w:r>
      <w:r w:rsidR="00675DE4">
        <w:rPr>
          <w:rFonts w:ascii="Times New Roman" w:eastAsia="Times New Roman" w:hAnsi="Times New Roman" w:cs="Times New Roman"/>
          <w:sz w:val="20"/>
          <w:szCs w:val="20"/>
          <w:lang w:val="en-US"/>
        </w:rPr>
        <w:t>wa</w:t>
      </w:r>
      <w:r w:rsidRPr="00D2099E">
        <w:rPr>
          <w:rFonts w:ascii="Times New Roman" w:eastAsia="Times New Roman" w:hAnsi="Times New Roman" w:cs="Times New Roman"/>
          <w:sz w:val="20"/>
          <w:szCs w:val="20"/>
          <w:lang w:val="en-US"/>
        </w:rPr>
        <w:t>s secured by a general security agreement over the assets of the Company.</w:t>
      </w:r>
      <w:r w:rsidR="00675DE4">
        <w:rPr>
          <w:rFonts w:ascii="Times New Roman" w:eastAsia="Times New Roman" w:hAnsi="Times New Roman" w:cs="Times New Roman"/>
          <w:sz w:val="20"/>
          <w:szCs w:val="20"/>
          <w:lang w:val="en-US"/>
        </w:rPr>
        <w:t xml:space="preserve"> </w:t>
      </w:r>
      <w:r w:rsidR="009614ED">
        <w:rPr>
          <w:rFonts w:ascii="Times New Roman" w:eastAsia="Times New Roman" w:hAnsi="Times New Roman" w:cs="Times New Roman"/>
          <w:sz w:val="20"/>
          <w:szCs w:val="20"/>
          <w:lang w:val="en-US"/>
        </w:rPr>
        <w:t xml:space="preserve">The </w:t>
      </w:r>
      <w:r w:rsidR="00675DE4">
        <w:rPr>
          <w:rFonts w:ascii="Times New Roman" w:eastAsia="Times New Roman" w:hAnsi="Times New Roman" w:cs="Times New Roman"/>
          <w:sz w:val="20"/>
          <w:szCs w:val="20"/>
          <w:lang w:val="en-US"/>
        </w:rPr>
        <w:t>note was converted during the year ended December 31, 2021.</w:t>
      </w:r>
      <w:r w:rsidR="00E455F0">
        <w:rPr>
          <w:rFonts w:ascii="Times New Roman" w:eastAsia="Times New Roman" w:hAnsi="Times New Roman" w:cs="Times New Roman"/>
          <w:sz w:val="20"/>
          <w:szCs w:val="20"/>
          <w:lang w:val="en-US"/>
        </w:rPr>
        <w:t xml:space="preserve"> </w:t>
      </w:r>
    </w:p>
    <w:p w14:paraId="683F921C"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9D51E8D" w14:textId="2AA2DCDC"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As the September 30, </w:t>
      </w:r>
      <w:proofErr w:type="gramStart"/>
      <w:r w:rsidRPr="00D2099E">
        <w:rPr>
          <w:rFonts w:ascii="Times New Roman" w:eastAsia="Times New Roman" w:hAnsi="Times New Roman" w:cs="Times New Roman"/>
          <w:sz w:val="20"/>
          <w:szCs w:val="20"/>
          <w:lang w:val="en-US"/>
        </w:rPr>
        <w:t>2019</w:t>
      </w:r>
      <w:proofErr w:type="gramEnd"/>
      <w:r w:rsidRPr="00D2099E">
        <w:rPr>
          <w:rFonts w:ascii="Times New Roman" w:eastAsia="Times New Roman" w:hAnsi="Times New Roman" w:cs="Times New Roman"/>
          <w:sz w:val="20"/>
          <w:szCs w:val="20"/>
          <w:lang w:val="en-US"/>
        </w:rPr>
        <w:t xml:space="preserve"> convertible debt included an embedded conversion feature denominated in Canadian dollars</w:t>
      </w:r>
      <w:r w:rsidR="00E26902">
        <w:rPr>
          <w:rFonts w:ascii="Times New Roman" w:eastAsia="Times New Roman" w:hAnsi="Times New Roman" w:cs="Times New Roman"/>
          <w:sz w:val="20"/>
          <w:szCs w:val="20"/>
          <w:lang w:val="en-US"/>
        </w:rPr>
        <w:t xml:space="preserve"> other than the functional currency which was USD at the issuance of the convertible debt</w:t>
      </w:r>
      <w:r w:rsidRPr="00D2099E">
        <w:rPr>
          <w:rFonts w:ascii="Times New Roman" w:eastAsia="Times New Roman" w:hAnsi="Times New Roman" w:cs="Times New Roman"/>
          <w:sz w:val="20"/>
          <w:szCs w:val="20"/>
          <w:lang w:val="en-US"/>
        </w:rPr>
        <w:t>, the debt was determined to be a financial instrument comprising an embedded derivative representing the conversion feature with a residual host debt component</w:t>
      </w:r>
      <w:r w:rsidR="00E26902">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On initial recognition, the Company used the residual value method to allocate the principal amount of the debentures between the embedded derivative conversion feature and host debt components. The conversion feature was valued first with the residual allocated to the host debt component.</w:t>
      </w:r>
    </w:p>
    <w:p w14:paraId="3001F405"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5FB33C4" w14:textId="07D1DE59"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initial recognition the Company recognized a derivative liability of $81,956 and an offsetting convertible debt discount of $81,956.</w:t>
      </w:r>
    </w:p>
    <w:p w14:paraId="2CCC060A" w14:textId="2A106F32" w:rsidR="002117AD" w:rsidRDefault="002117AD" w:rsidP="00D2099E">
      <w:pPr>
        <w:spacing w:after="0" w:line="240" w:lineRule="auto"/>
        <w:ind w:left="360"/>
        <w:jc w:val="both"/>
        <w:rPr>
          <w:rFonts w:ascii="Times New Roman" w:eastAsia="Times New Roman" w:hAnsi="Times New Roman" w:cs="Times New Roman"/>
          <w:sz w:val="20"/>
          <w:szCs w:val="20"/>
          <w:lang w:val="en-US"/>
        </w:rPr>
      </w:pPr>
    </w:p>
    <w:p w14:paraId="6FFC3B4D" w14:textId="77777777" w:rsidR="002117AD" w:rsidRPr="00D2099E" w:rsidRDefault="002117AD" w:rsidP="002117AD">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fair value of the conversion features was determined based on the Black-Scholes Option Pricing Model using the following weighted average assumptions:</w:t>
      </w:r>
    </w:p>
    <w:p w14:paraId="4AE6484F" w14:textId="7F70DA68" w:rsidR="002117AD" w:rsidRDefault="002117AD" w:rsidP="00D2099E">
      <w:pPr>
        <w:spacing w:after="0" w:line="240" w:lineRule="auto"/>
        <w:ind w:left="360"/>
        <w:jc w:val="both"/>
        <w:rPr>
          <w:rFonts w:ascii="Times New Roman" w:eastAsia="Times New Roman" w:hAnsi="Times New Roman" w:cs="Times New Roman"/>
          <w:sz w:val="20"/>
          <w:szCs w:val="20"/>
          <w:lang w:val="en-US"/>
        </w:rPr>
      </w:pPr>
    </w:p>
    <w:tbl>
      <w:tblPr>
        <w:tblW w:w="4650" w:type="pct"/>
        <w:jc w:val="center"/>
        <w:tblCellMar>
          <w:left w:w="0" w:type="dxa"/>
          <w:right w:w="0" w:type="dxa"/>
        </w:tblCellMar>
        <w:tblLook w:val="04A0" w:firstRow="1" w:lastRow="0" w:firstColumn="1" w:lastColumn="0" w:noHBand="0" w:noVBand="1"/>
      </w:tblPr>
      <w:tblGrid>
        <w:gridCol w:w="6770"/>
        <w:gridCol w:w="154"/>
        <w:gridCol w:w="67"/>
        <w:gridCol w:w="1547"/>
        <w:gridCol w:w="167"/>
      </w:tblGrid>
      <w:tr w:rsidR="002117AD" w:rsidRPr="00D2099E" w14:paraId="5121E8F4" w14:textId="77777777" w:rsidTr="00D33273">
        <w:trPr>
          <w:jc w:val="center"/>
        </w:trPr>
        <w:tc>
          <w:tcPr>
            <w:tcW w:w="0" w:type="auto"/>
            <w:tcBorders>
              <w:top w:val="single" w:sz="12" w:space="0" w:color="auto"/>
              <w:bottom w:val="single" w:sz="12" w:space="0" w:color="auto"/>
            </w:tcBorders>
            <w:shd w:val="clear" w:color="auto" w:fill="auto"/>
            <w:vAlign w:val="bottom"/>
            <w:hideMark/>
          </w:tcPr>
          <w:p w14:paraId="3B22CA91"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40C1FB3C"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6CD00F7A" w14:textId="77777777" w:rsidR="002117AD" w:rsidRPr="00CA4239" w:rsidRDefault="002117AD" w:rsidP="005D19EC">
            <w:pPr>
              <w:spacing w:after="0" w:line="240" w:lineRule="auto"/>
              <w:jc w:val="center"/>
              <w:rPr>
                <w:rFonts w:ascii="Times New Roman" w:eastAsia="Times New Roman" w:hAnsi="Times New Roman" w:cs="Times New Roman"/>
                <w:color w:val="000000"/>
                <w:sz w:val="20"/>
                <w:szCs w:val="20"/>
                <w:lang w:val="en-US"/>
              </w:rPr>
            </w:pPr>
            <w:r w:rsidRPr="00CA4239">
              <w:rPr>
                <w:rFonts w:ascii="Times New Roman" w:eastAsia="Times New Roman" w:hAnsi="Times New Roman" w:cs="Times New Roman"/>
                <w:color w:val="000000"/>
                <w:sz w:val="20"/>
                <w:szCs w:val="20"/>
                <w:lang w:val="en-US"/>
              </w:rPr>
              <w:t>2020</w:t>
            </w:r>
          </w:p>
        </w:tc>
        <w:tc>
          <w:tcPr>
            <w:tcW w:w="0" w:type="auto"/>
            <w:shd w:val="clear" w:color="auto" w:fill="auto"/>
            <w:tcMar>
              <w:top w:w="0" w:type="dxa"/>
              <w:left w:w="0" w:type="dxa"/>
              <w:bottom w:w="30" w:type="dxa"/>
              <w:right w:w="0" w:type="dxa"/>
            </w:tcMar>
            <w:vAlign w:val="bottom"/>
            <w:hideMark/>
          </w:tcPr>
          <w:p w14:paraId="04EE9DA1"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r>
      <w:tr w:rsidR="002117AD" w:rsidRPr="00D2099E" w14:paraId="28F56515" w14:textId="77777777" w:rsidTr="00D33273">
        <w:trPr>
          <w:jc w:val="center"/>
        </w:trPr>
        <w:tc>
          <w:tcPr>
            <w:tcW w:w="3900" w:type="pct"/>
            <w:tcBorders>
              <w:top w:val="single" w:sz="12" w:space="0" w:color="auto"/>
            </w:tcBorders>
            <w:shd w:val="clear" w:color="auto" w:fill="auto"/>
            <w:vAlign w:val="bottom"/>
            <w:hideMark/>
          </w:tcPr>
          <w:p w14:paraId="1CF2ACB6"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Risk-free interest rate</w:t>
            </w:r>
          </w:p>
        </w:tc>
        <w:tc>
          <w:tcPr>
            <w:tcW w:w="100" w:type="pct"/>
            <w:tcBorders>
              <w:top w:val="single" w:sz="12" w:space="0" w:color="auto"/>
            </w:tcBorders>
            <w:shd w:val="clear" w:color="auto" w:fill="auto"/>
            <w:vAlign w:val="bottom"/>
            <w:hideMark/>
          </w:tcPr>
          <w:p w14:paraId="24D89451"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50" w:type="pct"/>
            <w:tcBorders>
              <w:top w:val="single" w:sz="12" w:space="0" w:color="auto"/>
            </w:tcBorders>
            <w:shd w:val="clear" w:color="auto" w:fill="auto"/>
            <w:vAlign w:val="bottom"/>
            <w:hideMark/>
          </w:tcPr>
          <w:p w14:paraId="23BEA4DE"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900" w:type="pct"/>
            <w:tcBorders>
              <w:top w:val="single" w:sz="12" w:space="0" w:color="auto"/>
            </w:tcBorders>
            <w:shd w:val="clear" w:color="auto" w:fill="auto"/>
            <w:vAlign w:val="bottom"/>
            <w:hideMark/>
          </w:tcPr>
          <w:p w14:paraId="63C7B063" w14:textId="77777777" w:rsidR="002117AD" w:rsidRPr="00CA4239" w:rsidRDefault="002117AD" w:rsidP="005D19EC">
            <w:pPr>
              <w:spacing w:after="0" w:line="240" w:lineRule="auto"/>
              <w:jc w:val="right"/>
              <w:rPr>
                <w:rFonts w:ascii="Times New Roman" w:eastAsia="Times New Roman" w:hAnsi="Times New Roman" w:cs="Times New Roman"/>
                <w:color w:val="000000"/>
                <w:sz w:val="20"/>
                <w:szCs w:val="20"/>
                <w:lang w:val="en-US"/>
              </w:rPr>
            </w:pPr>
            <w:r w:rsidRPr="00CA4239">
              <w:rPr>
                <w:rFonts w:ascii="Times New Roman" w:eastAsia="Times New Roman" w:hAnsi="Times New Roman" w:cs="Times New Roman"/>
                <w:color w:val="000000"/>
                <w:sz w:val="20"/>
                <w:szCs w:val="20"/>
                <w:lang w:val="en-US"/>
              </w:rPr>
              <w:t>0.13</w:t>
            </w:r>
          </w:p>
        </w:tc>
        <w:tc>
          <w:tcPr>
            <w:tcW w:w="50" w:type="pct"/>
            <w:shd w:val="clear" w:color="auto" w:fill="auto"/>
            <w:vAlign w:val="bottom"/>
            <w:hideMark/>
          </w:tcPr>
          <w:p w14:paraId="7EC6BAB3"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r>
      <w:tr w:rsidR="002117AD" w:rsidRPr="00D2099E" w14:paraId="6A36E75D" w14:textId="77777777" w:rsidTr="00D33273">
        <w:trPr>
          <w:jc w:val="center"/>
        </w:trPr>
        <w:tc>
          <w:tcPr>
            <w:tcW w:w="0" w:type="auto"/>
            <w:shd w:val="clear" w:color="auto" w:fill="auto"/>
            <w:vAlign w:val="bottom"/>
            <w:hideMark/>
          </w:tcPr>
          <w:p w14:paraId="69339A70"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Expected life (years)</w:t>
            </w:r>
          </w:p>
        </w:tc>
        <w:tc>
          <w:tcPr>
            <w:tcW w:w="0" w:type="auto"/>
            <w:shd w:val="clear" w:color="auto" w:fill="auto"/>
            <w:vAlign w:val="bottom"/>
            <w:hideMark/>
          </w:tcPr>
          <w:p w14:paraId="7BB8A349"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755D173C"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0F515269" w14:textId="77777777" w:rsidR="002117AD" w:rsidRPr="00CA4239" w:rsidRDefault="002117AD" w:rsidP="005D19EC">
            <w:pPr>
              <w:spacing w:after="0" w:line="240" w:lineRule="auto"/>
              <w:jc w:val="right"/>
              <w:rPr>
                <w:rFonts w:ascii="Times New Roman" w:eastAsia="Times New Roman" w:hAnsi="Times New Roman" w:cs="Times New Roman"/>
                <w:color w:val="000000"/>
                <w:sz w:val="20"/>
                <w:szCs w:val="20"/>
                <w:lang w:val="en-US"/>
              </w:rPr>
            </w:pPr>
            <w:r w:rsidRPr="00CA4239">
              <w:rPr>
                <w:rFonts w:ascii="Times New Roman" w:eastAsia="Times New Roman" w:hAnsi="Times New Roman" w:cs="Times New Roman"/>
                <w:color w:val="000000"/>
                <w:sz w:val="20"/>
                <w:szCs w:val="20"/>
                <w:lang w:val="en-US"/>
              </w:rPr>
              <w:t>1.01</w:t>
            </w:r>
          </w:p>
        </w:tc>
        <w:tc>
          <w:tcPr>
            <w:tcW w:w="0" w:type="auto"/>
            <w:shd w:val="clear" w:color="auto" w:fill="auto"/>
            <w:vAlign w:val="bottom"/>
            <w:hideMark/>
          </w:tcPr>
          <w:p w14:paraId="3DD33221"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r>
      <w:tr w:rsidR="002117AD" w:rsidRPr="00D2099E" w14:paraId="0F6C6C37" w14:textId="77777777" w:rsidTr="00D33273">
        <w:trPr>
          <w:jc w:val="center"/>
        </w:trPr>
        <w:tc>
          <w:tcPr>
            <w:tcW w:w="0" w:type="auto"/>
            <w:shd w:val="clear" w:color="auto" w:fill="auto"/>
            <w:vAlign w:val="bottom"/>
            <w:hideMark/>
          </w:tcPr>
          <w:p w14:paraId="5756D0A5"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Expected volatility</w:t>
            </w:r>
          </w:p>
        </w:tc>
        <w:tc>
          <w:tcPr>
            <w:tcW w:w="0" w:type="auto"/>
            <w:shd w:val="clear" w:color="auto" w:fill="auto"/>
            <w:vAlign w:val="bottom"/>
            <w:hideMark/>
          </w:tcPr>
          <w:p w14:paraId="388F3F6E"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6A81319B"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7958EE8E" w14:textId="77777777" w:rsidR="002117AD" w:rsidRPr="00CA4239" w:rsidRDefault="002117AD" w:rsidP="005D19EC">
            <w:pPr>
              <w:spacing w:after="0" w:line="240" w:lineRule="auto"/>
              <w:jc w:val="right"/>
              <w:rPr>
                <w:rFonts w:ascii="Times New Roman" w:eastAsia="Times New Roman" w:hAnsi="Times New Roman" w:cs="Times New Roman"/>
                <w:color w:val="000000"/>
                <w:sz w:val="20"/>
                <w:szCs w:val="20"/>
                <w:lang w:val="en-US"/>
              </w:rPr>
            </w:pPr>
            <w:r w:rsidRPr="00CA4239">
              <w:rPr>
                <w:rFonts w:ascii="Times New Roman" w:eastAsia="Times New Roman" w:hAnsi="Times New Roman" w:cs="Times New Roman"/>
                <w:color w:val="000000"/>
                <w:sz w:val="20"/>
                <w:szCs w:val="20"/>
                <w:lang w:val="en-US"/>
              </w:rPr>
              <w:t>228</w:t>
            </w:r>
          </w:p>
        </w:tc>
        <w:tc>
          <w:tcPr>
            <w:tcW w:w="0" w:type="auto"/>
            <w:shd w:val="clear" w:color="auto" w:fill="auto"/>
            <w:vAlign w:val="bottom"/>
            <w:hideMark/>
          </w:tcPr>
          <w:p w14:paraId="63C4C953"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r>
      <w:tr w:rsidR="002117AD" w:rsidRPr="00D2099E" w14:paraId="2127DB4A" w14:textId="77777777" w:rsidTr="00D33273">
        <w:trPr>
          <w:jc w:val="center"/>
        </w:trPr>
        <w:tc>
          <w:tcPr>
            <w:tcW w:w="0" w:type="auto"/>
            <w:tcBorders>
              <w:bottom w:val="single" w:sz="12" w:space="0" w:color="auto"/>
            </w:tcBorders>
            <w:shd w:val="clear" w:color="auto" w:fill="auto"/>
            <w:vAlign w:val="bottom"/>
            <w:hideMark/>
          </w:tcPr>
          <w:p w14:paraId="4D804582"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Dividend yield</w:t>
            </w:r>
          </w:p>
        </w:tc>
        <w:tc>
          <w:tcPr>
            <w:tcW w:w="0" w:type="auto"/>
            <w:tcBorders>
              <w:bottom w:val="single" w:sz="12" w:space="0" w:color="auto"/>
            </w:tcBorders>
            <w:shd w:val="clear" w:color="auto" w:fill="auto"/>
            <w:vAlign w:val="bottom"/>
            <w:hideMark/>
          </w:tcPr>
          <w:p w14:paraId="4CF769A9"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hideMark/>
          </w:tcPr>
          <w:p w14:paraId="4A9D65A4"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hideMark/>
          </w:tcPr>
          <w:p w14:paraId="135117FA" w14:textId="77777777" w:rsidR="002117AD" w:rsidRPr="00CA4239" w:rsidRDefault="002117AD" w:rsidP="005D19EC">
            <w:pPr>
              <w:spacing w:after="0" w:line="240" w:lineRule="auto"/>
              <w:jc w:val="right"/>
              <w:rPr>
                <w:rFonts w:ascii="Times New Roman" w:eastAsia="Times New Roman" w:hAnsi="Times New Roman" w:cs="Times New Roman"/>
                <w:color w:val="000000"/>
                <w:sz w:val="20"/>
                <w:szCs w:val="20"/>
                <w:lang w:val="en-US"/>
              </w:rPr>
            </w:pPr>
            <w:r w:rsidRPr="00CA4239">
              <w:rPr>
                <w:rFonts w:ascii="Times New Roman" w:eastAsia="Times New Roman" w:hAnsi="Times New Roman" w:cs="Times New Roman"/>
                <w:color w:val="000000"/>
                <w:sz w:val="20"/>
                <w:szCs w:val="20"/>
                <w:lang w:val="en-US"/>
              </w:rPr>
              <w:t>0</w:t>
            </w:r>
          </w:p>
        </w:tc>
        <w:tc>
          <w:tcPr>
            <w:tcW w:w="0" w:type="auto"/>
            <w:tcBorders>
              <w:bottom w:val="single" w:sz="12" w:space="0" w:color="auto"/>
            </w:tcBorders>
            <w:shd w:val="clear" w:color="auto" w:fill="auto"/>
            <w:vAlign w:val="bottom"/>
            <w:hideMark/>
          </w:tcPr>
          <w:p w14:paraId="29118BAB" w14:textId="77777777" w:rsidR="002117AD" w:rsidRPr="00D2099E" w:rsidRDefault="002117AD" w:rsidP="005D19E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r>
    </w:tbl>
    <w:p w14:paraId="2777D493" w14:textId="77777777" w:rsidR="002117AD" w:rsidRPr="00D2099E" w:rsidRDefault="002117AD" w:rsidP="00D2099E">
      <w:pPr>
        <w:spacing w:after="0" w:line="240" w:lineRule="auto"/>
        <w:ind w:left="360"/>
        <w:jc w:val="both"/>
        <w:rPr>
          <w:rFonts w:ascii="Times New Roman" w:eastAsia="Times New Roman" w:hAnsi="Times New Roman" w:cs="Times New Roman"/>
          <w:sz w:val="20"/>
          <w:szCs w:val="20"/>
          <w:lang w:val="en-US"/>
        </w:rPr>
      </w:pPr>
    </w:p>
    <w:p w14:paraId="2A488D19" w14:textId="77777777" w:rsidR="0062700B"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BC048F3" w14:textId="77777777" w:rsidR="0062700B" w:rsidRDefault="0062700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04134393" w14:textId="77777777" w:rsidR="0062700B" w:rsidRDefault="0062700B" w:rsidP="00D2099E">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62700B" w:rsidRPr="00CA4239" w14:paraId="25EF67D0" w14:textId="77777777" w:rsidTr="00AE52B2">
        <w:tc>
          <w:tcPr>
            <w:tcW w:w="360" w:type="dxa"/>
            <w:hideMark/>
          </w:tcPr>
          <w:p w14:paraId="51D8C32E" w14:textId="77777777" w:rsidR="0062700B" w:rsidRPr="00CA4239" w:rsidRDefault="0062700B"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2</w:t>
            </w:r>
            <w:r w:rsidRPr="00CA4239">
              <w:rPr>
                <w:rFonts w:ascii="Times New Roman" w:eastAsia="Times New Roman" w:hAnsi="Times New Roman" w:cs="Times New Roman"/>
                <w:b/>
                <w:bCs/>
                <w:sz w:val="20"/>
                <w:szCs w:val="20"/>
                <w:lang w:val="en-US"/>
              </w:rPr>
              <w:t>.</w:t>
            </w:r>
          </w:p>
        </w:tc>
        <w:tc>
          <w:tcPr>
            <w:tcW w:w="0" w:type="auto"/>
            <w:hideMark/>
          </w:tcPr>
          <w:p w14:paraId="03C48A04" w14:textId="50C7EFB7" w:rsidR="0062700B" w:rsidRPr="00CA4239" w:rsidRDefault="0062700B"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 xml:space="preserve">Convertible Debentures </w:t>
            </w:r>
            <w:r>
              <w:rPr>
                <w:rFonts w:ascii="Times New Roman" w:eastAsia="Times New Roman" w:hAnsi="Times New Roman" w:cs="Times New Roman"/>
                <w:b/>
                <w:bCs/>
                <w:sz w:val="20"/>
                <w:szCs w:val="20"/>
                <w:lang w:val="en-US"/>
              </w:rPr>
              <w:t>(continued)</w:t>
            </w:r>
          </w:p>
        </w:tc>
      </w:tr>
    </w:tbl>
    <w:p w14:paraId="2B632F77" w14:textId="77777777" w:rsidR="0062700B" w:rsidRDefault="0062700B" w:rsidP="00D2099E">
      <w:pPr>
        <w:spacing w:after="0" w:line="240" w:lineRule="auto"/>
        <w:ind w:left="360"/>
        <w:jc w:val="both"/>
        <w:rPr>
          <w:rFonts w:ascii="Times New Roman" w:eastAsia="Times New Roman" w:hAnsi="Times New Roman" w:cs="Times New Roman"/>
          <w:sz w:val="20"/>
          <w:szCs w:val="20"/>
          <w:lang w:val="en-US"/>
        </w:rPr>
      </w:pPr>
    </w:p>
    <w:p w14:paraId="40A66436" w14:textId="32820686"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On July 1, 2020, the Company amended the conversion price of the convertible debentures. Under the amended terms, they are convertible any time during the term of the debenture into units (each unit consists of one share and one warrant; each warrant can acquire one share at an exercise price of $0.12 CAD per share, or approximately US$0.09 per share) at a conversion price of $0.075 CAD per unit (approximately US$0.06 per unit). </w:t>
      </w:r>
    </w:p>
    <w:p w14:paraId="33B0E9E3" w14:textId="0ECCC14A"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25097944" w14:textId="44CD3125"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September 15, 2020, debt in the principal amount of $9,870 ($13,000 CAD) was converted by the holder to 173,333 units.</w:t>
      </w:r>
    </w:p>
    <w:p w14:paraId="777DEA56"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493CDC5"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8, 2021, the Company amended the terms of the convertible debentures such that any warrants issued with the units upon the conversion of the debentures is exercisable at US$0.10 per share.</w:t>
      </w:r>
    </w:p>
    <w:p w14:paraId="2549C108"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97F07CE" w14:textId="3AAB613F"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On March 8, 2021, the debt in the principal amount of $89,198 ($112,500 CAD) was converted to 1,500,000 units </w:t>
      </w:r>
      <w:r w:rsidR="00A73791">
        <w:rPr>
          <w:rFonts w:ascii="Times New Roman" w:eastAsia="Times New Roman" w:hAnsi="Times New Roman" w:cs="Times New Roman"/>
          <w:sz w:val="20"/>
          <w:szCs w:val="20"/>
          <w:lang w:val="en-US"/>
        </w:rPr>
        <w:t>with no loss or gain recognized</w:t>
      </w:r>
      <w:r w:rsidRPr="00D2099E">
        <w:rPr>
          <w:rFonts w:ascii="Times New Roman" w:eastAsia="Times New Roman" w:hAnsi="Times New Roman" w:cs="Times New Roman"/>
          <w:sz w:val="20"/>
          <w:szCs w:val="20"/>
          <w:lang w:val="en-US"/>
        </w:rPr>
        <w:t xml:space="preserve">. </w:t>
      </w:r>
    </w:p>
    <w:p w14:paraId="395B30A5"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7A65F65D" w14:textId="7EDEF97E"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30, 2021, the debt in the principal amount of $29,528 ($37,500 CAD) and an accrued interest of $12,000 was converted to 660,000 units with</w:t>
      </w:r>
      <w:r w:rsidR="00694590">
        <w:rPr>
          <w:rFonts w:ascii="Times New Roman" w:eastAsia="Times New Roman" w:hAnsi="Times New Roman" w:cs="Times New Roman"/>
          <w:sz w:val="20"/>
          <w:szCs w:val="20"/>
          <w:lang w:val="en-US"/>
        </w:rPr>
        <w:t xml:space="preserve"> no loss or gain recognized</w:t>
      </w:r>
      <w:r w:rsidRPr="00D2099E">
        <w:rPr>
          <w:rFonts w:ascii="Times New Roman" w:eastAsia="Times New Roman" w:hAnsi="Times New Roman" w:cs="Times New Roman"/>
          <w:sz w:val="20"/>
          <w:szCs w:val="20"/>
          <w:lang w:val="en-US"/>
        </w:rPr>
        <w:t xml:space="preserve">. </w:t>
      </w:r>
    </w:p>
    <w:p w14:paraId="3F3AA5EB"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p>
    <w:p w14:paraId="5C51A038" w14:textId="25AC5CEC"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 continuity of convertible debt and the embedded derivative conversion feature for the </w:t>
      </w:r>
      <w:r w:rsidR="005463E8">
        <w:rPr>
          <w:rFonts w:ascii="Times New Roman" w:eastAsia="Times New Roman" w:hAnsi="Times New Roman" w:cs="Times New Roman"/>
          <w:sz w:val="20"/>
          <w:szCs w:val="20"/>
          <w:lang w:val="en-US"/>
        </w:rPr>
        <w:t>six</w:t>
      </w:r>
      <w:r w:rsidR="0037309A">
        <w:rPr>
          <w:rFonts w:ascii="Times New Roman" w:eastAsia="Times New Roman" w:hAnsi="Times New Roman" w:cs="Times New Roman"/>
          <w:sz w:val="20"/>
          <w:szCs w:val="20"/>
          <w:lang w:val="en-US"/>
        </w:rPr>
        <w:t xml:space="preserve"> months ended </w:t>
      </w:r>
      <w:r w:rsidR="005463E8">
        <w:rPr>
          <w:rFonts w:ascii="Times New Roman" w:eastAsia="Times New Roman" w:hAnsi="Times New Roman" w:cs="Times New Roman"/>
          <w:sz w:val="20"/>
          <w:szCs w:val="20"/>
          <w:lang w:val="en-US"/>
        </w:rPr>
        <w:t>June 30</w:t>
      </w:r>
      <w:r w:rsidR="003261B8">
        <w:rPr>
          <w:rFonts w:ascii="Times New Roman" w:eastAsia="Times New Roman" w:hAnsi="Times New Roman" w:cs="Times New Roman"/>
          <w:sz w:val="20"/>
          <w:szCs w:val="20"/>
          <w:lang w:val="en-US"/>
        </w:rPr>
        <w:t xml:space="preserve">, </w:t>
      </w:r>
      <w:proofErr w:type="gramStart"/>
      <w:r w:rsidR="003261B8">
        <w:rPr>
          <w:rFonts w:ascii="Times New Roman" w:eastAsia="Times New Roman" w:hAnsi="Times New Roman" w:cs="Times New Roman"/>
          <w:sz w:val="20"/>
          <w:szCs w:val="20"/>
          <w:lang w:val="en-US"/>
        </w:rPr>
        <w:t>2022</w:t>
      </w:r>
      <w:proofErr w:type="gramEnd"/>
      <w:r w:rsidRPr="00D2099E">
        <w:rPr>
          <w:rFonts w:ascii="Times New Roman" w:eastAsia="Times New Roman" w:hAnsi="Times New Roman" w:cs="Times New Roman"/>
          <w:sz w:val="20"/>
          <w:szCs w:val="20"/>
          <w:lang w:val="en-US"/>
        </w:rPr>
        <w:t xml:space="preserve"> is as follows:</w:t>
      </w:r>
    </w:p>
    <w:p w14:paraId="427C6680"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9751464"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4806" w:type="pct"/>
        <w:tblInd w:w="360" w:type="dxa"/>
        <w:tblCellMar>
          <w:left w:w="0" w:type="dxa"/>
          <w:right w:w="0" w:type="dxa"/>
        </w:tblCellMar>
        <w:tblLook w:val="04A0" w:firstRow="1" w:lastRow="0" w:firstColumn="1" w:lastColumn="0" w:noHBand="0" w:noVBand="1"/>
      </w:tblPr>
      <w:tblGrid>
        <w:gridCol w:w="4426"/>
        <w:gridCol w:w="60"/>
        <w:gridCol w:w="280"/>
        <w:gridCol w:w="1734"/>
        <w:gridCol w:w="80"/>
        <w:gridCol w:w="60"/>
        <w:gridCol w:w="146"/>
        <w:gridCol w:w="907"/>
        <w:gridCol w:w="80"/>
        <w:gridCol w:w="60"/>
        <w:gridCol w:w="120"/>
        <w:gridCol w:w="860"/>
        <w:gridCol w:w="184"/>
      </w:tblGrid>
      <w:tr w:rsidR="00D2099E" w:rsidRPr="00D2099E" w14:paraId="7748280B" w14:textId="77777777" w:rsidTr="00D33273">
        <w:tc>
          <w:tcPr>
            <w:tcW w:w="0" w:type="auto"/>
            <w:tcBorders>
              <w:top w:val="single" w:sz="12" w:space="0" w:color="auto"/>
              <w:bottom w:val="single" w:sz="12" w:space="0" w:color="auto"/>
            </w:tcBorders>
            <w:shd w:val="clear" w:color="auto" w:fill="auto"/>
            <w:vAlign w:val="bottom"/>
            <w:hideMark/>
          </w:tcPr>
          <w:p w14:paraId="5B9C1CA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F039107"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16DF7E08" w14:textId="77777777" w:rsidR="00D2099E" w:rsidRPr="00D2099E" w:rsidRDefault="00D2099E" w:rsidP="00D2099E">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Host debt instrument</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16F2AD2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76E8BBF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598062B9" w14:textId="77777777" w:rsidR="00D2099E" w:rsidRPr="00D2099E" w:rsidRDefault="00D2099E" w:rsidP="00D2099E">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Embedded </w:t>
            </w:r>
            <w:r w:rsidRPr="00D2099E">
              <w:rPr>
                <w:rFonts w:ascii="Times New Roman" w:eastAsia="Times New Roman" w:hAnsi="Times New Roman" w:cs="Times New Roman"/>
                <w:sz w:val="20"/>
                <w:szCs w:val="20"/>
                <w:lang w:val="en-US"/>
              </w:rPr>
              <w:br/>
              <w:t xml:space="preserve">conversion </w:t>
            </w:r>
            <w:r w:rsidRPr="00D2099E">
              <w:rPr>
                <w:rFonts w:ascii="Times New Roman" w:eastAsia="Times New Roman" w:hAnsi="Times New Roman" w:cs="Times New Roman"/>
                <w:sz w:val="20"/>
                <w:szCs w:val="20"/>
                <w:lang w:val="en-US"/>
              </w:rPr>
              <w:br/>
              <w:t>feature</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2D584B9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2F59C24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217E8AB0" w14:textId="77777777" w:rsidR="00D2099E" w:rsidRPr="00D2099E" w:rsidRDefault="00D2099E" w:rsidP="00D2099E">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Total</w:t>
            </w:r>
          </w:p>
        </w:tc>
        <w:tc>
          <w:tcPr>
            <w:tcW w:w="102" w:type="pct"/>
            <w:shd w:val="clear" w:color="auto" w:fill="auto"/>
            <w:tcMar>
              <w:top w:w="0" w:type="dxa"/>
              <w:left w:w="0" w:type="dxa"/>
              <w:bottom w:w="30" w:type="dxa"/>
              <w:right w:w="0" w:type="dxa"/>
            </w:tcMar>
            <w:vAlign w:val="bottom"/>
            <w:hideMark/>
          </w:tcPr>
          <w:p w14:paraId="0E9B4F9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068A3" w:rsidRPr="00D2099E" w14:paraId="5026301F" w14:textId="77777777" w:rsidTr="000068A3">
        <w:trPr>
          <w:hidden/>
        </w:trPr>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6EE3F89D"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Converted to units</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3AC58FF4"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4830534A"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00F81AF3" w14:textId="77777777" w:rsidR="00D2099E" w:rsidRPr="00D2099E" w:rsidRDefault="00D2099E" w:rsidP="00D2099E">
            <w:pPr>
              <w:spacing w:after="0" w:line="240" w:lineRule="auto"/>
              <w:jc w:val="right"/>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492E8051"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17FD8B6E"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74DABE65"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06C714D1" w14:textId="77777777" w:rsidR="00D2099E" w:rsidRPr="00D2099E" w:rsidRDefault="00D2099E" w:rsidP="00D2099E">
            <w:pPr>
              <w:spacing w:after="0" w:line="240" w:lineRule="auto"/>
              <w:jc w:val="right"/>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1E764D9A"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3B8BBED9"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7B25639E"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646BADF7" w14:textId="77777777" w:rsidR="00D2099E" w:rsidRPr="00D2099E" w:rsidRDefault="00D2099E" w:rsidP="00D2099E">
            <w:pPr>
              <w:spacing w:after="0" w:line="240" w:lineRule="auto"/>
              <w:jc w:val="right"/>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c>
          <w:tcPr>
            <w:tcW w:w="102" w:type="pct"/>
            <w:shd w:val="clear" w:color="auto" w:fill="auto"/>
            <w:tcMar>
              <w:top w:w="0" w:type="dxa"/>
              <w:left w:w="0" w:type="dxa"/>
              <w:bottom w:w="30" w:type="dxa"/>
              <w:right w:w="0" w:type="dxa"/>
            </w:tcMar>
            <w:vAlign w:val="bottom"/>
            <w:hideMark/>
          </w:tcPr>
          <w:p w14:paraId="11FDC974" w14:textId="77777777" w:rsidR="00D2099E" w:rsidRPr="00D2099E" w:rsidRDefault="00D2099E" w:rsidP="00D2099E">
            <w:pPr>
              <w:spacing w:after="0" w:line="240" w:lineRule="auto"/>
              <w:jc w:val="both"/>
              <w:rPr>
                <w:rFonts w:ascii="Times New Roman" w:eastAsia="Times New Roman" w:hAnsi="Times New Roman" w:cs="Times New Roman"/>
                <w:vanish/>
                <w:sz w:val="20"/>
                <w:szCs w:val="20"/>
                <w:lang w:val="en-US"/>
              </w:rPr>
            </w:pPr>
            <w:r w:rsidRPr="00D2099E">
              <w:rPr>
                <w:rFonts w:ascii="Times New Roman" w:eastAsia="Times New Roman" w:hAnsi="Times New Roman" w:cs="Times New Roman"/>
                <w:vanish/>
                <w:sz w:val="20"/>
                <w:szCs w:val="20"/>
                <w:lang w:val="en-US"/>
              </w:rPr>
              <w:t> </w:t>
            </w:r>
          </w:p>
        </w:tc>
      </w:tr>
      <w:tr w:rsidR="00D2099E" w:rsidRPr="00D2099E" w14:paraId="5938605F" w14:textId="77777777" w:rsidTr="00D33273">
        <w:tc>
          <w:tcPr>
            <w:tcW w:w="0" w:type="auto"/>
            <w:tcBorders>
              <w:top w:val="single" w:sz="12" w:space="0" w:color="auto"/>
            </w:tcBorders>
            <w:shd w:val="clear" w:color="auto" w:fill="auto"/>
            <w:vAlign w:val="bottom"/>
            <w:hideMark/>
          </w:tcPr>
          <w:p w14:paraId="6410EBF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Balance, December 31, 2020</w:t>
            </w:r>
          </w:p>
        </w:tc>
        <w:tc>
          <w:tcPr>
            <w:tcW w:w="0" w:type="auto"/>
            <w:tcBorders>
              <w:top w:val="single" w:sz="12" w:space="0" w:color="auto"/>
            </w:tcBorders>
            <w:shd w:val="clear" w:color="auto" w:fill="auto"/>
            <w:vAlign w:val="bottom"/>
            <w:hideMark/>
          </w:tcPr>
          <w:p w14:paraId="7838CF8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367F1AE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45370EAB"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11,027</w:t>
            </w:r>
          </w:p>
        </w:tc>
        <w:tc>
          <w:tcPr>
            <w:tcW w:w="0" w:type="auto"/>
            <w:tcBorders>
              <w:top w:val="single" w:sz="12" w:space="0" w:color="auto"/>
            </w:tcBorders>
            <w:shd w:val="clear" w:color="auto" w:fill="auto"/>
            <w:vAlign w:val="bottom"/>
            <w:hideMark/>
          </w:tcPr>
          <w:p w14:paraId="6C3A834B"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1BCBD7E6"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76264B9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362E2902"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80,342</w:t>
            </w:r>
          </w:p>
        </w:tc>
        <w:tc>
          <w:tcPr>
            <w:tcW w:w="0" w:type="auto"/>
            <w:tcBorders>
              <w:top w:val="single" w:sz="12" w:space="0" w:color="auto"/>
            </w:tcBorders>
            <w:shd w:val="clear" w:color="auto" w:fill="auto"/>
            <w:vAlign w:val="bottom"/>
            <w:hideMark/>
          </w:tcPr>
          <w:p w14:paraId="23E80D1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184A08C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6B3EF488"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6938017C"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91,369</w:t>
            </w:r>
          </w:p>
        </w:tc>
        <w:tc>
          <w:tcPr>
            <w:tcW w:w="102" w:type="pct"/>
            <w:shd w:val="clear" w:color="auto" w:fill="auto"/>
            <w:vAlign w:val="bottom"/>
            <w:hideMark/>
          </w:tcPr>
          <w:p w14:paraId="249DEA7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4555AB0C" w14:textId="77777777" w:rsidTr="00D33273">
        <w:tc>
          <w:tcPr>
            <w:tcW w:w="0" w:type="auto"/>
            <w:shd w:val="clear" w:color="auto" w:fill="auto"/>
            <w:vAlign w:val="bottom"/>
            <w:hideMark/>
          </w:tcPr>
          <w:p w14:paraId="62D5FC7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Accretion</w:t>
            </w:r>
          </w:p>
        </w:tc>
        <w:tc>
          <w:tcPr>
            <w:tcW w:w="0" w:type="auto"/>
            <w:shd w:val="clear" w:color="auto" w:fill="auto"/>
            <w:vAlign w:val="bottom"/>
            <w:hideMark/>
          </w:tcPr>
          <w:p w14:paraId="464461C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867569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3F710BFC"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19,943</w:t>
            </w:r>
          </w:p>
        </w:tc>
        <w:tc>
          <w:tcPr>
            <w:tcW w:w="0" w:type="auto"/>
            <w:shd w:val="clear" w:color="auto" w:fill="auto"/>
            <w:vAlign w:val="bottom"/>
            <w:hideMark/>
          </w:tcPr>
          <w:p w14:paraId="6EE5A06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7A488CA6"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C48C3B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1E888C8F"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vAlign w:val="bottom"/>
            <w:hideMark/>
          </w:tcPr>
          <w:p w14:paraId="77851E5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8E8F77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2C6B968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367ABF9D"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19,943</w:t>
            </w:r>
          </w:p>
        </w:tc>
        <w:tc>
          <w:tcPr>
            <w:tcW w:w="102" w:type="pct"/>
            <w:shd w:val="clear" w:color="auto" w:fill="auto"/>
            <w:vAlign w:val="bottom"/>
            <w:hideMark/>
          </w:tcPr>
          <w:p w14:paraId="1E15CC9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0068A3" w:rsidRPr="00D2099E" w14:paraId="6C5BE5CF" w14:textId="77777777" w:rsidTr="00D33273">
        <w:tc>
          <w:tcPr>
            <w:tcW w:w="0" w:type="auto"/>
            <w:shd w:val="clear" w:color="auto" w:fill="auto"/>
            <w:tcMar>
              <w:top w:w="0" w:type="dxa"/>
              <w:left w:w="0" w:type="dxa"/>
              <w:bottom w:w="30" w:type="dxa"/>
              <w:right w:w="0" w:type="dxa"/>
            </w:tcMar>
            <w:vAlign w:val="bottom"/>
            <w:hideMark/>
          </w:tcPr>
          <w:p w14:paraId="028FB312" w14:textId="77777777" w:rsidR="00D2099E" w:rsidRPr="00D2099E" w:rsidRDefault="00D2099E" w:rsidP="00D2099E">
            <w:pPr>
              <w:spacing w:after="0" w:line="240" w:lineRule="auto"/>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Conversion</w:t>
            </w:r>
          </w:p>
        </w:tc>
        <w:tc>
          <w:tcPr>
            <w:tcW w:w="0" w:type="auto"/>
            <w:shd w:val="clear" w:color="auto" w:fill="auto"/>
            <w:tcMar>
              <w:top w:w="0" w:type="dxa"/>
              <w:left w:w="0" w:type="dxa"/>
              <w:bottom w:w="30" w:type="dxa"/>
              <w:right w:w="0" w:type="dxa"/>
            </w:tcMar>
            <w:vAlign w:val="bottom"/>
            <w:hideMark/>
          </w:tcPr>
          <w:p w14:paraId="5DD5667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5EC9EF6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03F13389"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(30,970</w:t>
            </w:r>
          </w:p>
        </w:tc>
        <w:tc>
          <w:tcPr>
            <w:tcW w:w="0" w:type="auto"/>
            <w:shd w:val="clear" w:color="auto" w:fill="auto"/>
            <w:tcMar>
              <w:top w:w="0" w:type="dxa"/>
              <w:left w:w="0" w:type="dxa"/>
              <w:bottom w:w="30" w:type="dxa"/>
              <w:right w:w="0" w:type="dxa"/>
            </w:tcMar>
            <w:vAlign w:val="bottom"/>
            <w:hideMark/>
          </w:tcPr>
          <w:p w14:paraId="5752B35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tcMar>
              <w:top w:w="0" w:type="dxa"/>
              <w:left w:w="0" w:type="dxa"/>
              <w:bottom w:w="30" w:type="dxa"/>
              <w:right w:w="0" w:type="dxa"/>
            </w:tcMar>
            <w:vAlign w:val="bottom"/>
            <w:hideMark/>
          </w:tcPr>
          <w:p w14:paraId="1AB6B64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6E7C4318"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3026E67B"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(80,342</w:t>
            </w:r>
          </w:p>
        </w:tc>
        <w:tc>
          <w:tcPr>
            <w:tcW w:w="0" w:type="auto"/>
            <w:shd w:val="clear" w:color="auto" w:fill="auto"/>
            <w:tcMar>
              <w:top w:w="0" w:type="dxa"/>
              <w:left w:w="0" w:type="dxa"/>
              <w:bottom w:w="30" w:type="dxa"/>
              <w:right w:w="0" w:type="dxa"/>
            </w:tcMar>
            <w:vAlign w:val="bottom"/>
            <w:hideMark/>
          </w:tcPr>
          <w:p w14:paraId="5F64D2C6"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tcMar>
              <w:top w:w="0" w:type="dxa"/>
              <w:left w:w="0" w:type="dxa"/>
              <w:bottom w:w="30" w:type="dxa"/>
              <w:right w:w="0" w:type="dxa"/>
            </w:tcMar>
            <w:vAlign w:val="bottom"/>
            <w:hideMark/>
          </w:tcPr>
          <w:p w14:paraId="39F6EAD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509B3B8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6E487214"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(111,312</w:t>
            </w:r>
          </w:p>
        </w:tc>
        <w:tc>
          <w:tcPr>
            <w:tcW w:w="102" w:type="pct"/>
            <w:shd w:val="clear" w:color="auto" w:fill="auto"/>
            <w:tcMar>
              <w:top w:w="0" w:type="dxa"/>
              <w:left w:w="0" w:type="dxa"/>
              <w:bottom w:w="30" w:type="dxa"/>
              <w:right w:w="0" w:type="dxa"/>
            </w:tcMar>
            <w:vAlign w:val="bottom"/>
            <w:hideMark/>
          </w:tcPr>
          <w:p w14:paraId="6C4D4BA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r>
      <w:tr w:rsidR="000068A3" w:rsidRPr="00D2099E" w14:paraId="67AF1DE7" w14:textId="77777777" w:rsidTr="000068A3">
        <w:tc>
          <w:tcPr>
            <w:tcW w:w="0" w:type="auto"/>
            <w:shd w:val="clear" w:color="auto" w:fill="auto"/>
            <w:tcMar>
              <w:top w:w="0" w:type="dxa"/>
              <w:left w:w="0" w:type="dxa"/>
              <w:bottom w:w="30" w:type="dxa"/>
              <w:right w:w="0" w:type="dxa"/>
            </w:tcMar>
            <w:vAlign w:val="bottom"/>
            <w:hideMark/>
          </w:tcPr>
          <w:p w14:paraId="1C8C338F" w14:textId="607584A0"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Balance, December 31, 2021</w:t>
            </w:r>
            <w:r w:rsidR="00036278">
              <w:rPr>
                <w:rFonts w:ascii="Times New Roman" w:eastAsia="Times New Roman" w:hAnsi="Times New Roman" w:cs="Times New Roman"/>
                <w:sz w:val="20"/>
                <w:szCs w:val="20"/>
                <w:lang w:val="en-US"/>
              </w:rPr>
              <w:t xml:space="preserve"> &amp; </w:t>
            </w:r>
            <w:r w:rsidR="005463E8">
              <w:rPr>
                <w:rFonts w:ascii="Times New Roman" w:eastAsia="Times New Roman" w:hAnsi="Times New Roman" w:cs="Times New Roman"/>
                <w:sz w:val="20"/>
                <w:szCs w:val="20"/>
                <w:lang w:val="en-US"/>
              </w:rPr>
              <w:t>June 30</w:t>
            </w:r>
            <w:r w:rsidR="00036278">
              <w:rPr>
                <w:rFonts w:ascii="Times New Roman" w:eastAsia="Times New Roman" w:hAnsi="Times New Roman" w:cs="Times New Roman"/>
                <w:sz w:val="20"/>
                <w:szCs w:val="20"/>
                <w:lang w:val="en-US"/>
              </w:rPr>
              <w:t>, 2022</w:t>
            </w:r>
          </w:p>
        </w:tc>
        <w:tc>
          <w:tcPr>
            <w:tcW w:w="0" w:type="auto"/>
            <w:shd w:val="clear" w:color="auto" w:fill="auto"/>
            <w:tcMar>
              <w:top w:w="0" w:type="dxa"/>
              <w:left w:w="0" w:type="dxa"/>
              <w:bottom w:w="30" w:type="dxa"/>
              <w:right w:w="0" w:type="dxa"/>
            </w:tcMar>
            <w:vAlign w:val="bottom"/>
            <w:hideMark/>
          </w:tcPr>
          <w:p w14:paraId="49A2A41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7F7D76C4"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vAlign w:val="bottom"/>
            <w:hideMark/>
          </w:tcPr>
          <w:p w14:paraId="0B4245CD"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tcMar>
              <w:top w:w="0" w:type="dxa"/>
              <w:left w:w="0" w:type="dxa"/>
              <w:bottom w:w="30" w:type="dxa"/>
              <w:right w:w="0" w:type="dxa"/>
            </w:tcMar>
            <w:vAlign w:val="bottom"/>
            <w:hideMark/>
          </w:tcPr>
          <w:p w14:paraId="087C820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tcMar>
              <w:top w:w="0" w:type="dxa"/>
              <w:left w:w="0" w:type="dxa"/>
              <w:bottom w:w="30" w:type="dxa"/>
              <w:right w:w="0" w:type="dxa"/>
            </w:tcMar>
            <w:vAlign w:val="bottom"/>
            <w:hideMark/>
          </w:tcPr>
          <w:p w14:paraId="2B95BF28"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2AD32F3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vAlign w:val="bottom"/>
            <w:hideMark/>
          </w:tcPr>
          <w:p w14:paraId="02C7D223"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tcMar>
              <w:top w:w="0" w:type="dxa"/>
              <w:left w:w="0" w:type="dxa"/>
              <w:bottom w:w="30" w:type="dxa"/>
              <w:right w:w="0" w:type="dxa"/>
            </w:tcMar>
            <w:vAlign w:val="bottom"/>
            <w:hideMark/>
          </w:tcPr>
          <w:p w14:paraId="46D54B2D"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tcMar>
              <w:top w:w="0" w:type="dxa"/>
              <w:left w:w="0" w:type="dxa"/>
              <w:bottom w:w="30" w:type="dxa"/>
              <w:right w:w="0" w:type="dxa"/>
            </w:tcMar>
            <w:vAlign w:val="bottom"/>
            <w:hideMark/>
          </w:tcPr>
          <w:p w14:paraId="7FB1DB9B"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6542CD7B"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vAlign w:val="bottom"/>
            <w:hideMark/>
          </w:tcPr>
          <w:p w14:paraId="4ED1D168" w14:textId="77777777" w:rsidR="00D2099E" w:rsidRPr="00D2099E" w:rsidRDefault="00D2099E" w:rsidP="00D2099E">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102" w:type="pct"/>
            <w:shd w:val="clear" w:color="auto" w:fill="auto"/>
            <w:tcMar>
              <w:top w:w="0" w:type="dxa"/>
              <w:left w:w="0" w:type="dxa"/>
              <w:bottom w:w="30" w:type="dxa"/>
              <w:right w:w="0" w:type="dxa"/>
            </w:tcMar>
            <w:vAlign w:val="bottom"/>
            <w:hideMark/>
          </w:tcPr>
          <w:p w14:paraId="625B67E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bl>
    <w:p w14:paraId="441B1E34" w14:textId="77777777" w:rsidR="00D2099E" w:rsidRPr="00D2099E" w:rsidRDefault="00D2099E" w:rsidP="00D33273">
      <w:pPr>
        <w:pBdr>
          <w:top w:val="single" w:sz="12" w:space="1" w:color="auto"/>
        </w:pBdr>
        <w:spacing w:after="0" w:line="240" w:lineRule="auto"/>
        <w:ind w:left="360"/>
        <w:jc w:val="both"/>
        <w:rPr>
          <w:rFonts w:ascii="Times New Roman" w:eastAsia="Times New Roman" w:hAnsi="Times New Roman" w:cs="Times New Roman"/>
          <w:sz w:val="20"/>
          <w:szCs w:val="20"/>
          <w:lang w:val="en-US"/>
        </w:rPr>
      </w:pPr>
    </w:p>
    <w:p w14:paraId="29C2D6D7" w14:textId="1BBD2DAE" w:rsidR="00F12695"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21FF1EDF" w14:textId="77777777" w:rsidTr="005C7D2D">
        <w:tc>
          <w:tcPr>
            <w:tcW w:w="360" w:type="dxa"/>
            <w:hideMark/>
          </w:tcPr>
          <w:p w14:paraId="32B8B7F8" w14:textId="4B165088"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sidR="00C80046">
              <w:rPr>
                <w:rFonts w:ascii="Times New Roman" w:eastAsia="Times New Roman" w:hAnsi="Times New Roman" w:cs="Times New Roman"/>
                <w:b/>
                <w:bCs/>
                <w:sz w:val="20"/>
                <w:szCs w:val="20"/>
                <w:lang w:val="en-US"/>
              </w:rPr>
              <w:t>3</w:t>
            </w:r>
            <w:r w:rsidRPr="00CA4239">
              <w:rPr>
                <w:rFonts w:ascii="Times New Roman" w:eastAsia="Times New Roman" w:hAnsi="Times New Roman" w:cs="Times New Roman"/>
                <w:b/>
                <w:bCs/>
                <w:sz w:val="20"/>
                <w:szCs w:val="20"/>
                <w:lang w:val="en-US"/>
              </w:rPr>
              <w:t>.</w:t>
            </w:r>
          </w:p>
        </w:tc>
        <w:tc>
          <w:tcPr>
            <w:tcW w:w="0" w:type="auto"/>
            <w:hideMark/>
          </w:tcPr>
          <w:p w14:paraId="737671F8" w14:textId="7777777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Common Stock</w:t>
            </w:r>
          </w:p>
        </w:tc>
      </w:tr>
    </w:tbl>
    <w:p w14:paraId="53501A84" w14:textId="438488F3" w:rsidR="00D2099E" w:rsidRDefault="00D2099E" w:rsidP="00D2099E">
      <w:pPr>
        <w:spacing w:after="0" w:line="240" w:lineRule="auto"/>
        <w:ind w:left="360"/>
        <w:jc w:val="both"/>
        <w:rPr>
          <w:rFonts w:ascii="Times New Roman" w:eastAsia="Times New Roman" w:hAnsi="Times New Roman" w:cs="Times New Roman"/>
          <w:sz w:val="20"/>
          <w:szCs w:val="20"/>
          <w:lang w:val="en-US"/>
        </w:rPr>
      </w:pPr>
    </w:p>
    <w:p w14:paraId="4E869C4E" w14:textId="6E09AD72" w:rsidR="008B059B" w:rsidRDefault="008B059B" w:rsidP="00D2099E">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Company has an unlimited number of common shares authorized</w:t>
      </w:r>
      <w:r w:rsidR="00DA06DC">
        <w:rPr>
          <w:rFonts w:ascii="Times New Roman" w:eastAsia="Times New Roman" w:hAnsi="Times New Roman" w:cs="Times New Roman"/>
          <w:sz w:val="20"/>
          <w:szCs w:val="20"/>
          <w:lang w:val="en-US"/>
        </w:rPr>
        <w:t xml:space="preserve"> with a par value of $0.000</w:t>
      </w:r>
      <w:r w:rsidR="00BF5234">
        <w:rPr>
          <w:rFonts w:ascii="Times New Roman" w:eastAsia="Times New Roman" w:hAnsi="Times New Roman" w:cs="Times New Roman"/>
          <w:sz w:val="20"/>
          <w:szCs w:val="20"/>
          <w:lang w:val="en-US"/>
        </w:rPr>
        <w:t>0</w:t>
      </w:r>
      <w:r w:rsidR="00DA06DC">
        <w:rPr>
          <w:rFonts w:ascii="Times New Roman" w:eastAsia="Times New Roman" w:hAnsi="Times New Roman" w:cs="Times New Roman"/>
          <w:sz w:val="20"/>
          <w:szCs w:val="20"/>
          <w:lang w:val="en-US"/>
        </w:rPr>
        <w:t>1 CAD per share</w:t>
      </w:r>
      <w:r>
        <w:rPr>
          <w:rFonts w:ascii="Times New Roman" w:eastAsia="Times New Roman" w:hAnsi="Times New Roman" w:cs="Times New Roman"/>
          <w:sz w:val="20"/>
          <w:szCs w:val="20"/>
          <w:lang w:val="en-US"/>
        </w:rPr>
        <w:t xml:space="preserve">. As </w:t>
      </w:r>
      <w:proofErr w:type="gramStart"/>
      <w:r>
        <w:rPr>
          <w:rFonts w:ascii="Times New Roman" w:eastAsia="Times New Roman" w:hAnsi="Times New Roman" w:cs="Times New Roman"/>
          <w:sz w:val="20"/>
          <w:szCs w:val="20"/>
          <w:lang w:val="en-US"/>
        </w:rPr>
        <w:t>at</w:t>
      </w:r>
      <w:proofErr w:type="gramEnd"/>
      <w:r>
        <w:rPr>
          <w:rFonts w:ascii="Times New Roman" w:eastAsia="Times New Roman" w:hAnsi="Times New Roman" w:cs="Times New Roman"/>
          <w:sz w:val="20"/>
          <w:szCs w:val="20"/>
          <w:lang w:val="en-US"/>
        </w:rPr>
        <w:t xml:space="preserve"> </w:t>
      </w:r>
      <w:r w:rsidR="005E71B4">
        <w:rPr>
          <w:rFonts w:ascii="Times New Roman" w:eastAsia="Times New Roman" w:hAnsi="Times New Roman" w:cs="Times New Roman"/>
          <w:sz w:val="20"/>
          <w:szCs w:val="20"/>
          <w:lang w:val="en-US"/>
        </w:rPr>
        <w:t>June 30</w:t>
      </w:r>
      <w:r w:rsidR="00BB3133">
        <w:rPr>
          <w:rFonts w:ascii="Times New Roman" w:eastAsia="Times New Roman" w:hAnsi="Times New Roman" w:cs="Times New Roman"/>
          <w:sz w:val="20"/>
          <w:szCs w:val="20"/>
          <w:lang w:val="en-US"/>
        </w:rPr>
        <w:t>, 2022</w:t>
      </w:r>
      <w:r w:rsidR="00F1269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005E71B4">
        <w:rPr>
          <w:rFonts w:ascii="Times New Roman" w:eastAsia="Times New Roman" w:hAnsi="Times New Roman" w:cs="Times New Roman"/>
          <w:sz w:val="20"/>
          <w:szCs w:val="20"/>
          <w:lang w:val="en-US"/>
        </w:rPr>
        <w:t>369,674,974</w:t>
      </w:r>
      <w:r w:rsidR="004C67CD">
        <w:rPr>
          <w:rFonts w:ascii="Times New Roman" w:eastAsia="Times New Roman" w:hAnsi="Times New Roman" w:cs="Times New Roman"/>
          <w:sz w:val="20"/>
          <w:szCs w:val="20"/>
          <w:lang w:val="en-US"/>
        </w:rPr>
        <w:t xml:space="preserve"> common shares were issued and outstanding (</w:t>
      </w:r>
      <w:r w:rsidR="004C67CD" w:rsidRPr="00BB3133">
        <w:rPr>
          <w:rFonts w:ascii="Times New Roman" w:eastAsia="Times New Roman" w:hAnsi="Times New Roman" w:cs="Times New Roman"/>
          <w:sz w:val="20"/>
          <w:szCs w:val="20"/>
          <w:lang w:val="en-US"/>
        </w:rPr>
        <w:t>December</w:t>
      </w:r>
      <w:r w:rsidR="004C67CD">
        <w:rPr>
          <w:rFonts w:ascii="Times New Roman" w:eastAsia="Times New Roman" w:hAnsi="Times New Roman" w:cs="Times New Roman"/>
          <w:sz w:val="20"/>
          <w:szCs w:val="20"/>
          <w:lang w:val="en-US"/>
        </w:rPr>
        <w:t xml:space="preserve"> 31, 202</w:t>
      </w:r>
      <w:r w:rsidR="00BB3133">
        <w:rPr>
          <w:rFonts w:ascii="Times New Roman" w:eastAsia="Times New Roman" w:hAnsi="Times New Roman" w:cs="Times New Roman"/>
          <w:sz w:val="20"/>
          <w:szCs w:val="20"/>
          <w:lang w:val="en-US"/>
        </w:rPr>
        <w:t>1</w:t>
      </w:r>
      <w:r w:rsidR="00DF25E2">
        <w:rPr>
          <w:rFonts w:ascii="Times New Roman" w:eastAsia="Times New Roman" w:hAnsi="Times New Roman" w:cs="Times New Roman"/>
          <w:sz w:val="20"/>
          <w:szCs w:val="20"/>
          <w:lang w:val="en-US"/>
        </w:rPr>
        <w:t xml:space="preserve"> - </w:t>
      </w:r>
      <w:r w:rsidR="00DF25E2" w:rsidRPr="005328E1">
        <w:rPr>
          <w:rFonts w:ascii="Times New Roman" w:eastAsia="Times New Roman" w:hAnsi="Times New Roman" w:cs="Times New Roman"/>
          <w:sz w:val="20"/>
          <w:szCs w:val="20"/>
          <w:lang w:val="en-US"/>
        </w:rPr>
        <w:t>185,169,792</w:t>
      </w:r>
      <w:r w:rsidR="004C67CD">
        <w:rPr>
          <w:rFonts w:ascii="Times New Roman" w:eastAsia="Times New Roman" w:hAnsi="Times New Roman" w:cs="Times New Roman"/>
          <w:sz w:val="20"/>
          <w:szCs w:val="20"/>
          <w:lang w:val="en-US"/>
        </w:rPr>
        <w:t>).</w:t>
      </w:r>
    </w:p>
    <w:p w14:paraId="39D0D663" w14:textId="1BBD63C4" w:rsidR="00BB3133" w:rsidRDefault="00BB3133" w:rsidP="00D2099E">
      <w:pPr>
        <w:spacing w:after="0" w:line="240" w:lineRule="auto"/>
        <w:ind w:left="360"/>
        <w:jc w:val="both"/>
        <w:rPr>
          <w:rFonts w:ascii="Times New Roman" w:eastAsia="Times New Roman" w:hAnsi="Times New Roman" w:cs="Times New Roman"/>
          <w:sz w:val="20"/>
          <w:szCs w:val="20"/>
          <w:lang w:val="en-US"/>
        </w:rPr>
      </w:pPr>
    </w:p>
    <w:p w14:paraId="31776C45" w14:textId="07938B65" w:rsidR="00BB3133" w:rsidRDefault="00BB3133" w:rsidP="00BB3133">
      <w:pPr>
        <w:pStyle w:val="NormalWeb"/>
        <w:spacing w:before="0" w:beforeAutospacing="0" w:after="0" w:afterAutospacing="0"/>
        <w:ind w:left="360"/>
        <w:jc w:val="both"/>
        <w:rPr>
          <w:sz w:val="20"/>
          <w:szCs w:val="20"/>
        </w:rPr>
      </w:pPr>
      <w:r>
        <w:rPr>
          <w:i/>
          <w:iCs/>
          <w:sz w:val="20"/>
          <w:szCs w:val="20"/>
        </w:rPr>
        <w:t xml:space="preserve">For the </w:t>
      </w:r>
      <w:r w:rsidR="000C3975">
        <w:rPr>
          <w:i/>
          <w:iCs/>
          <w:sz w:val="20"/>
          <w:szCs w:val="20"/>
        </w:rPr>
        <w:t>six</w:t>
      </w:r>
      <w:r>
        <w:rPr>
          <w:i/>
          <w:iCs/>
          <w:sz w:val="20"/>
          <w:szCs w:val="20"/>
        </w:rPr>
        <w:t xml:space="preserve"> months ended </w:t>
      </w:r>
      <w:r w:rsidR="000C3975">
        <w:rPr>
          <w:i/>
          <w:iCs/>
          <w:sz w:val="20"/>
          <w:szCs w:val="20"/>
        </w:rPr>
        <w:t>June 30</w:t>
      </w:r>
      <w:r>
        <w:rPr>
          <w:i/>
          <w:iCs/>
          <w:sz w:val="20"/>
          <w:szCs w:val="20"/>
        </w:rPr>
        <w:t>, 2022</w:t>
      </w:r>
    </w:p>
    <w:p w14:paraId="5D236F9D" w14:textId="77777777" w:rsidR="007D0A87" w:rsidRPr="005328E1" w:rsidRDefault="007D0A87" w:rsidP="007D0A87">
      <w:pPr>
        <w:spacing w:after="0" w:line="240" w:lineRule="auto"/>
        <w:rPr>
          <w:rFonts w:ascii="Times New Roman" w:eastAsia="Times New Roman" w:hAnsi="Times New Roman" w:cs="Times New Roman"/>
          <w:bCs/>
          <w:sz w:val="24"/>
          <w:szCs w:val="20"/>
          <w:highlight w:val="yellow"/>
          <w:lang w:val="en-US"/>
        </w:rPr>
      </w:pPr>
    </w:p>
    <w:p w14:paraId="337DB706" w14:textId="4BED6054" w:rsidR="007D0A87" w:rsidRPr="005328E1" w:rsidRDefault="007D0A87" w:rsidP="007D0A87">
      <w:pPr>
        <w:spacing w:after="0" w:line="240" w:lineRule="auto"/>
        <w:ind w:left="360"/>
        <w:jc w:val="both"/>
        <w:rPr>
          <w:rFonts w:ascii="Times New Roman" w:eastAsia="Times New Roman" w:hAnsi="Times New Roman" w:cs="Times New Roman"/>
          <w:sz w:val="20"/>
          <w:szCs w:val="20"/>
          <w:highlight w:val="yellow"/>
          <w:lang w:val="en-US"/>
        </w:rPr>
      </w:pPr>
      <w:r w:rsidRPr="00CA4239">
        <w:rPr>
          <w:rFonts w:ascii="Times New Roman" w:eastAsia="Times New Roman" w:hAnsi="Times New Roman" w:cs="Times New Roman"/>
          <w:sz w:val="20"/>
          <w:szCs w:val="20"/>
          <w:lang w:val="en-US"/>
        </w:rPr>
        <w:t xml:space="preserve">On March 15, 2022, the Company issued </w:t>
      </w:r>
      <w:r w:rsidR="009B5EEC" w:rsidRPr="00CA4239">
        <w:rPr>
          <w:rFonts w:ascii="Times New Roman" w:eastAsia="Times New Roman" w:hAnsi="Times New Roman" w:cs="Times New Roman"/>
          <w:sz w:val="20"/>
          <w:szCs w:val="20"/>
          <w:lang w:val="en-US"/>
        </w:rPr>
        <w:t>40</w:t>
      </w:r>
      <w:r w:rsidRPr="00CA4239">
        <w:rPr>
          <w:rFonts w:ascii="Times New Roman" w:eastAsia="Times New Roman" w:hAnsi="Times New Roman" w:cs="Times New Roman"/>
          <w:sz w:val="20"/>
          <w:szCs w:val="20"/>
          <w:lang w:val="en-US"/>
        </w:rPr>
        <w:t>,</w:t>
      </w:r>
      <w:r w:rsidR="009B5EEC" w:rsidRPr="00CA4239">
        <w:rPr>
          <w:rFonts w:ascii="Times New Roman" w:eastAsia="Times New Roman" w:hAnsi="Times New Roman" w:cs="Times New Roman"/>
          <w:sz w:val="20"/>
          <w:szCs w:val="20"/>
          <w:lang w:val="en-US"/>
        </w:rPr>
        <w:t>308</w:t>
      </w:r>
      <w:r w:rsidRPr="00CA4239">
        <w:rPr>
          <w:rFonts w:ascii="Times New Roman" w:eastAsia="Times New Roman" w:hAnsi="Times New Roman" w:cs="Times New Roman"/>
          <w:sz w:val="20"/>
          <w:szCs w:val="20"/>
          <w:lang w:val="en-US"/>
        </w:rPr>
        <w:t>,</w:t>
      </w:r>
      <w:r w:rsidR="009B5EEC" w:rsidRPr="00CA4239">
        <w:rPr>
          <w:rFonts w:ascii="Times New Roman" w:eastAsia="Times New Roman" w:hAnsi="Times New Roman" w:cs="Times New Roman"/>
          <w:sz w:val="20"/>
          <w:szCs w:val="20"/>
          <w:lang w:val="en-US"/>
        </w:rPr>
        <w:t>037</w:t>
      </w:r>
      <w:r w:rsidRPr="00CA4239">
        <w:rPr>
          <w:rFonts w:ascii="Times New Roman" w:eastAsia="Times New Roman" w:hAnsi="Times New Roman" w:cs="Times New Roman"/>
          <w:sz w:val="20"/>
          <w:szCs w:val="20"/>
          <w:lang w:val="en-US"/>
        </w:rPr>
        <w:t xml:space="preserve"> units at $0.165 CAD per unit for gross proceeds of $</w:t>
      </w:r>
      <w:r w:rsidR="009B5EEC" w:rsidRPr="00CA4239">
        <w:rPr>
          <w:rFonts w:ascii="Times New Roman" w:eastAsia="Times New Roman" w:hAnsi="Times New Roman" w:cs="Times New Roman"/>
          <w:sz w:val="20"/>
          <w:szCs w:val="20"/>
          <w:lang w:val="en-US"/>
        </w:rPr>
        <w:t>6</w:t>
      </w:r>
      <w:r w:rsidRPr="00CA4239">
        <w:rPr>
          <w:rFonts w:ascii="Times New Roman" w:eastAsia="Times New Roman" w:hAnsi="Times New Roman" w:cs="Times New Roman"/>
          <w:sz w:val="20"/>
          <w:szCs w:val="20"/>
          <w:lang w:val="en-US"/>
        </w:rPr>
        <w:t>,6</w:t>
      </w:r>
      <w:r w:rsidR="009B5EEC" w:rsidRPr="00CA4239">
        <w:rPr>
          <w:rFonts w:ascii="Times New Roman" w:eastAsia="Times New Roman" w:hAnsi="Times New Roman" w:cs="Times New Roman"/>
          <w:sz w:val="20"/>
          <w:szCs w:val="20"/>
          <w:lang w:val="en-US"/>
        </w:rPr>
        <w:t>50</w:t>
      </w:r>
      <w:r w:rsidRPr="00CA4239">
        <w:rPr>
          <w:rFonts w:ascii="Times New Roman" w:eastAsia="Times New Roman" w:hAnsi="Times New Roman" w:cs="Times New Roman"/>
          <w:sz w:val="20"/>
          <w:szCs w:val="20"/>
          <w:lang w:val="en-US"/>
        </w:rPr>
        <w:t>,</w:t>
      </w:r>
      <w:r w:rsidR="009B5EEC" w:rsidRPr="00CA4239">
        <w:rPr>
          <w:rFonts w:ascii="Times New Roman" w:eastAsia="Times New Roman" w:hAnsi="Times New Roman" w:cs="Times New Roman"/>
          <w:sz w:val="20"/>
          <w:szCs w:val="20"/>
          <w:lang w:val="en-US"/>
        </w:rPr>
        <w:t>826 CAD</w:t>
      </w:r>
      <w:r w:rsidRPr="00CA4239">
        <w:rPr>
          <w:rFonts w:ascii="Times New Roman" w:eastAsia="Times New Roman" w:hAnsi="Times New Roman" w:cs="Times New Roman"/>
          <w:sz w:val="20"/>
          <w:szCs w:val="20"/>
          <w:lang w:val="en-US"/>
        </w:rPr>
        <w:t xml:space="preserve"> </w:t>
      </w:r>
      <w:r w:rsidR="009B5EEC" w:rsidRPr="00CA4239">
        <w:rPr>
          <w:rFonts w:ascii="Times New Roman" w:eastAsia="Times New Roman" w:hAnsi="Times New Roman" w:cs="Times New Roman"/>
          <w:sz w:val="20"/>
          <w:szCs w:val="20"/>
          <w:lang w:val="en-US"/>
        </w:rPr>
        <w:t xml:space="preserve">($5,189,773 USD) </w:t>
      </w:r>
      <w:r w:rsidRPr="00CA4239">
        <w:rPr>
          <w:rFonts w:ascii="Times New Roman" w:eastAsia="Times New Roman" w:hAnsi="Times New Roman" w:cs="Times New Roman"/>
          <w:sz w:val="20"/>
          <w:szCs w:val="20"/>
          <w:lang w:val="en-US"/>
        </w:rPr>
        <w:t>pursuant to the closing of a non</w:t>
      </w:r>
      <w:r w:rsidR="00003FA5">
        <w:rPr>
          <w:rFonts w:ascii="Times New Roman" w:eastAsia="Times New Roman" w:hAnsi="Times New Roman" w:cs="Times New Roman"/>
          <w:sz w:val="20"/>
          <w:szCs w:val="20"/>
          <w:lang w:val="en-US"/>
        </w:rPr>
        <w:t>-</w:t>
      </w:r>
      <w:r w:rsidRPr="00CA4239">
        <w:rPr>
          <w:rFonts w:ascii="Times New Roman" w:eastAsia="Times New Roman" w:hAnsi="Times New Roman" w:cs="Times New Roman"/>
          <w:sz w:val="20"/>
          <w:szCs w:val="20"/>
          <w:lang w:val="en-US"/>
        </w:rPr>
        <w:t xml:space="preserve">brokered private placement. Each unit comprises one common share and one half of one share purchase warrant. Each whole warrant entitles the holder to purchase one common share for $0.45 </w:t>
      </w:r>
      <w:r w:rsidR="009B5EEC" w:rsidRPr="00CA4239">
        <w:rPr>
          <w:rFonts w:ascii="Times New Roman" w:eastAsia="Times New Roman" w:hAnsi="Times New Roman" w:cs="Times New Roman"/>
          <w:sz w:val="20"/>
          <w:szCs w:val="20"/>
          <w:lang w:val="en-US"/>
        </w:rPr>
        <w:t xml:space="preserve">CAD </w:t>
      </w:r>
      <w:r w:rsidRPr="00CA4239">
        <w:rPr>
          <w:rFonts w:ascii="Times New Roman" w:eastAsia="Times New Roman" w:hAnsi="Times New Roman" w:cs="Times New Roman"/>
          <w:sz w:val="20"/>
          <w:szCs w:val="20"/>
          <w:lang w:val="en-US"/>
        </w:rPr>
        <w:t xml:space="preserve">for two years from the date of the closing of the offering. </w:t>
      </w:r>
      <w:r w:rsidR="00AB0B8B">
        <w:rPr>
          <w:rFonts w:ascii="Times New Roman" w:eastAsia="Times New Roman" w:hAnsi="Times New Roman" w:cs="Times New Roman"/>
          <w:sz w:val="20"/>
          <w:szCs w:val="20"/>
          <w:lang w:val="en-US"/>
        </w:rPr>
        <w:t xml:space="preserve">As the fair value of the common shares on the same date exceeded the issuance price, no residual value was assigned to the warrants. </w:t>
      </w:r>
      <w:r w:rsidRPr="00CA4239">
        <w:rPr>
          <w:rFonts w:ascii="Times New Roman" w:eastAsia="Times New Roman" w:hAnsi="Times New Roman" w:cs="Times New Roman"/>
          <w:sz w:val="20"/>
          <w:szCs w:val="20"/>
          <w:lang w:val="en-US"/>
        </w:rPr>
        <w:t xml:space="preserve">Cash finder’s fee of </w:t>
      </w:r>
      <w:r w:rsidR="009B5EEC" w:rsidRPr="00CA4239">
        <w:rPr>
          <w:rFonts w:ascii="Times New Roman" w:eastAsia="Times New Roman" w:hAnsi="Times New Roman" w:cs="Times New Roman"/>
          <w:sz w:val="20"/>
          <w:szCs w:val="20"/>
          <w:lang w:val="en-US"/>
        </w:rPr>
        <w:t>$</w:t>
      </w:r>
      <w:bookmarkStart w:id="5" w:name="OLE_LINK1"/>
      <w:r w:rsidR="00287F82">
        <w:rPr>
          <w:rFonts w:ascii="Times New Roman" w:eastAsia="Times New Roman" w:hAnsi="Times New Roman" w:cs="Times New Roman"/>
          <w:sz w:val="20"/>
          <w:szCs w:val="20"/>
          <w:lang w:val="en-US"/>
        </w:rPr>
        <w:t>291</w:t>
      </w:r>
      <w:r w:rsidR="00F53D2F">
        <w:rPr>
          <w:rFonts w:ascii="Times New Roman" w:eastAsia="Times New Roman" w:hAnsi="Times New Roman" w:cs="Times New Roman"/>
          <w:sz w:val="20"/>
          <w:szCs w:val="20"/>
          <w:lang w:val="en-US"/>
        </w:rPr>
        <w:t>,</w:t>
      </w:r>
      <w:r w:rsidR="00287F82">
        <w:rPr>
          <w:rFonts w:ascii="Times New Roman" w:eastAsia="Times New Roman" w:hAnsi="Times New Roman" w:cs="Times New Roman"/>
          <w:sz w:val="20"/>
          <w:szCs w:val="20"/>
          <w:lang w:val="en-US"/>
        </w:rPr>
        <w:t>895</w:t>
      </w:r>
      <w:r w:rsidR="009B5EEC" w:rsidRPr="00CA4239">
        <w:rPr>
          <w:rFonts w:ascii="Times New Roman" w:eastAsia="Times New Roman" w:hAnsi="Times New Roman" w:cs="Times New Roman"/>
          <w:sz w:val="20"/>
          <w:szCs w:val="20"/>
          <w:lang w:val="en-US"/>
        </w:rPr>
        <w:t xml:space="preserve"> </w:t>
      </w:r>
      <w:bookmarkEnd w:id="5"/>
      <w:r w:rsidR="009B5EEC" w:rsidRPr="00CA4239">
        <w:rPr>
          <w:rFonts w:ascii="Times New Roman" w:eastAsia="Times New Roman" w:hAnsi="Times New Roman" w:cs="Times New Roman"/>
          <w:sz w:val="20"/>
          <w:szCs w:val="20"/>
          <w:lang w:val="en-US"/>
        </w:rPr>
        <w:t>CAD ($</w:t>
      </w:r>
      <w:r w:rsidR="00F53D2F">
        <w:rPr>
          <w:rFonts w:ascii="Times New Roman" w:eastAsia="Times New Roman" w:hAnsi="Times New Roman" w:cs="Times New Roman"/>
          <w:sz w:val="20"/>
          <w:szCs w:val="20"/>
          <w:lang w:val="en-US"/>
        </w:rPr>
        <w:t>2</w:t>
      </w:r>
      <w:r w:rsidR="00287F82">
        <w:rPr>
          <w:rFonts w:ascii="Times New Roman" w:eastAsia="Times New Roman" w:hAnsi="Times New Roman" w:cs="Times New Roman"/>
          <w:sz w:val="20"/>
          <w:szCs w:val="20"/>
          <w:lang w:val="en-US"/>
        </w:rPr>
        <w:t>29</w:t>
      </w:r>
      <w:r w:rsidR="00F53D2F">
        <w:rPr>
          <w:rFonts w:ascii="Times New Roman" w:eastAsia="Times New Roman" w:hAnsi="Times New Roman" w:cs="Times New Roman"/>
          <w:sz w:val="20"/>
          <w:szCs w:val="20"/>
          <w:lang w:val="en-US"/>
        </w:rPr>
        <w:t>,</w:t>
      </w:r>
      <w:r w:rsidR="00287F82">
        <w:rPr>
          <w:rFonts w:ascii="Times New Roman" w:eastAsia="Times New Roman" w:hAnsi="Times New Roman" w:cs="Times New Roman"/>
          <w:sz w:val="20"/>
          <w:szCs w:val="20"/>
          <w:lang w:val="en-US"/>
        </w:rPr>
        <w:t>427</w:t>
      </w:r>
      <w:r w:rsidR="009B5EEC" w:rsidRPr="00CA4239">
        <w:rPr>
          <w:rFonts w:ascii="Times New Roman" w:eastAsia="Times New Roman" w:hAnsi="Times New Roman" w:cs="Times New Roman"/>
          <w:sz w:val="20"/>
          <w:szCs w:val="20"/>
          <w:lang w:val="en-US"/>
        </w:rPr>
        <w:t xml:space="preserve"> USD) were </w:t>
      </w:r>
      <w:proofErr w:type="gramStart"/>
      <w:r w:rsidR="009B5EEC" w:rsidRPr="00CA4239">
        <w:rPr>
          <w:rFonts w:ascii="Times New Roman" w:eastAsia="Times New Roman" w:hAnsi="Times New Roman" w:cs="Times New Roman"/>
          <w:sz w:val="20"/>
          <w:szCs w:val="20"/>
          <w:lang w:val="en-US"/>
        </w:rPr>
        <w:t>paid</w:t>
      </w:r>
      <w:proofErr w:type="gramEnd"/>
      <w:r w:rsidRPr="00CA4239">
        <w:rPr>
          <w:rFonts w:ascii="Times New Roman" w:eastAsia="Times New Roman" w:hAnsi="Times New Roman" w:cs="Times New Roman"/>
          <w:sz w:val="20"/>
          <w:szCs w:val="20"/>
          <w:lang w:val="en-US"/>
        </w:rPr>
        <w:t xml:space="preserve"> and </w:t>
      </w:r>
      <w:r w:rsidR="009B5EEC" w:rsidRPr="00CA4239">
        <w:rPr>
          <w:rFonts w:ascii="Times New Roman" w:eastAsia="Times New Roman" w:hAnsi="Times New Roman" w:cs="Times New Roman"/>
          <w:sz w:val="20"/>
          <w:szCs w:val="20"/>
          <w:lang w:val="en-US"/>
        </w:rPr>
        <w:t xml:space="preserve">1,551,419 finder’s </w:t>
      </w:r>
      <w:r w:rsidRPr="00CA4239">
        <w:rPr>
          <w:rFonts w:ascii="Times New Roman" w:eastAsia="Times New Roman" w:hAnsi="Times New Roman" w:cs="Times New Roman"/>
          <w:sz w:val="20"/>
          <w:szCs w:val="20"/>
          <w:lang w:val="en-US"/>
        </w:rPr>
        <w:t>warrants</w:t>
      </w:r>
      <w:r w:rsidR="009B5EEC" w:rsidRPr="00CA4239">
        <w:rPr>
          <w:rFonts w:ascii="Times New Roman" w:eastAsia="Times New Roman" w:hAnsi="Times New Roman" w:cs="Times New Roman"/>
          <w:sz w:val="20"/>
          <w:szCs w:val="20"/>
          <w:lang w:val="en-US"/>
        </w:rPr>
        <w:t xml:space="preserve"> were issued </w:t>
      </w:r>
      <w:r w:rsidR="009B5EEC" w:rsidRPr="00AA0D46">
        <w:rPr>
          <w:rFonts w:ascii="Times New Roman" w:eastAsia="Times New Roman" w:hAnsi="Times New Roman" w:cs="Times New Roman"/>
          <w:sz w:val="20"/>
          <w:szCs w:val="20"/>
          <w:lang w:val="en-US"/>
        </w:rPr>
        <w:t>with a fair value of $236,032 CAD ($184,181 USD). The finder’s warrants have the same terms</w:t>
      </w:r>
      <w:r w:rsidR="009B5EEC" w:rsidRPr="00D2099E">
        <w:rPr>
          <w:rFonts w:ascii="Times New Roman" w:eastAsia="Times New Roman" w:hAnsi="Times New Roman" w:cs="Times New Roman"/>
          <w:sz w:val="20"/>
          <w:szCs w:val="20"/>
          <w:lang w:val="en-US"/>
        </w:rPr>
        <w:t xml:space="preserve"> as the warrants attached to the units.</w:t>
      </w:r>
    </w:p>
    <w:p w14:paraId="78E3249D" w14:textId="5028637D" w:rsidR="007D0A87" w:rsidRDefault="007D0A87" w:rsidP="007D0A87">
      <w:pPr>
        <w:spacing w:after="0" w:line="240" w:lineRule="auto"/>
        <w:ind w:left="360"/>
        <w:jc w:val="both"/>
        <w:rPr>
          <w:rFonts w:ascii="Times New Roman" w:eastAsia="Times New Roman" w:hAnsi="Times New Roman" w:cs="Times New Roman"/>
          <w:sz w:val="20"/>
          <w:szCs w:val="20"/>
          <w:highlight w:val="yellow"/>
          <w:lang w:val="en-US"/>
        </w:rPr>
      </w:pPr>
    </w:p>
    <w:p w14:paraId="375771D1" w14:textId="77777777" w:rsidR="00CC777D" w:rsidRDefault="00CC777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35415B4D" w14:textId="77777777" w:rsidR="00CC777D" w:rsidRDefault="00CC777D" w:rsidP="00AA0D46">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CC777D" w:rsidRPr="00CA4239" w14:paraId="22E92E8B" w14:textId="77777777" w:rsidTr="00AE52B2">
        <w:tc>
          <w:tcPr>
            <w:tcW w:w="360" w:type="dxa"/>
            <w:hideMark/>
          </w:tcPr>
          <w:p w14:paraId="63B695CA" w14:textId="77777777" w:rsidR="00CC777D" w:rsidRPr="00CA4239" w:rsidRDefault="00CC777D"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3</w:t>
            </w:r>
            <w:r w:rsidRPr="00CA4239">
              <w:rPr>
                <w:rFonts w:ascii="Times New Roman" w:eastAsia="Times New Roman" w:hAnsi="Times New Roman" w:cs="Times New Roman"/>
                <w:b/>
                <w:bCs/>
                <w:sz w:val="20"/>
                <w:szCs w:val="20"/>
                <w:lang w:val="en-US"/>
              </w:rPr>
              <w:t>.</w:t>
            </w:r>
          </w:p>
        </w:tc>
        <w:tc>
          <w:tcPr>
            <w:tcW w:w="0" w:type="auto"/>
            <w:hideMark/>
          </w:tcPr>
          <w:p w14:paraId="6E9D483D" w14:textId="1C9560E4" w:rsidR="00CC777D" w:rsidRPr="00CA4239" w:rsidRDefault="00CC777D"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Common Stock</w:t>
            </w:r>
            <w:r>
              <w:rPr>
                <w:rFonts w:ascii="Times New Roman" w:eastAsia="Times New Roman" w:hAnsi="Times New Roman" w:cs="Times New Roman"/>
                <w:b/>
                <w:bCs/>
                <w:sz w:val="20"/>
                <w:szCs w:val="20"/>
                <w:lang w:val="en-US"/>
              </w:rPr>
              <w:t xml:space="preserve"> (continued)</w:t>
            </w:r>
          </w:p>
        </w:tc>
      </w:tr>
    </w:tbl>
    <w:p w14:paraId="3501ACDD" w14:textId="77777777" w:rsidR="00CC777D" w:rsidRDefault="00CC777D" w:rsidP="00AA0D46">
      <w:pPr>
        <w:spacing w:after="0" w:line="240" w:lineRule="auto"/>
        <w:ind w:left="360"/>
        <w:jc w:val="both"/>
        <w:rPr>
          <w:rFonts w:ascii="Times New Roman" w:eastAsia="Times New Roman" w:hAnsi="Times New Roman" w:cs="Times New Roman"/>
          <w:sz w:val="20"/>
          <w:szCs w:val="20"/>
          <w:lang w:val="en-US"/>
        </w:rPr>
      </w:pPr>
    </w:p>
    <w:p w14:paraId="5C1595D5" w14:textId="5763209F" w:rsidR="00AA0D46" w:rsidRDefault="00AA0D46" w:rsidP="00AA0D46">
      <w:pPr>
        <w:spacing w:after="0" w:line="240" w:lineRule="auto"/>
        <w:ind w:left="360"/>
        <w:jc w:val="both"/>
        <w:rPr>
          <w:rFonts w:ascii="Times New Roman" w:eastAsia="Times New Roman" w:hAnsi="Times New Roman" w:cs="Times New Roman"/>
          <w:sz w:val="20"/>
          <w:szCs w:val="20"/>
          <w:lang w:val="en-US"/>
        </w:rPr>
      </w:pPr>
      <w:r w:rsidRPr="007F2074">
        <w:rPr>
          <w:rFonts w:ascii="Times New Roman" w:eastAsia="Times New Roman" w:hAnsi="Times New Roman" w:cs="Times New Roman"/>
          <w:sz w:val="20"/>
          <w:szCs w:val="20"/>
          <w:lang w:val="en-US"/>
        </w:rPr>
        <w:t>On March 1</w:t>
      </w:r>
      <w:r>
        <w:rPr>
          <w:rFonts w:ascii="Times New Roman" w:eastAsia="Times New Roman" w:hAnsi="Times New Roman" w:cs="Times New Roman"/>
          <w:sz w:val="20"/>
          <w:szCs w:val="20"/>
          <w:lang w:val="en-US"/>
        </w:rPr>
        <w:t>6</w:t>
      </w:r>
      <w:r w:rsidRPr="007F2074">
        <w:rPr>
          <w:rFonts w:ascii="Times New Roman" w:eastAsia="Times New Roman" w:hAnsi="Times New Roman" w:cs="Times New Roman"/>
          <w:sz w:val="20"/>
          <w:szCs w:val="20"/>
          <w:lang w:val="en-US"/>
        </w:rPr>
        <w:t xml:space="preserve">, 2022, the Company issued </w:t>
      </w:r>
      <w:r>
        <w:rPr>
          <w:rFonts w:ascii="Times New Roman" w:eastAsia="Times New Roman" w:hAnsi="Times New Roman" w:cs="Times New Roman"/>
          <w:sz w:val="20"/>
          <w:szCs w:val="20"/>
          <w:lang w:val="en-US"/>
        </w:rPr>
        <w:t>6,060,606</w:t>
      </w:r>
      <w:r w:rsidRPr="007F2074">
        <w:rPr>
          <w:rFonts w:ascii="Times New Roman" w:eastAsia="Times New Roman" w:hAnsi="Times New Roman" w:cs="Times New Roman"/>
          <w:sz w:val="20"/>
          <w:szCs w:val="20"/>
          <w:lang w:val="en-US"/>
        </w:rPr>
        <w:t xml:space="preserve"> units at $0.165 CAD per unit for gross proceeds of $</w:t>
      </w:r>
      <w:r>
        <w:rPr>
          <w:rFonts w:ascii="Times New Roman" w:eastAsia="Times New Roman" w:hAnsi="Times New Roman" w:cs="Times New Roman"/>
          <w:sz w:val="20"/>
          <w:szCs w:val="20"/>
          <w:lang w:val="en-US"/>
        </w:rPr>
        <w:t>1</w:t>
      </w:r>
      <w:r w:rsidRPr="007F2074">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000</w:t>
      </w:r>
      <w:r w:rsidRPr="007F2074">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000</w:t>
      </w:r>
      <w:r w:rsidRPr="007F2074">
        <w:rPr>
          <w:rFonts w:ascii="Times New Roman" w:eastAsia="Times New Roman" w:hAnsi="Times New Roman" w:cs="Times New Roman"/>
          <w:sz w:val="20"/>
          <w:szCs w:val="20"/>
          <w:lang w:val="en-US"/>
        </w:rPr>
        <w:t xml:space="preserve"> CAD ($</w:t>
      </w:r>
      <w:r w:rsidR="006E4C70">
        <w:rPr>
          <w:rFonts w:ascii="Times New Roman" w:eastAsia="Times New Roman" w:hAnsi="Times New Roman" w:cs="Times New Roman"/>
          <w:sz w:val="20"/>
          <w:szCs w:val="20"/>
          <w:lang w:val="en-US"/>
        </w:rPr>
        <w:t>785,678</w:t>
      </w:r>
      <w:r w:rsidRPr="007F2074">
        <w:rPr>
          <w:rFonts w:ascii="Times New Roman" w:eastAsia="Times New Roman" w:hAnsi="Times New Roman" w:cs="Times New Roman"/>
          <w:sz w:val="20"/>
          <w:szCs w:val="20"/>
          <w:lang w:val="en-US"/>
        </w:rPr>
        <w:t xml:space="preserve"> USD) pursuant to the closing of a non</w:t>
      </w:r>
      <w:r w:rsidR="00341EA6">
        <w:rPr>
          <w:rFonts w:ascii="Times New Roman" w:eastAsia="Times New Roman" w:hAnsi="Times New Roman" w:cs="Times New Roman"/>
          <w:sz w:val="20"/>
          <w:szCs w:val="20"/>
          <w:lang w:val="en-US"/>
        </w:rPr>
        <w:t>-</w:t>
      </w:r>
      <w:r w:rsidRPr="007F2074">
        <w:rPr>
          <w:rFonts w:ascii="Times New Roman" w:eastAsia="Times New Roman" w:hAnsi="Times New Roman" w:cs="Times New Roman"/>
          <w:sz w:val="20"/>
          <w:szCs w:val="20"/>
          <w:lang w:val="en-US"/>
        </w:rPr>
        <w:t xml:space="preserve">brokered private placement. Each unit comprises one common share and one half of one share purchase warrant. Each whole warrant entitles the holder to purchase one common share for $0.45 CAD for two years from the date of the closing of the offering. </w:t>
      </w:r>
      <w:r w:rsidR="00C2118C">
        <w:rPr>
          <w:rFonts w:ascii="Times New Roman" w:eastAsia="Times New Roman" w:hAnsi="Times New Roman" w:cs="Times New Roman"/>
          <w:sz w:val="20"/>
          <w:szCs w:val="20"/>
          <w:lang w:val="en-US"/>
        </w:rPr>
        <w:t>As the fair value of the common shares on the same date exceeded the issuance price, no residual value was assigned to the warrants.</w:t>
      </w:r>
      <w:r w:rsidR="009B56CB">
        <w:rPr>
          <w:rFonts w:ascii="Times New Roman" w:eastAsia="Times New Roman" w:hAnsi="Times New Roman" w:cs="Times New Roman"/>
          <w:sz w:val="20"/>
          <w:szCs w:val="20"/>
          <w:lang w:val="en-US"/>
        </w:rPr>
        <w:t xml:space="preserve"> </w:t>
      </w:r>
      <w:r w:rsidRPr="007F2074">
        <w:rPr>
          <w:rFonts w:ascii="Times New Roman" w:eastAsia="Times New Roman" w:hAnsi="Times New Roman" w:cs="Times New Roman"/>
          <w:sz w:val="20"/>
          <w:szCs w:val="20"/>
          <w:lang w:val="en-US"/>
        </w:rPr>
        <w:t>Cash finder’s fee of $</w:t>
      </w:r>
      <w:r>
        <w:rPr>
          <w:rFonts w:ascii="Times New Roman" w:eastAsia="Times New Roman" w:hAnsi="Times New Roman" w:cs="Times New Roman"/>
          <w:sz w:val="20"/>
          <w:szCs w:val="20"/>
          <w:lang w:val="en-US"/>
        </w:rPr>
        <w:t>60,035</w:t>
      </w:r>
      <w:r w:rsidRPr="007F2074">
        <w:rPr>
          <w:rFonts w:ascii="Times New Roman" w:eastAsia="Times New Roman" w:hAnsi="Times New Roman" w:cs="Times New Roman"/>
          <w:sz w:val="20"/>
          <w:szCs w:val="20"/>
          <w:lang w:val="en-US"/>
        </w:rPr>
        <w:t xml:space="preserve"> CAD ($</w:t>
      </w:r>
      <w:r>
        <w:rPr>
          <w:rFonts w:ascii="Times New Roman" w:eastAsia="Times New Roman" w:hAnsi="Times New Roman" w:cs="Times New Roman"/>
          <w:sz w:val="20"/>
          <w:szCs w:val="20"/>
          <w:lang w:val="en-US"/>
        </w:rPr>
        <w:t>47,168</w:t>
      </w:r>
      <w:r w:rsidRPr="007F2074">
        <w:rPr>
          <w:rFonts w:ascii="Times New Roman" w:eastAsia="Times New Roman" w:hAnsi="Times New Roman" w:cs="Times New Roman"/>
          <w:sz w:val="20"/>
          <w:szCs w:val="20"/>
          <w:lang w:val="en-US"/>
        </w:rPr>
        <w:t xml:space="preserve"> USD) were </w:t>
      </w:r>
      <w:proofErr w:type="gramStart"/>
      <w:r w:rsidRPr="007F2074">
        <w:rPr>
          <w:rFonts w:ascii="Times New Roman" w:eastAsia="Times New Roman" w:hAnsi="Times New Roman" w:cs="Times New Roman"/>
          <w:sz w:val="20"/>
          <w:szCs w:val="20"/>
          <w:lang w:val="en-US"/>
        </w:rPr>
        <w:t>paid</w:t>
      </w:r>
      <w:proofErr w:type="gramEnd"/>
      <w:r w:rsidRPr="007F2074">
        <w:rPr>
          <w:rFonts w:ascii="Times New Roman" w:eastAsia="Times New Roman" w:hAnsi="Times New Roman" w:cs="Times New Roman"/>
          <w:sz w:val="20"/>
          <w:szCs w:val="20"/>
          <w:lang w:val="en-US"/>
        </w:rPr>
        <w:t xml:space="preserve"> and </w:t>
      </w:r>
      <w:r>
        <w:rPr>
          <w:rFonts w:ascii="Times New Roman" w:eastAsia="Times New Roman" w:hAnsi="Times New Roman" w:cs="Times New Roman"/>
          <w:sz w:val="20"/>
          <w:szCs w:val="20"/>
          <w:lang w:val="en-US"/>
        </w:rPr>
        <w:t>363,636</w:t>
      </w:r>
      <w:r w:rsidRPr="007F2074">
        <w:rPr>
          <w:rFonts w:ascii="Times New Roman" w:eastAsia="Times New Roman" w:hAnsi="Times New Roman" w:cs="Times New Roman"/>
          <w:sz w:val="20"/>
          <w:szCs w:val="20"/>
          <w:lang w:val="en-US"/>
        </w:rPr>
        <w:t xml:space="preserve"> finder’s warrants were issued </w:t>
      </w:r>
      <w:r w:rsidRPr="00AA0D46">
        <w:rPr>
          <w:rFonts w:ascii="Times New Roman" w:eastAsia="Times New Roman" w:hAnsi="Times New Roman" w:cs="Times New Roman"/>
          <w:sz w:val="20"/>
          <w:szCs w:val="20"/>
          <w:lang w:val="en-US"/>
        </w:rPr>
        <w:t>with a fair value of $</w:t>
      </w:r>
      <w:r>
        <w:rPr>
          <w:rFonts w:ascii="Times New Roman" w:eastAsia="Times New Roman" w:hAnsi="Times New Roman" w:cs="Times New Roman"/>
          <w:sz w:val="20"/>
          <w:szCs w:val="20"/>
          <w:lang w:val="en-US"/>
        </w:rPr>
        <w:t>65,624</w:t>
      </w:r>
      <w:r w:rsidRPr="00AA0D46">
        <w:rPr>
          <w:rFonts w:ascii="Times New Roman" w:eastAsia="Times New Roman" w:hAnsi="Times New Roman" w:cs="Times New Roman"/>
          <w:sz w:val="20"/>
          <w:szCs w:val="20"/>
          <w:lang w:val="en-US"/>
        </w:rPr>
        <w:t xml:space="preserve"> CAD ($</w:t>
      </w:r>
      <w:r>
        <w:rPr>
          <w:rFonts w:ascii="Times New Roman" w:eastAsia="Times New Roman" w:hAnsi="Times New Roman" w:cs="Times New Roman"/>
          <w:sz w:val="20"/>
          <w:szCs w:val="20"/>
          <w:lang w:val="en-US"/>
        </w:rPr>
        <w:t>51,559</w:t>
      </w:r>
      <w:r w:rsidRPr="00AA0D46">
        <w:rPr>
          <w:rFonts w:ascii="Times New Roman" w:eastAsia="Times New Roman" w:hAnsi="Times New Roman" w:cs="Times New Roman"/>
          <w:sz w:val="20"/>
          <w:szCs w:val="20"/>
          <w:lang w:val="en-US"/>
        </w:rPr>
        <w:t xml:space="preserve"> USD). The finder’s warrants have the same terms</w:t>
      </w:r>
      <w:r w:rsidRPr="00D2099E">
        <w:rPr>
          <w:rFonts w:ascii="Times New Roman" w:eastAsia="Times New Roman" w:hAnsi="Times New Roman" w:cs="Times New Roman"/>
          <w:sz w:val="20"/>
          <w:szCs w:val="20"/>
          <w:lang w:val="en-US"/>
        </w:rPr>
        <w:t xml:space="preserve"> as the warrants attached to the units.</w:t>
      </w:r>
    </w:p>
    <w:p w14:paraId="2DE39015" w14:textId="77777777" w:rsidR="009A280C" w:rsidRDefault="009A280C" w:rsidP="00AA0D46">
      <w:pPr>
        <w:spacing w:after="0" w:line="240" w:lineRule="auto"/>
        <w:ind w:left="360"/>
        <w:jc w:val="both"/>
        <w:rPr>
          <w:rFonts w:ascii="Times New Roman" w:eastAsia="Times New Roman" w:hAnsi="Times New Roman" w:cs="Times New Roman"/>
          <w:sz w:val="20"/>
          <w:szCs w:val="20"/>
          <w:lang w:val="en-US"/>
        </w:rPr>
      </w:pPr>
    </w:p>
    <w:p w14:paraId="1B45B2DA" w14:textId="77777777" w:rsidR="004750C6" w:rsidRDefault="00AA0D46" w:rsidP="00AA0D46">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On </w:t>
      </w:r>
      <w:r>
        <w:rPr>
          <w:rFonts w:ascii="Times New Roman" w:eastAsia="Times New Roman" w:hAnsi="Times New Roman" w:cs="Times New Roman"/>
          <w:sz w:val="20"/>
          <w:szCs w:val="20"/>
          <w:lang w:val="en-US"/>
        </w:rPr>
        <w:t>March 17, 2022</w:t>
      </w:r>
      <w:r w:rsidR="001E3D41">
        <w:rPr>
          <w:rFonts w:ascii="Times New Roman" w:eastAsia="Times New Roman" w:hAnsi="Times New Roman" w:cs="Times New Roman"/>
          <w:sz w:val="20"/>
          <w:szCs w:val="20"/>
          <w:lang w:val="en-US"/>
        </w:rPr>
        <w:t>,</w:t>
      </w:r>
      <w:r w:rsidRPr="00D2099E">
        <w:rPr>
          <w:rFonts w:ascii="Times New Roman" w:eastAsia="Times New Roman" w:hAnsi="Times New Roman" w:cs="Times New Roman"/>
          <w:sz w:val="20"/>
          <w:szCs w:val="20"/>
          <w:lang w:val="en-US"/>
        </w:rPr>
        <w:t xml:space="preserve"> the Company closed a non-brokered private placement financing, by</w:t>
      </w:r>
      <w:r w:rsidR="002D52BB">
        <w:rPr>
          <w:rFonts w:ascii="Times New Roman" w:eastAsia="Times New Roman" w:hAnsi="Times New Roman" w:cs="Times New Roman"/>
          <w:sz w:val="20"/>
          <w:szCs w:val="20"/>
          <w:lang w:val="en-US"/>
        </w:rPr>
        <w:t xml:space="preserve"> </w:t>
      </w:r>
      <w:r w:rsidR="002D52BB" w:rsidRPr="00D2099E">
        <w:rPr>
          <w:rFonts w:ascii="Times New Roman" w:eastAsia="Times New Roman" w:hAnsi="Times New Roman" w:cs="Times New Roman"/>
          <w:sz w:val="20"/>
          <w:szCs w:val="20"/>
          <w:lang w:val="en-US"/>
        </w:rPr>
        <w:t xml:space="preserve">issuing </w:t>
      </w:r>
      <w:r w:rsidR="002D52BB">
        <w:rPr>
          <w:rFonts w:ascii="Times New Roman" w:eastAsia="Times New Roman" w:hAnsi="Times New Roman" w:cs="Times New Roman"/>
          <w:sz w:val="20"/>
          <w:szCs w:val="20"/>
          <w:lang w:val="en-US"/>
        </w:rPr>
        <w:t>2,000,000</w:t>
      </w:r>
      <w:r w:rsidR="002D52BB" w:rsidRPr="00D2099E">
        <w:rPr>
          <w:rFonts w:ascii="Times New Roman" w:eastAsia="Times New Roman" w:hAnsi="Times New Roman" w:cs="Times New Roman"/>
          <w:sz w:val="20"/>
          <w:szCs w:val="20"/>
          <w:lang w:val="en-US"/>
        </w:rPr>
        <w:t xml:space="preserve"> units </w:t>
      </w:r>
      <w:r w:rsidR="002D52BB">
        <w:rPr>
          <w:rFonts w:ascii="Times New Roman" w:eastAsia="Times New Roman" w:hAnsi="Times New Roman" w:cs="Times New Roman"/>
          <w:sz w:val="20"/>
          <w:szCs w:val="20"/>
          <w:lang w:val="en-US"/>
        </w:rPr>
        <w:t>at</w:t>
      </w:r>
      <w:r w:rsidR="002D52BB" w:rsidRPr="00D2099E">
        <w:rPr>
          <w:rFonts w:ascii="Times New Roman" w:eastAsia="Times New Roman" w:hAnsi="Times New Roman" w:cs="Times New Roman"/>
          <w:sz w:val="20"/>
          <w:szCs w:val="20"/>
          <w:lang w:val="en-US"/>
        </w:rPr>
        <w:t xml:space="preserve"> $0.</w:t>
      </w:r>
      <w:r w:rsidR="002D52BB">
        <w:rPr>
          <w:rFonts w:ascii="Times New Roman" w:eastAsia="Times New Roman" w:hAnsi="Times New Roman" w:cs="Times New Roman"/>
          <w:sz w:val="20"/>
          <w:szCs w:val="20"/>
          <w:lang w:val="en-US"/>
        </w:rPr>
        <w:t>165</w:t>
      </w:r>
      <w:r w:rsidR="002D52BB" w:rsidRPr="00D2099E">
        <w:rPr>
          <w:rFonts w:ascii="Times New Roman" w:eastAsia="Times New Roman" w:hAnsi="Times New Roman" w:cs="Times New Roman"/>
          <w:sz w:val="20"/>
          <w:szCs w:val="20"/>
          <w:lang w:val="en-US"/>
        </w:rPr>
        <w:t xml:space="preserve"> CAD per unit for proceeds of $</w:t>
      </w:r>
      <w:r w:rsidR="002D52BB">
        <w:rPr>
          <w:rFonts w:ascii="Times New Roman" w:eastAsia="Times New Roman" w:hAnsi="Times New Roman" w:cs="Times New Roman"/>
          <w:sz w:val="20"/>
          <w:szCs w:val="20"/>
          <w:lang w:val="en-US"/>
        </w:rPr>
        <w:t>330,000</w:t>
      </w:r>
      <w:r w:rsidR="002D52BB" w:rsidRPr="00D2099E">
        <w:rPr>
          <w:rFonts w:ascii="Times New Roman" w:eastAsia="Times New Roman" w:hAnsi="Times New Roman" w:cs="Times New Roman"/>
          <w:sz w:val="20"/>
          <w:szCs w:val="20"/>
          <w:lang w:val="en-US"/>
        </w:rPr>
        <w:t xml:space="preserve"> CAD (</w:t>
      </w:r>
      <w:r w:rsidR="002D52BB">
        <w:rPr>
          <w:rFonts w:ascii="Times New Roman" w:eastAsia="Times New Roman" w:hAnsi="Times New Roman" w:cs="Times New Roman"/>
          <w:sz w:val="20"/>
          <w:szCs w:val="20"/>
          <w:lang w:val="en-US"/>
        </w:rPr>
        <w:t>$260,681 USD</w:t>
      </w:r>
      <w:r w:rsidR="002D52BB" w:rsidRPr="00D2099E">
        <w:rPr>
          <w:rFonts w:ascii="Times New Roman" w:eastAsia="Times New Roman" w:hAnsi="Times New Roman" w:cs="Times New Roman"/>
          <w:sz w:val="20"/>
          <w:szCs w:val="20"/>
          <w:lang w:val="en-US"/>
        </w:rPr>
        <w:t>)</w:t>
      </w:r>
      <w:r w:rsidR="006B03F9">
        <w:rPr>
          <w:rFonts w:ascii="Times New Roman" w:eastAsia="Times New Roman" w:hAnsi="Times New Roman" w:cs="Times New Roman"/>
          <w:sz w:val="20"/>
          <w:szCs w:val="20"/>
          <w:lang w:val="en-US"/>
        </w:rPr>
        <w:t xml:space="preserve">. </w:t>
      </w:r>
      <w:r w:rsidR="006B03F9" w:rsidRPr="007F2074">
        <w:rPr>
          <w:rFonts w:ascii="Times New Roman" w:eastAsia="Times New Roman" w:hAnsi="Times New Roman" w:cs="Times New Roman"/>
          <w:sz w:val="20"/>
          <w:szCs w:val="20"/>
          <w:lang w:val="en-US"/>
        </w:rPr>
        <w:t>Each unit comprises one common share and one half of one share purchase warrant. Each whole warrant entitles the holder to purchase one common share for $0.45 CAD for two years from the date of the closing of the offering.</w:t>
      </w:r>
      <w:r w:rsidR="006B03F9">
        <w:rPr>
          <w:rFonts w:ascii="Times New Roman" w:eastAsia="Times New Roman" w:hAnsi="Times New Roman" w:cs="Times New Roman"/>
          <w:sz w:val="20"/>
          <w:szCs w:val="20"/>
          <w:lang w:val="en-US"/>
        </w:rPr>
        <w:t xml:space="preserve"> </w:t>
      </w:r>
    </w:p>
    <w:p w14:paraId="290ACD05" w14:textId="77777777" w:rsidR="004750C6" w:rsidRDefault="004750C6" w:rsidP="00AA0D46">
      <w:pPr>
        <w:spacing w:after="0" w:line="240" w:lineRule="auto"/>
        <w:ind w:left="360"/>
        <w:jc w:val="both"/>
        <w:rPr>
          <w:rFonts w:ascii="Times New Roman" w:eastAsia="Times New Roman" w:hAnsi="Times New Roman" w:cs="Times New Roman"/>
          <w:sz w:val="20"/>
          <w:szCs w:val="20"/>
          <w:lang w:val="en-US"/>
        </w:rPr>
      </w:pPr>
    </w:p>
    <w:p w14:paraId="255937D2" w14:textId="1898D961" w:rsidR="00AA0D46" w:rsidRPr="00D2099E" w:rsidRDefault="00FC2ECB" w:rsidP="00AA0D46">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 concurren</w:t>
      </w:r>
      <w:r w:rsidR="006D0756">
        <w:rPr>
          <w:rFonts w:ascii="Times New Roman" w:eastAsia="Times New Roman" w:hAnsi="Times New Roman" w:cs="Times New Roman"/>
          <w:sz w:val="20"/>
          <w:szCs w:val="20"/>
          <w:lang w:val="en-US"/>
        </w:rPr>
        <w:t>ce</w:t>
      </w:r>
      <w:r>
        <w:rPr>
          <w:rFonts w:ascii="Times New Roman" w:eastAsia="Times New Roman" w:hAnsi="Times New Roman" w:cs="Times New Roman"/>
          <w:sz w:val="20"/>
          <w:szCs w:val="20"/>
          <w:lang w:val="en-US"/>
        </w:rPr>
        <w:t xml:space="preserve"> with the non-broker</w:t>
      </w:r>
      <w:r w:rsidR="00933AD2">
        <w:rPr>
          <w:rFonts w:ascii="Times New Roman" w:eastAsia="Times New Roman" w:hAnsi="Times New Roman" w:cs="Times New Roman"/>
          <w:sz w:val="20"/>
          <w:szCs w:val="20"/>
          <w:lang w:val="en-US"/>
        </w:rPr>
        <w:t>ed</w:t>
      </w:r>
      <w:r>
        <w:rPr>
          <w:rFonts w:ascii="Times New Roman" w:eastAsia="Times New Roman" w:hAnsi="Times New Roman" w:cs="Times New Roman"/>
          <w:sz w:val="20"/>
          <w:szCs w:val="20"/>
          <w:lang w:val="en-US"/>
        </w:rPr>
        <w:t xml:space="preserve"> private placement</w:t>
      </w:r>
      <w:r w:rsidR="004750C6">
        <w:rPr>
          <w:rFonts w:ascii="Times New Roman" w:eastAsia="Times New Roman" w:hAnsi="Times New Roman" w:cs="Times New Roman"/>
          <w:sz w:val="20"/>
          <w:szCs w:val="20"/>
          <w:lang w:val="en-US"/>
        </w:rPr>
        <w:t xml:space="preserve"> on March 17, 2022</w:t>
      </w:r>
      <w:r>
        <w:rPr>
          <w:rFonts w:ascii="Times New Roman" w:eastAsia="Times New Roman" w:hAnsi="Times New Roman" w:cs="Times New Roman"/>
          <w:sz w:val="20"/>
          <w:szCs w:val="20"/>
          <w:lang w:val="en-US"/>
        </w:rPr>
        <w:t>, the Company:</w:t>
      </w:r>
    </w:p>
    <w:tbl>
      <w:tblPr>
        <w:tblW w:w="5000" w:type="pct"/>
        <w:tblCellSpacing w:w="0" w:type="dxa"/>
        <w:tblCellMar>
          <w:left w:w="0" w:type="dxa"/>
          <w:right w:w="0" w:type="dxa"/>
        </w:tblCellMar>
        <w:tblLook w:val="04A0" w:firstRow="1" w:lastRow="0" w:firstColumn="1" w:lastColumn="0" w:noHBand="0" w:noVBand="1"/>
      </w:tblPr>
      <w:tblGrid>
        <w:gridCol w:w="408"/>
        <w:gridCol w:w="360"/>
        <w:gridCol w:w="8592"/>
      </w:tblGrid>
      <w:tr w:rsidR="00AA0D46" w:rsidRPr="00D2099E" w14:paraId="2DF69090" w14:textId="77777777" w:rsidTr="00D33273">
        <w:trPr>
          <w:tblCellSpacing w:w="0" w:type="dxa"/>
        </w:trPr>
        <w:tc>
          <w:tcPr>
            <w:tcW w:w="408" w:type="dxa"/>
          </w:tcPr>
          <w:p w14:paraId="6ABF457C" w14:textId="77777777" w:rsidR="00AA0D46" w:rsidRPr="00D2099E" w:rsidRDefault="00AA0D46" w:rsidP="007F2074">
            <w:pPr>
              <w:spacing w:after="0" w:line="240" w:lineRule="auto"/>
              <w:jc w:val="both"/>
              <w:rPr>
                <w:rFonts w:ascii="Times New Roman" w:eastAsia="Times New Roman" w:hAnsi="Times New Roman" w:cs="Times New Roman"/>
                <w:sz w:val="20"/>
                <w:szCs w:val="20"/>
                <w:lang w:val="en-US"/>
              </w:rPr>
            </w:pPr>
          </w:p>
        </w:tc>
        <w:tc>
          <w:tcPr>
            <w:tcW w:w="360" w:type="dxa"/>
          </w:tcPr>
          <w:p w14:paraId="46D989DA" w14:textId="7B440365" w:rsidR="00AA0D46" w:rsidRPr="00CA4239" w:rsidRDefault="00AA0D46" w:rsidP="007F2074">
            <w:pPr>
              <w:spacing w:after="0" w:line="240" w:lineRule="auto"/>
              <w:jc w:val="both"/>
              <w:rPr>
                <w:rFonts w:ascii="Times New Roman" w:eastAsia="Times New Roman" w:hAnsi="Times New Roman" w:cs="Times New Roman"/>
                <w:sz w:val="20"/>
                <w:szCs w:val="20"/>
                <w:lang w:val="en-US"/>
              </w:rPr>
            </w:pPr>
          </w:p>
        </w:tc>
        <w:tc>
          <w:tcPr>
            <w:tcW w:w="0" w:type="auto"/>
          </w:tcPr>
          <w:p w14:paraId="228A47F0" w14:textId="641DB382" w:rsidR="00EB3453" w:rsidRPr="00CA4239" w:rsidRDefault="00EB3453" w:rsidP="007F2074">
            <w:pPr>
              <w:spacing w:after="0" w:line="240" w:lineRule="auto"/>
              <w:jc w:val="both"/>
              <w:rPr>
                <w:rFonts w:ascii="Times New Roman" w:eastAsia="Times New Roman" w:hAnsi="Times New Roman" w:cs="Times New Roman"/>
                <w:sz w:val="20"/>
                <w:szCs w:val="20"/>
                <w:lang w:val="en-US"/>
              </w:rPr>
            </w:pPr>
          </w:p>
        </w:tc>
      </w:tr>
      <w:tr w:rsidR="00EB3453" w:rsidRPr="00D2099E" w14:paraId="64B2AE86" w14:textId="77777777" w:rsidTr="007F2074">
        <w:trPr>
          <w:tblCellSpacing w:w="0" w:type="dxa"/>
        </w:trPr>
        <w:tc>
          <w:tcPr>
            <w:tcW w:w="408" w:type="dxa"/>
          </w:tcPr>
          <w:p w14:paraId="661BBCC2" w14:textId="77777777" w:rsidR="00EB3453" w:rsidRPr="00D2099E" w:rsidRDefault="00EB3453" w:rsidP="007F2074">
            <w:pPr>
              <w:spacing w:after="0" w:line="240" w:lineRule="auto"/>
              <w:jc w:val="both"/>
              <w:rPr>
                <w:rFonts w:ascii="Times New Roman" w:eastAsia="Times New Roman" w:hAnsi="Times New Roman" w:cs="Times New Roman"/>
                <w:szCs w:val="20"/>
                <w:lang w:val="en-US"/>
              </w:rPr>
            </w:pPr>
          </w:p>
        </w:tc>
        <w:tc>
          <w:tcPr>
            <w:tcW w:w="360" w:type="dxa"/>
          </w:tcPr>
          <w:p w14:paraId="512543EE" w14:textId="1949CA62" w:rsidR="00EB3453" w:rsidRPr="00D2099E" w:rsidRDefault="00EB3453"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tcPr>
          <w:p w14:paraId="1DABD90E" w14:textId="08AE13C0" w:rsidR="00EB3453" w:rsidRPr="00D2099E" w:rsidRDefault="00EB3453" w:rsidP="007F2074">
            <w:pPr>
              <w:spacing w:after="0" w:line="240" w:lineRule="auto"/>
              <w:jc w:val="both"/>
              <w:rPr>
                <w:rFonts w:ascii="Times New Roman" w:eastAsia="Times New Roman" w:hAnsi="Times New Roman" w:cs="Times New Roman"/>
                <w:sz w:val="20"/>
                <w:szCs w:val="20"/>
                <w:lang w:val="en-US"/>
              </w:rPr>
            </w:pPr>
            <w:r w:rsidRPr="007F2074">
              <w:rPr>
                <w:rFonts w:ascii="Times New Roman" w:eastAsia="Times New Roman" w:hAnsi="Times New Roman" w:cs="Times New Roman"/>
                <w:sz w:val="20"/>
                <w:szCs w:val="20"/>
                <w:lang w:val="en-US"/>
              </w:rPr>
              <w:t>issued 700,000 shares</w:t>
            </w:r>
            <w:r>
              <w:rPr>
                <w:rFonts w:ascii="Times New Roman" w:eastAsia="Times New Roman" w:hAnsi="Times New Roman" w:cs="Times New Roman"/>
                <w:sz w:val="20"/>
                <w:szCs w:val="20"/>
                <w:lang w:val="en-US"/>
              </w:rPr>
              <w:t xml:space="preserve">, 50,000 of which relate to the vesting of </w:t>
            </w:r>
            <w:r w:rsidR="00172210">
              <w:rPr>
                <w:rFonts w:ascii="Times New Roman" w:eastAsia="Times New Roman" w:hAnsi="Times New Roman" w:cs="Times New Roman"/>
                <w:sz w:val="20"/>
                <w:szCs w:val="20"/>
                <w:lang w:val="en-US"/>
              </w:rPr>
              <w:t>restricted stock units</w:t>
            </w:r>
            <w:r>
              <w:rPr>
                <w:rFonts w:ascii="Times New Roman" w:eastAsia="Times New Roman" w:hAnsi="Times New Roman" w:cs="Times New Roman"/>
                <w:sz w:val="20"/>
                <w:szCs w:val="20"/>
                <w:lang w:val="en-US"/>
              </w:rPr>
              <w:t xml:space="preserve"> granted in 2021 and 650,000 relating to the granting and vesting of </w:t>
            </w:r>
            <w:r w:rsidR="00172210">
              <w:rPr>
                <w:rFonts w:ascii="Times New Roman" w:eastAsia="Times New Roman" w:hAnsi="Times New Roman" w:cs="Times New Roman"/>
                <w:sz w:val="20"/>
                <w:szCs w:val="20"/>
                <w:lang w:val="en-US"/>
              </w:rPr>
              <w:t>restricted stock units</w:t>
            </w:r>
            <w:r>
              <w:rPr>
                <w:rFonts w:ascii="Times New Roman" w:eastAsia="Times New Roman" w:hAnsi="Times New Roman" w:cs="Times New Roman"/>
                <w:sz w:val="20"/>
                <w:szCs w:val="20"/>
                <w:lang w:val="en-US"/>
              </w:rPr>
              <w:t xml:space="preserve"> during the </w:t>
            </w:r>
            <w:r w:rsidR="00771925">
              <w:rPr>
                <w:rFonts w:ascii="Times New Roman" w:eastAsia="Times New Roman" w:hAnsi="Times New Roman" w:cs="Times New Roman"/>
                <w:sz w:val="20"/>
                <w:szCs w:val="20"/>
                <w:lang w:val="en-US"/>
              </w:rPr>
              <w:t xml:space="preserve">period </w:t>
            </w:r>
            <w:r>
              <w:rPr>
                <w:rFonts w:ascii="Times New Roman" w:eastAsia="Times New Roman" w:hAnsi="Times New Roman" w:cs="Times New Roman"/>
                <w:sz w:val="20"/>
                <w:szCs w:val="20"/>
                <w:lang w:val="en-US"/>
              </w:rPr>
              <w:t xml:space="preserve">ended </w:t>
            </w:r>
            <w:r w:rsidR="00771925">
              <w:rPr>
                <w:rFonts w:ascii="Times New Roman" w:eastAsia="Times New Roman" w:hAnsi="Times New Roman" w:cs="Times New Roman"/>
                <w:sz w:val="20"/>
                <w:szCs w:val="20"/>
                <w:lang w:val="en-US"/>
              </w:rPr>
              <w:t>June 30</w:t>
            </w:r>
            <w:r>
              <w:rPr>
                <w:rFonts w:ascii="Times New Roman" w:eastAsia="Times New Roman" w:hAnsi="Times New Roman" w:cs="Times New Roman"/>
                <w:sz w:val="20"/>
                <w:szCs w:val="20"/>
                <w:lang w:val="en-US"/>
              </w:rPr>
              <w:t xml:space="preserve">, 2022. The value of the </w:t>
            </w:r>
            <w:r w:rsidR="00172210">
              <w:rPr>
                <w:rFonts w:ascii="Times New Roman" w:eastAsia="Times New Roman" w:hAnsi="Times New Roman" w:cs="Times New Roman"/>
                <w:sz w:val="20"/>
                <w:szCs w:val="20"/>
                <w:lang w:val="en-US"/>
              </w:rPr>
              <w:t>restricted stock units</w:t>
            </w:r>
            <w:r>
              <w:rPr>
                <w:rFonts w:ascii="Times New Roman" w:eastAsia="Times New Roman" w:hAnsi="Times New Roman" w:cs="Times New Roman"/>
                <w:sz w:val="20"/>
                <w:szCs w:val="20"/>
                <w:lang w:val="en-US"/>
              </w:rPr>
              <w:t xml:space="preserve"> granted during the </w:t>
            </w:r>
            <w:r w:rsidR="00446BB5">
              <w:rPr>
                <w:rFonts w:ascii="Times New Roman" w:eastAsia="Times New Roman" w:hAnsi="Times New Roman" w:cs="Times New Roman"/>
                <w:sz w:val="20"/>
                <w:szCs w:val="20"/>
                <w:lang w:val="en-US"/>
              </w:rPr>
              <w:t>period</w:t>
            </w:r>
            <w:r>
              <w:rPr>
                <w:rFonts w:ascii="Times New Roman" w:eastAsia="Times New Roman" w:hAnsi="Times New Roman" w:cs="Times New Roman"/>
                <w:sz w:val="20"/>
                <w:szCs w:val="20"/>
                <w:lang w:val="en-US"/>
              </w:rPr>
              <w:t xml:space="preserve"> ended </w:t>
            </w:r>
            <w:r w:rsidR="00446BB5">
              <w:rPr>
                <w:rFonts w:ascii="Times New Roman" w:eastAsia="Times New Roman" w:hAnsi="Times New Roman" w:cs="Times New Roman"/>
                <w:sz w:val="20"/>
                <w:szCs w:val="20"/>
                <w:lang w:val="en-US"/>
              </w:rPr>
              <w:t>June 30</w:t>
            </w:r>
            <w:r>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lang w:val="en-US"/>
              </w:rPr>
              <w:t>2022</w:t>
            </w:r>
            <w:proofErr w:type="gramEnd"/>
            <w:r>
              <w:rPr>
                <w:rFonts w:ascii="Times New Roman" w:eastAsia="Times New Roman" w:hAnsi="Times New Roman" w:cs="Times New Roman"/>
                <w:sz w:val="20"/>
                <w:szCs w:val="20"/>
                <w:lang w:val="en-US"/>
              </w:rPr>
              <w:t xml:space="preserve"> is $107,250 CAD ($92,171 USD)</w:t>
            </w:r>
            <w:r w:rsidR="00543ABE">
              <w:rPr>
                <w:rFonts w:ascii="Times New Roman" w:eastAsia="Times New Roman" w:hAnsi="Times New Roman" w:cs="Times New Roman"/>
                <w:sz w:val="20"/>
                <w:szCs w:val="20"/>
                <w:lang w:val="en-US"/>
              </w:rPr>
              <w:t xml:space="preserve">. $7,450 of the share-based compensation was recorded in the prior year. The share-based compensation for the </w:t>
            </w:r>
            <w:r w:rsidR="00446BB5">
              <w:rPr>
                <w:rFonts w:ascii="Times New Roman" w:eastAsia="Times New Roman" w:hAnsi="Times New Roman" w:cs="Times New Roman"/>
                <w:sz w:val="20"/>
                <w:szCs w:val="20"/>
                <w:lang w:val="en-US"/>
              </w:rPr>
              <w:t>six</w:t>
            </w:r>
            <w:r w:rsidR="00543ABE">
              <w:rPr>
                <w:rFonts w:ascii="Times New Roman" w:eastAsia="Times New Roman" w:hAnsi="Times New Roman" w:cs="Times New Roman"/>
                <w:sz w:val="20"/>
                <w:szCs w:val="20"/>
                <w:lang w:val="en-US"/>
              </w:rPr>
              <w:t xml:space="preserve"> months ended </w:t>
            </w:r>
            <w:r w:rsidR="00446BB5">
              <w:rPr>
                <w:rFonts w:ascii="Times New Roman" w:eastAsia="Times New Roman" w:hAnsi="Times New Roman" w:cs="Times New Roman"/>
                <w:sz w:val="20"/>
                <w:szCs w:val="20"/>
                <w:lang w:val="en-US"/>
              </w:rPr>
              <w:t>June 30</w:t>
            </w:r>
            <w:r w:rsidR="00543ABE">
              <w:rPr>
                <w:rFonts w:ascii="Times New Roman" w:eastAsia="Times New Roman" w:hAnsi="Times New Roman" w:cs="Times New Roman"/>
                <w:sz w:val="20"/>
                <w:szCs w:val="20"/>
                <w:lang w:val="en-US"/>
              </w:rPr>
              <w:t xml:space="preserve">, </w:t>
            </w:r>
            <w:proofErr w:type="gramStart"/>
            <w:r w:rsidR="00543ABE">
              <w:rPr>
                <w:rFonts w:ascii="Times New Roman" w:eastAsia="Times New Roman" w:hAnsi="Times New Roman" w:cs="Times New Roman"/>
                <w:sz w:val="20"/>
                <w:szCs w:val="20"/>
                <w:lang w:val="en-US"/>
              </w:rPr>
              <w:t>2022</w:t>
            </w:r>
            <w:proofErr w:type="gramEnd"/>
            <w:r w:rsidR="00543ABE">
              <w:rPr>
                <w:rFonts w:ascii="Times New Roman" w:eastAsia="Times New Roman" w:hAnsi="Times New Roman" w:cs="Times New Roman"/>
                <w:sz w:val="20"/>
                <w:szCs w:val="20"/>
                <w:lang w:val="en-US"/>
              </w:rPr>
              <w:t xml:space="preserve"> totaled $84,721</w:t>
            </w:r>
            <w:r>
              <w:rPr>
                <w:rFonts w:ascii="Times New Roman" w:eastAsia="Times New Roman" w:hAnsi="Times New Roman" w:cs="Times New Roman"/>
                <w:sz w:val="20"/>
                <w:szCs w:val="20"/>
                <w:lang w:val="en-US"/>
              </w:rPr>
              <w:t>;</w:t>
            </w:r>
          </w:p>
        </w:tc>
      </w:tr>
      <w:tr w:rsidR="00AA0D46" w:rsidRPr="00D2099E" w14:paraId="15AFC9F6" w14:textId="77777777" w:rsidTr="007F2074">
        <w:trPr>
          <w:tblCellSpacing w:w="0" w:type="dxa"/>
        </w:trPr>
        <w:tc>
          <w:tcPr>
            <w:tcW w:w="408" w:type="dxa"/>
            <w:hideMark/>
          </w:tcPr>
          <w:p w14:paraId="6714BE00" w14:textId="77777777" w:rsidR="00AA0D46" w:rsidRPr="00D2099E" w:rsidRDefault="00AA0D46" w:rsidP="007F2074">
            <w:pPr>
              <w:spacing w:after="0" w:line="240" w:lineRule="auto"/>
              <w:jc w:val="both"/>
              <w:rPr>
                <w:rFonts w:ascii="Times New Roman" w:eastAsia="Times New Roman" w:hAnsi="Times New Roman" w:cs="Times New Roman"/>
                <w:szCs w:val="20"/>
                <w:lang w:val="en-US"/>
              </w:rPr>
            </w:pPr>
          </w:p>
        </w:tc>
        <w:tc>
          <w:tcPr>
            <w:tcW w:w="360" w:type="dxa"/>
            <w:hideMark/>
          </w:tcPr>
          <w:p w14:paraId="21C9F01A" w14:textId="77777777" w:rsidR="00AA0D46" w:rsidRPr="00D2099E" w:rsidRDefault="00AA0D46" w:rsidP="007F2074">
            <w:pPr>
              <w:spacing w:after="0" w:line="240" w:lineRule="auto"/>
              <w:jc w:val="both"/>
              <w:rPr>
                <w:rFonts w:ascii="Times New Roman" w:eastAsia="Times New Roman" w:hAnsi="Times New Roman" w:cs="Times New Roman"/>
                <w:szCs w:val="20"/>
                <w:lang w:val="en-US"/>
              </w:rPr>
            </w:pPr>
            <w:r w:rsidRPr="00D2099E">
              <w:rPr>
                <w:rFonts w:ascii="Times New Roman" w:eastAsia="Times New Roman" w:hAnsi="Times New Roman" w:cs="Times New Roman"/>
                <w:sz w:val="20"/>
                <w:szCs w:val="20"/>
                <w:lang w:val="en-US"/>
              </w:rPr>
              <w:t>●</w:t>
            </w:r>
          </w:p>
        </w:tc>
        <w:tc>
          <w:tcPr>
            <w:tcW w:w="0" w:type="auto"/>
            <w:hideMark/>
          </w:tcPr>
          <w:p w14:paraId="5B0CD0B6" w14:textId="7F426E0F" w:rsidR="00AA0D46" w:rsidRPr="00D2099E" w:rsidRDefault="00AA0D46" w:rsidP="007F2074">
            <w:pPr>
              <w:spacing w:after="0" w:line="240" w:lineRule="auto"/>
              <w:jc w:val="both"/>
              <w:rPr>
                <w:rFonts w:ascii="Times New Roman" w:eastAsia="Times New Roman" w:hAnsi="Times New Roman" w:cs="Times New Roman"/>
                <w:szCs w:val="20"/>
                <w:lang w:val="en-US"/>
              </w:rPr>
            </w:pPr>
            <w:bookmarkStart w:id="6" w:name="_Hlk106094158"/>
            <w:r w:rsidRPr="00D2099E">
              <w:rPr>
                <w:rFonts w:ascii="Times New Roman" w:eastAsia="Times New Roman" w:hAnsi="Times New Roman" w:cs="Times New Roman"/>
                <w:sz w:val="20"/>
                <w:szCs w:val="20"/>
                <w:lang w:val="en-US"/>
              </w:rPr>
              <w:t>issu</w:t>
            </w:r>
            <w:r w:rsidR="00C74A38">
              <w:rPr>
                <w:rFonts w:ascii="Times New Roman" w:eastAsia="Times New Roman" w:hAnsi="Times New Roman" w:cs="Times New Roman"/>
                <w:sz w:val="20"/>
                <w:szCs w:val="20"/>
                <w:lang w:val="en-US"/>
              </w:rPr>
              <w:t>ed</w:t>
            </w:r>
            <w:r w:rsidRPr="00D2099E">
              <w:rPr>
                <w:rFonts w:ascii="Times New Roman" w:eastAsia="Times New Roman" w:hAnsi="Times New Roman" w:cs="Times New Roman"/>
                <w:sz w:val="20"/>
                <w:szCs w:val="20"/>
                <w:lang w:val="en-US"/>
              </w:rPr>
              <w:t xml:space="preserve"> </w:t>
            </w:r>
            <w:r w:rsidR="006B20FC">
              <w:rPr>
                <w:rFonts w:ascii="Times New Roman" w:eastAsia="Times New Roman" w:hAnsi="Times New Roman" w:cs="Times New Roman"/>
                <w:sz w:val="20"/>
                <w:szCs w:val="20"/>
                <w:lang w:val="en-US"/>
              </w:rPr>
              <w:t>909,090</w:t>
            </w:r>
            <w:r w:rsidRPr="00D2099E">
              <w:rPr>
                <w:rFonts w:ascii="Times New Roman" w:eastAsia="Times New Roman" w:hAnsi="Times New Roman" w:cs="Times New Roman"/>
                <w:sz w:val="20"/>
                <w:szCs w:val="20"/>
                <w:lang w:val="en-US"/>
              </w:rPr>
              <w:t xml:space="preserve"> </w:t>
            </w:r>
            <w:r w:rsidR="006B20FC">
              <w:rPr>
                <w:rFonts w:ascii="Times New Roman" w:eastAsia="Times New Roman" w:hAnsi="Times New Roman" w:cs="Times New Roman"/>
                <w:sz w:val="20"/>
                <w:szCs w:val="20"/>
                <w:lang w:val="en-US"/>
              </w:rPr>
              <w:t>u</w:t>
            </w:r>
            <w:r w:rsidRPr="00D2099E">
              <w:rPr>
                <w:rFonts w:ascii="Times New Roman" w:eastAsia="Times New Roman" w:hAnsi="Times New Roman" w:cs="Times New Roman"/>
                <w:sz w:val="20"/>
                <w:szCs w:val="20"/>
                <w:lang w:val="en-US"/>
              </w:rPr>
              <w:t xml:space="preserve">nits for </w:t>
            </w:r>
            <w:r w:rsidR="00EB3453">
              <w:rPr>
                <w:rFonts w:ascii="Times New Roman" w:eastAsia="Times New Roman" w:hAnsi="Times New Roman" w:cs="Times New Roman"/>
                <w:sz w:val="20"/>
                <w:szCs w:val="20"/>
                <w:lang w:val="en-US"/>
              </w:rPr>
              <w:t xml:space="preserve">prepaid </w:t>
            </w:r>
            <w:r w:rsidRPr="00D2099E">
              <w:rPr>
                <w:rFonts w:ascii="Times New Roman" w:eastAsia="Times New Roman" w:hAnsi="Times New Roman" w:cs="Times New Roman"/>
                <w:sz w:val="20"/>
                <w:szCs w:val="20"/>
                <w:lang w:val="en-US"/>
              </w:rPr>
              <w:t>services</w:t>
            </w:r>
            <w:r w:rsidR="006B20FC">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valued at </w:t>
            </w:r>
            <w:r w:rsidR="006B20FC">
              <w:rPr>
                <w:rFonts w:ascii="Times New Roman" w:eastAsia="Times New Roman" w:hAnsi="Times New Roman" w:cs="Times New Roman"/>
                <w:sz w:val="20"/>
                <w:szCs w:val="20"/>
                <w:lang w:val="en-US"/>
              </w:rPr>
              <w:t>$150,000 CAD ($118,491 USD)</w:t>
            </w:r>
            <w:r w:rsidR="00D55216">
              <w:rPr>
                <w:rFonts w:ascii="Times New Roman" w:eastAsia="Times New Roman" w:hAnsi="Times New Roman" w:cs="Times New Roman"/>
                <w:sz w:val="20"/>
                <w:szCs w:val="20"/>
                <w:lang w:val="en-US"/>
              </w:rPr>
              <w:t xml:space="preserve">. During the </w:t>
            </w:r>
            <w:r w:rsidR="00771925">
              <w:rPr>
                <w:rFonts w:ascii="Times New Roman" w:eastAsia="Times New Roman" w:hAnsi="Times New Roman" w:cs="Times New Roman"/>
                <w:sz w:val="20"/>
                <w:szCs w:val="20"/>
                <w:lang w:val="en-US"/>
              </w:rPr>
              <w:t>six</w:t>
            </w:r>
            <w:r w:rsidR="00D55216">
              <w:rPr>
                <w:rFonts w:ascii="Times New Roman" w:eastAsia="Times New Roman" w:hAnsi="Times New Roman" w:cs="Times New Roman"/>
                <w:sz w:val="20"/>
                <w:szCs w:val="20"/>
                <w:lang w:val="en-US"/>
              </w:rPr>
              <w:t xml:space="preserve"> months ended </w:t>
            </w:r>
            <w:r w:rsidR="00771925">
              <w:rPr>
                <w:rFonts w:ascii="Times New Roman" w:eastAsia="Times New Roman" w:hAnsi="Times New Roman" w:cs="Times New Roman"/>
                <w:sz w:val="20"/>
                <w:szCs w:val="20"/>
                <w:lang w:val="en-US"/>
              </w:rPr>
              <w:t>June 30</w:t>
            </w:r>
            <w:r w:rsidR="00D55216">
              <w:rPr>
                <w:rFonts w:ascii="Times New Roman" w:eastAsia="Times New Roman" w:hAnsi="Times New Roman" w:cs="Times New Roman"/>
                <w:sz w:val="20"/>
                <w:szCs w:val="20"/>
                <w:lang w:val="en-US"/>
              </w:rPr>
              <w:t>, 2022, $</w:t>
            </w:r>
            <w:r w:rsidR="00771925">
              <w:rPr>
                <w:rFonts w:ascii="Times New Roman" w:eastAsia="Times New Roman" w:hAnsi="Times New Roman" w:cs="Times New Roman"/>
                <w:sz w:val="20"/>
                <w:szCs w:val="20"/>
                <w:lang w:val="en-US"/>
              </w:rPr>
              <w:t>125,000</w:t>
            </w:r>
            <w:r w:rsidR="00D55216">
              <w:rPr>
                <w:rFonts w:ascii="Times New Roman" w:eastAsia="Times New Roman" w:hAnsi="Times New Roman" w:cs="Times New Roman"/>
                <w:sz w:val="20"/>
                <w:szCs w:val="20"/>
                <w:lang w:val="en-US"/>
              </w:rPr>
              <w:t xml:space="preserve"> ($</w:t>
            </w:r>
            <w:r w:rsidR="00446BB5">
              <w:rPr>
                <w:rFonts w:ascii="Times New Roman" w:eastAsia="Times New Roman" w:hAnsi="Times New Roman" w:cs="Times New Roman"/>
                <w:sz w:val="20"/>
                <w:szCs w:val="20"/>
                <w:lang w:val="en-US"/>
              </w:rPr>
              <w:t>98,820</w:t>
            </w:r>
            <w:r w:rsidR="00D55216">
              <w:rPr>
                <w:rFonts w:ascii="Times New Roman" w:eastAsia="Times New Roman" w:hAnsi="Times New Roman" w:cs="Times New Roman"/>
                <w:sz w:val="20"/>
                <w:szCs w:val="20"/>
                <w:lang w:val="en-US"/>
              </w:rPr>
              <w:t xml:space="preserve"> USD) was expensed and included in investor relations on the consolidated statement of </w:t>
            </w:r>
            <w:r w:rsidR="00A904D6">
              <w:rPr>
                <w:rFonts w:ascii="Times New Roman" w:eastAsia="Times New Roman" w:hAnsi="Times New Roman" w:cs="Times New Roman"/>
                <w:sz w:val="20"/>
                <w:szCs w:val="20"/>
                <w:lang w:val="en-US"/>
              </w:rPr>
              <w:t>loss and comprehensive loss</w:t>
            </w:r>
            <w:r w:rsidR="001E0834">
              <w:rPr>
                <w:rFonts w:ascii="Times New Roman" w:eastAsia="Times New Roman" w:hAnsi="Times New Roman" w:cs="Times New Roman"/>
                <w:sz w:val="20"/>
                <w:szCs w:val="20"/>
                <w:lang w:val="en-US"/>
              </w:rPr>
              <w:t xml:space="preserve">. As </w:t>
            </w:r>
            <w:proofErr w:type="gramStart"/>
            <w:r w:rsidR="001E0834">
              <w:rPr>
                <w:rFonts w:ascii="Times New Roman" w:eastAsia="Times New Roman" w:hAnsi="Times New Roman" w:cs="Times New Roman"/>
                <w:sz w:val="20"/>
                <w:szCs w:val="20"/>
                <w:lang w:val="en-US"/>
              </w:rPr>
              <w:t>at</w:t>
            </w:r>
            <w:proofErr w:type="gramEnd"/>
            <w:r w:rsidR="001E0834">
              <w:rPr>
                <w:rFonts w:ascii="Times New Roman" w:eastAsia="Times New Roman" w:hAnsi="Times New Roman" w:cs="Times New Roman"/>
                <w:sz w:val="20"/>
                <w:szCs w:val="20"/>
                <w:lang w:val="en-US"/>
              </w:rPr>
              <w:t xml:space="preserve"> </w:t>
            </w:r>
            <w:r w:rsidR="00771925">
              <w:rPr>
                <w:rFonts w:ascii="Times New Roman" w:eastAsia="Times New Roman" w:hAnsi="Times New Roman" w:cs="Times New Roman"/>
                <w:sz w:val="20"/>
                <w:szCs w:val="20"/>
                <w:lang w:val="en-US"/>
              </w:rPr>
              <w:t>June 30</w:t>
            </w:r>
            <w:r w:rsidR="001E0834">
              <w:rPr>
                <w:rFonts w:ascii="Times New Roman" w:eastAsia="Times New Roman" w:hAnsi="Times New Roman" w:cs="Times New Roman"/>
                <w:sz w:val="20"/>
                <w:szCs w:val="20"/>
                <w:lang w:val="en-US"/>
              </w:rPr>
              <w:t>, 2022, $</w:t>
            </w:r>
            <w:r w:rsidR="00771925">
              <w:rPr>
                <w:rFonts w:ascii="Times New Roman" w:eastAsia="Times New Roman" w:hAnsi="Times New Roman" w:cs="Times New Roman"/>
                <w:sz w:val="20"/>
                <w:szCs w:val="20"/>
                <w:lang w:val="en-US"/>
              </w:rPr>
              <w:t>25,000</w:t>
            </w:r>
            <w:r w:rsidR="001E0834">
              <w:rPr>
                <w:rFonts w:ascii="Times New Roman" w:eastAsia="Times New Roman" w:hAnsi="Times New Roman" w:cs="Times New Roman"/>
                <w:sz w:val="20"/>
                <w:szCs w:val="20"/>
                <w:lang w:val="en-US"/>
              </w:rPr>
              <w:t xml:space="preserve"> CAD (approximately $</w:t>
            </w:r>
            <w:r w:rsidR="00771925">
              <w:rPr>
                <w:rFonts w:ascii="Times New Roman" w:eastAsia="Times New Roman" w:hAnsi="Times New Roman" w:cs="Times New Roman"/>
                <w:sz w:val="20"/>
                <w:szCs w:val="20"/>
                <w:lang w:val="en-US"/>
              </w:rPr>
              <w:t>19,393</w:t>
            </w:r>
            <w:r w:rsidR="001E0834">
              <w:rPr>
                <w:rFonts w:ascii="Times New Roman" w:eastAsia="Times New Roman" w:hAnsi="Times New Roman" w:cs="Times New Roman"/>
                <w:sz w:val="20"/>
                <w:szCs w:val="20"/>
                <w:lang w:val="en-US"/>
              </w:rPr>
              <w:t>) was included in prepaid expenses and deposits on the consolidated statement of financial position</w:t>
            </w:r>
            <w:r w:rsidRPr="00D2099E">
              <w:rPr>
                <w:rFonts w:ascii="Times New Roman" w:eastAsia="Times New Roman" w:hAnsi="Times New Roman" w:cs="Times New Roman"/>
                <w:sz w:val="20"/>
                <w:szCs w:val="20"/>
                <w:lang w:val="en-US"/>
              </w:rPr>
              <w:t>; and</w:t>
            </w:r>
            <w:bookmarkEnd w:id="6"/>
          </w:p>
        </w:tc>
      </w:tr>
      <w:tr w:rsidR="00AA0D46" w:rsidRPr="00D2099E" w14:paraId="71B275C2" w14:textId="77777777" w:rsidTr="007F2074">
        <w:trPr>
          <w:tblCellSpacing w:w="0" w:type="dxa"/>
        </w:trPr>
        <w:tc>
          <w:tcPr>
            <w:tcW w:w="408" w:type="dxa"/>
            <w:hideMark/>
          </w:tcPr>
          <w:p w14:paraId="13E38ECD" w14:textId="77777777" w:rsidR="00AA0D46" w:rsidRPr="00D2099E" w:rsidRDefault="00AA0D46" w:rsidP="007F2074">
            <w:pPr>
              <w:spacing w:after="0" w:line="240" w:lineRule="auto"/>
              <w:jc w:val="both"/>
              <w:rPr>
                <w:rFonts w:ascii="Times New Roman" w:eastAsia="Times New Roman" w:hAnsi="Times New Roman" w:cs="Times New Roman"/>
                <w:szCs w:val="20"/>
                <w:lang w:val="en-US"/>
              </w:rPr>
            </w:pPr>
          </w:p>
        </w:tc>
        <w:tc>
          <w:tcPr>
            <w:tcW w:w="360" w:type="dxa"/>
            <w:hideMark/>
          </w:tcPr>
          <w:p w14:paraId="1BEA1D4D" w14:textId="77777777" w:rsidR="00AA0D46" w:rsidRPr="00D2099E" w:rsidRDefault="00AA0D46" w:rsidP="007F2074">
            <w:pPr>
              <w:spacing w:after="0" w:line="240" w:lineRule="auto"/>
              <w:jc w:val="both"/>
              <w:rPr>
                <w:rFonts w:ascii="Times New Roman" w:eastAsia="Times New Roman" w:hAnsi="Times New Roman" w:cs="Times New Roman"/>
                <w:szCs w:val="20"/>
                <w:lang w:val="en-US"/>
              </w:rPr>
            </w:pPr>
            <w:r w:rsidRPr="00D2099E">
              <w:rPr>
                <w:rFonts w:ascii="Times New Roman" w:eastAsia="Times New Roman" w:hAnsi="Times New Roman" w:cs="Times New Roman"/>
                <w:sz w:val="20"/>
                <w:szCs w:val="20"/>
                <w:lang w:val="en-US"/>
              </w:rPr>
              <w:t>●</w:t>
            </w:r>
          </w:p>
        </w:tc>
        <w:tc>
          <w:tcPr>
            <w:tcW w:w="0" w:type="auto"/>
            <w:hideMark/>
          </w:tcPr>
          <w:p w14:paraId="7F72C9BE" w14:textId="0A8A7B3A" w:rsidR="00EB3453" w:rsidRPr="00CA4239" w:rsidRDefault="00AA0D46" w:rsidP="007F2074">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issu</w:t>
            </w:r>
            <w:r w:rsidR="00C74A38">
              <w:rPr>
                <w:rFonts w:ascii="Times New Roman" w:eastAsia="Times New Roman" w:hAnsi="Times New Roman" w:cs="Times New Roman"/>
                <w:sz w:val="20"/>
                <w:szCs w:val="20"/>
                <w:lang w:val="en-US"/>
              </w:rPr>
              <w:t>ed</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3,000,000</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u</w:t>
            </w:r>
            <w:r w:rsidRPr="00D2099E">
              <w:rPr>
                <w:rFonts w:ascii="Times New Roman" w:eastAsia="Times New Roman" w:hAnsi="Times New Roman" w:cs="Times New Roman"/>
                <w:sz w:val="20"/>
                <w:szCs w:val="20"/>
                <w:lang w:val="en-US"/>
              </w:rPr>
              <w:t xml:space="preserve">nits </w:t>
            </w:r>
            <w:r>
              <w:rPr>
                <w:rFonts w:ascii="Times New Roman" w:eastAsia="Times New Roman" w:hAnsi="Times New Roman" w:cs="Times New Roman"/>
                <w:sz w:val="20"/>
                <w:szCs w:val="20"/>
                <w:lang w:val="en-US"/>
              </w:rPr>
              <w:t xml:space="preserve">at </w:t>
            </w:r>
            <w:r w:rsidR="00095BD7">
              <w:rPr>
                <w:rFonts w:ascii="Times New Roman" w:eastAsia="Times New Roman" w:hAnsi="Times New Roman" w:cs="Times New Roman"/>
                <w:sz w:val="20"/>
                <w:szCs w:val="20"/>
                <w:lang w:val="en-US"/>
              </w:rPr>
              <w:t xml:space="preserve">a fair value of </w:t>
            </w:r>
            <w:r>
              <w:rPr>
                <w:rFonts w:ascii="Times New Roman" w:eastAsia="Times New Roman" w:hAnsi="Times New Roman" w:cs="Times New Roman"/>
                <w:sz w:val="20"/>
                <w:szCs w:val="20"/>
                <w:lang w:val="en-US"/>
              </w:rPr>
              <w:t xml:space="preserve">$0.165 CAD </w:t>
            </w:r>
            <w:r w:rsidR="00095BD7">
              <w:rPr>
                <w:rFonts w:ascii="Times New Roman" w:eastAsia="Times New Roman" w:hAnsi="Times New Roman" w:cs="Times New Roman"/>
                <w:sz w:val="20"/>
                <w:szCs w:val="20"/>
                <w:lang w:val="en-US"/>
              </w:rPr>
              <w:t xml:space="preserve">per unit </w:t>
            </w:r>
            <w:r w:rsidRPr="00D2099E">
              <w:rPr>
                <w:rFonts w:ascii="Times New Roman" w:eastAsia="Times New Roman" w:hAnsi="Times New Roman" w:cs="Times New Roman"/>
                <w:sz w:val="20"/>
                <w:szCs w:val="20"/>
                <w:lang w:val="en-US"/>
              </w:rPr>
              <w:t xml:space="preserve">for debt settlement of </w:t>
            </w:r>
            <w:r w:rsidR="006B20FC">
              <w:rPr>
                <w:rFonts w:ascii="Times New Roman" w:eastAsia="Times New Roman" w:hAnsi="Times New Roman" w:cs="Times New Roman"/>
                <w:sz w:val="20"/>
                <w:szCs w:val="20"/>
                <w:lang w:val="en-US"/>
              </w:rPr>
              <w:t>$472,001 CAD ($</w:t>
            </w:r>
            <w:r w:rsidR="000326ED">
              <w:rPr>
                <w:rFonts w:ascii="Times New Roman" w:eastAsia="Times New Roman" w:hAnsi="Times New Roman" w:cs="Times New Roman"/>
                <w:sz w:val="20"/>
                <w:szCs w:val="20"/>
                <w:lang w:val="en-US"/>
              </w:rPr>
              <w:t>391,021</w:t>
            </w:r>
            <w:r w:rsidR="006B20FC">
              <w:rPr>
                <w:rFonts w:ascii="Times New Roman" w:eastAsia="Times New Roman" w:hAnsi="Times New Roman" w:cs="Times New Roman"/>
                <w:sz w:val="20"/>
                <w:szCs w:val="20"/>
                <w:lang w:val="en-US"/>
              </w:rPr>
              <w:t xml:space="preserve"> USD)</w:t>
            </w:r>
            <w:r w:rsidR="004A0EE0">
              <w:rPr>
                <w:rFonts w:ascii="Times New Roman" w:eastAsia="Times New Roman" w:hAnsi="Times New Roman" w:cs="Times New Roman"/>
                <w:sz w:val="20"/>
                <w:szCs w:val="20"/>
                <w:lang w:val="en-US"/>
              </w:rPr>
              <w:t xml:space="preserve"> with no loss or gain recognized</w:t>
            </w:r>
            <w:r w:rsidR="006B20FC">
              <w:rPr>
                <w:rFonts w:ascii="Times New Roman" w:eastAsia="Times New Roman" w:hAnsi="Times New Roman" w:cs="Times New Roman"/>
                <w:sz w:val="20"/>
                <w:szCs w:val="20"/>
                <w:lang w:val="en-US"/>
              </w:rPr>
              <w:t>.</w:t>
            </w:r>
          </w:p>
        </w:tc>
      </w:tr>
    </w:tbl>
    <w:p w14:paraId="693E1CD7" w14:textId="665C7781" w:rsidR="00AA0D46" w:rsidRPr="00CA4239" w:rsidRDefault="00AA0D46" w:rsidP="00AA0D46">
      <w:pPr>
        <w:spacing w:after="0" w:line="240" w:lineRule="auto"/>
        <w:ind w:left="360"/>
        <w:jc w:val="both"/>
        <w:rPr>
          <w:rFonts w:ascii="Times New Roman" w:eastAsia="Times New Roman" w:hAnsi="Times New Roman" w:cs="Times New Roman"/>
          <w:sz w:val="20"/>
          <w:szCs w:val="20"/>
          <w:highlight w:val="yellow"/>
        </w:rPr>
      </w:pPr>
    </w:p>
    <w:p w14:paraId="6E896355" w14:textId="78DBF0B3" w:rsidR="00EB3453" w:rsidRDefault="00EB3453" w:rsidP="00EB3453">
      <w:pPr>
        <w:spacing w:after="0" w:line="240" w:lineRule="auto"/>
        <w:ind w:left="360"/>
        <w:jc w:val="both"/>
        <w:rPr>
          <w:rFonts w:ascii="Times New Roman" w:eastAsia="Times New Roman" w:hAnsi="Times New Roman" w:cs="Times New Roman"/>
          <w:sz w:val="20"/>
          <w:szCs w:val="20"/>
          <w:lang w:val="en-US"/>
        </w:rPr>
      </w:pPr>
      <w:r w:rsidRPr="007F2074">
        <w:rPr>
          <w:rFonts w:ascii="Times New Roman" w:eastAsia="Times New Roman" w:hAnsi="Times New Roman" w:cs="Times New Roman"/>
          <w:sz w:val="20"/>
          <w:szCs w:val="20"/>
          <w:lang w:val="en-US"/>
        </w:rPr>
        <w:t>On March 1</w:t>
      </w:r>
      <w:r>
        <w:rPr>
          <w:rFonts w:ascii="Times New Roman" w:eastAsia="Times New Roman" w:hAnsi="Times New Roman" w:cs="Times New Roman"/>
          <w:sz w:val="20"/>
          <w:szCs w:val="20"/>
          <w:lang w:val="en-US"/>
        </w:rPr>
        <w:t>8</w:t>
      </w:r>
      <w:r w:rsidRPr="007F2074">
        <w:rPr>
          <w:rFonts w:ascii="Times New Roman" w:eastAsia="Times New Roman" w:hAnsi="Times New Roman" w:cs="Times New Roman"/>
          <w:sz w:val="20"/>
          <w:szCs w:val="20"/>
          <w:lang w:val="en-US"/>
        </w:rPr>
        <w:t xml:space="preserve">, 2022, the Company issued </w:t>
      </w:r>
      <w:r>
        <w:rPr>
          <w:rFonts w:ascii="Times New Roman" w:eastAsia="Times New Roman" w:hAnsi="Times New Roman" w:cs="Times New Roman"/>
          <w:sz w:val="20"/>
          <w:szCs w:val="20"/>
          <w:lang w:val="en-US"/>
        </w:rPr>
        <w:t>19,175,898</w:t>
      </w:r>
      <w:r w:rsidRPr="007F2074">
        <w:rPr>
          <w:rFonts w:ascii="Times New Roman" w:eastAsia="Times New Roman" w:hAnsi="Times New Roman" w:cs="Times New Roman"/>
          <w:sz w:val="20"/>
          <w:szCs w:val="20"/>
          <w:lang w:val="en-US"/>
        </w:rPr>
        <w:t xml:space="preserve"> units at $0.165 CAD per unit for gross proceeds of $</w:t>
      </w:r>
      <w:r>
        <w:rPr>
          <w:rFonts w:ascii="Times New Roman" w:eastAsia="Times New Roman" w:hAnsi="Times New Roman" w:cs="Times New Roman"/>
          <w:sz w:val="20"/>
          <w:szCs w:val="20"/>
          <w:lang w:val="en-US"/>
        </w:rPr>
        <w:t xml:space="preserve">3,164,023 </w:t>
      </w:r>
      <w:r w:rsidRPr="007F2074">
        <w:rPr>
          <w:rFonts w:ascii="Times New Roman" w:eastAsia="Times New Roman" w:hAnsi="Times New Roman" w:cs="Times New Roman"/>
          <w:sz w:val="20"/>
          <w:szCs w:val="20"/>
          <w:lang w:val="en-US"/>
        </w:rPr>
        <w:t>CAD ($</w:t>
      </w:r>
      <w:r w:rsidR="00A44363">
        <w:rPr>
          <w:rFonts w:ascii="Times New Roman" w:eastAsia="Times New Roman" w:hAnsi="Times New Roman" w:cs="Times New Roman"/>
          <w:sz w:val="20"/>
          <w:szCs w:val="20"/>
          <w:lang w:val="en-US"/>
        </w:rPr>
        <w:t>2,508,197</w:t>
      </w:r>
      <w:r w:rsidRPr="007F2074">
        <w:rPr>
          <w:rFonts w:ascii="Times New Roman" w:eastAsia="Times New Roman" w:hAnsi="Times New Roman" w:cs="Times New Roman"/>
          <w:sz w:val="20"/>
          <w:szCs w:val="20"/>
          <w:lang w:val="en-US"/>
        </w:rPr>
        <w:t xml:space="preserve"> USD) pursuant to the closing of a non</w:t>
      </w:r>
      <w:r w:rsidR="00BC17CE">
        <w:rPr>
          <w:rFonts w:ascii="Times New Roman" w:eastAsia="Times New Roman" w:hAnsi="Times New Roman" w:cs="Times New Roman"/>
          <w:sz w:val="20"/>
          <w:szCs w:val="20"/>
          <w:lang w:val="en-US"/>
        </w:rPr>
        <w:t>-</w:t>
      </w:r>
      <w:r w:rsidRPr="007F2074">
        <w:rPr>
          <w:rFonts w:ascii="Times New Roman" w:eastAsia="Times New Roman" w:hAnsi="Times New Roman" w:cs="Times New Roman"/>
          <w:sz w:val="20"/>
          <w:szCs w:val="20"/>
          <w:lang w:val="en-US"/>
        </w:rPr>
        <w:t xml:space="preserve">brokered private placement. Each unit comprises one common share and one half of one share purchase warrant. Each whole warrant entitles the holder to purchase one common share for $0.45 CAD for two years from the date of the closing of the offering. </w:t>
      </w:r>
      <w:r w:rsidR="00D54392">
        <w:rPr>
          <w:rFonts w:ascii="Times New Roman" w:eastAsia="Times New Roman" w:hAnsi="Times New Roman" w:cs="Times New Roman"/>
          <w:sz w:val="20"/>
          <w:szCs w:val="20"/>
          <w:lang w:val="en-US"/>
        </w:rPr>
        <w:t xml:space="preserve"> As the fair value of the common shares on the same date exceeded the issuance price, no residual value was assigned to the warrants.</w:t>
      </w:r>
      <w:r w:rsidR="006801CF">
        <w:rPr>
          <w:rFonts w:ascii="Times New Roman" w:eastAsia="Times New Roman" w:hAnsi="Times New Roman" w:cs="Times New Roman"/>
          <w:sz w:val="20"/>
          <w:szCs w:val="20"/>
          <w:lang w:val="en-US"/>
        </w:rPr>
        <w:t xml:space="preserve"> </w:t>
      </w:r>
      <w:r w:rsidRPr="007F2074">
        <w:rPr>
          <w:rFonts w:ascii="Times New Roman" w:eastAsia="Times New Roman" w:hAnsi="Times New Roman" w:cs="Times New Roman"/>
          <w:sz w:val="20"/>
          <w:szCs w:val="20"/>
          <w:lang w:val="en-US"/>
        </w:rPr>
        <w:t>Cash finder’s fee of $</w:t>
      </w:r>
      <w:r w:rsidR="00A44363">
        <w:rPr>
          <w:rFonts w:ascii="Times New Roman" w:eastAsia="Times New Roman" w:hAnsi="Times New Roman" w:cs="Times New Roman"/>
          <w:sz w:val="20"/>
          <w:szCs w:val="20"/>
          <w:lang w:val="en-US"/>
        </w:rPr>
        <w:t>1</w:t>
      </w:r>
      <w:r w:rsidR="00D05E64">
        <w:rPr>
          <w:rFonts w:ascii="Times New Roman" w:eastAsia="Times New Roman" w:hAnsi="Times New Roman" w:cs="Times New Roman"/>
          <w:sz w:val="20"/>
          <w:szCs w:val="20"/>
          <w:lang w:val="en-US"/>
        </w:rPr>
        <w:t>54</w:t>
      </w:r>
      <w:r w:rsidR="00A44363">
        <w:rPr>
          <w:rFonts w:ascii="Times New Roman" w:eastAsia="Times New Roman" w:hAnsi="Times New Roman" w:cs="Times New Roman"/>
          <w:sz w:val="20"/>
          <w:szCs w:val="20"/>
          <w:lang w:val="en-US"/>
        </w:rPr>
        <w:t>,</w:t>
      </w:r>
      <w:r w:rsidR="00D05E64">
        <w:rPr>
          <w:rFonts w:ascii="Times New Roman" w:eastAsia="Times New Roman" w:hAnsi="Times New Roman" w:cs="Times New Roman"/>
          <w:sz w:val="20"/>
          <w:szCs w:val="20"/>
          <w:lang w:val="en-US"/>
        </w:rPr>
        <w:t>397</w:t>
      </w:r>
      <w:r w:rsidRPr="007F2074">
        <w:rPr>
          <w:rFonts w:ascii="Times New Roman" w:eastAsia="Times New Roman" w:hAnsi="Times New Roman" w:cs="Times New Roman"/>
          <w:sz w:val="20"/>
          <w:szCs w:val="20"/>
          <w:lang w:val="en-US"/>
        </w:rPr>
        <w:t xml:space="preserve"> CAD ($</w:t>
      </w:r>
      <w:r w:rsidR="00A44363">
        <w:rPr>
          <w:rFonts w:ascii="Times New Roman" w:eastAsia="Times New Roman" w:hAnsi="Times New Roman" w:cs="Times New Roman"/>
          <w:sz w:val="20"/>
          <w:szCs w:val="20"/>
          <w:lang w:val="en-US"/>
        </w:rPr>
        <w:t>1</w:t>
      </w:r>
      <w:r w:rsidR="00D05E64">
        <w:rPr>
          <w:rFonts w:ascii="Times New Roman" w:eastAsia="Times New Roman" w:hAnsi="Times New Roman" w:cs="Times New Roman"/>
          <w:sz w:val="20"/>
          <w:szCs w:val="20"/>
          <w:lang w:val="en-US"/>
        </w:rPr>
        <w:t>22</w:t>
      </w:r>
      <w:r>
        <w:rPr>
          <w:rFonts w:ascii="Times New Roman" w:eastAsia="Times New Roman" w:hAnsi="Times New Roman" w:cs="Times New Roman"/>
          <w:sz w:val="20"/>
          <w:szCs w:val="20"/>
          <w:lang w:val="en-US"/>
        </w:rPr>
        <w:t>,</w:t>
      </w:r>
      <w:r w:rsidR="00D05E64">
        <w:rPr>
          <w:rFonts w:ascii="Times New Roman" w:eastAsia="Times New Roman" w:hAnsi="Times New Roman" w:cs="Times New Roman"/>
          <w:sz w:val="20"/>
          <w:szCs w:val="20"/>
          <w:lang w:val="en-US"/>
        </w:rPr>
        <w:t>406</w:t>
      </w:r>
      <w:r w:rsidRPr="007F2074">
        <w:rPr>
          <w:rFonts w:ascii="Times New Roman" w:eastAsia="Times New Roman" w:hAnsi="Times New Roman" w:cs="Times New Roman"/>
          <w:sz w:val="20"/>
          <w:szCs w:val="20"/>
          <w:lang w:val="en-US"/>
        </w:rPr>
        <w:t xml:space="preserve"> USD) </w:t>
      </w:r>
      <w:r w:rsidR="004B23EE">
        <w:rPr>
          <w:rFonts w:ascii="Times New Roman" w:eastAsia="Times New Roman" w:hAnsi="Times New Roman" w:cs="Times New Roman"/>
          <w:sz w:val="20"/>
          <w:szCs w:val="20"/>
          <w:lang w:val="en-US"/>
        </w:rPr>
        <w:t>was</w:t>
      </w:r>
      <w:r w:rsidR="004B23EE" w:rsidRPr="007F2074">
        <w:rPr>
          <w:rFonts w:ascii="Times New Roman" w:eastAsia="Times New Roman" w:hAnsi="Times New Roman" w:cs="Times New Roman"/>
          <w:sz w:val="20"/>
          <w:szCs w:val="20"/>
          <w:lang w:val="en-US"/>
        </w:rPr>
        <w:t xml:space="preserve"> </w:t>
      </w:r>
      <w:proofErr w:type="gramStart"/>
      <w:r w:rsidRPr="007F2074">
        <w:rPr>
          <w:rFonts w:ascii="Times New Roman" w:eastAsia="Times New Roman" w:hAnsi="Times New Roman" w:cs="Times New Roman"/>
          <w:sz w:val="20"/>
          <w:szCs w:val="20"/>
          <w:lang w:val="en-US"/>
        </w:rPr>
        <w:t>paid</w:t>
      </w:r>
      <w:proofErr w:type="gramEnd"/>
      <w:r w:rsidRPr="007F2074">
        <w:rPr>
          <w:rFonts w:ascii="Times New Roman" w:eastAsia="Times New Roman" w:hAnsi="Times New Roman" w:cs="Times New Roman"/>
          <w:sz w:val="20"/>
          <w:szCs w:val="20"/>
          <w:lang w:val="en-US"/>
        </w:rPr>
        <w:t xml:space="preserve"> and </w:t>
      </w:r>
      <w:r w:rsidR="00A44363">
        <w:rPr>
          <w:rFonts w:ascii="Times New Roman" w:eastAsia="Times New Roman" w:hAnsi="Times New Roman" w:cs="Times New Roman"/>
          <w:sz w:val="20"/>
          <w:szCs w:val="20"/>
          <w:lang w:val="en-US"/>
        </w:rPr>
        <w:t>1,026,174</w:t>
      </w:r>
      <w:r w:rsidRPr="007F2074">
        <w:rPr>
          <w:rFonts w:ascii="Times New Roman" w:eastAsia="Times New Roman" w:hAnsi="Times New Roman" w:cs="Times New Roman"/>
          <w:sz w:val="20"/>
          <w:szCs w:val="20"/>
          <w:lang w:val="en-US"/>
        </w:rPr>
        <w:t xml:space="preserve"> finder’s warrants were issued </w:t>
      </w:r>
      <w:r w:rsidRPr="00AA0D46">
        <w:rPr>
          <w:rFonts w:ascii="Times New Roman" w:eastAsia="Times New Roman" w:hAnsi="Times New Roman" w:cs="Times New Roman"/>
          <w:sz w:val="20"/>
          <w:szCs w:val="20"/>
          <w:lang w:val="en-US"/>
        </w:rPr>
        <w:t>with a fair value of $</w:t>
      </w:r>
      <w:r w:rsidR="00A44363">
        <w:rPr>
          <w:rFonts w:ascii="Times New Roman" w:eastAsia="Times New Roman" w:hAnsi="Times New Roman" w:cs="Times New Roman"/>
          <w:sz w:val="20"/>
          <w:szCs w:val="20"/>
          <w:lang w:val="en-US"/>
        </w:rPr>
        <w:t>156,587</w:t>
      </w:r>
      <w:r w:rsidRPr="00AA0D46">
        <w:rPr>
          <w:rFonts w:ascii="Times New Roman" w:eastAsia="Times New Roman" w:hAnsi="Times New Roman" w:cs="Times New Roman"/>
          <w:sz w:val="20"/>
          <w:szCs w:val="20"/>
          <w:lang w:val="en-US"/>
        </w:rPr>
        <w:t xml:space="preserve"> CAD ($</w:t>
      </w:r>
      <w:r w:rsidR="00A44363">
        <w:rPr>
          <w:rFonts w:ascii="Times New Roman" w:eastAsia="Times New Roman" w:hAnsi="Times New Roman" w:cs="Times New Roman"/>
          <w:sz w:val="20"/>
          <w:szCs w:val="20"/>
          <w:lang w:val="en-US"/>
        </w:rPr>
        <w:t>124,130</w:t>
      </w:r>
      <w:r w:rsidRPr="00AA0D46">
        <w:rPr>
          <w:rFonts w:ascii="Times New Roman" w:eastAsia="Times New Roman" w:hAnsi="Times New Roman" w:cs="Times New Roman"/>
          <w:sz w:val="20"/>
          <w:szCs w:val="20"/>
          <w:lang w:val="en-US"/>
        </w:rPr>
        <w:t xml:space="preserve"> USD). The finder’s warrants have the same terms</w:t>
      </w:r>
      <w:r w:rsidRPr="00D2099E">
        <w:rPr>
          <w:rFonts w:ascii="Times New Roman" w:eastAsia="Times New Roman" w:hAnsi="Times New Roman" w:cs="Times New Roman"/>
          <w:sz w:val="20"/>
          <w:szCs w:val="20"/>
          <w:lang w:val="en-US"/>
        </w:rPr>
        <w:t xml:space="preserve"> as the warrants attached to the units.</w:t>
      </w:r>
    </w:p>
    <w:p w14:paraId="1194D2AE" w14:textId="3AD4F527" w:rsidR="00AA0D46" w:rsidRDefault="00AA0D46" w:rsidP="00AA0D46">
      <w:pPr>
        <w:spacing w:after="0" w:line="240" w:lineRule="auto"/>
        <w:ind w:left="360"/>
        <w:jc w:val="both"/>
        <w:rPr>
          <w:rFonts w:ascii="Times New Roman" w:eastAsia="Times New Roman" w:hAnsi="Times New Roman" w:cs="Times New Roman"/>
          <w:sz w:val="20"/>
          <w:szCs w:val="20"/>
          <w:highlight w:val="yellow"/>
          <w:lang w:val="en-US"/>
        </w:rPr>
      </w:pPr>
    </w:p>
    <w:p w14:paraId="7FF5311B" w14:textId="59FE481B" w:rsidR="00A44363" w:rsidRDefault="00A44363" w:rsidP="00A44363">
      <w:pPr>
        <w:spacing w:after="0" w:line="240" w:lineRule="auto"/>
        <w:ind w:left="360"/>
        <w:jc w:val="both"/>
        <w:rPr>
          <w:rFonts w:ascii="Times New Roman" w:eastAsia="Times New Roman" w:hAnsi="Times New Roman" w:cs="Times New Roman"/>
          <w:sz w:val="20"/>
          <w:szCs w:val="20"/>
          <w:lang w:val="en-US"/>
        </w:rPr>
      </w:pPr>
      <w:r w:rsidRPr="007F2074">
        <w:rPr>
          <w:rFonts w:ascii="Times New Roman" w:eastAsia="Times New Roman" w:hAnsi="Times New Roman" w:cs="Times New Roman"/>
          <w:sz w:val="20"/>
          <w:szCs w:val="20"/>
          <w:lang w:val="en-US"/>
        </w:rPr>
        <w:t xml:space="preserve">On March </w:t>
      </w:r>
      <w:r>
        <w:rPr>
          <w:rFonts w:ascii="Times New Roman" w:eastAsia="Times New Roman" w:hAnsi="Times New Roman" w:cs="Times New Roman"/>
          <w:sz w:val="20"/>
          <w:szCs w:val="20"/>
          <w:lang w:val="en-US"/>
        </w:rPr>
        <w:t>24</w:t>
      </w:r>
      <w:r w:rsidRPr="007F2074">
        <w:rPr>
          <w:rFonts w:ascii="Times New Roman" w:eastAsia="Times New Roman" w:hAnsi="Times New Roman" w:cs="Times New Roman"/>
          <w:sz w:val="20"/>
          <w:szCs w:val="20"/>
          <w:lang w:val="en-US"/>
        </w:rPr>
        <w:t xml:space="preserve">, 2022, the Company issued </w:t>
      </w:r>
      <w:r>
        <w:rPr>
          <w:rFonts w:ascii="Times New Roman" w:eastAsia="Times New Roman" w:hAnsi="Times New Roman" w:cs="Times New Roman"/>
          <w:sz w:val="20"/>
          <w:szCs w:val="20"/>
          <w:lang w:val="en-US"/>
        </w:rPr>
        <w:t>34,513,400</w:t>
      </w:r>
      <w:r w:rsidRPr="007F2074">
        <w:rPr>
          <w:rFonts w:ascii="Times New Roman" w:eastAsia="Times New Roman" w:hAnsi="Times New Roman" w:cs="Times New Roman"/>
          <w:sz w:val="20"/>
          <w:szCs w:val="20"/>
          <w:lang w:val="en-US"/>
        </w:rPr>
        <w:t xml:space="preserve"> units at $0.165 CAD per unit for gross proceeds of $</w:t>
      </w:r>
      <w:r>
        <w:rPr>
          <w:rFonts w:ascii="Times New Roman" w:eastAsia="Times New Roman" w:hAnsi="Times New Roman" w:cs="Times New Roman"/>
          <w:sz w:val="20"/>
          <w:szCs w:val="20"/>
          <w:lang w:val="en-US"/>
        </w:rPr>
        <w:t xml:space="preserve">5,694,761 </w:t>
      </w:r>
      <w:r w:rsidRPr="007F2074">
        <w:rPr>
          <w:rFonts w:ascii="Times New Roman" w:eastAsia="Times New Roman" w:hAnsi="Times New Roman" w:cs="Times New Roman"/>
          <w:sz w:val="20"/>
          <w:szCs w:val="20"/>
          <w:lang w:val="en-US"/>
        </w:rPr>
        <w:t>CAD ($</w:t>
      </w:r>
      <w:r>
        <w:rPr>
          <w:rFonts w:ascii="Times New Roman" w:eastAsia="Times New Roman" w:hAnsi="Times New Roman" w:cs="Times New Roman"/>
          <w:sz w:val="20"/>
          <w:szCs w:val="20"/>
          <w:lang w:val="en-US"/>
        </w:rPr>
        <w:t>4,535,3</w:t>
      </w:r>
      <w:r w:rsidR="00A27542">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lang w:val="en-US"/>
        </w:rPr>
        <w:t>7</w:t>
      </w:r>
      <w:r w:rsidRPr="007F2074">
        <w:rPr>
          <w:rFonts w:ascii="Times New Roman" w:eastAsia="Times New Roman" w:hAnsi="Times New Roman" w:cs="Times New Roman"/>
          <w:sz w:val="20"/>
          <w:szCs w:val="20"/>
          <w:lang w:val="en-US"/>
        </w:rPr>
        <w:t xml:space="preserve"> USD) pursuant to the closing of a non</w:t>
      </w:r>
      <w:r w:rsidR="00215F4D">
        <w:rPr>
          <w:rFonts w:ascii="Times New Roman" w:eastAsia="Times New Roman" w:hAnsi="Times New Roman" w:cs="Times New Roman"/>
          <w:sz w:val="20"/>
          <w:szCs w:val="20"/>
          <w:lang w:val="en-US"/>
        </w:rPr>
        <w:t>-</w:t>
      </w:r>
      <w:r w:rsidRPr="007F2074">
        <w:rPr>
          <w:rFonts w:ascii="Times New Roman" w:eastAsia="Times New Roman" w:hAnsi="Times New Roman" w:cs="Times New Roman"/>
          <w:sz w:val="20"/>
          <w:szCs w:val="20"/>
          <w:lang w:val="en-US"/>
        </w:rPr>
        <w:t xml:space="preserve">brokered private placement. Each unit comprises one common </w:t>
      </w:r>
      <w:proofErr w:type="gramStart"/>
      <w:r w:rsidRPr="007F2074">
        <w:rPr>
          <w:rFonts w:ascii="Times New Roman" w:eastAsia="Times New Roman" w:hAnsi="Times New Roman" w:cs="Times New Roman"/>
          <w:sz w:val="20"/>
          <w:szCs w:val="20"/>
          <w:lang w:val="en-US"/>
        </w:rPr>
        <w:t>shares</w:t>
      </w:r>
      <w:proofErr w:type="gramEnd"/>
      <w:r w:rsidRPr="007F2074">
        <w:rPr>
          <w:rFonts w:ascii="Times New Roman" w:eastAsia="Times New Roman" w:hAnsi="Times New Roman" w:cs="Times New Roman"/>
          <w:sz w:val="20"/>
          <w:szCs w:val="20"/>
          <w:lang w:val="en-US"/>
        </w:rPr>
        <w:t xml:space="preserve"> and one half of one share purchase warrant. Each whole warrant entitles the holder to purchase one common share for $0.45 CAD for two years from the date of the closing of the offering.</w:t>
      </w:r>
      <w:r w:rsidR="006801CF">
        <w:rPr>
          <w:rFonts w:ascii="Times New Roman" w:eastAsia="Times New Roman" w:hAnsi="Times New Roman" w:cs="Times New Roman"/>
          <w:sz w:val="20"/>
          <w:szCs w:val="20"/>
          <w:lang w:val="en-US"/>
        </w:rPr>
        <w:t xml:space="preserve"> As the fair value of the common shares on the same date exceeded the issuance price, no residual value was assigned to the warrants.</w:t>
      </w:r>
      <w:r w:rsidRPr="007F2074">
        <w:rPr>
          <w:rFonts w:ascii="Times New Roman" w:eastAsia="Times New Roman" w:hAnsi="Times New Roman" w:cs="Times New Roman"/>
          <w:sz w:val="20"/>
          <w:szCs w:val="20"/>
          <w:lang w:val="en-US"/>
        </w:rPr>
        <w:t xml:space="preserve"> Cash finder’s fee of $</w:t>
      </w:r>
      <w:r>
        <w:rPr>
          <w:rFonts w:ascii="Times New Roman" w:eastAsia="Times New Roman" w:hAnsi="Times New Roman" w:cs="Times New Roman"/>
          <w:sz w:val="20"/>
          <w:szCs w:val="20"/>
          <w:lang w:val="en-US"/>
        </w:rPr>
        <w:t>844,</w:t>
      </w:r>
      <w:r w:rsidR="00D05E64">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08</w:t>
      </w:r>
      <w:r w:rsidRPr="007F2074">
        <w:rPr>
          <w:rFonts w:ascii="Times New Roman" w:eastAsia="Times New Roman" w:hAnsi="Times New Roman" w:cs="Times New Roman"/>
          <w:sz w:val="20"/>
          <w:szCs w:val="20"/>
          <w:lang w:val="en-US"/>
        </w:rPr>
        <w:t xml:space="preserve"> CAD ($</w:t>
      </w:r>
      <w:r>
        <w:rPr>
          <w:rFonts w:ascii="Times New Roman" w:eastAsia="Times New Roman" w:hAnsi="Times New Roman" w:cs="Times New Roman"/>
          <w:sz w:val="20"/>
          <w:szCs w:val="20"/>
          <w:lang w:val="en-US"/>
        </w:rPr>
        <w:t>672,</w:t>
      </w:r>
      <w:r w:rsidR="00D05E64">
        <w:rPr>
          <w:rFonts w:ascii="Times New Roman" w:eastAsia="Times New Roman" w:hAnsi="Times New Roman" w:cs="Times New Roman"/>
          <w:sz w:val="20"/>
          <w:szCs w:val="20"/>
          <w:lang w:val="en-US"/>
        </w:rPr>
        <w:t>33</w:t>
      </w:r>
      <w:r>
        <w:rPr>
          <w:rFonts w:ascii="Times New Roman" w:eastAsia="Times New Roman" w:hAnsi="Times New Roman" w:cs="Times New Roman"/>
          <w:sz w:val="20"/>
          <w:szCs w:val="20"/>
          <w:lang w:val="en-US"/>
        </w:rPr>
        <w:t>9</w:t>
      </w:r>
      <w:r w:rsidRPr="007F2074">
        <w:rPr>
          <w:rFonts w:ascii="Times New Roman" w:eastAsia="Times New Roman" w:hAnsi="Times New Roman" w:cs="Times New Roman"/>
          <w:sz w:val="20"/>
          <w:szCs w:val="20"/>
          <w:lang w:val="en-US"/>
        </w:rPr>
        <w:t xml:space="preserve"> USD) w</w:t>
      </w:r>
      <w:r w:rsidR="00E07B9E">
        <w:rPr>
          <w:rFonts w:ascii="Times New Roman" w:eastAsia="Times New Roman" w:hAnsi="Times New Roman" w:cs="Times New Roman"/>
          <w:sz w:val="20"/>
          <w:szCs w:val="20"/>
          <w:lang w:val="en-US"/>
        </w:rPr>
        <w:t>as</w:t>
      </w:r>
      <w:r w:rsidRPr="007F2074">
        <w:rPr>
          <w:rFonts w:ascii="Times New Roman" w:eastAsia="Times New Roman" w:hAnsi="Times New Roman" w:cs="Times New Roman"/>
          <w:sz w:val="20"/>
          <w:szCs w:val="20"/>
          <w:lang w:val="en-US"/>
        </w:rPr>
        <w:t xml:space="preserve"> </w:t>
      </w:r>
      <w:proofErr w:type="gramStart"/>
      <w:r w:rsidRPr="007F2074">
        <w:rPr>
          <w:rFonts w:ascii="Times New Roman" w:eastAsia="Times New Roman" w:hAnsi="Times New Roman" w:cs="Times New Roman"/>
          <w:sz w:val="20"/>
          <w:szCs w:val="20"/>
          <w:lang w:val="en-US"/>
        </w:rPr>
        <w:t>paid</w:t>
      </w:r>
      <w:proofErr w:type="gramEnd"/>
      <w:r w:rsidRPr="007F2074">
        <w:rPr>
          <w:rFonts w:ascii="Times New Roman" w:eastAsia="Times New Roman" w:hAnsi="Times New Roman" w:cs="Times New Roman"/>
          <w:sz w:val="20"/>
          <w:szCs w:val="20"/>
          <w:lang w:val="en-US"/>
        </w:rPr>
        <w:t xml:space="preserve"> and </w:t>
      </w:r>
      <w:r>
        <w:rPr>
          <w:rFonts w:ascii="Times New Roman" w:eastAsia="Times New Roman" w:hAnsi="Times New Roman" w:cs="Times New Roman"/>
          <w:sz w:val="20"/>
          <w:szCs w:val="20"/>
          <w:lang w:val="en-US"/>
        </w:rPr>
        <w:t>4,212,554</w:t>
      </w:r>
      <w:r w:rsidRPr="007F2074">
        <w:rPr>
          <w:rFonts w:ascii="Times New Roman" w:eastAsia="Times New Roman" w:hAnsi="Times New Roman" w:cs="Times New Roman"/>
          <w:sz w:val="20"/>
          <w:szCs w:val="20"/>
          <w:lang w:val="en-US"/>
        </w:rPr>
        <w:t xml:space="preserve"> finder’s warrants were issued </w:t>
      </w:r>
      <w:r w:rsidRPr="00AA0D46">
        <w:rPr>
          <w:rFonts w:ascii="Times New Roman" w:eastAsia="Times New Roman" w:hAnsi="Times New Roman" w:cs="Times New Roman"/>
          <w:sz w:val="20"/>
          <w:szCs w:val="20"/>
          <w:lang w:val="en-US"/>
        </w:rPr>
        <w:t>with a fair value of $</w:t>
      </w:r>
      <w:r>
        <w:rPr>
          <w:rFonts w:ascii="Times New Roman" w:eastAsia="Times New Roman" w:hAnsi="Times New Roman" w:cs="Times New Roman"/>
          <w:sz w:val="20"/>
          <w:szCs w:val="20"/>
          <w:lang w:val="en-US"/>
        </w:rPr>
        <w:t>724,670</w:t>
      </w:r>
      <w:r w:rsidRPr="00AA0D46">
        <w:rPr>
          <w:rFonts w:ascii="Times New Roman" w:eastAsia="Times New Roman" w:hAnsi="Times New Roman" w:cs="Times New Roman"/>
          <w:sz w:val="20"/>
          <w:szCs w:val="20"/>
          <w:lang w:val="en-US"/>
        </w:rPr>
        <w:t xml:space="preserve"> CAD ($</w:t>
      </w:r>
      <w:r>
        <w:rPr>
          <w:rFonts w:ascii="Times New Roman" w:eastAsia="Times New Roman" w:hAnsi="Times New Roman" w:cs="Times New Roman"/>
          <w:sz w:val="20"/>
          <w:szCs w:val="20"/>
          <w:lang w:val="en-US"/>
        </w:rPr>
        <w:t>57</w:t>
      </w:r>
      <w:r w:rsidR="009B2398">
        <w:rPr>
          <w:rFonts w:ascii="Times New Roman" w:eastAsia="Times New Roman" w:hAnsi="Times New Roman" w:cs="Times New Roman"/>
          <w:sz w:val="20"/>
          <w:szCs w:val="20"/>
          <w:lang w:val="en-US"/>
        </w:rPr>
        <w:t>8</w:t>
      </w:r>
      <w:r>
        <w:rPr>
          <w:rFonts w:ascii="Times New Roman" w:eastAsia="Times New Roman" w:hAnsi="Times New Roman" w:cs="Times New Roman"/>
          <w:sz w:val="20"/>
          <w:szCs w:val="20"/>
          <w:lang w:val="en-US"/>
        </w:rPr>
        <w:t>,137</w:t>
      </w:r>
      <w:r w:rsidRPr="00AA0D46">
        <w:rPr>
          <w:rFonts w:ascii="Times New Roman" w:eastAsia="Times New Roman" w:hAnsi="Times New Roman" w:cs="Times New Roman"/>
          <w:sz w:val="20"/>
          <w:szCs w:val="20"/>
          <w:lang w:val="en-US"/>
        </w:rPr>
        <w:t xml:space="preserve"> USD). The finder’s warrants have the same terms</w:t>
      </w:r>
      <w:r w:rsidRPr="00D2099E">
        <w:rPr>
          <w:rFonts w:ascii="Times New Roman" w:eastAsia="Times New Roman" w:hAnsi="Times New Roman" w:cs="Times New Roman"/>
          <w:sz w:val="20"/>
          <w:szCs w:val="20"/>
          <w:lang w:val="en-US"/>
        </w:rPr>
        <w:t xml:space="preserve"> as the warrants attached to the units.</w:t>
      </w:r>
    </w:p>
    <w:p w14:paraId="16CDA5F9" w14:textId="77777777" w:rsidR="00A44363" w:rsidRDefault="00A44363" w:rsidP="00AA0D46">
      <w:pPr>
        <w:spacing w:after="0" w:line="240" w:lineRule="auto"/>
        <w:ind w:left="360"/>
        <w:jc w:val="both"/>
        <w:rPr>
          <w:rFonts w:ascii="Times New Roman" w:eastAsia="Times New Roman" w:hAnsi="Times New Roman" w:cs="Times New Roman"/>
          <w:sz w:val="20"/>
          <w:szCs w:val="20"/>
          <w:highlight w:val="yellow"/>
          <w:lang w:val="en-US"/>
        </w:rPr>
      </w:pPr>
    </w:p>
    <w:p w14:paraId="5044A7FA" w14:textId="5F79E1EA" w:rsidR="008E4F62" w:rsidRDefault="008E4F62" w:rsidP="00A44363">
      <w:pPr>
        <w:spacing w:after="0" w:line="240" w:lineRule="auto"/>
        <w:ind w:left="360"/>
        <w:jc w:val="both"/>
        <w:rPr>
          <w:rFonts w:ascii="Times New Roman" w:eastAsia="Times New Roman" w:hAnsi="Times New Roman" w:cs="Times New Roman"/>
          <w:sz w:val="20"/>
          <w:szCs w:val="20"/>
          <w:lang w:val="en-US"/>
        </w:rPr>
      </w:pPr>
    </w:p>
    <w:p w14:paraId="33DAD8C5" w14:textId="77777777" w:rsidR="002F63DD" w:rsidRDefault="002F63D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7AA698CE" w14:textId="77777777" w:rsidR="002F63DD" w:rsidRDefault="002F63DD" w:rsidP="00A44363">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2F63DD" w:rsidRPr="00CA4239" w14:paraId="342E062C" w14:textId="77777777" w:rsidTr="00AE52B2">
        <w:tc>
          <w:tcPr>
            <w:tcW w:w="360" w:type="dxa"/>
            <w:hideMark/>
          </w:tcPr>
          <w:p w14:paraId="30D4573C" w14:textId="77777777" w:rsidR="002F63DD" w:rsidRPr="00CA4239" w:rsidRDefault="002F63DD"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3</w:t>
            </w:r>
            <w:r w:rsidRPr="00CA4239">
              <w:rPr>
                <w:rFonts w:ascii="Times New Roman" w:eastAsia="Times New Roman" w:hAnsi="Times New Roman" w:cs="Times New Roman"/>
                <w:b/>
                <w:bCs/>
                <w:sz w:val="20"/>
                <w:szCs w:val="20"/>
                <w:lang w:val="en-US"/>
              </w:rPr>
              <w:t>.</w:t>
            </w:r>
          </w:p>
        </w:tc>
        <w:tc>
          <w:tcPr>
            <w:tcW w:w="0" w:type="auto"/>
            <w:hideMark/>
          </w:tcPr>
          <w:p w14:paraId="5D237435" w14:textId="6C88BE1D" w:rsidR="002F63DD" w:rsidRPr="00CA4239" w:rsidRDefault="002F63DD"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Common Stock</w:t>
            </w:r>
            <w:r>
              <w:rPr>
                <w:rFonts w:ascii="Times New Roman" w:eastAsia="Times New Roman" w:hAnsi="Times New Roman" w:cs="Times New Roman"/>
                <w:b/>
                <w:bCs/>
                <w:sz w:val="20"/>
                <w:szCs w:val="20"/>
                <w:lang w:val="en-US"/>
              </w:rPr>
              <w:t xml:space="preserve"> (continued)</w:t>
            </w:r>
          </w:p>
        </w:tc>
      </w:tr>
    </w:tbl>
    <w:p w14:paraId="4A41AA2F" w14:textId="77777777" w:rsidR="002F63DD" w:rsidRDefault="002F63DD" w:rsidP="00A44363">
      <w:pPr>
        <w:spacing w:after="0" w:line="240" w:lineRule="auto"/>
        <w:ind w:left="360"/>
        <w:jc w:val="both"/>
        <w:rPr>
          <w:rFonts w:ascii="Times New Roman" w:eastAsia="Times New Roman" w:hAnsi="Times New Roman" w:cs="Times New Roman"/>
          <w:sz w:val="20"/>
          <w:szCs w:val="20"/>
          <w:lang w:val="en-US"/>
        </w:rPr>
      </w:pPr>
    </w:p>
    <w:p w14:paraId="583C1021" w14:textId="68DDF62E" w:rsidR="001272F8" w:rsidRDefault="001272F8" w:rsidP="001272F8">
      <w:pPr>
        <w:spacing w:after="0" w:line="240" w:lineRule="auto"/>
        <w:ind w:left="360"/>
        <w:jc w:val="both"/>
        <w:rPr>
          <w:rFonts w:ascii="Times New Roman" w:eastAsia="Times New Roman" w:hAnsi="Times New Roman" w:cs="Times New Roman"/>
          <w:sz w:val="20"/>
          <w:szCs w:val="20"/>
          <w:lang w:val="en-US"/>
        </w:rPr>
      </w:pPr>
      <w:r w:rsidRPr="007F2074">
        <w:rPr>
          <w:rFonts w:ascii="Times New Roman" w:eastAsia="Times New Roman" w:hAnsi="Times New Roman" w:cs="Times New Roman"/>
          <w:sz w:val="20"/>
          <w:szCs w:val="20"/>
          <w:lang w:val="en-US"/>
        </w:rPr>
        <w:t xml:space="preserve">On March </w:t>
      </w:r>
      <w:r>
        <w:rPr>
          <w:rFonts w:ascii="Times New Roman" w:eastAsia="Times New Roman" w:hAnsi="Times New Roman" w:cs="Times New Roman"/>
          <w:sz w:val="20"/>
          <w:szCs w:val="20"/>
          <w:lang w:val="en-US"/>
        </w:rPr>
        <w:t>28</w:t>
      </w:r>
      <w:r w:rsidRPr="007F2074">
        <w:rPr>
          <w:rFonts w:ascii="Times New Roman" w:eastAsia="Times New Roman" w:hAnsi="Times New Roman" w:cs="Times New Roman"/>
          <w:sz w:val="20"/>
          <w:szCs w:val="20"/>
          <w:lang w:val="en-US"/>
        </w:rPr>
        <w:t xml:space="preserve">, 2022, the Company issued </w:t>
      </w:r>
      <w:r>
        <w:rPr>
          <w:rFonts w:ascii="Times New Roman" w:eastAsia="Times New Roman" w:hAnsi="Times New Roman" w:cs="Times New Roman"/>
          <w:sz w:val="20"/>
          <w:szCs w:val="20"/>
          <w:lang w:val="en-US"/>
        </w:rPr>
        <w:t>4,600,000</w:t>
      </w:r>
      <w:r w:rsidRPr="007F2074">
        <w:rPr>
          <w:rFonts w:ascii="Times New Roman" w:eastAsia="Times New Roman" w:hAnsi="Times New Roman" w:cs="Times New Roman"/>
          <w:sz w:val="20"/>
          <w:szCs w:val="20"/>
          <w:lang w:val="en-US"/>
        </w:rPr>
        <w:t xml:space="preserve"> units at $0.165 CAD per unit for gross proceeds of $</w:t>
      </w:r>
      <w:r>
        <w:rPr>
          <w:rFonts w:ascii="Times New Roman" w:eastAsia="Times New Roman" w:hAnsi="Times New Roman" w:cs="Times New Roman"/>
          <w:sz w:val="20"/>
          <w:szCs w:val="20"/>
          <w:lang w:val="en-US"/>
        </w:rPr>
        <w:t xml:space="preserve">759,000 </w:t>
      </w:r>
      <w:r w:rsidRPr="007F2074">
        <w:rPr>
          <w:rFonts w:ascii="Times New Roman" w:eastAsia="Times New Roman" w:hAnsi="Times New Roman" w:cs="Times New Roman"/>
          <w:sz w:val="20"/>
          <w:szCs w:val="20"/>
          <w:lang w:val="en-US"/>
        </w:rPr>
        <w:t>CAD ($</w:t>
      </w:r>
      <w:r>
        <w:rPr>
          <w:rFonts w:ascii="Times New Roman" w:eastAsia="Times New Roman" w:hAnsi="Times New Roman" w:cs="Times New Roman"/>
          <w:sz w:val="20"/>
          <w:szCs w:val="20"/>
          <w:lang w:val="en-US"/>
        </w:rPr>
        <w:t>606,548</w:t>
      </w:r>
      <w:r w:rsidRPr="007F2074">
        <w:rPr>
          <w:rFonts w:ascii="Times New Roman" w:eastAsia="Times New Roman" w:hAnsi="Times New Roman" w:cs="Times New Roman"/>
          <w:sz w:val="20"/>
          <w:szCs w:val="20"/>
          <w:lang w:val="en-US"/>
        </w:rPr>
        <w:t xml:space="preserve"> USD) pursuant to the closing of a </w:t>
      </w:r>
      <w:proofErr w:type="spellStart"/>
      <w:r w:rsidRPr="007F2074">
        <w:rPr>
          <w:rFonts w:ascii="Times New Roman" w:eastAsia="Times New Roman" w:hAnsi="Times New Roman" w:cs="Times New Roman"/>
          <w:sz w:val="20"/>
          <w:szCs w:val="20"/>
          <w:lang w:val="en-US"/>
        </w:rPr>
        <w:t>non brokered</w:t>
      </w:r>
      <w:proofErr w:type="spellEnd"/>
      <w:r w:rsidRPr="007F2074">
        <w:rPr>
          <w:rFonts w:ascii="Times New Roman" w:eastAsia="Times New Roman" w:hAnsi="Times New Roman" w:cs="Times New Roman"/>
          <w:sz w:val="20"/>
          <w:szCs w:val="20"/>
          <w:lang w:val="en-US"/>
        </w:rPr>
        <w:t xml:space="preserve"> private placement. Each unit comprises one common </w:t>
      </w:r>
      <w:proofErr w:type="gramStart"/>
      <w:r w:rsidRPr="007F2074">
        <w:rPr>
          <w:rFonts w:ascii="Times New Roman" w:eastAsia="Times New Roman" w:hAnsi="Times New Roman" w:cs="Times New Roman"/>
          <w:sz w:val="20"/>
          <w:szCs w:val="20"/>
          <w:lang w:val="en-US"/>
        </w:rPr>
        <w:t>shares</w:t>
      </w:r>
      <w:proofErr w:type="gramEnd"/>
      <w:r w:rsidRPr="007F2074">
        <w:rPr>
          <w:rFonts w:ascii="Times New Roman" w:eastAsia="Times New Roman" w:hAnsi="Times New Roman" w:cs="Times New Roman"/>
          <w:sz w:val="20"/>
          <w:szCs w:val="20"/>
          <w:lang w:val="en-US"/>
        </w:rPr>
        <w:t xml:space="preserve"> and one half of one share purchase warrant. Each whole warrant entitles the holder to purchase one common share for $0.45 CAD for two years from the date of the closing of the offering. </w:t>
      </w:r>
      <w:r>
        <w:rPr>
          <w:rFonts w:ascii="Times New Roman" w:eastAsia="Times New Roman" w:hAnsi="Times New Roman" w:cs="Times New Roman"/>
          <w:sz w:val="20"/>
          <w:szCs w:val="20"/>
          <w:lang w:val="en-US"/>
        </w:rPr>
        <w:t xml:space="preserve"> As the fair value of the common shares on the same date exceeded the issuance price, no residual value was assigned to the warrants.</w:t>
      </w:r>
      <w:r w:rsidR="002C1072">
        <w:rPr>
          <w:rFonts w:ascii="Times New Roman" w:eastAsia="Times New Roman" w:hAnsi="Times New Roman" w:cs="Times New Roman"/>
          <w:sz w:val="20"/>
          <w:szCs w:val="20"/>
          <w:lang w:val="en-US"/>
        </w:rPr>
        <w:t xml:space="preserve"> </w:t>
      </w:r>
      <w:r w:rsidRPr="007F2074">
        <w:rPr>
          <w:rFonts w:ascii="Times New Roman" w:eastAsia="Times New Roman" w:hAnsi="Times New Roman" w:cs="Times New Roman"/>
          <w:sz w:val="20"/>
          <w:szCs w:val="20"/>
          <w:lang w:val="en-US"/>
        </w:rPr>
        <w:t>Cash finder’s fee of $</w:t>
      </w:r>
      <w:r>
        <w:rPr>
          <w:rFonts w:ascii="Times New Roman" w:eastAsia="Times New Roman" w:hAnsi="Times New Roman" w:cs="Times New Roman"/>
          <w:sz w:val="20"/>
          <w:szCs w:val="20"/>
          <w:lang w:val="en-US"/>
        </w:rPr>
        <w:t>4</w:t>
      </w:r>
      <w:r w:rsidR="00D05E64">
        <w:rPr>
          <w:rFonts w:ascii="Times New Roman" w:eastAsia="Times New Roman" w:hAnsi="Times New Roman" w:cs="Times New Roman"/>
          <w:sz w:val="20"/>
          <w:szCs w:val="20"/>
          <w:lang w:val="en-US"/>
        </w:rPr>
        <w:t>6</w:t>
      </w:r>
      <w:r>
        <w:rPr>
          <w:rFonts w:ascii="Times New Roman" w:eastAsia="Times New Roman" w:hAnsi="Times New Roman" w:cs="Times New Roman"/>
          <w:sz w:val="20"/>
          <w:szCs w:val="20"/>
          <w:lang w:val="en-US"/>
        </w:rPr>
        <w:t>,</w:t>
      </w:r>
      <w:r w:rsidR="00D05E64">
        <w:rPr>
          <w:rFonts w:ascii="Times New Roman" w:eastAsia="Times New Roman" w:hAnsi="Times New Roman" w:cs="Times New Roman"/>
          <w:sz w:val="20"/>
          <w:szCs w:val="20"/>
          <w:lang w:val="en-US"/>
        </w:rPr>
        <w:t>960</w:t>
      </w:r>
      <w:r w:rsidRPr="007F2074">
        <w:rPr>
          <w:rFonts w:ascii="Times New Roman" w:eastAsia="Times New Roman" w:hAnsi="Times New Roman" w:cs="Times New Roman"/>
          <w:sz w:val="20"/>
          <w:szCs w:val="20"/>
          <w:lang w:val="en-US"/>
        </w:rPr>
        <w:t xml:space="preserve"> CAD ($</w:t>
      </w:r>
      <w:r>
        <w:rPr>
          <w:rFonts w:ascii="Times New Roman" w:eastAsia="Times New Roman" w:hAnsi="Times New Roman" w:cs="Times New Roman"/>
          <w:sz w:val="20"/>
          <w:szCs w:val="20"/>
          <w:lang w:val="en-US"/>
        </w:rPr>
        <w:t>3</w:t>
      </w:r>
      <w:r w:rsidR="00D05E64">
        <w:rPr>
          <w:rFonts w:ascii="Times New Roman" w:eastAsia="Times New Roman" w:hAnsi="Times New Roman" w:cs="Times New Roman"/>
          <w:sz w:val="20"/>
          <w:szCs w:val="20"/>
          <w:lang w:val="en-US"/>
        </w:rPr>
        <w:t>7</w:t>
      </w:r>
      <w:r>
        <w:rPr>
          <w:rFonts w:ascii="Times New Roman" w:eastAsia="Times New Roman" w:hAnsi="Times New Roman" w:cs="Times New Roman"/>
          <w:sz w:val="20"/>
          <w:szCs w:val="20"/>
          <w:lang w:val="en-US"/>
        </w:rPr>
        <w:t>,</w:t>
      </w:r>
      <w:r w:rsidR="00D05E64">
        <w:rPr>
          <w:rFonts w:ascii="Times New Roman" w:eastAsia="Times New Roman" w:hAnsi="Times New Roman" w:cs="Times New Roman"/>
          <w:sz w:val="20"/>
          <w:szCs w:val="20"/>
          <w:lang w:val="en-US"/>
        </w:rPr>
        <w:t>529</w:t>
      </w:r>
      <w:r w:rsidRPr="007F2074">
        <w:rPr>
          <w:rFonts w:ascii="Times New Roman" w:eastAsia="Times New Roman" w:hAnsi="Times New Roman" w:cs="Times New Roman"/>
          <w:sz w:val="20"/>
          <w:szCs w:val="20"/>
          <w:lang w:val="en-US"/>
        </w:rPr>
        <w:t xml:space="preserve"> USD) were </w:t>
      </w:r>
      <w:proofErr w:type="gramStart"/>
      <w:r w:rsidRPr="007F2074">
        <w:rPr>
          <w:rFonts w:ascii="Times New Roman" w:eastAsia="Times New Roman" w:hAnsi="Times New Roman" w:cs="Times New Roman"/>
          <w:sz w:val="20"/>
          <w:szCs w:val="20"/>
          <w:lang w:val="en-US"/>
        </w:rPr>
        <w:t>paid</w:t>
      </w:r>
      <w:proofErr w:type="gramEnd"/>
      <w:r w:rsidRPr="007F2074">
        <w:rPr>
          <w:rFonts w:ascii="Times New Roman" w:eastAsia="Times New Roman" w:hAnsi="Times New Roman" w:cs="Times New Roman"/>
          <w:sz w:val="20"/>
          <w:szCs w:val="20"/>
          <w:lang w:val="en-US"/>
        </w:rPr>
        <w:t xml:space="preserve"> and </w:t>
      </w:r>
      <w:r>
        <w:rPr>
          <w:rFonts w:ascii="Times New Roman" w:eastAsia="Times New Roman" w:hAnsi="Times New Roman" w:cs="Times New Roman"/>
          <w:sz w:val="20"/>
          <w:szCs w:val="20"/>
          <w:lang w:val="en-US"/>
        </w:rPr>
        <w:t>353,000</w:t>
      </w:r>
      <w:r w:rsidRPr="007F2074">
        <w:rPr>
          <w:rFonts w:ascii="Times New Roman" w:eastAsia="Times New Roman" w:hAnsi="Times New Roman" w:cs="Times New Roman"/>
          <w:sz w:val="20"/>
          <w:szCs w:val="20"/>
          <w:lang w:val="en-US"/>
        </w:rPr>
        <w:t xml:space="preserve"> finder’s warrants were issued </w:t>
      </w:r>
      <w:r w:rsidRPr="00AA0D46">
        <w:rPr>
          <w:rFonts w:ascii="Times New Roman" w:eastAsia="Times New Roman" w:hAnsi="Times New Roman" w:cs="Times New Roman"/>
          <w:sz w:val="20"/>
          <w:szCs w:val="20"/>
          <w:lang w:val="en-US"/>
        </w:rPr>
        <w:t>with a fair value of $</w:t>
      </w:r>
      <w:r>
        <w:rPr>
          <w:rFonts w:ascii="Times New Roman" w:eastAsia="Times New Roman" w:hAnsi="Times New Roman" w:cs="Times New Roman"/>
          <w:sz w:val="20"/>
          <w:szCs w:val="20"/>
          <w:lang w:val="en-US"/>
        </w:rPr>
        <w:t>72,287</w:t>
      </w:r>
      <w:r w:rsidRPr="00AA0D46">
        <w:rPr>
          <w:rFonts w:ascii="Times New Roman" w:eastAsia="Times New Roman" w:hAnsi="Times New Roman" w:cs="Times New Roman"/>
          <w:sz w:val="20"/>
          <w:szCs w:val="20"/>
          <w:lang w:val="en-US"/>
        </w:rPr>
        <w:t xml:space="preserve"> CAD ($</w:t>
      </w:r>
      <w:r>
        <w:rPr>
          <w:rFonts w:ascii="Times New Roman" w:eastAsia="Times New Roman" w:hAnsi="Times New Roman" w:cs="Times New Roman"/>
          <w:sz w:val="20"/>
          <w:szCs w:val="20"/>
          <w:lang w:val="en-US"/>
        </w:rPr>
        <w:t>57,768</w:t>
      </w:r>
      <w:r w:rsidRPr="00AA0D46">
        <w:rPr>
          <w:rFonts w:ascii="Times New Roman" w:eastAsia="Times New Roman" w:hAnsi="Times New Roman" w:cs="Times New Roman"/>
          <w:sz w:val="20"/>
          <w:szCs w:val="20"/>
          <w:lang w:val="en-US"/>
        </w:rPr>
        <w:t xml:space="preserve"> USD). The finder’s warrants have the same terms</w:t>
      </w:r>
      <w:r w:rsidRPr="00D2099E">
        <w:rPr>
          <w:rFonts w:ascii="Times New Roman" w:eastAsia="Times New Roman" w:hAnsi="Times New Roman" w:cs="Times New Roman"/>
          <w:sz w:val="20"/>
          <w:szCs w:val="20"/>
          <w:lang w:val="en-US"/>
        </w:rPr>
        <w:t xml:space="preserve"> as the warrants attached to the units.</w:t>
      </w:r>
    </w:p>
    <w:p w14:paraId="2EE51232" w14:textId="77777777" w:rsidR="001272F8" w:rsidRDefault="001272F8" w:rsidP="00A44363">
      <w:pPr>
        <w:spacing w:after="0" w:line="240" w:lineRule="auto"/>
        <w:ind w:left="360"/>
        <w:jc w:val="both"/>
        <w:rPr>
          <w:rFonts w:ascii="Times New Roman" w:eastAsia="Times New Roman" w:hAnsi="Times New Roman" w:cs="Times New Roman"/>
          <w:sz w:val="20"/>
          <w:szCs w:val="20"/>
          <w:lang w:val="en-US"/>
        </w:rPr>
      </w:pPr>
    </w:p>
    <w:p w14:paraId="784159F2" w14:textId="4C04F4C3" w:rsidR="004A4E51" w:rsidRDefault="002F07D4" w:rsidP="00A44363">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On March 1, 2022, the Company entered into a consulting agreement with a third party. Pursuant to the consulting agreement, the Company would issue 200,000 common shares for the consulting services received in March 2022. As </w:t>
      </w:r>
      <w:proofErr w:type="gramStart"/>
      <w:r>
        <w:rPr>
          <w:rFonts w:ascii="Times New Roman" w:eastAsia="Times New Roman" w:hAnsi="Times New Roman" w:cs="Times New Roman"/>
          <w:sz w:val="20"/>
          <w:szCs w:val="20"/>
          <w:lang w:val="en-US"/>
        </w:rPr>
        <w:t>at</w:t>
      </w:r>
      <w:proofErr w:type="gramEnd"/>
      <w:r>
        <w:rPr>
          <w:rFonts w:ascii="Times New Roman" w:eastAsia="Times New Roman" w:hAnsi="Times New Roman" w:cs="Times New Roman"/>
          <w:sz w:val="20"/>
          <w:szCs w:val="20"/>
          <w:lang w:val="en-US"/>
        </w:rPr>
        <w:t xml:space="preserve"> </w:t>
      </w:r>
      <w:r w:rsidR="00446BB5">
        <w:rPr>
          <w:rFonts w:ascii="Times New Roman" w:eastAsia="Times New Roman" w:hAnsi="Times New Roman" w:cs="Times New Roman"/>
          <w:sz w:val="20"/>
          <w:szCs w:val="20"/>
          <w:lang w:val="en-US"/>
        </w:rPr>
        <w:t>June 30</w:t>
      </w:r>
      <w:r>
        <w:rPr>
          <w:rFonts w:ascii="Times New Roman" w:eastAsia="Times New Roman" w:hAnsi="Times New Roman" w:cs="Times New Roman"/>
          <w:sz w:val="20"/>
          <w:szCs w:val="20"/>
          <w:lang w:val="en-US"/>
        </w:rPr>
        <w:t xml:space="preserve">, 2022, the common shares have not been issued and the fair value of $51,208 was recorded in obligation to issue shares. The amount </w:t>
      </w:r>
      <w:r w:rsidR="00E74FAB">
        <w:rPr>
          <w:rFonts w:ascii="Times New Roman" w:eastAsia="Times New Roman" w:hAnsi="Times New Roman" w:cs="Times New Roman"/>
          <w:sz w:val="20"/>
          <w:szCs w:val="20"/>
          <w:lang w:val="en-US"/>
        </w:rPr>
        <w:t>of $51,</w:t>
      </w:r>
      <w:r w:rsidR="002C1072">
        <w:rPr>
          <w:rFonts w:ascii="Times New Roman" w:eastAsia="Times New Roman" w:hAnsi="Times New Roman" w:cs="Times New Roman"/>
          <w:sz w:val="20"/>
          <w:szCs w:val="20"/>
          <w:lang w:val="en-US"/>
        </w:rPr>
        <w:t>208</w:t>
      </w:r>
      <w:r w:rsidR="00E74FA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was expensed and included in consulting services on the consolidated statement of loss and comprehensive loss</w:t>
      </w:r>
      <w:r w:rsidR="0066668B">
        <w:rPr>
          <w:rFonts w:ascii="Times New Roman" w:eastAsia="Times New Roman" w:hAnsi="Times New Roman" w:cs="Times New Roman"/>
          <w:sz w:val="20"/>
          <w:szCs w:val="20"/>
          <w:lang w:val="en-US"/>
        </w:rPr>
        <w:t xml:space="preserve"> for the </w:t>
      </w:r>
      <w:r w:rsidR="00FF55D9">
        <w:rPr>
          <w:rFonts w:ascii="Times New Roman" w:eastAsia="Times New Roman" w:hAnsi="Times New Roman" w:cs="Times New Roman"/>
          <w:sz w:val="20"/>
          <w:szCs w:val="20"/>
          <w:lang w:val="en-US"/>
        </w:rPr>
        <w:t>six</w:t>
      </w:r>
      <w:r w:rsidR="0066668B">
        <w:rPr>
          <w:rFonts w:ascii="Times New Roman" w:eastAsia="Times New Roman" w:hAnsi="Times New Roman" w:cs="Times New Roman"/>
          <w:sz w:val="20"/>
          <w:szCs w:val="20"/>
          <w:lang w:val="en-US"/>
        </w:rPr>
        <w:t xml:space="preserve"> months ended </w:t>
      </w:r>
      <w:r w:rsidR="00FF55D9">
        <w:rPr>
          <w:rFonts w:ascii="Times New Roman" w:eastAsia="Times New Roman" w:hAnsi="Times New Roman" w:cs="Times New Roman"/>
          <w:sz w:val="20"/>
          <w:szCs w:val="20"/>
          <w:lang w:val="en-US"/>
        </w:rPr>
        <w:t>June 30</w:t>
      </w:r>
      <w:r w:rsidR="0066668B">
        <w:rPr>
          <w:rFonts w:ascii="Times New Roman" w:eastAsia="Times New Roman" w:hAnsi="Times New Roman" w:cs="Times New Roman"/>
          <w:sz w:val="20"/>
          <w:szCs w:val="20"/>
          <w:lang w:val="en-US"/>
        </w:rPr>
        <w:t>, 2022</w:t>
      </w:r>
      <w:r>
        <w:rPr>
          <w:rFonts w:ascii="Times New Roman" w:eastAsia="Times New Roman" w:hAnsi="Times New Roman" w:cs="Times New Roman"/>
          <w:sz w:val="20"/>
          <w:szCs w:val="20"/>
          <w:lang w:val="en-US"/>
        </w:rPr>
        <w:t xml:space="preserve">. </w:t>
      </w:r>
    </w:p>
    <w:p w14:paraId="0E6C7538" w14:textId="0364DFE0" w:rsidR="007D0A87" w:rsidRDefault="007D0A87" w:rsidP="00D2099E">
      <w:pPr>
        <w:spacing w:after="0" w:line="240" w:lineRule="auto"/>
        <w:ind w:left="360"/>
        <w:jc w:val="both"/>
        <w:rPr>
          <w:rFonts w:ascii="Times New Roman" w:eastAsia="Times New Roman" w:hAnsi="Times New Roman" w:cs="Times New Roman"/>
          <w:sz w:val="20"/>
          <w:szCs w:val="20"/>
          <w:lang w:val="en-US"/>
        </w:rPr>
      </w:pPr>
    </w:p>
    <w:p w14:paraId="4FED4E25" w14:textId="21B58B6D" w:rsidR="00FF55D9" w:rsidRDefault="00FF55D9"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w:t>
      </w:r>
      <w:r>
        <w:rPr>
          <w:rFonts w:ascii="Times New Roman" w:eastAsia="Times New Roman" w:hAnsi="Times New Roman" w:cs="Times New Roman"/>
          <w:sz w:val="20"/>
          <w:szCs w:val="20"/>
          <w:lang w:val="en-US"/>
        </w:rPr>
        <w:t xml:space="preserve"> April 8</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issued </w:t>
      </w:r>
      <w:r w:rsidR="00F6105D">
        <w:rPr>
          <w:rFonts w:ascii="Times New Roman" w:eastAsia="Times New Roman" w:hAnsi="Times New Roman" w:cs="Times New Roman"/>
          <w:sz w:val="20"/>
          <w:szCs w:val="20"/>
          <w:lang w:val="en-US"/>
        </w:rPr>
        <w:t>196</w:t>
      </w:r>
      <w:r>
        <w:rPr>
          <w:rFonts w:ascii="Times New Roman" w:eastAsia="Times New Roman" w:hAnsi="Times New Roman" w:cs="Times New Roman"/>
          <w:sz w:val="20"/>
          <w:szCs w:val="20"/>
          <w:lang w:val="en-US"/>
        </w:rPr>
        <w:t>,250</w:t>
      </w:r>
      <w:r w:rsidRPr="00D2099E">
        <w:rPr>
          <w:rFonts w:ascii="Times New Roman" w:eastAsia="Times New Roman" w:hAnsi="Times New Roman" w:cs="Times New Roman"/>
          <w:sz w:val="20"/>
          <w:szCs w:val="20"/>
          <w:lang w:val="en-US"/>
        </w:rPr>
        <w:t xml:space="preserve"> </w:t>
      </w:r>
      <w:r w:rsidR="00D05E64">
        <w:rPr>
          <w:rFonts w:ascii="Times New Roman" w:eastAsia="Times New Roman" w:hAnsi="Times New Roman" w:cs="Times New Roman"/>
          <w:sz w:val="20"/>
          <w:szCs w:val="20"/>
          <w:lang w:val="en-US"/>
        </w:rPr>
        <w:t>c</w:t>
      </w:r>
      <w:r w:rsidRPr="00D2099E">
        <w:rPr>
          <w:rFonts w:ascii="Times New Roman" w:eastAsia="Times New Roman" w:hAnsi="Times New Roman" w:cs="Times New Roman"/>
          <w:sz w:val="20"/>
          <w:szCs w:val="20"/>
          <w:lang w:val="en-US"/>
        </w:rPr>
        <w:t xml:space="preserve">ommon </w:t>
      </w:r>
      <w:r w:rsidR="00D05E64">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hares for the exercise of 1</w:t>
      </w:r>
      <w:r>
        <w:rPr>
          <w:rFonts w:ascii="Times New Roman" w:eastAsia="Times New Roman" w:hAnsi="Times New Roman" w:cs="Times New Roman"/>
          <w:sz w:val="20"/>
          <w:szCs w:val="20"/>
          <w:lang w:val="en-US"/>
        </w:rPr>
        <w:t>96</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250</w:t>
      </w:r>
      <w:r w:rsidRPr="00D2099E">
        <w:rPr>
          <w:rFonts w:ascii="Times New Roman" w:eastAsia="Times New Roman" w:hAnsi="Times New Roman" w:cs="Times New Roman"/>
          <w:sz w:val="20"/>
          <w:szCs w:val="20"/>
          <w:lang w:val="en-US"/>
        </w:rPr>
        <w:t xml:space="preserve"> warrants at $0.10 CAD</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(approximately US$0.08) for </w:t>
      </w:r>
      <w:r w:rsidR="002A00D1">
        <w:rPr>
          <w:rFonts w:ascii="Times New Roman" w:eastAsia="Times New Roman" w:hAnsi="Times New Roman" w:cs="Times New Roman"/>
          <w:sz w:val="20"/>
          <w:szCs w:val="20"/>
          <w:lang w:val="en-US"/>
        </w:rPr>
        <w:t>cash</w:t>
      </w:r>
      <w:r w:rsidRPr="00D2099E">
        <w:rPr>
          <w:rFonts w:ascii="Times New Roman" w:eastAsia="Times New Roman" w:hAnsi="Times New Roman" w:cs="Times New Roman"/>
          <w:sz w:val="20"/>
          <w:szCs w:val="20"/>
          <w:lang w:val="en-US"/>
        </w:rPr>
        <w:t xml:space="preserve"> proceeds of $1</w:t>
      </w:r>
      <w:r>
        <w:rPr>
          <w:rFonts w:ascii="Times New Roman" w:eastAsia="Times New Roman" w:hAnsi="Times New Roman" w:cs="Times New Roman"/>
          <w:sz w:val="20"/>
          <w:szCs w:val="20"/>
          <w:lang w:val="en-US"/>
        </w:rPr>
        <w:t>9</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625</w:t>
      </w:r>
      <w:r w:rsidRPr="00D2099E">
        <w:rPr>
          <w:rFonts w:ascii="Times New Roman" w:eastAsia="Times New Roman" w:hAnsi="Times New Roman" w:cs="Times New Roman"/>
          <w:sz w:val="20"/>
          <w:szCs w:val="20"/>
          <w:lang w:val="en-US"/>
        </w:rPr>
        <w:t xml:space="preserve"> CAD (US$1</w:t>
      </w:r>
      <w:r w:rsidR="002A00D1">
        <w:rPr>
          <w:rFonts w:ascii="Times New Roman" w:eastAsia="Times New Roman" w:hAnsi="Times New Roman" w:cs="Times New Roman"/>
          <w:sz w:val="20"/>
          <w:szCs w:val="20"/>
          <w:lang w:val="en-US"/>
        </w:rPr>
        <w:t>5</w:t>
      </w:r>
      <w:r w:rsidRPr="00D2099E">
        <w:rPr>
          <w:rFonts w:ascii="Times New Roman" w:eastAsia="Times New Roman" w:hAnsi="Times New Roman" w:cs="Times New Roman"/>
          <w:sz w:val="20"/>
          <w:szCs w:val="20"/>
          <w:lang w:val="en-US"/>
        </w:rPr>
        <w:t>,</w:t>
      </w:r>
      <w:r w:rsidR="00D52EB8">
        <w:rPr>
          <w:rFonts w:ascii="Times New Roman" w:eastAsia="Times New Roman" w:hAnsi="Times New Roman" w:cs="Times New Roman"/>
          <w:sz w:val="20"/>
          <w:szCs w:val="20"/>
          <w:lang w:val="en-US"/>
        </w:rPr>
        <w:t>7</w:t>
      </w:r>
      <w:r w:rsidR="002A00D1">
        <w:rPr>
          <w:rFonts w:ascii="Times New Roman" w:eastAsia="Times New Roman" w:hAnsi="Times New Roman" w:cs="Times New Roman"/>
          <w:sz w:val="20"/>
          <w:szCs w:val="20"/>
          <w:lang w:val="en-US"/>
        </w:rPr>
        <w:t>94</w:t>
      </w:r>
      <w:r w:rsidRPr="00D2099E">
        <w:rPr>
          <w:rFonts w:ascii="Times New Roman" w:eastAsia="Times New Roman" w:hAnsi="Times New Roman" w:cs="Times New Roman"/>
          <w:sz w:val="20"/>
          <w:szCs w:val="20"/>
          <w:lang w:val="en-US"/>
        </w:rPr>
        <w:t xml:space="preserve">). </w:t>
      </w:r>
      <w:r w:rsidR="002A00D1">
        <w:rPr>
          <w:rFonts w:ascii="Times New Roman" w:eastAsia="Times New Roman" w:hAnsi="Times New Roman" w:cs="Times New Roman"/>
          <w:sz w:val="20"/>
          <w:szCs w:val="20"/>
          <w:lang w:val="en-US"/>
        </w:rPr>
        <w:t>As a resu</w:t>
      </w:r>
      <w:r w:rsidR="002A00D1" w:rsidRPr="002A00D1">
        <w:rPr>
          <w:rFonts w:ascii="Times New Roman" w:eastAsia="Times New Roman" w:hAnsi="Times New Roman" w:cs="Times New Roman"/>
          <w:sz w:val="20"/>
          <w:szCs w:val="20"/>
          <w:lang w:val="en-US"/>
        </w:rPr>
        <w:t xml:space="preserve">lt, </w:t>
      </w:r>
      <w:r w:rsidR="002A00D1" w:rsidRPr="00064A08">
        <w:rPr>
          <w:rFonts w:ascii="Times New Roman" w:eastAsia="Times New Roman" w:hAnsi="Times New Roman" w:cs="Times New Roman"/>
          <w:sz w:val="20"/>
          <w:szCs w:val="20"/>
          <w:lang w:val="en-US"/>
        </w:rPr>
        <w:t>$</w:t>
      </w:r>
      <w:r w:rsidR="00F6105D">
        <w:rPr>
          <w:rFonts w:ascii="Times New Roman" w:eastAsia="Times New Roman" w:hAnsi="Times New Roman" w:cs="Times New Roman"/>
          <w:sz w:val="20"/>
          <w:szCs w:val="20"/>
          <w:lang w:val="en-US"/>
        </w:rPr>
        <w:t>24</w:t>
      </w:r>
      <w:r w:rsidR="002A00D1" w:rsidRPr="00064A08">
        <w:rPr>
          <w:rFonts w:ascii="Times New Roman" w:eastAsia="Times New Roman" w:hAnsi="Times New Roman" w:cs="Times New Roman"/>
          <w:sz w:val="20"/>
          <w:szCs w:val="20"/>
          <w:lang w:val="en-US"/>
        </w:rPr>
        <w:t>,</w:t>
      </w:r>
      <w:r w:rsidR="00F6105D">
        <w:rPr>
          <w:rFonts w:ascii="Times New Roman" w:eastAsia="Times New Roman" w:hAnsi="Times New Roman" w:cs="Times New Roman"/>
          <w:sz w:val="20"/>
          <w:szCs w:val="20"/>
          <w:lang w:val="en-US"/>
        </w:rPr>
        <w:t>736</w:t>
      </w:r>
      <w:r w:rsidR="002A00D1" w:rsidRPr="00064A08">
        <w:rPr>
          <w:rFonts w:ascii="Times New Roman" w:eastAsia="Times New Roman" w:hAnsi="Times New Roman" w:cs="Times New Roman"/>
          <w:sz w:val="20"/>
          <w:szCs w:val="20"/>
          <w:lang w:val="en-US"/>
        </w:rPr>
        <w:t xml:space="preserve"> was transferred from warrant reserves to </w:t>
      </w:r>
      <w:r w:rsidR="002A00D1" w:rsidRPr="002A00D1">
        <w:rPr>
          <w:rFonts w:ascii="Times New Roman" w:eastAsia="Times New Roman" w:hAnsi="Times New Roman" w:cs="Times New Roman"/>
          <w:sz w:val="20"/>
          <w:szCs w:val="20"/>
          <w:lang w:val="en-US"/>
        </w:rPr>
        <w:t>common stock and share premium.</w:t>
      </w:r>
    </w:p>
    <w:p w14:paraId="7D3B6F4C" w14:textId="4A96F18B" w:rsidR="00F6105D" w:rsidRDefault="00F6105D" w:rsidP="00D2099E">
      <w:pPr>
        <w:spacing w:after="0" w:line="240" w:lineRule="auto"/>
        <w:ind w:left="360"/>
        <w:jc w:val="both"/>
        <w:rPr>
          <w:rFonts w:ascii="Times New Roman" w:eastAsia="Times New Roman" w:hAnsi="Times New Roman" w:cs="Times New Roman"/>
          <w:sz w:val="20"/>
          <w:szCs w:val="20"/>
          <w:lang w:val="en-US"/>
        </w:rPr>
      </w:pPr>
    </w:p>
    <w:p w14:paraId="66DADC95" w14:textId="586B8E2A" w:rsidR="00F6105D" w:rsidRDefault="00F6105D" w:rsidP="00F6105D">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w:t>
      </w:r>
      <w:r>
        <w:rPr>
          <w:rFonts w:ascii="Times New Roman" w:eastAsia="Times New Roman" w:hAnsi="Times New Roman" w:cs="Times New Roman"/>
          <w:sz w:val="20"/>
          <w:szCs w:val="20"/>
          <w:lang w:val="en-US"/>
        </w:rPr>
        <w:t xml:space="preserve"> April 8</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issued </w:t>
      </w:r>
      <w:r>
        <w:rPr>
          <w:rFonts w:ascii="Times New Roman" w:eastAsia="Times New Roman" w:hAnsi="Times New Roman" w:cs="Times New Roman"/>
          <w:sz w:val="20"/>
          <w:szCs w:val="20"/>
          <w:lang w:val="en-US"/>
        </w:rPr>
        <w:t>50,000</w:t>
      </w:r>
      <w:r w:rsidRPr="00D2099E">
        <w:rPr>
          <w:rFonts w:ascii="Times New Roman" w:eastAsia="Times New Roman" w:hAnsi="Times New Roman" w:cs="Times New Roman"/>
          <w:sz w:val="20"/>
          <w:szCs w:val="20"/>
          <w:lang w:val="en-US"/>
        </w:rPr>
        <w:t xml:space="preserve"> </w:t>
      </w:r>
      <w:r w:rsidR="00D05E64">
        <w:rPr>
          <w:rFonts w:ascii="Times New Roman" w:eastAsia="Times New Roman" w:hAnsi="Times New Roman" w:cs="Times New Roman"/>
          <w:sz w:val="20"/>
          <w:szCs w:val="20"/>
          <w:lang w:val="en-US"/>
        </w:rPr>
        <w:t>c</w:t>
      </w:r>
      <w:r w:rsidRPr="00D2099E">
        <w:rPr>
          <w:rFonts w:ascii="Times New Roman" w:eastAsia="Times New Roman" w:hAnsi="Times New Roman" w:cs="Times New Roman"/>
          <w:sz w:val="20"/>
          <w:szCs w:val="20"/>
          <w:lang w:val="en-US"/>
        </w:rPr>
        <w:t xml:space="preserve">ommon </w:t>
      </w:r>
      <w:r w:rsidR="00D05E64">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hares for the exercise of </w:t>
      </w:r>
      <w:r>
        <w:rPr>
          <w:rFonts w:ascii="Times New Roman" w:eastAsia="Times New Roman" w:hAnsi="Times New Roman" w:cs="Times New Roman"/>
          <w:sz w:val="20"/>
          <w:szCs w:val="20"/>
          <w:lang w:val="en-US"/>
        </w:rPr>
        <w:t>50,000</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options</w:t>
      </w:r>
      <w:r w:rsidRPr="00D2099E">
        <w:rPr>
          <w:rFonts w:ascii="Times New Roman" w:eastAsia="Times New Roman" w:hAnsi="Times New Roman" w:cs="Times New Roman"/>
          <w:sz w:val="20"/>
          <w:szCs w:val="20"/>
          <w:lang w:val="en-US"/>
        </w:rPr>
        <w:t xml:space="preserve"> at $0.10 CAD</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(approximately US$0.08) for </w:t>
      </w:r>
      <w:r>
        <w:rPr>
          <w:rFonts w:ascii="Times New Roman" w:eastAsia="Times New Roman" w:hAnsi="Times New Roman" w:cs="Times New Roman"/>
          <w:sz w:val="20"/>
          <w:szCs w:val="20"/>
          <w:lang w:val="en-US"/>
        </w:rPr>
        <w:t>cash</w:t>
      </w:r>
      <w:r w:rsidRPr="00D2099E">
        <w:rPr>
          <w:rFonts w:ascii="Times New Roman" w:eastAsia="Times New Roman" w:hAnsi="Times New Roman" w:cs="Times New Roman"/>
          <w:sz w:val="20"/>
          <w:szCs w:val="20"/>
          <w:lang w:val="en-US"/>
        </w:rPr>
        <w:t xml:space="preserve"> proceeds of $</w:t>
      </w:r>
      <w:r>
        <w:rPr>
          <w:rFonts w:ascii="Times New Roman" w:eastAsia="Times New Roman" w:hAnsi="Times New Roman" w:cs="Times New Roman"/>
          <w:sz w:val="20"/>
          <w:szCs w:val="20"/>
          <w:lang w:val="en-US"/>
        </w:rPr>
        <w:t xml:space="preserve">5,000 </w:t>
      </w:r>
      <w:r w:rsidRPr="00D2099E">
        <w:rPr>
          <w:rFonts w:ascii="Times New Roman" w:eastAsia="Times New Roman" w:hAnsi="Times New Roman" w:cs="Times New Roman"/>
          <w:sz w:val="20"/>
          <w:szCs w:val="20"/>
          <w:lang w:val="en-US"/>
        </w:rPr>
        <w:t>CAD (US$</w:t>
      </w:r>
      <w:r>
        <w:rPr>
          <w:rFonts w:ascii="Times New Roman" w:eastAsia="Times New Roman" w:hAnsi="Times New Roman" w:cs="Times New Roman"/>
          <w:sz w:val="20"/>
          <w:szCs w:val="20"/>
          <w:lang w:val="en-US"/>
        </w:rPr>
        <w:t>3</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9</w:t>
      </w:r>
      <w:r w:rsidR="00ED1151">
        <w:rPr>
          <w:rFonts w:ascii="Times New Roman" w:eastAsia="Times New Roman" w:hAnsi="Times New Roman" w:cs="Times New Roman"/>
          <w:sz w:val="20"/>
          <w:szCs w:val="20"/>
          <w:lang w:val="en-US"/>
        </w:rPr>
        <w:t>73</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As a resu</w:t>
      </w:r>
      <w:r w:rsidRPr="002A00D1">
        <w:rPr>
          <w:rFonts w:ascii="Times New Roman" w:eastAsia="Times New Roman" w:hAnsi="Times New Roman" w:cs="Times New Roman"/>
          <w:sz w:val="20"/>
          <w:szCs w:val="20"/>
          <w:lang w:val="en-US"/>
        </w:rPr>
        <w:t xml:space="preserve">lt, </w:t>
      </w:r>
      <w:r w:rsidRPr="00FA430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3,695</w:t>
      </w:r>
      <w:r w:rsidRPr="00FA430F">
        <w:rPr>
          <w:rFonts w:ascii="Times New Roman" w:eastAsia="Times New Roman" w:hAnsi="Times New Roman" w:cs="Times New Roman"/>
          <w:sz w:val="20"/>
          <w:szCs w:val="20"/>
          <w:lang w:val="en-US"/>
        </w:rPr>
        <w:t xml:space="preserve"> was transferred from </w:t>
      </w:r>
      <w:r>
        <w:rPr>
          <w:rFonts w:ascii="Times New Roman" w:eastAsia="Times New Roman" w:hAnsi="Times New Roman" w:cs="Times New Roman"/>
          <w:sz w:val="20"/>
          <w:szCs w:val="20"/>
          <w:lang w:val="en-US"/>
        </w:rPr>
        <w:t>option</w:t>
      </w:r>
      <w:r w:rsidRPr="00FA430F">
        <w:rPr>
          <w:rFonts w:ascii="Times New Roman" w:eastAsia="Times New Roman" w:hAnsi="Times New Roman" w:cs="Times New Roman"/>
          <w:sz w:val="20"/>
          <w:szCs w:val="20"/>
          <w:lang w:val="en-US"/>
        </w:rPr>
        <w:t xml:space="preserve"> reserves to </w:t>
      </w:r>
      <w:r w:rsidRPr="002A00D1">
        <w:rPr>
          <w:rFonts w:ascii="Times New Roman" w:eastAsia="Times New Roman" w:hAnsi="Times New Roman" w:cs="Times New Roman"/>
          <w:sz w:val="20"/>
          <w:szCs w:val="20"/>
          <w:lang w:val="en-US"/>
        </w:rPr>
        <w:t>common stock and share premium.</w:t>
      </w:r>
    </w:p>
    <w:p w14:paraId="1BBD2F93" w14:textId="77777777" w:rsidR="00F6105D" w:rsidRDefault="00F6105D" w:rsidP="00D2099E">
      <w:pPr>
        <w:spacing w:after="0" w:line="240" w:lineRule="auto"/>
        <w:ind w:left="360"/>
        <w:jc w:val="both"/>
        <w:rPr>
          <w:rFonts w:ascii="Times New Roman" w:eastAsia="Times New Roman" w:hAnsi="Times New Roman" w:cs="Times New Roman"/>
          <w:sz w:val="20"/>
          <w:szCs w:val="20"/>
          <w:lang w:val="en-US"/>
        </w:rPr>
      </w:pPr>
    </w:p>
    <w:p w14:paraId="1245D6AE" w14:textId="0C770563" w:rsidR="00F6105D" w:rsidRDefault="00F6105D" w:rsidP="00F6105D">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w:t>
      </w:r>
      <w:r>
        <w:rPr>
          <w:rFonts w:ascii="Times New Roman" w:eastAsia="Times New Roman" w:hAnsi="Times New Roman" w:cs="Times New Roman"/>
          <w:sz w:val="20"/>
          <w:szCs w:val="20"/>
          <w:lang w:val="en-US"/>
        </w:rPr>
        <w:t xml:space="preserve"> May 26</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issued </w:t>
      </w:r>
      <w:r>
        <w:rPr>
          <w:rFonts w:ascii="Times New Roman" w:eastAsia="Times New Roman" w:hAnsi="Times New Roman" w:cs="Times New Roman"/>
          <w:sz w:val="20"/>
          <w:szCs w:val="20"/>
          <w:lang w:val="en-US"/>
        </w:rPr>
        <w:t>100,000</w:t>
      </w:r>
      <w:r w:rsidRPr="00D2099E">
        <w:rPr>
          <w:rFonts w:ascii="Times New Roman" w:eastAsia="Times New Roman" w:hAnsi="Times New Roman" w:cs="Times New Roman"/>
          <w:sz w:val="20"/>
          <w:szCs w:val="20"/>
          <w:lang w:val="en-US"/>
        </w:rPr>
        <w:t xml:space="preserve"> </w:t>
      </w:r>
      <w:r w:rsidR="00D05E64">
        <w:rPr>
          <w:rFonts w:ascii="Times New Roman" w:eastAsia="Times New Roman" w:hAnsi="Times New Roman" w:cs="Times New Roman"/>
          <w:sz w:val="20"/>
          <w:szCs w:val="20"/>
          <w:lang w:val="en-US"/>
        </w:rPr>
        <w:t>c</w:t>
      </w:r>
      <w:r w:rsidRPr="00D2099E">
        <w:rPr>
          <w:rFonts w:ascii="Times New Roman" w:eastAsia="Times New Roman" w:hAnsi="Times New Roman" w:cs="Times New Roman"/>
          <w:sz w:val="20"/>
          <w:szCs w:val="20"/>
          <w:lang w:val="en-US"/>
        </w:rPr>
        <w:t xml:space="preserve">ommon </w:t>
      </w:r>
      <w:r w:rsidR="00D05E64">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hares for the exercise of </w:t>
      </w:r>
      <w:r>
        <w:rPr>
          <w:rFonts w:ascii="Times New Roman" w:eastAsia="Times New Roman" w:hAnsi="Times New Roman" w:cs="Times New Roman"/>
          <w:sz w:val="20"/>
          <w:szCs w:val="20"/>
          <w:lang w:val="en-US"/>
        </w:rPr>
        <w:t>100,000</w:t>
      </w:r>
      <w:r w:rsidRPr="00D2099E">
        <w:rPr>
          <w:rFonts w:ascii="Times New Roman" w:eastAsia="Times New Roman" w:hAnsi="Times New Roman" w:cs="Times New Roman"/>
          <w:sz w:val="20"/>
          <w:szCs w:val="20"/>
          <w:lang w:val="en-US"/>
        </w:rPr>
        <w:t xml:space="preserve"> warrants at $0.10 CAD</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(approximately US$0.08) for </w:t>
      </w:r>
      <w:r>
        <w:rPr>
          <w:rFonts w:ascii="Times New Roman" w:eastAsia="Times New Roman" w:hAnsi="Times New Roman" w:cs="Times New Roman"/>
          <w:sz w:val="20"/>
          <w:szCs w:val="20"/>
          <w:lang w:val="en-US"/>
        </w:rPr>
        <w:t>cash</w:t>
      </w:r>
      <w:r w:rsidRPr="00D2099E">
        <w:rPr>
          <w:rFonts w:ascii="Times New Roman" w:eastAsia="Times New Roman" w:hAnsi="Times New Roman" w:cs="Times New Roman"/>
          <w:sz w:val="20"/>
          <w:szCs w:val="20"/>
          <w:lang w:val="en-US"/>
        </w:rPr>
        <w:t xml:space="preserve"> proceeds of $</w:t>
      </w:r>
      <w:r w:rsidR="003B7795">
        <w:rPr>
          <w:rFonts w:ascii="Times New Roman" w:eastAsia="Times New Roman" w:hAnsi="Times New Roman" w:cs="Times New Roman"/>
          <w:sz w:val="20"/>
          <w:szCs w:val="20"/>
          <w:lang w:val="en-US"/>
        </w:rPr>
        <w:t>10,000</w:t>
      </w:r>
      <w:r w:rsidRPr="00D2099E">
        <w:rPr>
          <w:rFonts w:ascii="Times New Roman" w:eastAsia="Times New Roman" w:hAnsi="Times New Roman" w:cs="Times New Roman"/>
          <w:sz w:val="20"/>
          <w:szCs w:val="20"/>
          <w:lang w:val="en-US"/>
        </w:rPr>
        <w:t xml:space="preserve"> CAD (US$</w:t>
      </w:r>
      <w:r w:rsidR="003B7795">
        <w:rPr>
          <w:rFonts w:ascii="Times New Roman" w:eastAsia="Times New Roman" w:hAnsi="Times New Roman" w:cs="Times New Roman"/>
          <w:sz w:val="20"/>
          <w:szCs w:val="20"/>
          <w:lang w:val="en-US"/>
        </w:rPr>
        <w:t>7,810</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As a resu</w:t>
      </w:r>
      <w:r w:rsidRPr="002A00D1">
        <w:rPr>
          <w:rFonts w:ascii="Times New Roman" w:eastAsia="Times New Roman" w:hAnsi="Times New Roman" w:cs="Times New Roman"/>
          <w:sz w:val="20"/>
          <w:szCs w:val="20"/>
          <w:lang w:val="en-US"/>
        </w:rPr>
        <w:t xml:space="preserve">lt, </w:t>
      </w:r>
      <w:r w:rsidRPr="00FA430F">
        <w:rPr>
          <w:rFonts w:ascii="Times New Roman" w:eastAsia="Times New Roman" w:hAnsi="Times New Roman" w:cs="Times New Roman"/>
          <w:sz w:val="20"/>
          <w:szCs w:val="20"/>
          <w:lang w:val="en-US"/>
        </w:rPr>
        <w:t>$</w:t>
      </w:r>
      <w:r w:rsidR="003B7795">
        <w:rPr>
          <w:rFonts w:ascii="Times New Roman" w:eastAsia="Times New Roman" w:hAnsi="Times New Roman" w:cs="Times New Roman"/>
          <w:sz w:val="20"/>
          <w:szCs w:val="20"/>
          <w:lang w:val="en-US"/>
        </w:rPr>
        <w:t>12,604</w:t>
      </w:r>
      <w:r w:rsidRPr="00FA430F">
        <w:rPr>
          <w:rFonts w:ascii="Times New Roman" w:eastAsia="Times New Roman" w:hAnsi="Times New Roman" w:cs="Times New Roman"/>
          <w:sz w:val="20"/>
          <w:szCs w:val="20"/>
          <w:lang w:val="en-US"/>
        </w:rPr>
        <w:t xml:space="preserve"> was transferred from warrant reserves to </w:t>
      </w:r>
      <w:r w:rsidRPr="002A00D1">
        <w:rPr>
          <w:rFonts w:ascii="Times New Roman" w:eastAsia="Times New Roman" w:hAnsi="Times New Roman" w:cs="Times New Roman"/>
          <w:sz w:val="20"/>
          <w:szCs w:val="20"/>
          <w:lang w:val="en-US"/>
        </w:rPr>
        <w:t>common stock and share premium.</w:t>
      </w:r>
    </w:p>
    <w:p w14:paraId="1C497BD9" w14:textId="77777777" w:rsidR="00F6105D" w:rsidRDefault="00F6105D" w:rsidP="00F6105D">
      <w:pPr>
        <w:spacing w:after="0" w:line="240" w:lineRule="auto"/>
        <w:ind w:left="360"/>
        <w:jc w:val="both"/>
        <w:rPr>
          <w:rFonts w:ascii="Times New Roman" w:eastAsia="Times New Roman" w:hAnsi="Times New Roman" w:cs="Times New Roman"/>
          <w:sz w:val="20"/>
          <w:szCs w:val="20"/>
          <w:lang w:val="en-US"/>
        </w:rPr>
      </w:pPr>
    </w:p>
    <w:p w14:paraId="4A20F4DF" w14:textId="7283EC6F" w:rsidR="00F6105D" w:rsidRDefault="00F6105D" w:rsidP="00F6105D">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w:t>
      </w:r>
      <w:r>
        <w:rPr>
          <w:rFonts w:ascii="Times New Roman" w:eastAsia="Times New Roman" w:hAnsi="Times New Roman" w:cs="Times New Roman"/>
          <w:sz w:val="20"/>
          <w:szCs w:val="20"/>
          <w:lang w:val="en-US"/>
        </w:rPr>
        <w:t xml:space="preserve"> May 26</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issued </w:t>
      </w:r>
      <w:r>
        <w:rPr>
          <w:rFonts w:ascii="Times New Roman" w:eastAsia="Times New Roman" w:hAnsi="Times New Roman" w:cs="Times New Roman"/>
          <w:sz w:val="20"/>
          <w:szCs w:val="20"/>
          <w:lang w:val="en-US"/>
        </w:rPr>
        <w:t>70,000</w:t>
      </w:r>
      <w:r w:rsidRPr="00D2099E">
        <w:rPr>
          <w:rFonts w:ascii="Times New Roman" w:eastAsia="Times New Roman" w:hAnsi="Times New Roman" w:cs="Times New Roman"/>
          <w:sz w:val="20"/>
          <w:szCs w:val="20"/>
          <w:lang w:val="en-US"/>
        </w:rPr>
        <w:t xml:space="preserve"> </w:t>
      </w:r>
      <w:r w:rsidR="00D05E64">
        <w:rPr>
          <w:rFonts w:ascii="Times New Roman" w:eastAsia="Times New Roman" w:hAnsi="Times New Roman" w:cs="Times New Roman"/>
          <w:sz w:val="20"/>
          <w:szCs w:val="20"/>
          <w:lang w:val="en-US"/>
        </w:rPr>
        <w:t>c</w:t>
      </w:r>
      <w:r w:rsidRPr="00D2099E">
        <w:rPr>
          <w:rFonts w:ascii="Times New Roman" w:eastAsia="Times New Roman" w:hAnsi="Times New Roman" w:cs="Times New Roman"/>
          <w:sz w:val="20"/>
          <w:szCs w:val="20"/>
          <w:lang w:val="en-US"/>
        </w:rPr>
        <w:t xml:space="preserve">ommon </w:t>
      </w:r>
      <w:r w:rsidR="00D05E64">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hares for the exercise of </w:t>
      </w:r>
      <w:r>
        <w:rPr>
          <w:rFonts w:ascii="Times New Roman" w:eastAsia="Times New Roman" w:hAnsi="Times New Roman" w:cs="Times New Roman"/>
          <w:sz w:val="20"/>
          <w:szCs w:val="20"/>
          <w:lang w:val="en-US"/>
        </w:rPr>
        <w:t>70,000</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options</w:t>
      </w:r>
      <w:r w:rsidRPr="00D2099E">
        <w:rPr>
          <w:rFonts w:ascii="Times New Roman" w:eastAsia="Times New Roman" w:hAnsi="Times New Roman" w:cs="Times New Roman"/>
          <w:sz w:val="20"/>
          <w:szCs w:val="20"/>
          <w:lang w:val="en-US"/>
        </w:rPr>
        <w:t xml:space="preserve"> at $0.10 CAD</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(approximately US$0.08) for </w:t>
      </w:r>
      <w:r>
        <w:rPr>
          <w:rFonts w:ascii="Times New Roman" w:eastAsia="Times New Roman" w:hAnsi="Times New Roman" w:cs="Times New Roman"/>
          <w:sz w:val="20"/>
          <w:szCs w:val="20"/>
          <w:lang w:val="en-US"/>
        </w:rPr>
        <w:t>cash</w:t>
      </w:r>
      <w:r w:rsidRPr="00D2099E">
        <w:rPr>
          <w:rFonts w:ascii="Times New Roman" w:eastAsia="Times New Roman" w:hAnsi="Times New Roman" w:cs="Times New Roman"/>
          <w:sz w:val="20"/>
          <w:szCs w:val="20"/>
          <w:lang w:val="en-US"/>
        </w:rPr>
        <w:t xml:space="preserve"> proceeds of $</w:t>
      </w:r>
      <w:r w:rsidR="003B7795">
        <w:rPr>
          <w:rFonts w:ascii="Times New Roman" w:eastAsia="Times New Roman" w:hAnsi="Times New Roman" w:cs="Times New Roman"/>
          <w:sz w:val="20"/>
          <w:szCs w:val="20"/>
          <w:lang w:val="en-US"/>
        </w:rPr>
        <w:t>7</w:t>
      </w:r>
      <w:r>
        <w:rPr>
          <w:rFonts w:ascii="Times New Roman" w:eastAsia="Times New Roman" w:hAnsi="Times New Roman" w:cs="Times New Roman"/>
          <w:sz w:val="20"/>
          <w:szCs w:val="20"/>
          <w:lang w:val="en-US"/>
        </w:rPr>
        <w:t xml:space="preserve">,000 </w:t>
      </w:r>
      <w:r w:rsidRPr="00D2099E">
        <w:rPr>
          <w:rFonts w:ascii="Times New Roman" w:eastAsia="Times New Roman" w:hAnsi="Times New Roman" w:cs="Times New Roman"/>
          <w:sz w:val="20"/>
          <w:szCs w:val="20"/>
          <w:lang w:val="en-US"/>
        </w:rPr>
        <w:t>CAD (US$</w:t>
      </w:r>
      <w:r w:rsidR="003B7795">
        <w:rPr>
          <w:rFonts w:ascii="Times New Roman" w:eastAsia="Times New Roman" w:hAnsi="Times New Roman" w:cs="Times New Roman"/>
          <w:sz w:val="20"/>
          <w:szCs w:val="20"/>
          <w:lang w:val="en-US"/>
        </w:rPr>
        <w:t>5,467</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As a resu</w:t>
      </w:r>
      <w:r w:rsidRPr="002A00D1">
        <w:rPr>
          <w:rFonts w:ascii="Times New Roman" w:eastAsia="Times New Roman" w:hAnsi="Times New Roman" w:cs="Times New Roman"/>
          <w:sz w:val="20"/>
          <w:szCs w:val="20"/>
          <w:lang w:val="en-US"/>
        </w:rPr>
        <w:t xml:space="preserve">lt, </w:t>
      </w:r>
      <w:r w:rsidRPr="00FA430F">
        <w:rPr>
          <w:rFonts w:ascii="Times New Roman" w:eastAsia="Times New Roman" w:hAnsi="Times New Roman" w:cs="Times New Roman"/>
          <w:sz w:val="20"/>
          <w:szCs w:val="20"/>
          <w:lang w:val="en-US"/>
        </w:rPr>
        <w:t>$</w:t>
      </w:r>
      <w:r w:rsidR="003B7795">
        <w:rPr>
          <w:rFonts w:ascii="Times New Roman" w:eastAsia="Times New Roman" w:hAnsi="Times New Roman" w:cs="Times New Roman"/>
          <w:sz w:val="20"/>
          <w:szCs w:val="20"/>
          <w:lang w:val="en-US"/>
        </w:rPr>
        <w:t>5,173</w:t>
      </w:r>
      <w:r w:rsidRPr="00FA430F">
        <w:rPr>
          <w:rFonts w:ascii="Times New Roman" w:eastAsia="Times New Roman" w:hAnsi="Times New Roman" w:cs="Times New Roman"/>
          <w:sz w:val="20"/>
          <w:szCs w:val="20"/>
          <w:lang w:val="en-US"/>
        </w:rPr>
        <w:t xml:space="preserve"> was transferred from </w:t>
      </w:r>
      <w:r>
        <w:rPr>
          <w:rFonts w:ascii="Times New Roman" w:eastAsia="Times New Roman" w:hAnsi="Times New Roman" w:cs="Times New Roman"/>
          <w:sz w:val="20"/>
          <w:szCs w:val="20"/>
          <w:lang w:val="en-US"/>
        </w:rPr>
        <w:t>option</w:t>
      </w:r>
      <w:r w:rsidRPr="00FA430F">
        <w:rPr>
          <w:rFonts w:ascii="Times New Roman" w:eastAsia="Times New Roman" w:hAnsi="Times New Roman" w:cs="Times New Roman"/>
          <w:sz w:val="20"/>
          <w:szCs w:val="20"/>
          <w:lang w:val="en-US"/>
        </w:rPr>
        <w:t xml:space="preserve"> reserves to </w:t>
      </w:r>
      <w:r w:rsidRPr="002A00D1">
        <w:rPr>
          <w:rFonts w:ascii="Times New Roman" w:eastAsia="Times New Roman" w:hAnsi="Times New Roman" w:cs="Times New Roman"/>
          <w:sz w:val="20"/>
          <w:szCs w:val="20"/>
          <w:lang w:val="en-US"/>
        </w:rPr>
        <w:t>common stock and share premium.</w:t>
      </w:r>
    </w:p>
    <w:p w14:paraId="3D4CA2CD" w14:textId="1C46F452" w:rsidR="002A00D1" w:rsidRDefault="002A00D1" w:rsidP="00D2099E">
      <w:pPr>
        <w:spacing w:after="0" w:line="240" w:lineRule="auto"/>
        <w:ind w:left="360"/>
        <w:jc w:val="both"/>
        <w:rPr>
          <w:rFonts w:ascii="Times New Roman" w:eastAsia="Times New Roman" w:hAnsi="Times New Roman" w:cs="Times New Roman"/>
          <w:sz w:val="20"/>
          <w:szCs w:val="20"/>
          <w:lang w:val="en-US"/>
        </w:rPr>
      </w:pPr>
    </w:p>
    <w:p w14:paraId="49E3BDC3" w14:textId="6B2C336D" w:rsidR="003B7795" w:rsidRDefault="003B7795" w:rsidP="003B779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w:t>
      </w:r>
      <w:r>
        <w:rPr>
          <w:rFonts w:ascii="Times New Roman" w:eastAsia="Times New Roman" w:hAnsi="Times New Roman" w:cs="Times New Roman"/>
          <w:sz w:val="20"/>
          <w:szCs w:val="20"/>
          <w:lang w:val="en-US"/>
        </w:rPr>
        <w:t xml:space="preserve"> June 3</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issued </w:t>
      </w:r>
      <w:r>
        <w:rPr>
          <w:rFonts w:ascii="Times New Roman" w:eastAsia="Times New Roman" w:hAnsi="Times New Roman" w:cs="Times New Roman"/>
          <w:sz w:val="20"/>
          <w:szCs w:val="20"/>
          <w:lang w:val="en-US"/>
        </w:rPr>
        <w:t>100,000</w:t>
      </w:r>
      <w:r w:rsidRPr="00D2099E">
        <w:rPr>
          <w:rFonts w:ascii="Times New Roman" w:eastAsia="Times New Roman" w:hAnsi="Times New Roman" w:cs="Times New Roman"/>
          <w:sz w:val="20"/>
          <w:szCs w:val="20"/>
          <w:lang w:val="en-US"/>
        </w:rPr>
        <w:t xml:space="preserve"> </w:t>
      </w:r>
      <w:r w:rsidR="00D05E64">
        <w:rPr>
          <w:rFonts w:ascii="Times New Roman" w:eastAsia="Times New Roman" w:hAnsi="Times New Roman" w:cs="Times New Roman"/>
          <w:sz w:val="20"/>
          <w:szCs w:val="20"/>
          <w:lang w:val="en-US"/>
        </w:rPr>
        <w:t>c</w:t>
      </w:r>
      <w:r w:rsidRPr="00D2099E">
        <w:rPr>
          <w:rFonts w:ascii="Times New Roman" w:eastAsia="Times New Roman" w:hAnsi="Times New Roman" w:cs="Times New Roman"/>
          <w:sz w:val="20"/>
          <w:szCs w:val="20"/>
          <w:lang w:val="en-US"/>
        </w:rPr>
        <w:t xml:space="preserve">ommon </w:t>
      </w:r>
      <w:r w:rsidR="00D05E64">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hares for the exercise of </w:t>
      </w:r>
      <w:r>
        <w:rPr>
          <w:rFonts w:ascii="Times New Roman" w:eastAsia="Times New Roman" w:hAnsi="Times New Roman" w:cs="Times New Roman"/>
          <w:sz w:val="20"/>
          <w:szCs w:val="20"/>
          <w:lang w:val="en-US"/>
        </w:rPr>
        <w:t>100,000</w:t>
      </w:r>
      <w:r w:rsidRPr="00D2099E">
        <w:rPr>
          <w:rFonts w:ascii="Times New Roman" w:eastAsia="Times New Roman" w:hAnsi="Times New Roman" w:cs="Times New Roman"/>
          <w:sz w:val="20"/>
          <w:szCs w:val="20"/>
          <w:lang w:val="en-US"/>
        </w:rPr>
        <w:t xml:space="preserve"> warrants at $0.10 CAD</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(approximately US$0.08) for </w:t>
      </w:r>
      <w:r>
        <w:rPr>
          <w:rFonts w:ascii="Times New Roman" w:eastAsia="Times New Roman" w:hAnsi="Times New Roman" w:cs="Times New Roman"/>
          <w:sz w:val="20"/>
          <w:szCs w:val="20"/>
          <w:lang w:val="en-US"/>
        </w:rPr>
        <w:t>cash</w:t>
      </w:r>
      <w:r w:rsidRPr="00D2099E">
        <w:rPr>
          <w:rFonts w:ascii="Times New Roman" w:eastAsia="Times New Roman" w:hAnsi="Times New Roman" w:cs="Times New Roman"/>
          <w:sz w:val="20"/>
          <w:szCs w:val="20"/>
          <w:lang w:val="en-US"/>
        </w:rPr>
        <w:t xml:space="preserve"> proceeds of $</w:t>
      </w:r>
      <w:r>
        <w:rPr>
          <w:rFonts w:ascii="Times New Roman" w:eastAsia="Times New Roman" w:hAnsi="Times New Roman" w:cs="Times New Roman"/>
          <w:sz w:val="20"/>
          <w:szCs w:val="20"/>
          <w:lang w:val="en-US"/>
        </w:rPr>
        <w:t>10,000</w:t>
      </w:r>
      <w:r w:rsidRPr="00D2099E">
        <w:rPr>
          <w:rFonts w:ascii="Times New Roman" w:eastAsia="Times New Roman" w:hAnsi="Times New Roman" w:cs="Times New Roman"/>
          <w:sz w:val="20"/>
          <w:szCs w:val="20"/>
          <w:lang w:val="en-US"/>
        </w:rPr>
        <w:t xml:space="preserve"> CAD (US$</w:t>
      </w:r>
      <w:r>
        <w:rPr>
          <w:rFonts w:ascii="Times New Roman" w:eastAsia="Times New Roman" w:hAnsi="Times New Roman" w:cs="Times New Roman"/>
          <w:sz w:val="20"/>
          <w:szCs w:val="20"/>
          <w:lang w:val="en-US"/>
        </w:rPr>
        <w:t>7,952</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As a resu</w:t>
      </w:r>
      <w:r w:rsidRPr="002A00D1">
        <w:rPr>
          <w:rFonts w:ascii="Times New Roman" w:eastAsia="Times New Roman" w:hAnsi="Times New Roman" w:cs="Times New Roman"/>
          <w:sz w:val="20"/>
          <w:szCs w:val="20"/>
          <w:lang w:val="en-US"/>
        </w:rPr>
        <w:t xml:space="preserve">lt, </w:t>
      </w:r>
      <w:r w:rsidRPr="00FA430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12,604</w:t>
      </w:r>
      <w:r w:rsidRPr="00FA430F">
        <w:rPr>
          <w:rFonts w:ascii="Times New Roman" w:eastAsia="Times New Roman" w:hAnsi="Times New Roman" w:cs="Times New Roman"/>
          <w:sz w:val="20"/>
          <w:szCs w:val="20"/>
          <w:lang w:val="en-US"/>
        </w:rPr>
        <w:t xml:space="preserve"> was transferred from warrant reserves to </w:t>
      </w:r>
      <w:r w:rsidRPr="002A00D1">
        <w:rPr>
          <w:rFonts w:ascii="Times New Roman" w:eastAsia="Times New Roman" w:hAnsi="Times New Roman" w:cs="Times New Roman"/>
          <w:sz w:val="20"/>
          <w:szCs w:val="20"/>
          <w:lang w:val="en-US"/>
        </w:rPr>
        <w:t>common stock and share premium.</w:t>
      </w:r>
    </w:p>
    <w:p w14:paraId="6917A8E8" w14:textId="6ADDED6B" w:rsidR="003B7795" w:rsidRDefault="003B7795" w:rsidP="00D2099E">
      <w:pPr>
        <w:spacing w:after="0" w:line="240" w:lineRule="auto"/>
        <w:ind w:left="360"/>
        <w:jc w:val="both"/>
        <w:rPr>
          <w:rFonts w:ascii="Times New Roman" w:eastAsia="Times New Roman" w:hAnsi="Times New Roman" w:cs="Times New Roman"/>
          <w:sz w:val="20"/>
          <w:szCs w:val="20"/>
          <w:lang w:val="en-US"/>
        </w:rPr>
      </w:pPr>
    </w:p>
    <w:p w14:paraId="6CAAE1AA" w14:textId="0B3793BA" w:rsidR="00FC0FDE" w:rsidRDefault="00FC0FDE" w:rsidP="00FC0FD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w:t>
      </w:r>
      <w:r>
        <w:rPr>
          <w:rFonts w:ascii="Times New Roman" w:eastAsia="Times New Roman" w:hAnsi="Times New Roman" w:cs="Times New Roman"/>
          <w:sz w:val="20"/>
          <w:szCs w:val="20"/>
          <w:lang w:val="en-US"/>
        </w:rPr>
        <w:t xml:space="preserve"> June 14</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issued </w:t>
      </w:r>
      <w:r>
        <w:rPr>
          <w:rFonts w:ascii="Times New Roman" w:eastAsia="Times New Roman" w:hAnsi="Times New Roman" w:cs="Times New Roman"/>
          <w:sz w:val="20"/>
          <w:szCs w:val="20"/>
          <w:lang w:val="en-US"/>
        </w:rPr>
        <w:t>55,000</w:t>
      </w:r>
      <w:r w:rsidRPr="00D2099E">
        <w:rPr>
          <w:rFonts w:ascii="Times New Roman" w:eastAsia="Times New Roman" w:hAnsi="Times New Roman" w:cs="Times New Roman"/>
          <w:sz w:val="20"/>
          <w:szCs w:val="20"/>
          <w:lang w:val="en-US"/>
        </w:rPr>
        <w:t xml:space="preserve"> </w:t>
      </w:r>
      <w:r w:rsidR="00D05E64">
        <w:rPr>
          <w:rFonts w:ascii="Times New Roman" w:eastAsia="Times New Roman" w:hAnsi="Times New Roman" w:cs="Times New Roman"/>
          <w:sz w:val="20"/>
          <w:szCs w:val="20"/>
          <w:lang w:val="en-US"/>
        </w:rPr>
        <w:t>c</w:t>
      </w:r>
      <w:r w:rsidRPr="00D2099E">
        <w:rPr>
          <w:rFonts w:ascii="Times New Roman" w:eastAsia="Times New Roman" w:hAnsi="Times New Roman" w:cs="Times New Roman"/>
          <w:sz w:val="20"/>
          <w:szCs w:val="20"/>
          <w:lang w:val="en-US"/>
        </w:rPr>
        <w:t xml:space="preserve">ommon </w:t>
      </w:r>
      <w:r w:rsidR="00D05E64">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hares for the exercise of </w:t>
      </w:r>
      <w:r>
        <w:rPr>
          <w:rFonts w:ascii="Times New Roman" w:eastAsia="Times New Roman" w:hAnsi="Times New Roman" w:cs="Times New Roman"/>
          <w:sz w:val="20"/>
          <w:szCs w:val="20"/>
          <w:lang w:val="en-US"/>
        </w:rPr>
        <w:t>55,000</w:t>
      </w:r>
      <w:r w:rsidRPr="00D2099E">
        <w:rPr>
          <w:rFonts w:ascii="Times New Roman" w:eastAsia="Times New Roman" w:hAnsi="Times New Roman" w:cs="Times New Roman"/>
          <w:sz w:val="20"/>
          <w:szCs w:val="20"/>
          <w:lang w:val="en-US"/>
        </w:rPr>
        <w:t xml:space="preserve"> warrants at $0.10 CAD</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(approximately US$0.08) for </w:t>
      </w:r>
      <w:r>
        <w:rPr>
          <w:rFonts w:ascii="Times New Roman" w:eastAsia="Times New Roman" w:hAnsi="Times New Roman" w:cs="Times New Roman"/>
          <w:sz w:val="20"/>
          <w:szCs w:val="20"/>
          <w:lang w:val="en-US"/>
        </w:rPr>
        <w:t>cash</w:t>
      </w:r>
      <w:r w:rsidRPr="00D2099E">
        <w:rPr>
          <w:rFonts w:ascii="Times New Roman" w:eastAsia="Times New Roman" w:hAnsi="Times New Roman" w:cs="Times New Roman"/>
          <w:sz w:val="20"/>
          <w:szCs w:val="20"/>
          <w:lang w:val="en-US"/>
        </w:rPr>
        <w:t xml:space="preserve"> proceeds of $</w:t>
      </w:r>
      <w:r>
        <w:rPr>
          <w:rFonts w:ascii="Times New Roman" w:eastAsia="Times New Roman" w:hAnsi="Times New Roman" w:cs="Times New Roman"/>
          <w:sz w:val="20"/>
          <w:szCs w:val="20"/>
          <w:lang w:val="en-US"/>
        </w:rPr>
        <w:t>5,500</w:t>
      </w:r>
      <w:r w:rsidRPr="00D2099E">
        <w:rPr>
          <w:rFonts w:ascii="Times New Roman" w:eastAsia="Times New Roman" w:hAnsi="Times New Roman" w:cs="Times New Roman"/>
          <w:sz w:val="20"/>
          <w:szCs w:val="20"/>
          <w:lang w:val="en-US"/>
        </w:rPr>
        <w:t xml:space="preserve"> CAD (US$</w:t>
      </w:r>
      <w:r>
        <w:rPr>
          <w:rFonts w:ascii="Times New Roman" w:eastAsia="Times New Roman" w:hAnsi="Times New Roman" w:cs="Times New Roman"/>
          <w:sz w:val="20"/>
          <w:szCs w:val="20"/>
          <w:lang w:val="en-US"/>
        </w:rPr>
        <w:t>4,257</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As a resu</w:t>
      </w:r>
      <w:r w:rsidRPr="002A00D1">
        <w:rPr>
          <w:rFonts w:ascii="Times New Roman" w:eastAsia="Times New Roman" w:hAnsi="Times New Roman" w:cs="Times New Roman"/>
          <w:sz w:val="20"/>
          <w:szCs w:val="20"/>
          <w:lang w:val="en-US"/>
        </w:rPr>
        <w:t xml:space="preserve">lt, </w:t>
      </w:r>
      <w:r w:rsidRPr="00FA430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6,932</w:t>
      </w:r>
      <w:r w:rsidRPr="00FA430F">
        <w:rPr>
          <w:rFonts w:ascii="Times New Roman" w:eastAsia="Times New Roman" w:hAnsi="Times New Roman" w:cs="Times New Roman"/>
          <w:sz w:val="20"/>
          <w:szCs w:val="20"/>
          <w:lang w:val="en-US"/>
        </w:rPr>
        <w:t xml:space="preserve"> was transferred from warrant reserves to </w:t>
      </w:r>
      <w:r w:rsidRPr="002A00D1">
        <w:rPr>
          <w:rFonts w:ascii="Times New Roman" w:eastAsia="Times New Roman" w:hAnsi="Times New Roman" w:cs="Times New Roman"/>
          <w:sz w:val="20"/>
          <w:szCs w:val="20"/>
          <w:lang w:val="en-US"/>
        </w:rPr>
        <w:t>common stock and share premium.</w:t>
      </w:r>
    </w:p>
    <w:p w14:paraId="72A02845" w14:textId="77777777" w:rsidR="00FC0FDE" w:rsidRDefault="00FC0FDE" w:rsidP="00FC0FDE">
      <w:pPr>
        <w:spacing w:after="0" w:line="240" w:lineRule="auto"/>
        <w:ind w:left="360"/>
        <w:jc w:val="both"/>
        <w:rPr>
          <w:rFonts w:ascii="Times New Roman" w:eastAsia="Times New Roman" w:hAnsi="Times New Roman" w:cs="Times New Roman"/>
          <w:sz w:val="20"/>
          <w:szCs w:val="20"/>
          <w:lang w:val="en-US"/>
        </w:rPr>
      </w:pPr>
    </w:p>
    <w:p w14:paraId="0535E677" w14:textId="5DA10716" w:rsidR="00FC0FDE" w:rsidRDefault="00FC0FDE" w:rsidP="00FC0FD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w:t>
      </w:r>
      <w:r>
        <w:rPr>
          <w:rFonts w:ascii="Times New Roman" w:eastAsia="Times New Roman" w:hAnsi="Times New Roman" w:cs="Times New Roman"/>
          <w:sz w:val="20"/>
          <w:szCs w:val="20"/>
          <w:lang w:val="en-US"/>
        </w:rPr>
        <w:t xml:space="preserve"> June 14</w:t>
      </w:r>
      <w:r w:rsidRPr="00D2099E">
        <w:rPr>
          <w:rFonts w:ascii="Times New Roman" w:eastAsia="Times New Roman" w:hAnsi="Times New Roman" w:cs="Times New Roman"/>
          <w:sz w:val="20"/>
          <w:szCs w:val="20"/>
          <w:lang w:val="en-US"/>
        </w:rPr>
        <w:t>, 202</w:t>
      </w:r>
      <w:r>
        <w:rPr>
          <w:rFonts w:ascii="Times New Roman" w:eastAsia="Times New Roman" w:hAnsi="Times New Roman" w:cs="Times New Roman"/>
          <w:sz w:val="20"/>
          <w:szCs w:val="20"/>
          <w:lang w:val="en-US"/>
        </w:rPr>
        <w:t>2</w:t>
      </w:r>
      <w:r w:rsidRPr="00D2099E">
        <w:rPr>
          <w:rFonts w:ascii="Times New Roman" w:eastAsia="Times New Roman" w:hAnsi="Times New Roman" w:cs="Times New Roman"/>
          <w:sz w:val="20"/>
          <w:szCs w:val="20"/>
          <w:lang w:val="en-US"/>
        </w:rPr>
        <w:t xml:space="preserve">, the Company issued </w:t>
      </w:r>
      <w:r>
        <w:rPr>
          <w:rFonts w:ascii="Times New Roman" w:eastAsia="Times New Roman" w:hAnsi="Times New Roman" w:cs="Times New Roman"/>
          <w:sz w:val="20"/>
          <w:szCs w:val="20"/>
          <w:lang w:val="en-US"/>
        </w:rPr>
        <w:t>130,000</w:t>
      </w:r>
      <w:r w:rsidRPr="00D2099E">
        <w:rPr>
          <w:rFonts w:ascii="Times New Roman" w:eastAsia="Times New Roman" w:hAnsi="Times New Roman" w:cs="Times New Roman"/>
          <w:sz w:val="20"/>
          <w:szCs w:val="20"/>
          <w:lang w:val="en-US"/>
        </w:rPr>
        <w:t xml:space="preserve"> </w:t>
      </w:r>
      <w:r w:rsidR="00D05E64">
        <w:rPr>
          <w:rFonts w:ascii="Times New Roman" w:eastAsia="Times New Roman" w:hAnsi="Times New Roman" w:cs="Times New Roman"/>
          <w:sz w:val="20"/>
          <w:szCs w:val="20"/>
          <w:lang w:val="en-US"/>
        </w:rPr>
        <w:t>c</w:t>
      </w:r>
      <w:r w:rsidRPr="00D2099E">
        <w:rPr>
          <w:rFonts w:ascii="Times New Roman" w:eastAsia="Times New Roman" w:hAnsi="Times New Roman" w:cs="Times New Roman"/>
          <w:sz w:val="20"/>
          <w:szCs w:val="20"/>
          <w:lang w:val="en-US"/>
        </w:rPr>
        <w:t xml:space="preserve">ommon </w:t>
      </w:r>
      <w:r w:rsidR="00D05E64">
        <w:rPr>
          <w:rFonts w:ascii="Times New Roman" w:eastAsia="Times New Roman" w:hAnsi="Times New Roman" w:cs="Times New Roman"/>
          <w:sz w:val="20"/>
          <w:szCs w:val="20"/>
          <w:lang w:val="en-US"/>
        </w:rPr>
        <w:t>s</w:t>
      </w:r>
      <w:r w:rsidRPr="00D2099E">
        <w:rPr>
          <w:rFonts w:ascii="Times New Roman" w:eastAsia="Times New Roman" w:hAnsi="Times New Roman" w:cs="Times New Roman"/>
          <w:sz w:val="20"/>
          <w:szCs w:val="20"/>
          <w:lang w:val="en-US"/>
        </w:rPr>
        <w:t xml:space="preserve">hares for the exercise of </w:t>
      </w:r>
      <w:r>
        <w:rPr>
          <w:rFonts w:ascii="Times New Roman" w:eastAsia="Times New Roman" w:hAnsi="Times New Roman" w:cs="Times New Roman"/>
          <w:sz w:val="20"/>
          <w:szCs w:val="20"/>
          <w:lang w:val="en-US"/>
        </w:rPr>
        <w:t>100,000</w:t>
      </w:r>
      <w:r w:rsidRPr="00D2099E">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options</w:t>
      </w:r>
      <w:r w:rsidRPr="00D2099E">
        <w:rPr>
          <w:rFonts w:ascii="Times New Roman" w:eastAsia="Times New Roman" w:hAnsi="Times New Roman" w:cs="Times New Roman"/>
          <w:sz w:val="20"/>
          <w:szCs w:val="20"/>
          <w:lang w:val="en-US"/>
        </w:rPr>
        <w:t xml:space="preserve"> at $0.10 CAD</w:t>
      </w: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 xml:space="preserve">(approximately US$0.08) for </w:t>
      </w:r>
      <w:r>
        <w:rPr>
          <w:rFonts w:ascii="Times New Roman" w:eastAsia="Times New Roman" w:hAnsi="Times New Roman" w:cs="Times New Roman"/>
          <w:sz w:val="20"/>
          <w:szCs w:val="20"/>
          <w:lang w:val="en-US"/>
        </w:rPr>
        <w:t>cash</w:t>
      </w:r>
      <w:r w:rsidRPr="00D2099E">
        <w:rPr>
          <w:rFonts w:ascii="Times New Roman" w:eastAsia="Times New Roman" w:hAnsi="Times New Roman" w:cs="Times New Roman"/>
          <w:sz w:val="20"/>
          <w:szCs w:val="20"/>
          <w:lang w:val="en-US"/>
        </w:rPr>
        <w:t xml:space="preserve"> proceeds of $</w:t>
      </w:r>
      <w:r>
        <w:rPr>
          <w:rFonts w:ascii="Times New Roman" w:eastAsia="Times New Roman" w:hAnsi="Times New Roman" w:cs="Times New Roman"/>
          <w:sz w:val="20"/>
          <w:szCs w:val="20"/>
          <w:lang w:val="en-US"/>
        </w:rPr>
        <w:t xml:space="preserve">13,000 </w:t>
      </w:r>
      <w:r w:rsidRPr="00D2099E">
        <w:rPr>
          <w:rFonts w:ascii="Times New Roman" w:eastAsia="Times New Roman" w:hAnsi="Times New Roman" w:cs="Times New Roman"/>
          <w:sz w:val="20"/>
          <w:szCs w:val="20"/>
          <w:lang w:val="en-US"/>
        </w:rPr>
        <w:t>CAD (US$</w:t>
      </w:r>
      <w:r>
        <w:rPr>
          <w:rFonts w:ascii="Times New Roman" w:eastAsia="Times New Roman" w:hAnsi="Times New Roman" w:cs="Times New Roman"/>
          <w:sz w:val="20"/>
          <w:szCs w:val="20"/>
          <w:lang w:val="en-US"/>
        </w:rPr>
        <w:t>10,130</w:t>
      </w:r>
      <w:r w:rsidRPr="00D2099E">
        <w:rPr>
          <w:rFonts w:ascii="Times New Roman" w:eastAsia="Times New Roman" w:hAnsi="Times New Roman" w:cs="Times New Roman"/>
          <w:sz w:val="20"/>
          <w:szCs w:val="20"/>
          <w:lang w:val="en-US"/>
        </w:rPr>
        <w:t xml:space="preserve">). </w:t>
      </w:r>
      <w:r w:rsidR="00181BC9">
        <w:rPr>
          <w:rFonts w:ascii="Times New Roman" w:eastAsia="Times New Roman" w:hAnsi="Times New Roman" w:cs="Times New Roman"/>
          <w:sz w:val="20"/>
          <w:szCs w:val="20"/>
          <w:lang w:val="en-US"/>
        </w:rPr>
        <w:t xml:space="preserve">30,000 Common shares were issued in error. </w:t>
      </w:r>
      <w:r>
        <w:rPr>
          <w:rFonts w:ascii="Times New Roman" w:eastAsia="Times New Roman" w:hAnsi="Times New Roman" w:cs="Times New Roman"/>
          <w:sz w:val="20"/>
          <w:szCs w:val="20"/>
          <w:lang w:val="en-US"/>
        </w:rPr>
        <w:t>As a resu</w:t>
      </w:r>
      <w:r w:rsidRPr="002A00D1">
        <w:rPr>
          <w:rFonts w:ascii="Times New Roman" w:eastAsia="Times New Roman" w:hAnsi="Times New Roman" w:cs="Times New Roman"/>
          <w:sz w:val="20"/>
          <w:szCs w:val="20"/>
          <w:lang w:val="en-US"/>
        </w:rPr>
        <w:t xml:space="preserve">lt, </w:t>
      </w:r>
      <w:r w:rsidR="00DE2EE6">
        <w:rPr>
          <w:rFonts w:ascii="Times New Roman" w:eastAsia="Times New Roman" w:hAnsi="Times New Roman" w:cs="Times New Roman"/>
          <w:sz w:val="20"/>
          <w:szCs w:val="20"/>
          <w:lang w:val="en-US"/>
        </w:rPr>
        <w:t xml:space="preserve">$2,338 was recorded in shares to be cancelled, and </w:t>
      </w:r>
      <w:r w:rsidRPr="00FA430F">
        <w:rPr>
          <w:rFonts w:ascii="Times New Roman" w:eastAsia="Times New Roman" w:hAnsi="Times New Roman" w:cs="Times New Roman"/>
          <w:sz w:val="20"/>
          <w:szCs w:val="20"/>
          <w:lang w:val="en-US"/>
        </w:rPr>
        <w:t>$</w:t>
      </w:r>
      <w:r w:rsidR="00DE2EE6">
        <w:rPr>
          <w:rFonts w:ascii="Times New Roman" w:eastAsia="Times New Roman" w:hAnsi="Times New Roman" w:cs="Times New Roman"/>
          <w:sz w:val="20"/>
          <w:szCs w:val="20"/>
          <w:lang w:val="en-US"/>
        </w:rPr>
        <w:t xml:space="preserve">7,389 </w:t>
      </w:r>
      <w:r w:rsidRPr="00FA430F">
        <w:rPr>
          <w:rFonts w:ascii="Times New Roman" w:eastAsia="Times New Roman" w:hAnsi="Times New Roman" w:cs="Times New Roman"/>
          <w:sz w:val="20"/>
          <w:szCs w:val="20"/>
          <w:lang w:val="en-US"/>
        </w:rPr>
        <w:t xml:space="preserve">was transferred from </w:t>
      </w:r>
      <w:r>
        <w:rPr>
          <w:rFonts w:ascii="Times New Roman" w:eastAsia="Times New Roman" w:hAnsi="Times New Roman" w:cs="Times New Roman"/>
          <w:sz w:val="20"/>
          <w:szCs w:val="20"/>
          <w:lang w:val="en-US"/>
        </w:rPr>
        <w:t>option</w:t>
      </w:r>
      <w:r w:rsidRPr="00FA430F">
        <w:rPr>
          <w:rFonts w:ascii="Times New Roman" w:eastAsia="Times New Roman" w:hAnsi="Times New Roman" w:cs="Times New Roman"/>
          <w:sz w:val="20"/>
          <w:szCs w:val="20"/>
          <w:lang w:val="en-US"/>
        </w:rPr>
        <w:t xml:space="preserve"> reserves to </w:t>
      </w:r>
      <w:r w:rsidRPr="002A00D1">
        <w:rPr>
          <w:rFonts w:ascii="Times New Roman" w:eastAsia="Times New Roman" w:hAnsi="Times New Roman" w:cs="Times New Roman"/>
          <w:sz w:val="20"/>
          <w:szCs w:val="20"/>
          <w:lang w:val="en-US"/>
        </w:rPr>
        <w:t>common stock and share premium.</w:t>
      </w:r>
    </w:p>
    <w:p w14:paraId="5EEA1975" w14:textId="339945B2" w:rsidR="00FC0FDE" w:rsidRDefault="00FC0FDE" w:rsidP="00D2099E">
      <w:pPr>
        <w:spacing w:after="0" w:line="240" w:lineRule="auto"/>
        <w:ind w:left="360"/>
        <w:jc w:val="both"/>
        <w:rPr>
          <w:rFonts w:ascii="Times New Roman" w:eastAsia="Times New Roman" w:hAnsi="Times New Roman" w:cs="Times New Roman"/>
          <w:sz w:val="20"/>
          <w:szCs w:val="20"/>
          <w:lang w:val="en-US"/>
        </w:rPr>
      </w:pPr>
    </w:p>
    <w:p w14:paraId="339E8183" w14:textId="4A4F450A" w:rsidR="00926A3E" w:rsidRDefault="00094E13" w:rsidP="00926A3E">
      <w:pPr>
        <w:spacing w:after="0" w:line="240" w:lineRule="auto"/>
        <w:ind w:left="360"/>
        <w:jc w:val="both"/>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On June 29, 2022, the Company completed a short form prospectus</w:t>
      </w:r>
      <w:r w:rsidR="003D189B" w:rsidRPr="00064A08">
        <w:rPr>
          <w:rFonts w:ascii="Times New Roman" w:eastAsia="Times New Roman" w:hAnsi="Times New Roman" w:cs="Times New Roman"/>
          <w:sz w:val="20"/>
          <w:szCs w:val="20"/>
          <w:lang w:val="en-US"/>
        </w:rPr>
        <w:t>, issuing 72,536,900</w:t>
      </w:r>
      <w:r w:rsidRPr="00064A08">
        <w:rPr>
          <w:rFonts w:ascii="Times New Roman" w:eastAsia="Times New Roman" w:hAnsi="Times New Roman" w:cs="Times New Roman"/>
          <w:sz w:val="20"/>
          <w:szCs w:val="20"/>
          <w:lang w:val="en-US"/>
        </w:rPr>
        <w:t xml:space="preserve"> </w:t>
      </w:r>
      <w:r w:rsidR="003A0AFF">
        <w:rPr>
          <w:rFonts w:ascii="Times New Roman" w:eastAsia="Times New Roman" w:hAnsi="Times New Roman" w:cs="Times New Roman"/>
          <w:sz w:val="20"/>
          <w:szCs w:val="20"/>
          <w:lang w:val="en-US"/>
        </w:rPr>
        <w:t>u</w:t>
      </w:r>
      <w:r w:rsidRPr="00064A08">
        <w:rPr>
          <w:rFonts w:ascii="Times New Roman" w:eastAsia="Times New Roman" w:hAnsi="Times New Roman" w:cs="Times New Roman"/>
          <w:sz w:val="20"/>
          <w:szCs w:val="20"/>
          <w:lang w:val="en-US"/>
        </w:rPr>
        <w:t xml:space="preserve">nits of </w:t>
      </w:r>
      <w:r w:rsidR="003D189B" w:rsidRPr="00064A08">
        <w:rPr>
          <w:rFonts w:ascii="Times New Roman" w:eastAsia="Times New Roman" w:hAnsi="Times New Roman" w:cs="Times New Roman"/>
          <w:sz w:val="20"/>
          <w:szCs w:val="20"/>
          <w:lang w:val="en-US"/>
        </w:rPr>
        <w:t xml:space="preserve">the Company </w:t>
      </w:r>
      <w:r w:rsidRPr="00064A08">
        <w:rPr>
          <w:rFonts w:ascii="Times New Roman" w:eastAsia="Times New Roman" w:hAnsi="Times New Roman" w:cs="Times New Roman"/>
          <w:sz w:val="20"/>
          <w:szCs w:val="20"/>
          <w:lang w:val="en-US"/>
        </w:rPr>
        <w:t xml:space="preserve">at a price of $0.31 </w:t>
      </w:r>
      <w:r w:rsidR="00ED1151">
        <w:rPr>
          <w:rFonts w:ascii="Times New Roman" w:eastAsia="Times New Roman" w:hAnsi="Times New Roman" w:cs="Times New Roman"/>
          <w:sz w:val="20"/>
          <w:szCs w:val="20"/>
          <w:lang w:val="en-US"/>
        </w:rPr>
        <w:t xml:space="preserve">CAD (approximately </w:t>
      </w:r>
      <w:r w:rsidR="00ED1151" w:rsidRPr="00D2099E">
        <w:rPr>
          <w:rFonts w:ascii="Times New Roman" w:eastAsia="Times New Roman" w:hAnsi="Times New Roman" w:cs="Times New Roman"/>
          <w:sz w:val="20"/>
          <w:szCs w:val="20"/>
          <w:lang w:val="en-US"/>
        </w:rPr>
        <w:t>US$</w:t>
      </w:r>
      <w:r w:rsidR="00ED1151">
        <w:rPr>
          <w:rFonts w:ascii="Times New Roman" w:eastAsia="Times New Roman" w:hAnsi="Times New Roman" w:cs="Times New Roman"/>
          <w:sz w:val="20"/>
          <w:szCs w:val="20"/>
          <w:lang w:val="en-US"/>
        </w:rPr>
        <w:t xml:space="preserve">0.24) </w:t>
      </w:r>
      <w:r w:rsidRPr="00064A08">
        <w:rPr>
          <w:rFonts w:ascii="Times New Roman" w:eastAsia="Times New Roman" w:hAnsi="Times New Roman" w:cs="Times New Roman"/>
          <w:sz w:val="20"/>
          <w:szCs w:val="20"/>
          <w:lang w:val="en-US"/>
        </w:rPr>
        <w:t xml:space="preserve">per </w:t>
      </w:r>
      <w:r w:rsidR="003A0AFF">
        <w:rPr>
          <w:rFonts w:ascii="Times New Roman" w:eastAsia="Times New Roman" w:hAnsi="Times New Roman" w:cs="Times New Roman"/>
          <w:sz w:val="20"/>
          <w:szCs w:val="20"/>
          <w:lang w:val="en-US"/>
        </w:rPr>
        <w:t>u</w:t>
      </w:r>
      <w:r w:rsidRPr="00064A08">
        <w:rPr>
          <w:rFonts w:ascii="Times New Roman" w:eastAsia="Times New Roman" w:hAnsi="Times New Roman" w:cs="Times New Roman"/>
          <w:sz w:val="20"/>
          <w:szCs w:val="20"/>
          <w:lang w:val="en-US"/>
        </w:rPr>
        <w:t>nit for aggregate gross proceeds of up to $</w:t>
      </w:r>
      <w:r w:rsidR="003D189B" w:rsidRPr="00064A08">
        <w:rPr>
          <w:rFonts w:ascii="Times New Roman" w:eastAsia="Times New Roman" w:hAnsi="Times New Roman" w:cs="Times New Roman"/>
          <w:sz w:val="20"/>
          <w:szCs w:val="20"/>
          <w:lang w:val="en-US"/>
        </w:rPr>
        <w:t>22,486,439</w:t>
      </w:r>
      <w:r w:rsidR="00ED1151">
        <w:rPr>
          <w:rFonts w:ascii="Times New Roman" w:eastAsia="Times New Roman" w:hAnsi="Times New Roman" w:cs="Times New Roman"/>
          <w:sz w:val="20"/>
          <w:szCs w:val="20"/>
          <w:lang w:val="en-US"/>
        </w:rPr>
        <w:t xml:space="preserve"> CAD (approximately US$17,408,856)</w:t>
      </w:r>
      <w:r w:rsidRPr="00064A08">
        <w:rPr>
          <w:rFonts w:ascii="Times New Roman" w:eastAsia="Times New Roman" w:hAnsi="Times New Roman" w:cs="Times New Roman"/>
          <w:sz w:val="20"/>
          <w:szCs w:val="20"/>
          <w:lang w:val="en-US"/>
        </w:rPr>
        <w:t xml:space="preserve">. Each </w:t>
      </w:r>
      <w:r w:rsidR="003A0AFF">
        <w:rPr>
          <w:rFonts w:ascii="Times New Roman" w:eastAsia="Times New Roman" w:hAnsi="Times New Roman" w:cs="Times New Roman"/>
          <w:sz w:val="20"/>
          <w:szCs w:val="20"/>
          <w:lang w:val="en-US"/>
        </w:rPr>
        <w:t>u</w:t>
      </w:r>
      <w:r w:rsidRPr="00064A08">
        <w:rPr>
          <w:rFonts w:ascii="Times New Roman" w:eastAsia="Times New Roman" w:hAnsi="Times New Roman" w:cs="Times New Roman"/>
          <w:sz w:val="20"/>
          <w:szCs w:val="20"/>
          <w:lang w:val="en-US"/>
        </w:rPr>
        <w:t>nit consists of one common share of the Company</w:t>
      </w:r>
      <w:r w:rsidR="003D189B" w:rsidRPr="00064A08">
        <w:rPr>
          <w:rFonts w:ascii="Times New Roman" w:eastAsia="Times New Roman" w:hAnsi="Times New Roman" w:cs="Times New Roman"/>
          <w:sz w:val="20"/>
          <w:szCs w:val="20"/>
          <w:lang w:val="en-US"/>
        </w:rPr>
        <w:t xml:space="preserve"> </w:t>
      </w:r>
      <w:r w:rsidRPr="00064A08">
        <w:rPr>
          <w:rFonts w:ascii="Times New Roman" w:eastAsia="Times New Roman" w:hAnsi="Times New Roman" w:cs="Times New Roman"/>
          <w:sz w:val="20"/>
          <w:szCs w:val="20"/>
          <w:lang w:val="en-US"/>
        </w:rPr>
        <w:t xml:space="preserve">and one half of one common share purchase warrant. Each </w:t>
      </w:r>
      <w:r w:rsidR="003A0AFF">
        <w:rPr>
          <w:rFonts w:ascii="Times New Roman" w:eastAsia="Times New Roman" w:hAnsi="Times New Roman" w:cs="Times New Roman"/>
          <w:sz w:val="20"/>
          <w:szCs w:val="20"/>
          <w:lang w:val="en-US"/>
        </w:rPr>
        <w:t>w</w:t>
      </w:r>
      <w:r w:rsidRPr="00064A08">
        <w:rPr>
          <w:rFonts w:ascii="Times New Roman" w:eastAsia="Times New Roman" w:hAnsi="Times New Roman" w:cs="Times New Roman"/>
          <w:sz w:val="20"/>
          <w:szCs w:val="20"/>
          <w:lang w:val="en-US"/>
        </w:rPr>
        <w:t>arrant will be exercisable to purchase one common share of the Company at an exercise price of $0.50</w:t>
      </w:r>
      <w:r w:rsidR="00023ADD" w:rsidRPr="00064A08">
        <w:rPr>
          <w:rFonts w:ascii="Times New Roman" w:eastAsia="Times New Roman" w:hAnsi="Times New Roman" w:cs="Times New Roman"/>
          <w:sz w:val="20"/>
          <w:szCs w:val="20"/>
          <w:lang w:val="en-US"/>
        </w:rPr>
        <w:t xml:space="preserve"> CAD (approximately USD$0.39)</w:t>
      </w:r>
      <w:r w:rsidRPr="00064A08">
        <w:rPr>
          <w:rFonts w:ascii="Times New Roman" w:eastAsia="Times New Roman" w:hAnsi="Times New Roman" w:cs="Times New Roman"/>
          <w:sz w:val="20"/>
          <w:szCs w:val="20"/>
          <w:lang w:val="en-US"/>
        </w:rPr>
        <w:t xml:space="preserve"> </w:t>
      </w:r>
      <w:r w:rsidR="00926A3E" w:rsidRPr="009C7485">
        <w:rPr>
          <w:rFonts w:ascii="Times New Roman" w:eastAsia="Times New Roman" w:hAnsi="Times New Roman" w:cs="Times New Roman"/>
          <w:sz w:val="20"/>
          <w:szCs w:val="20"/>
          <w:lang w:val="en-US"/>
        </w:rPr>
        <w:t xml:space="preserve">until June 29, 2025. </w:t>
      </w:r>
      <w:r w:rsidR="003A0AFF">
        <w:rPr>
          <w:rFonts w:ascii="Times New Roman" w:eastAsia="Times New Roman" w:hAnsi="Times New Roman" w:cs="Times New Roman"/>
          <w:sz w:val="20"/>
          <w:szCs w:val="20"/>
          <w:lang w:val="en-US"/>
        </w:rPr>
        <w:t>A v</w:t>
      </w:r>
      <w:r w:rsidR="00926A3E" w:rsidRPr="009C7485">
        <w:rPr>
          <w:rFonts w:ascii="Times New Roman" w:eastAsia="Times New Roman" w:hAnsi="Times New Roman" w:cs="Times New Roman"/>
          <w:sz w:val="20"/>
          <w:szCs w:val="20"/>
          <w:lang w:val="en-US"/>
        </w:rPr>
        <w:t>alue of $0.04</w:t>
      </w:r>
      <w:r w:rsidR="003A0AFF">
        <w:rPr>
          <w:rFonts w:ascii="Times New Roman" w:eastAsia="Times New Roman" w:hAnsi="Times New Roman" w:cs="Times New Roman"/>
          <w:sz w:val="20"/>
          <w:szCs w:val="20"/>
          <w:lang w:val="en-US"/>
        </w:rPr>
        <w:t xml:space="preserve"> </w:t>
      </w:r>
      <w:r w:rsidR="00ED1151">
        <w:rPr>
          <w:rFonts w:ascii="Times New Roman" w:eastAsia="Times New Roman" w:hAnsi="Times New Roman" w:cs="Times New Roman"/>
          <w:sz w:val="20"/>
          <w:szCs w:val="20"/>
          <w:lang w:val="en-US"/>
        </w:rPr>
        <w:t xml:space="preserve">CAD </w:t>
      </w:r>
      <w:r w:rsidR="003A0AFF">
        <w:rPr>
          <w:rFonts w:ascii="Times New Roman" w:eastAsia="Times New Roman" w:hAnsi="Times New Roman" w:cs="Times New Roman"/>
          <w:sz w:val="20"/>
          <w:szCs w:val="20"/>
          <w:lang w:val="en-US"/>
        </w:rPr>
        <w:t>was</w:t>
      </w:r>
      <w:r w:rsidR="00926A3E" w:rsidRPr="009C7485">
        <w:rPr>
          <w:rFonts w:ascii="Times New Roman" w:eastAsia="Times New Roman" w:hAnsi="Times New Roman" w:cs="Times New Roman"/>
          <w:sz w:val="20"/>
          <w:szCs w:val="20"/>
          <w:lang w:val="en-US"/>
        </w:rPr>
        <w:t xml:space="preserve"> allocated to each warrant</w:t>
      </w:r>
      <w:r w:rsidR="00840A7F">
        <w:rPr>
          <w:rFonts w:ascii="Times New Roman" w:eastAsia="Times New Roman" w:hAnsi="Times New Roman" w:cs="Times New Roman"/>
          <w:sz w:val="20"/>
          <w:szCs w:val="20"/>
          <w:lang w:val="en-US"/>
        </w:rPr>
        <w:t xml:space="preserve"> based on the residual method</w:t>
      </w:r>
      <w:r w:rsidR="00926A3E" w:rsidRPr="009C7485">
        <w:rPr>
          <w:rFonts w:ascii="Times New Roman" w:eastAsia="Times New Roman" w:hAnsi="Times New Roman" w:cs="Times New Roman"/>
          <w:sz w:val="20"/>
          <w:szCs w:val="20"/>
          <w:lang w:val="en-US"/>
        </w:rPr>
        <w:t>.</w:t>
      </w:r>
    </w:p>
    <w:p w14:paraId="17E0D147" w14:textId="09F0B411" w:rsidR="009C7485" w:rsidRDefault="009C7485" w:rsidP="00926A3E">
      <w:pPr>
        <w:spacing w:after="0" w:line="240" w:lineRule="auto"/>
        <w:ind w:left="360"/>
        <w:jc w:val="both"/>
        <w:rPr>
          <w:rFonts w:ascii="Times New Roman" w:eastAsia="Times New Roman" w:hAnsi="Times New Roman" w:cs="Times New Roman"/>
          <w:sz w:val="20"/>
          <w:szCs w:val="20"/>
          <w:lang w:val="en-US"/>
        </w:rPr>
      </w:pPr>
    </w:p>
    <w:p w14:paraId="7238B375" w14:textId="77777777" w:rsidR="009C7485" w:rsidRDefault="009C7485" w:rsidP="00926A3E">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9C7485" w:rsidRPr="00CA4239" w14:paraId="613C687B" w14:textId="77777777" w:rsidTr="00B0377E">
        <w:tc>
          <w:tcPr>
            <w:tcW w:w="360" w:type="dxa"/>
            <w:hideMark/>
          </w:tcPr>
          <w:p w14:paraId="328DF70B" w14:textId="77777777" w:rsidR="009C7485" w:rsidRPr="00CA4239" w:rsidRDefault="009C7485"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3</w:t>
            </w:r>
            <w:r w:rsidRPr="00CA4239">
              <w:rPr>
                <w:rFonts w:ascii="Times New Roman" w:eastAsia="Times New Roman" w:hAnsi="Times New Roman" w:cs="Times New Roman"/>
                <w:b/>
                <w:bCs/>
                <w:sz w:val="20"/>
                <w:szCs w:val="20"/>
                <w:lang w:val="en-US"/>
              </w:rPr>
              <w:t>.</w:t>
            </w:r>
          </w:p>
        </w:tc>
        <w:tc>
          <w:tcPr>
            <w:tcW w:w="0" w:type="auto"/>
            <w:hideMark/>
          </w:tcPr>
          <w:p w14:paraId="0B4B4255" w14:textId="77777777" w:rsidR="009C7485" w:rsidRPr="00CA4239" w:rsidRDefault="009C7485"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Common Stock</w:t>
            </w:r>
            <w:r>
              <w:rPr>
                <w:rFonts w:ascii="Times New Roman" w:eastAsia="Times New Roman" w:hAnsi="Times New Roman" w:cs="Times New Roman"/>
                <w:b/>
                <w:bCs/>
                <w:sz w:val="20"/>
                <w:szCs w:val="20"/>
                <w:lang w:val="en-US"/>
              </w:rPr>
              <w:t xml:space="preserve"> (continued)</w:t>
            </w:r>
          </w:p>
        </w:tc>
      </w:tr>
    </w:tbl>
    <w:p w14:paraId="01741995" w14:textId="77777777" w:rsidR="009C7485" w:rsidRDefault="009C7485" w:rsidP="00926A3E">
      <w:pPr>
        <w:spacing w:after="0" w:line="240" w:lineRule="auto"/>
        <w:ind w:left="360"/>
        <w:jc w:val="both"/>
        <w:rPr>
          <w:rFonts w:ascii="Times New Roman" w:eastAsia="Times New Roman" w:hAnsi="Times New Roman" w:cs="Times New Roman"/>
          <w:sz w:val="20"/>
          <w:szCs w:val="20"/>
          <w:lang w:val="en-US"/>
        </w:rPr>
      </w:pPr>
    </w:p>
    <w:p w14:paraId="62FB3BB1" w14:textId="6F834CD6" w:rsidR="00926A3E" w:rsidRDefault="00926A3E" w:rsidP="00926A3E">
      <w:pPr>
        <w:spacing w:after="0" w:line="240" w:lineRule="auto"/>
        <w:ind w:left="360"/>
        <w:jc w:val="both"/>
        <w:rPr>
          <w:rFonts w:ascii="Times New Roman" w:eastAsia="Times New Roman" w:hAnsi="Times New Roman" w:cs="Times New Roman"/>
          <w:sz w:val="20"/>
          <w:szCs w:val="20"/>
          <w:lang w:val="en-US"/>
        </w:rPr>
      </w:pPr>
      <w:r w:rsidRPr="007F2074">
        <w:rPr>
          <w:rFonts w:ascii="Times New Roman" w:eastAsia="Times New Roman" w:hAnsi="Times New Roman" w:cs="Times New Roman"/>
          <w:sz w:val="20"/>
          <w:szCs w:val="20"/>
          <w:lang w:val="en-US"/>
        </w:rPr>
        <w:t>Cash finder’s fee of $</w:t>
      </w:r>
      <w:r>
        <w:rPr>
          <w:rFonts w:ascii="Times New Roman" w:eastAsia="Times New Roman" w:hAnsi="Times New Roman" w:cs="Times New Roman"/>
          <w:sz w:val="20"/>
          <w:szCs w:val="20"/>
          <w:lang w:val="en-US"/>
        </w:rPr>
        <w:t>1,</w:t>
      </w:r>
      <w:r w:rsidR="00795A83">
        <w:rPr>
          <w:rFonts w:ascii="Times New Roman" w:eastAsia="Times New Roman" w:hAnsi="Times New Roman" w:cs="Times New Roman"/>
          <w:sz w:val="20"/>
          <w:szCs w:val="20"/>
          <w:lang w:val="en-US"/>
        </w:rPr>
        <w:t>994</w:t>
      </w:r>
      <w:r>
        <w:rPr>
          <w:rFonts w:ascii="Times New Roman" w:eastAsia="Times New Roman" w:hAnsi="Times New Roman" w:cs="Times New Roman"/>
          <w:sz w:val="20"/>
          <w:szCs w:val="20"/>
          <w:lang w:val="en-US"/>
        </w:rPr>
        <w:t>,</w:t>
      </w:r>
      <w:r w:rsidR="00795A83">
        <w:rPr>
          <w:rFonts w:ascii="Times New Roman" w:eastAsia="Times New Roman" w:hAnsi="Times New Roman" w:cs="Times New Roman"/>
          <w:sz w:val="20"/>
          <w:szCs w:val="20"/>
          <w:lang w:val="en-US"/>
        </w:rPr>
        <w:t>906</w:t>
      </w:r>
      <w:r w:rsidRPr="007F2074">
        <w:rPr>
          <w:rFonts w:ascii="Times New Roman" w:eastAsia="Times New Roman" w:hAnsi="Times New Roman" w:cs="Times New Roman"/>
          <w:sz w:val="20"/>
          <w:szCs w:val="20"/>
          <w:lang w:val="en-US"/>
        </w:rPr>
        <w:t xml:space="preserve"> CAD ($</w:t>
      </w:r>
      <w:r>
        <w:rPr>
          <w:rFonts w:ascii="Times New Roman" w:eastAsia="Times New Roman" w:hAnsi="Times New Roman" w:cs="Times New Roman"/>
          <w:sz w:val="20"/>
          <w:szCs w:val="20"/>
          <w:lang w:val="en-US"/>
        </w:rPr>
        <w:t>1,</w:t>
      </w:r>
      <w:r w:rsidR="00795A83">
        <w:rPr>
          <w:rFonts w:ascii="Times New Roman" w:eastAsia="Times New Roman" w:hAnsi="Times New Roman" w:cs="Times New Roman"/>
          <w:sz w:val="20"/>
          <w:szCs w:val="20"/>
          <w:lang w:val="en-US"/>
        </w:rPr>
        <w:t>549</w:t>
      </w:r>
      <w:r>
        <w:rPr>
          <w:rFonts w:ascii="Times New Roman" w:eastAsia="Times New Roman" w:hAnsi="Times New Roman" w:cs="Times New Roman"/>
          <w:sz w:val="20"/>
          <w:szCs w:val="20"/>
          <w:lang w:val="en-US"/>
        </w:rPr>
        <w:t>,</w:t>
      </w:r>
      <w:r w:rsidR="00795A83">
        <w:rPr>
          <w:rFonts w:ascii="Times New Roman" w:eastAsia="Times New Roman" w:hAnsi="Times New Roman" w:cs="Times New Roman"/>
          <w:sz w:val="20"/>
          <w:szCs w:val="20"/>
          <w:lang w:val="en-US"/>
        </w:rPr>
        <w:t>196</w:t>
      </w:r>
      <w:r w:rsidRPr="007F2074">
        <w:rPr>
          <w:rFonts w:ascii="Times New Roman" w:eastAsia="Times New Roman" w:hAnsi="Times New Roman" w:cs="Times New Roman"/>
          <w:sz w:val="20"/>
          <w:szCs w:val="20"/>
          <w:lang w:val="en-US"/>
        </w:rPr>
        <w:t xml:space="preserve"> USD) were </w:t>
      </w:r>
      <w:proofErr w:type="gramStart"/>
      <w:r w:rsidRPr="007F2074">
        <w:rPr>
          <w:rFonts w:ascii="Times New Roman" w:eastAsia="Times New Roman" w:hAnsi="Times New Roman" w:cs="Times New Roman"/>
          <w:sz w:val="20"/>
          <w:szCs w:val="20"/>
          <w:lang w:val="en-US"/>
        </w:rPr>
        <w:t>paid</w:t>
      </w:r>
      <w:proofErr w:type="gramEnd"/>
      <w:r w:rsidRPr="007F2074">
        <w:rPr>
          <w:rFonts w:ascii="Times New Roman" w:eastAsia="Times New Roman" w:hAnsi="Times New Roman" w:cs="Times New Roman"/>
          <w:sz w:val="20"/>
          <w:szCs w:val="20"/>
          <w:lang w:val="en-US"/>
        </w:rPr>
        <w:t xml:space="preserve"> and </w:t>
      </w:r>
      <w:r>
        <w:rPr>
          <w:rFonts w:ascii="Times New Roman" w:eastAsia="Times New Roman" w:hAnsi="Times New Roman" w:cs="Times New Roman"/>
          <w:sz w:val="20"/>
          <w:szCs w:val="20"/>
          <w:lang w:val="en-US"/>
        </w:rPr>
        <w:t>4,251,440</w:t>
      </w:r>
      <w:r w:rsidRPr="007F2074">
        <w:rPr>
          <w:rFonts w:ascii="Times New Roman" w:eastAsia="Times New Roman" w:hAnsi="Times New Roman" w:cs="Times New Roman"/>
          <w:sz w:val="20"/>
          <w:szCs w:val="20"/>
          <w:lang w:val="en-US"/>
        </w:rPr>
        <w:t xml:space="preserve"> finder’s warrants were issued </w:t>
      </w:r>
      <w:r w:rsidRPr="00AA0D46">
        <w:rPr>
          <w:rFonts w:ascii="Times New Roman" w:eastAsia="Times New Roman" w:hAnsi="Times New Roman" w:cs="Times New Roman"/>
          <w:sz w:val="20"/>
          <w:szCs w:val="20"/>
          <w:lang w:val="en-US"/>
        </w:rPr>
        <w:t>with a fair value of $</w:t>
      </w:r>
      <w:r>
        <w:rPr>
          <w:rFonts w:ascii="Times New Roman" w:eastAsia="Times New Roman" w:hAnsi="Times New Roman" w:cs="Times New Roman"/>
          <w:sz w:val="20"/>
          <w:szCs w:val="20"/>
          <w:lang w:val="en-US"/>
        </w:rPr>
        <w:t>1,014,290</w:t>
      </w:r>
      <w:r w:rsidRPr="00AA0D46">
        <w:rPr>
          <w:rFonts w:ascii="Times New Roman" w:eastAsia="Times New Roman" w:hAnsi="Times New Roman" w:cs="Times New Roman"/>
          <w:sz w:val="20"/>
          <w:szCs w:val="20"/>
          <w:lang w:val="en-US"/>
        </w:rPr>
        <w:t xml:space="preserve"> CAD ($</w:t>
      </w:r>
      <w:r w:rsidR="00023ADD">
        <w:rPr>
          <w:rFonts w:ascii="Times New Roman" w:eastAsia="Times New Roman" w:hAnsi="Times New Roman" w:cs="Times New Roman"/>
          <w:sz w:val="20"/>
          <w:szCs w:val="20"/>
          <w:lang w:val="en-US"/>
        </w:rPr>
        <w:t>787,785</w:t>
      </w:r>
      <w:r w:rsidRPr="00AA0D46">
        <w:rPr>
          <w:rFonts w:ascii="Times New Roman" w:eastAsia="Times New Roman" w:hAnsi="Times New Roman" w:cs="Times New Roman"/>
          <w:sz w:val="20"/>
          <w:szCs w:val="20"/>
          <w:lang w:val="en-US"/>
        </w:rPr>
        <w:t xml:space="preserve"> USD). The finder’s warrants </w:t>
      </w:r>
      <w:r w:rsidR="00023ADD">
        <w:rPr>
          <w:rFonts w:ascii="Times New Roman" w:eastAsia="Times New Roman" w:hAnsi="Times New Roman" w:cs="Times New Roman"/>
          <w:sz w:val="20"/>
          <w:szCs w:val="20"/>
          <w:lang w:val="en-US"/>
        </w:rPr>
        <w:t>are exercisable to purchase one common shares of the Company at an exercise price of $0.31 CAD (approximately USD$0.24) until June 29, 2025.</w:t>
      </w:r>
    </w:p>
    <w:p w14:paraId="3675EC13" w14:textId="5B2DECBC" w:rsidR="00094E13" w:rsidRPr="00D95CAB" w:rsidRDefault="00094E13" w:rsidP="00064A08">
      <w:pPr>
        <w:spacing w:after="0" w:line="240" w:lineRule="auto"/>
        <w:ind w:left="360"/>
        <w:jc w:val="both"/>
        <w:rPr>
          <w:sz w:val="20"/>
        </w:rPr>
      </w:pPr>
    </w:p>
    <w:p w14:paraId="1A139F4C" w14:textId="77777777" w:rsidR="00DE2EE6" w:rsidRPr="00D2099E" w:rsidRDefault="00DE2EE6" w:rsidP="00D2099E">
      <w:pPr>
        <w:spacing w:after="0" w:line="240" w:lineRule="auto"/>
        <w:ind w:left="360"/>
        <w:jc w:val="both"/>
        <w:rPr>
          <w:rFonts w:ascii="Times New Roman" w:eastAsia="Times New Roman" w:hAnsi="Times New Roman" w:cs="Times New Roman"/>
          <w:sz w:val="20"/>
          <w:szCs w:val="20"/>
          <w:lang w:val="en-US"/>
        </w:rPr>
      </w:pPr>
    </w:p>
    <w:p w14:paraId="43161B0F" w14:textId="1EC9645D"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i/>
          <w:iCs/>
          <w:sz w:val="20"/>
          <w:szCs w:val="20"/>
          <w:lang w:val="en-US"/>
        </w:rPr>
        <w:t xml:space="preserve">For the </w:t>
      </w:r>
      <w:r w:rsidR="000C3975">
        <w:rPr>
          <w:rFonts w:ascii="Times New Roman" w:eastAsia="Times New Roman" w:hAnsi="Times New Roman" w:cs="Times New Roman"/>
          <w:i/>
          <w:iCs/>
          <w:sz w:val="20"/>
          <w:szCs w:val="20"/>
          <w:lang w:val="en-US"/>
        </w:rPr>
        <w:t>six</w:t>
      </w:r>
      <w:r w:rsidR="00C52CE0">
        <w:rPr>
          <w:rFonts w:ascii="Times New Roman" w:eastAsia="Times New Roman" w:hAnsi="Times New Roman" w:cs="Times New Roman"/>
          <w:i/>
          <w:iCs/>
          <w:sz w:val="20"/>
          <w:szCs w:val="20"/>
          <w:lang w:val="en-US"/>
        </w:rPr>
        <w:t xml:space="preserve"> months ended </w:t>
      </w:r>
      <w:r w:rsidR="000C3975">
        <w:rPr>
          <w:rFonts w:ascii="Times New Roman" w:eastAsia="Times New Roman" w:hAnsi="Times New Roman" w:cs="Times New Roman"/>
          <w:i/>
          <w:iCs/>
          <w:sz w:val="20"/>
          <w:szCs w:val="20"/>
          <w:lang w:val="en-US"/>
        </w:rPr>
        <w:t>June 30</w:t>
      </w:r>
      <w:r w:rsidR="00C52CE0">
        <w:rPr>
          <w:rFonts w:ascii="Times New Roman" w:eastAsia="Times New Roman" w:hAnsi="Times New Roman" w:cs="Times New Roman"/>
          <w:i/>
          <w:iCs/>
          <w:sz w:val="20"/>
          <w:szCs w:val="20"/>
          <w:lang w:val="en-US"/>
        </w:rPr>
        <w:t>, 2021</w:t>
      </w:r>
    </w:p>
    <w:p w14:paraId="4218F7E0"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5A4BBAF" w14:textId="77777777" w:rsidR="000C3975" w:rsidRDefault="000C3975" w:rsidP="00D2099E">
      <w:pPr>
        <w:spacing w:after="0" w:line="240" w:lineRule="auto"/>
        <w:ind w:left="360"/>
        <w:jc w:val="both"/>
        <w:rPr>
          <w:rFonts w:ascii="Times New Roman" w:eastAsia="Times New Roman" w:hAnsi="Times New Roman" w:cs="Times New Roman"/>
          <w:sz w:val="20"/>
          <w:szCs w:val="20"/>
          <w:lang w:val="en-US"/>
        </w:rPr>
      </w:pPr>
    </w:p>
    <w:p w14:paraId="52EA15A7" w14:textId="66A29115"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On March 8, 2021, the Company closed a non-brokered private placement financing for aggregate gross proceeds of $481,350 CAD (approximately US$400,792) (the “March Offering”). Under the March Offering, the </w:t>
      </w:r>
      <w:r w:rsidR="0030020F">
        <w:rPr>
          <w:rFonts w:ascii="Times New Roman" w:eastAsia="Times New Roman" w:hAnsi="Times New Roman" w:cs="Times New Roman"/>
          <w:sz w:val="20"/>
          <w:szCs w:val="20"/>
          <w:lang w:val="en-US"/>
        </w:rPr>
        <w:t>Company</w:t>
      </w:r>
      <w:r w:rsidR="0030020F" w:rsidRPr="00D2099E">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issued an aggregate of 8,015,832 units, at a price of $0.06 CAD per unit (approximately US$0.05 per unit). Each unit was comprised of one Common Share and one-half of one share purchase warrant. Each warrant entitles the holder to purchase one Common Share at a price of $0.10 CAD (approximately $0.08) for a period of 30 months from the closing date.</w:t>
      </w:r>
    </w:p>
    <w:p w14:paraId="794D9A3B"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122BF39"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8, 2021, the Company settled a total of $265,000 CAD (US$</w:t>
      </w:r>
      <w:bookmarkStart w:id="7" w:name="OLE_LINK2"/>
      <w:r w:rsidRPr="00D2099E">
        <w:rPr>
          <w:rFonts w:ascii="Times New Roman" w:eastAsia="Times New Roman" w:hAnsi="Times New Roman" w:cs="Times New Roman"/>
          <w:sz w:val="20"/>
          <w:szCs w:val="20"/>
          <w:lang w:val="en-US"/>
        </w:rPr>
        <w:t>220,833</w:t>
      </w:r>
      <w:bookmarkEnd w:id="7"/>
      <w:r w:rsidRPr="00D2099E">
        <w:rPr>
          <w:rFonts w:ascii="Times New Roman" w:eastAsia="Times New Roman" w:hAnsi="Times New Roman" w:cs="Times New Roman"/>
          <w:sz w:val="20"/>
          <w:szCs w:val="20"/>
          <w:lang w:val="en-US"/>
        </w:rPr>
        <w:t>) in outstanding debt through the issuance to a creditor of 4,416,667 units, at a price of $0.06 CAD (US$0.05) per unit. Each unit issued in the Debt Settlement consists of one Common Share and one warrant under the same terms as the March Offering.</w:t>
      </w:r>
    </w:p>
    <w:p w14:paraId="1D0EB5DE"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863B60D"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8, 2021, the Company closed a private placement for aggregate proceeds of $235,808 (the “US Private Placement”). Under the US Private Placement, the corporation issued an aggregate of 4,716,160 units at a price of $0.05 per unit. Each unit was comprised of one Common Share and one-half of one share purchase warrant. Each warrant entitles the holder to purchase one Common Share at a price of $0.08 for a period of 30 months from the closing date.</w:t>
      </w:r>
    </w:p>
    <w:p w14:paraId="044BF79A"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p>
    <w:p w14:paraId="7166917B" w14:textId="0AF1A693"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On March 8, 2021, </w:t>
      </w:r>
      <w:r w:rsidR="001D23EB">
        <w:rPr>
          <w:rFonts w:ascii="Times New Roman" w:eastAsia="Times New Roman" w:hAnsi="Times New Roman" w:cs="Times New Roman"/>
          <w:sz w:val="20"/>
          <w:szCs w:val="20"/>
          <w:lang w:val="en-US"/>
        </w:rPr>
        <w:t xml:space="preserve">convertible </w:t>
      </w:r>
      <w:r w:rsidRPr="00D2099E">
        <w:rPr>
          <w:rFonts w:ascii="Times New Roman" w:eastAsia="Times New Roman" w:hAnsi="Times New Roman" w:cs="Times New Roman"/>
          <w:sz w:val="20"/>
          <w:szCs w:val="20"/>
          <w:lang w:val="en-US"/>
        </w:rPr>
        <w:t>debt in the principal amount of $112,500 CAD (US$89,198) was converted to 1,500,000 units at $0.075 CAD per unit (approximately US$0.06). Each unit issued consists of one Common Share and one warrant. Each warrant entitles the holder to purchase one Common Share at a price of US$0.10 for a period of 24 months from the closing date.</w:t>
      </w:r>
    </w:p>
    <w:p w14:paraId="00C29527" w14:textId="0C8AD39F" w:rsidR="001C26F6" w:rsidRDefault="00D2099E" w:rsidP="00064A08">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C1CCDBB" w14:textId="77777777" w:rsidR="00E93BF1" w:rsidRPr="00D2099E" w:rsidRDefault="00E93BF1" w:rsidP="00E93BF1">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On March 30, 2021, </w:t>
      </w:r>
      <w:r>
        <w:rPr>
          <w:rFonts w:ascii="Times New Roman" w:eastAsia="Times New Roman" w:hAnsi="Times New Roman" w:cs="Times New Roman"/>
          <w:sz w:val="20"/>
          <w:szCs w:val="20"/>
          <w:lang w:val="en-US"/>
        </w:rPr>
        <w:t xml:space="preserve">convertible </w:t>
      </w:r>
      <w:r w:rsidRPr="00D2099E">
        <w:rPr>
          <w:rFonts w:ascii="Times New Roman" w:eastAsia="Times New Roman" w:hAnsi="Times New Roman" w:cs="Times New Roman"/>
          <w:sz w:val="20"/>
          <w:szCs w:val="20"/>
          <w:lang w:val="en-US"/>
        </w:rPr>
        <w:t>debt in the principal amount of $37,500 CAD (US$29,528) and accrued interest of $12,000 CAD (US$9,478) was converted to 660,000 units at $0.075 CAD per unit (approximately US$0.06). Each unit issued consists of one Common Share and one warrant. Each warrant entitles the holder to purchase one Common Share at a price of US$0.10 for a period of 24 months from the closing date.</w:t>
      </w:r>
    </w:p>
    <w:p w14:paraId="380D5793" w14:textId="77777777" w:rsidR="00E93BF1" w:rsidRPr="00D2099E" w:rsidRDefault="00E93BF1" w:rsidP="00E93BF1">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72E577AB" w14:textId="77777777" w:rsidR="00E93BF1" w:rsidRPr="00D2099E" w:rsidRDefault="00E93BF1" w:rsidP="00E93BF1">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30, 2021, the Company granted 150,000 restricted share units which vested immediately. In connection with the grant, 150,000 Common Shares with a fair value of $36,900 were issued.</w:t>
      </w:r>
    </w:p>
    <w:p w14:paraId="682CD015" w14:textId="77777777" w:rsidR="00E93BF1" w:rsidRPr="00D2099E" w:rsidRDefault="00E93BF1" w:rsidP="00E93BF1">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A37A44D" w14:textId="77777777" w:rsidR="00E93BF1" w:rsidRPr="00D2099E" w:rsidRDefault="00E93BF1" w:rsidP="00E93BF1">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30, 2021, the Company issued 3,304,600 Common Shares for the exercise of warrants at $0.10 for gross proceeds of $330,460.</w:t>
      </w:r>
    </w:p>
    <w:p w14:paraId="63A6DC50" w14:textId="77777777" w:rsidR="00E93BF1" w:rsidRPr="00D2099E" w:rsidRDefault="00E93BF1" w:rsidP="00E93BF1">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35EC7B3" w14:textId="77777777" w:rsidR="00E93BF1" w:rsidRPr="00D2099E" w:rsidRDefault="00E93BF1" w:rsidP="00E93BF1">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30, 2021, the Company issued 150,000 Common Shares for the exercise of options at $0.18 for gross proceeds of $27,358. In addition, the Company also issued 600,000 Common Shares for the exercise of options. In lieu of cash, the Company settled $109,427 of outstanding debt.</w:t>
      </w:r>
    </w:p>
    <w:p w14:paraId="223E0129" w14:textId="77777777" w:rsidR="00E93BF1" w:rsidRDefault="00E93BF1" w:rsidP="00D2099E">
      <w:pPr>
        <w:spacing w:after="0" w:line="240" w:lineRule="auto"/>
        <w:ind w:left="360"/>
        <w:jc w:val="both"/>
        <w:rPr>
          <w:rFonts w:ascii="Times New Roman" w:eastAsia="Times New Roman" w:hAnsi="Times New Roman" w:cs="Times New Roman"/>
          <w:sz w:val="20"/>
          <w:szCs w:val="20"/>
          <w:lang w:val="en-US"/>
        </w:rPr>
      </w:pPr>
    </w:p>
    <w:p w14:paraId="31492C2B" w14:textId="4950223B"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30, 2021, the Company issued 400,000 Common Shares for the exercise of 400,000 warrants</w:t>
      </w:r>
      <w:r w:rsidR="00FD5F43">
        <w:rPr>
          <w:rFonts w:ascii="Times New Roman" w:eastAsia="Times New Roman" w:hAnsi="Times New Roman" w:cs="Times New Roman"/>
          <w:sz w:val="20"/>
          <w:szCs w:val="20"/>
          <w:lang w:val="en-US"/>
        </w:rPr>
        <w:t xml:space="preserve"> at $0.12 CAD (approximately US$0.10)</w:t>
      </w:r>
      <w:r w:rsidRPr="00D2099E">
        <w:rPr>
          <w:rFonts w:ascii="Times New Roman" w:eastAsia="Times New Roman" w:hAnsi="Times New Roman" w:cs="Times New Roman"/>
          <w:sz w:val="20"/>
          <w:szCs w:val="20"/>
          <w:lang w:val="en-US"/>
        </w:rPr>
        <w:t>, with a fair value of $98,400 to settle long-term notes payable in the amount of $38,062. The Company recognized the loss on settlement of debt of $</w:t>
      </w:r>
      <w:bookmarkStart w:id="8" w:name="OLE_LINK3"/>
      <w:r w:rsidRPr="00D2099E">
        <w:rPr>
          <w:rFonts w:ascii="Times New Roman" w:eastAsia="Times New Roman" w:hAnsi="Times New Roman" w:cs="Times New Roman"/>
          <w:sz w:val="20"/>
          <w:szCs w:val="20"/>
          <w:lang w:val="en-US"/>
        </w:rPr>
        <w:t>60,338</w:t>
      </w:r>
      <w:bookmarkEnd w:id="8"/>
      <w:r w:rsidRPr="00D2099E">
        <w:rPr>
          <w:rFonts w:ascii="Times New Roman" w:eastAsia="Times New Roman" w:hAnsi="Times New Roman" w:cs="Times New Roman"/>
          <w:sz w:val="20"/>
          <w:szCs w:val="20"/>
          <w:lang w:val="en-US"/>
        </w:rPr>
        <w:t>.</w:t>
      </w:r>
    </w:p>
    <w:p w14:paraId="5F304E80"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2F662D9" w14:textId="77777777" w:rsidR="009C7485" w:rsidRDefault="009C7485" w:rsidP="00D2099E">
      <w:pPr>
        <w:spacing w:after="0" w:line="240" w:lineRule="auto"/>
        <w:ind w:left="360"/>
        <w:jc w:val="both"/>
        <w:rPr>
          <w:rFonts w:ascii="Times New Roman" w:eastAsia="Times New Roman" w:hAnsi="Times New Roman" w:cs="Times New Roman"/>
          <w:sz w:val="20"/>
          <w:szCs w:val="20"/>
          <w:lang w:val="en-US"/>
        </w:rPr>
      </w:pPr>
    </w:p>
    <w:p w14:paraId="4AFEC342" w14:textId="5A54880D" w:rsidR="009C7485" w:rsidRDefault="009C7485" w:rsidP="00D2099E">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9C7485" w:rsidRPr="00CA4239" w14:paraId="66A83491" w14:textId="77777777" w:rsidTr="00B0377E">
        <w:tc>
          <w:tcPr>
            <w:tcW w:w="360" w:type="dxa"/>
            <w:hideMark/>
          </w:tcPr>
          <w:p w14:paraId="219A93AD" w14:textId="77777777" w:rsidR="009C7485" w:rsidRPr="00CA4239" w:rsidRDefault="009C7485"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3</w:t>
            </w:r>
            <w:r w:rsidRPr="00CA4239">
              <w:rPr>
                <w:rFonts w:ascii="Times New Roman" w:eastAsia="Times New Roman" w:hAnsi="Times New Roman" w:cs="Times New Roman"/>
                <w:b/>
                <w:bCs/>
                <w:sz w:val="20"/>
                <w:szCs w:val="20"/>
                <w:lang w:val="en-US"/>
              </w:rPr>
              <w:t>.</w:t>
            </w:r>
          </w:p>
        </w:tc>
        <w:tc>
          <w:tcPr>
            <w:tcW w:w="0" w:type="auto"/>
            <w:hideMark/>
          </w:tcPr>
          <w:p w14:paraId="422027EB" w14:textId="77777777" w:rsidR="009C7485" w:rsidRPr="00CA4239" w:rsidRDefault="009C7485"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Common Stock</w:t>
            </w:r>
            <w:r>
              <w:rPr>
                <w:rFonts w:ascii="Times New Roman" w:eastAsia="Times New Roman" w:hAnsi="Times New Roman" w:cs="Times New Roman"/>
                <w:b/>
                <w:bCs/>
                <w:sz w:val="20"/>
                <w:szCs w:val="20"/>
                <w:lang w:val="en-US"/>
              </w:rPr>
              <w:t xml:space="preserve"> (continued)</w:t>
            </w:r>
          </w:p>
        </w:tc>
      </w:tr>
    </w:tbl>
    <w:p w14:paraId="77F43528" w14:textId="77777777" w:rsidR="009C7485" w:rsidRDefault="009C7485" w:rsidP="00D2099E">
      <w:pPr>
        <w:spacing w:after="0" w:line="240" w:lineRule="auto"/>
        <w:ind w:left="360"/>
        <w:jc w:val="both"/>
        <w:rPr>
          <w:rFonts w:ascii="Times New Roman" w:eastAsia="Times New Roman" w:hAnsi="Times New Roman" w:cs="Times New Roman"/>
          <w:sz w:val="20"/>
          <w:szCs w:val="20"/>
          <w:lang w:val="en-US"/>
        </w:rPr>
      </w:pPr>
    </w:p>
    <w:p w14:paraId="5B407F62" w14:textId="6C7476CF"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30, 2021, the Company issued 1,684,428 Common Shares with a fair value of $396,108 for services provided.</w:t>
      </w:r>
    </w:p>
    <w:p w14:paraId="5463A83E"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E3A43F8" w14:textId="4FA16462"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March 30, 2021, the Company issued 190,000 Common Shares with a fair value of $41,608 to settle debt of $8,602. A loss of $</w:t>
      </w:r>
      <w:bookmarkStart w:id="9" w:name="OLE_LINK4"/>
      <w:r w:rsidRPr="00D2099E">
        <w:rPr>
          <w:rFonts w:ascii="Times New Roman" w:eastAsia="Times New Roman" w:hAnsi="Times New Roman" w:cs="Times New Roman"/>
          <w:sz w:val="20"/>
          <w:szCs w:val="20"/>
          <w:lang w:val="en-US"/>
        </w:rPr>
        <w:t xml:space="preserve">33,006 </w:t>
      </w:r>
      <w:bookmarkEnd w:id="9"/>
      <w:r w:rsidRPr="00D2099E">
        <w:rPr>
          <w:rFonts w:ascii="Times New Roman" w:eastAsia="Times New Roman" w:hAnsi="Times New Roman" w:cs="Times New Roman"/>
          <w:sz w:val="20"/>
          <w:szCs w:val="20"/>
          <w:lang w:val="en-US"/>
        </w:rPr>
        <w:t>was recognized pursuant to the issuance.</w:t>
      </w:r>
    </w:p>
    <w:p w14:paraId="7D94ED9F" w14:textId="4E3B56B3" w:rsidR="000C3975" w:rsidRDefault="000C3975" w:rsidP="00D2099E">
      <w:pPr>
        <w:spacing w:after="0" w:line="240" w:lineRule="auto"/>
        <w:ind w:left="360"/>
        <w:jc w:val="both"/>
        <w:rPr>
          <w:rFonts w:ascii="Times New Roman" w:eastAsia="Times New Roman" w:hAnsi="Times New Roman" w:cs="Times New Roman"/>
          <w:sz w:val="20"/>
          <w:szCs w:val="20"/>
          <w:lang w:val="en-US"/>
        </w:rPr>
      </w:pPr>
    </w:p>
    <w:p w14:paraId="7CDDDB07"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April 16, 2021, the Company issued 1,000,000 Common Shares for the exercise of 1,000,000 warrants at $0.12 CAD (approximately US$0.10). In lieu of cash, debt in the amount of $120,000 CAD (US$95,959) was settled.</w:t>
      </w:r>
    </w:p>
    <w:p w14:paraId="6628A82E" w14:textId="77777777" w:rsidR="000C3975" w:rsidRPr="00D2099E" w:rsidRDefault="000C3975" w:rsidP="000C39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40C8EAAA"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April 16, 2021, the Company issued 600,000 Common Shares with a fair value of $188,729 for services provided.</w:t>
      </w:r>
    </w:p>
    <w:p w14:paraId="76DF628E" w14:textId="77777777" w:rsidR="000C3975" w:rsidRPr="00D2099E" w:rsidRDefault="000C3975" w:rsidP="000C3975">
      <w:pPr>
        <w:spacing w:after="0" w:line="240" w:lineRule="auto"/>
        <w:ind w:firstLine="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72D4E9E1"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April 16, 2021, the Company issued 75,000 Common Shares with a fair value of $23,989 to settle accounts payable in the same amount.</w:t>
      </w:r>
    </w:p>
    <w:p w14:paraId="6D1D4629" w14:textId="77777777" w:rsidR="000C3975" w:rsidRPr="00D2099E" w:rsidRDefault="000C3975" w:rsidP="000C39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719829E"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April 16, 2021, the Company issued 150,000 Common Shares with a fair value of $43,549 to settle debt in the amount of $7,908. A loss of $</w:t>
      </w:r>
      <w:bookmarkStart w:id="10" w:name="OLE_LINK5"/>
      <w:r w:rsidRPr="00D2099E">
        <w:rPr>
          <w:rFonts w:ascii="Times New Roman" w:eastAsia="Times New Roman" w:hAnsi="Times New Roman" w:cs="Times New Roman"/>
          <w:sz w:val="20"/>
          <w:szCs w:val="20"/>
          <w:lang w:val="en-US"/>
        </w:rPr>
        <w:t xml:space="preserve">36,451 </w:t>
      </w:r>
      <w:bookmarkEnd w:id="10"/>
      <w:r w:rsidRPr="00D2099E">
        <w:rPr>
          <w:rFonts w:ascii="Times New Roman" w:eastAsia="Times New Roman" w:hAnsi="Times New Roman" w:cs="Times New Roman"/>
          <w:sz w:val="20"/>
          <w:szCs w:val="20"/>
          <w:lang w:val="en-US"/>
        </w:rPr>
        <w:t>was recognized pursuant to the issuance.</w:t>
      </w:r>
    </w:p>
    <w:p w14:paraId="48B49448" w14:textId="77777777" w:rsidR="000C3975" w:rsidRPr="00D2099E" w:rsidRDefault="000C3975" w:rsidP="000C39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2A9606D" w14:textId="7088D75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April 28, 2021, the Company issued 1,</w:t>
      </w:r>
      <w:r>
        <w:rPr>
          <w:rFonts w:ascii="Times New Roman" w:eastAsia="Times New Roman" w:hAnsi="Times New Roman" w:cs="Times New Roman"/>
          <w:sz w:val="20"/>
          <w:szCs w:val="20"/>
          <w:lang w:val="en-US"/>
        </w:rPr>
        <w:t>360</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200</w:t>
      </w:r>
      <w:r w:rsidRPr="00D2099E">
        <w:rPr>
          <w:rFonts w:ascii="Times New Roman" w:eastAsia="Times New Roman" w:hAnsi="Times New Roman" w:cs="Times New Roman"/>
          <w:sz w:val="20"/>
          <w:szCs w:val="20"/>
          <w:lang w:val="en-US"/>
        </w:rPr>
        <w:t xml:space="preserve"> Common Shares at $0.12 CAD (approximately US$0.10) per share for gross proceeds of $16</w:t>
      </w:r>
      <w:r>
        <w:rPr>
          <w:rFonts w:ascii="Times New Roman" w:eastAsia="Times New Roman" w:hAnsi="Times New Roman" w:cs="Times New Roman"/>
          <w:sz w:val="20"/>
          <w:szCs w:val="20"/>
          <w:lang w:val="en-US"/>
        </w:rPr>
        <w:t>9</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776</w:t>
      </w:r>
      <w:r w:rsidRPr="00D2099E">
        <w:rPr>
          <w:rFonts w:ascii="Times New Roman" w:eastAsia="Times New Roman" w:hAnsi="Times New Roman" w:cs="Times New Roman"/>
          <w:sz w:val="20"/>
          <w:szCs w:val="20"/>
          <w:lang w:val="en-US"/>
        </w:rPr>
        <w:t xml:space="preserve"> CAD (US$13</w:t>
      </w:r>
      <w:r>
        <w:rPr>
          <w:rFonts w:ascii="Times New Roman" w:eastAsia="Times New Roman" w:hAnsi="Times New Roman" w:cs="Times New Roman"/>
          <w:sz w:val="20"/>
          <w:szCs w:val="20"/>
          <w:lang w:val="en-US"/>
        </w:rPr>
        <w:t>5</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670</w:t>
      </w:r>
      <w:r w:rsidRPr="00D2099E">
        <w:rPr>
          <w:rFonts w:ascii="Times New Roman" w:eastAsia="Times New Roman" w:hAnsi="Times New Roman" w:cs="Times New Roman"/>
          <w:sz w:val="20"/>
          <w:szCs w:val="20"/>
          <w:lang w:val="en-US"/>
        </w:rPr>
        <w:t>) relating to the exercise of 1,</w:t>
      </w:r>
      <w:r>
        <w:rPr>
          <w:rFonts w:ascii="Times New Roman" w:eastAsia="Times New Roman" w:hAnsi="Times New Roman" w:cs="Times New Roman"/>
          <w:sz w:val="20"/>
          <w:szCs w:val="20"/>
          <w:lang w:val="en-US"/>
        </w:rPr>
        <w:t>360</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200</w:t>
      </w:r>
      <w:r w:rsidRPr="00D2099E">
        <w:rPr>
          <w:rFonts w:ascii="Times New Roman" w:eastAsia="Times New Roman" w:hAnsi="Times New Roman" w:cs="Times New Roman"/>
          <w:sz w:val="20"/>
          <w:szCs w:val="20"/>
          <w:lang w:val="en-US"/>
        </w:rPr>
        <w:t xml:space="preserve"> warrants.</w:t>
      </w:r>
      <w:r>
        <w:rPr>
          <w:rFonts w:ascii="Times New Roman" w:eastAsia="Times New Roman" w:hAnsi="Times New Roman" w:cs="Times New Roman"/>
          <w:sz w:val="20"/>
          <w:szCs w:val="20"/>
          <w:lang w:val="en-US"/>
        </w:rPr>
        <w:t xml:space="preserve"> </w:t>
      </w:r>
    </w:p>
    <w:p w14:paraId="46E5205F" w14:textId="77777777" w:rsidR="000C3975" w:rsidRPr="00D2099E" w:rsidRDefault="000C3975" w:rsidP="000C39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F17B021"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April 28, 2021, the Company issued 30,000 Common Shares at $0.10 CAD (approximately US$0.08) per share for gross proceeds of $3,000 CAD (US$2,403) relating to the exercise of 30,000 options.</w:t>
      </w:r>
    </w:p>
    <w:p w14:paraId="2ACCD71A"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F64D69E"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April 28, 2021, the Company issued 346,163 Common Shares with a fair value of $</w:t>
      </w:r>
      <w:bookmarkStart w:id="11" w:name="OLE_LINK6"/>
      <w:r w:rsidRPr="00D2099E">
        <w:rPr>
          <w:rFonts w:ascii="Times New Roman" w:eastAsia="Times New Roman" w:hAnsi="Times New Roman" w:cs="Times New Roman"/>
          <w:sz w:val="20"/>
          <w:szCs w:val="20"/>
          <w:lang w:val="en-US"/>
        </w:rPr>
        <w:t xml:space="preserve">85,739 </w:t>
      </w:r>
      <w:bookmarkEnd w:id="11"/>
      <w:r w:rsidRPr="00D2099E">
        <w:rPr>
          <w:rFonts w:ascii="Times New Roman" w:eastAsia="Times New Roman" w:hAnsi="Times New Roman" w:cs="Times New Roman"/>
          <w:sz w:val="20"/>
          <w:szCs w:val="20"/>
          <w:lang w:val="en-US"/>
        </w:rPr>
        <w:t>for services provided.</w:t>
      </w:r>
    </w:p>
    <w:p w14:paraId="2A8A1A88"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F28908D"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June 28, 2021, the Company issued 135,000 Common Shares for the exercise of 145,000 warrants at prices ranging from $0.10 CAD - $0.12 CAD (approximately US$0.08 – US$0.10) for gross proceeds of $16,500 CAD (US$12,438). On September 8, 2021, the remaining 10,000 common shares were issued.</w:t>
      </w:r>
    </w:p>
    <w:p w14:paraId="223E2D18"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p>
    <w:p w14:paraId="4654AA37"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June 28, 2021, the Company issued 150,000 Common Shares with a fair value of $36,939 to settle accounts payable in the same amount.</w:t>
      </w:r>
    </w:p>
    <w:p w14:paraId="3912D82C"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22FBE1CF"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June 28, 2021, the Company issued 25,000 Common Shares with a fair value of $5,210 to settle debt in the amount of $1,101. A loss of $4,107 was recognized pursuant to the issuance.</w:t>
      </w:r>
    </w:p>
    <w:p w14:paraId="3412832A" w14:textId="77777777" w:rsidR="000C3975" w:rsidRPr="00D2099E" w:rsidRDefault="000C3975" w:rsidP="000C397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5579DD3A" w14:textId="0B4470A4" w:rsidR="000C3975" w:rsidRPr="00D2099E" w:rsidRDefault="000C3975" w:rsidP="009C7485">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On June 28, 2021, the Company issued 50,000 Common Shares at $0.30 CAD (approximately US$0.24) per share for gross proceeds of $15,000 CAD (US$12,151).</w:t>
      </w:r>
    </w:p>
    <w:p w14:paraId="5D109EFA" w14:textId="44E52A6B" w:rsidR="009C7485" w:rsidRPr="00D2099E" w:rsidRDefault="009C7485" w:rsidP="009C7485">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27316AF4" w14:textId="77777777" w:rsidTr="005C7D2D">
        <w:tc>
          <w:tcPr>
            <w:tcW w:w="360" w:type="dxa"/>
            <w:hideMark/>
          </w:tcPr>
          <w:p w14:paraId="136E74B1" w14:textId="4C7888FD"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sidR="00C80046">
              <w:rPr>
                <w:rFonts w:ascii="Times New Roman" w:eastAsia="Times New Roman" w:hAnsi="Times New Roman" w:cs="Times New Roman"/>
                <w:b/>
                <w:bCs/>
                <w:sz w:val="20"/>
                <w:szCs w:val="20"/>
                <w:lang w:val="en-US"/>
              </w:rPr>
              <w:t>4</w:t>
            </w:r>
            <w:r w:rsidRPr="00CA4239">
              <w:rPr>
                <w:rFonts w:ascii="Times New Roman" w:eastAsia="Times New Roman" w:hAnsi="Times New Roman" w:cs="Times New Roman"/>
                <w:b/>
                <w:bCs/>
                <w:sz w:val="20"/>
                <w:szCs w:val="20"/>
                <w:lang w:val="en-US"/>
              </w:rPr>
              <w:t>.</w:t>
            </w:r>
          </w:p>
        </w:tc>
        <w:tc>
          <w:tcPr>
            <w:tcW w:w="0" w:type="auto"/>
            <w:hideMark/>
          </w:tcPr>
          <w:p w14:paraId="0F7F717C" w14:textId="7777777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Stock Options</w:t>
            </w:r>
          </w:p>
        </w:tc>
      </w:tr>
    </w:tbl>
    <w:p w14:paraId="2DE0E25E" w14:textId="77777777" w:rsidR="00D2099E" w:rsidRPr="00D2099E" w:rsidRDefault="00D2099E" w:rsidP="00D2099E">
      <w:pPr>
        <w:spacing w:after="0" w:line="240" w:lineRule="auto"/>
        <w:ind w:left="360" w:hanging="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2758EDD1"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Board of Directors adopted the Park Place Energy Corp. 2013 Long-Term Incentive Equity Plan (the “Incentive Plan” or “2013 Plan”) effective as of October 29, 2013. The Incentive Plan permits grants of stock options (including incentive stock options and nonqualified stock options), stock appreciation rights, restricted stock awards and other stock-based awards.</w:t>
      </w:r>
    </w:p>
    <w:p w14:paraId="19A83136" w14:textId="69702B33"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0F362802" w14:textId="6490D5AB" w:rsidR="009C7485" w:rsidRDefault="009C7485" w:rsidP="00D2099E">
      <w:pPr>
        <w:spacing w:after="0" w:line="240" w:lineRule="auto"/>
        <w:ind w:left="360"/>
        <w:jc w:val="both"/>
        <w:rPr>
          <w:rFonts w:ascii="Times New Roman" w:eastAsia="Times New Roman" w:hAnsi="Times New Roman" w:cs="Times New Roman"/>
          <w:sz w:val="20"/>
          <w:szCs w:val="20"/>
          <w:lang w:val="en-US"/>
        </w:rPr>
      </w:pPr>
    </w:p>
    <w:p w14:paraId="2361FF3A" w14:textId="4621D3FC" w:rsidR="009C7485" w:rsidRDefault="009C7485" w:rsidP="00D2099E">
      <w:pPr>
        <w:spacing w:after="0" w:line="240" w:lineRule="auto"/>
        <w:ind w:left="360"/>
        <w:jc w:val="both"/>
        <w:rPr>
          <w:rFonts w:ascii="Times New Roman" w:eastAsia="Times New Roman" w:hAnsi="Times New Roman" w:cs="Times New Roman"/>
          <w:sz w:val="20"/>
          <w:szCs w:val="20"/>
          <w:lang w:val="en-US"/>
        </w:rPr>
      </w:pPr>
    </w:p>
    <w:p w14:paraId="1ACE3973" w14:textId="61AE3688" w:rsidR="009C7485" w:rsidRDefault="009C7485" w:rsidP="00D2099E">
      <w:pPr>
        <w:spacing w:after="0" w:line="240" w:lineRule="auto"/>
        <w:ind w:left="360"/>
        <w:jc w:val="both"/>
        <w:rPr>
          <w:rFonts w:ascii="Times New Roman" w:eastAsia="Times New Roman" w:hAnsi="Times New Roman" w:cs="Times New Roman"/>
          <w:sz w:val="20"/>
          <w:szCs w:val="20"/>
          <w:lang w:val="en-US"/>
        </w:rPr>
      </w:pPr>
    </w:p>
    <w:p w14:paraId="736EDABE" w14:textId="53868E2D" w:rsidR="009C7485" w:rsidRDefault="009C7485" w:rsidP="00D2099E">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9C7485" w:rsidRPr="00CA4239" w14:paraId="72BBF951" w14:textId="77777777" w:rsidTr="00B0377E">
        <w:tc>
          <w:tcPr>
            <w:tcW w:w="360" w:type="dxa"/>
            <w:hideMark/>
          </w:tcPr>
          <w:p w14:paraId="2952CBF9" w14:textId="77777777" w:rsidR="009C7485" w:rsidRPr="00CA4239" w:rsidRDefault="009C7485"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4</w:t>
            </w:r>
            <w:r w:rsidRPr="00CA4239">
              <w:rPr>
                <w:rFonts w:ascii="Times New Roman" w:eastAsia="Times New Roman" w:hAnsi="Times New Roman" w:cs="Times New Roman"/>
                <w:b/>
                <w:bCs/>
                <w:sz w:val="20"/>
                <w:szCs w:val="20"/>
                <w:lang w:val="en-US"/>
              </w:rPr>
              <w:t>.</w:t>
            </w:r>
          </w:p>
        </w:tc>
        <w:tc>
          <w:tcPr>
            <w:tcW w:w="0" w:type="auto"/>
            <w:hideMark/>
          </w:tcPr>
          <w:p w14:paraId="6867D750" w14:textId="77777777" w:rsidR="009C7485" w:rsidRPr="00CA4239" w:rsidRDefault="009C7485"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Stock Options</w:t>
            </w:r>
            <w:r>
              <w:rPr>
                <w:rFonts w:ascii="Times New Roman" w:eastAsia="Times New Roman" w:hAnsi="Times New Roman" w:cs="Times New Roman"/>
                <w:b/>
                <w:bCs/>
                <w:sz w:val="20"/>
                <w:szCs w:val="20"/>
                <w:lang w:val="en-US"/>
              </w:rPr>
              <w:t xml:space="preserve"> (continued)</w:t>
            </w:r>
          </w:p>
        </w:tc>
      </w:tr>
    </w:tbl>
    <w:p w14:paraId="6C093A3F" w14:textId="77777777" w:rsidR="009C7485" w:rsidRPr="00D2099E" w:rsidRDefault="009C7485" w:rsidP="00D2099E">
      <w:pPr>
        <w:spacing w:after="0" w:line="240" w:lineRule="auto"/>
        <w:ind w:left="360"/>
        <w:jc w:val="both"/>
        <w:rPr>
          <w:rFonts w:ascii="Times New Roman" w:eastAsia="Times New Roman" w:hAnsi="Times New Roman" w:cs="Times New Roman"/>
          <w:sz w:val="20"/>
          <w:szCs w:val="20"/>
          <w:lang w:val="en-US"/>
        </w:rPr>
      </w:pPr>
    </w:p>
    <w:p w14:paraId="6474A6A1"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Incentive Plan authorizes the following types of awards:</w:t>
      </w:r>
    </w:p>
    <w:p w14:paraId="6A29494D"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360"/>
        <w:gridCol w:w="8640"/>
      </w:tblGrid>
      <w:tr w:rsidR="00D2099E" w:rsidRPr="00D2099E" w14:paraId="52CD1712" w14:textId="77777777" w:rsidTr="005C7D2D">
        <w:tc>
          <w:tcPr>
            <w:tcW w:w="360" w:type="dxa"/>
            <w:hideMark/>
          </w:tcPr>
          <w:p w14:paraId="4CEDEE8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60" w:type="dxa"/>
            <w:hideMark/>
          </w:tcPr>
          <w:p w14:paraId="5EE3BB67"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 </w:t>
            </w:r>
          </w:p>
        </w:tc>
        <w:tc>
          <w:tcPr>
            <w:tcW w:w="0" w:type="auto"/>
            <w:hideMark/>
          </w:tcPr>
          <w:p w14:paraId="619957E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incentive stock options and nonqualified stock options to purchase common stock at a set price per share;</w:t>
            </w:r>
          </w:p>
        </w:tc>
      </w:tr>
      <w:tr w:rsidR="00D2099E" w:rsidRPr="00D2099E" w14:paraId="14F3CCA1" w14:textId="77777777" w:rsidTr="005C7D2D">
        <w:tc>
          <w:tcPr>
            <w:tcW w:w="0" w:type="auto"/>
            <w:hideMark/>
          </w:tcPr>
          <w:p w14:paraId="20FB008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58511A7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3A70D04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39FF0D87" w14:textId="77777777" w:rsidTr="005C7D2D">
        <w:tc>
          <w:tcPr>
            <w:tcW w:w="0" w:type="auto"/>
            <w:hideMark/>
          </w:tcPr>
          <w:p w14:paraId="67FDE7D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12B5365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hideMark/>
          </w:tcPr>
          <w:p w14:paraId="4CF3A49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stock appreciation rights (“SARs”) to receive upon exercise common stock or cash equal to the appreciation in value of a share of Common Stock;</w:t>
            </w:r>
          </w:p>
        </w:tc>
      </w:tr>
      <w:tr w:rsidR="00D2099E" w:rsidRPr="00D2099E" w14:paraId="1EB521FA" w14:textId="77777777" w:rsidTr="005C7D2D">
        <w:tc>
          <w:tcPr>
            <w:tcW w:w="0" w:type="auto"/>
            <w:hideMark/>
          </w:tcPr>
          <w:p w14:paraId="08B6BC8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656A46C6"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392A16B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174318CA" w14:textId="77777777" w:rsidTr="005C7D2D">
        <w:tc>
          <w:tcPr>
            <w:tcW w:w="0" w:type="auto"/>
            <w:hideMark/>
          </w:tcPr>
          <w:p w14:paraId="25E5249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62B9E4E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 </w:t>
            </w:r>
          </w:p>
        </w:tc>
        <w:tc>
          <w:tcPr>
            <w:tcW w:w="0" w:type="auto"/>
            <w:hideMark/>
          </w:tcPr>
          <w:p w14:paraId="10909F7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restricted stock, which are shares of common stock granted subject to a restriction period and/or a condition which, if not satisfied, may result in the complete or partial forfeiture of the shares;</w:t>
            </w:r>
          </w:p>
        </w:tc>
      </w:tr>
      <w:tr w:rsidR="00D2099E" w:rsidRPr="00D2099E" w14:paraId="70A88968" w14:textId="77777777" w:rsidTr="005C7D2D">
        <w:tc>
          <w:tcPr>
            <w:tcW w:w="0" w:type="auto"/>
            <w:hideMark/>
          </w:tcPr>
          <w:p w14:paraId="041AAE77"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0EA3BDB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3AB2991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23055FCE" w14:textId="77777777" w:rsidTr="005C7D2D">
        <w:tc>
          <w:tcPr>
            <w:tcW w:w="0" w:type="auto"/>
            <w:hideMark/>
          </w:tcPr>
          <w:p w14:paraId="0CAC4A8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hideMark/>
          </w:tcPr>
          <w:p w14:paraId="48B2E3B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hideMark/>
          </w:tcPr>
          <w:p w14:paraId="11D7E8A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other stock-based awards, which provide for awards denominated in or payable in, valued in whole or in part by reference to, or otherwise based on or related to, shares of common stock of the Company, which may include performance shares or options and restricted stock units which provide for shares to be issued or cash to be paid upon the lapse of predetermined restrictions.</w:t>
            </w:r>
          </w:p>
        </w:tc>
      </w:tr>
    </w:tbl>
    <w:p w14:paraId="0F82069C" w14:textId="2962587C" w:rsidR="00701234"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6C5AA32" w14:textId="77777777" w:rsidR="006A1652" w:rsidRPr="00D2099E" w:rsidRDefault="006A1652" w:rsidP="006A1652">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Under the 2013 Plan, the maximum number of shares of authorized stock that may be delivered is 10% of the total number of shares of common stock issued and outstanding of the Company as determined on the applicable date of grant of an award under the 2013 Plan. Under the 2013 Plan, the exercise price of each option (or other stock-based award) shall not be less than the market price of the Company’s stock as calculated immediately preceding the day of the grant. The vesting schedule for each option or other stock-based award shall be specified by the Board of Directors at the time of grant. The maximum term of options or other stock-based award granted is ten years or such lesser time as determined by the Board of Directors at the time of grant.</w:t>
      </w:r>
    </w:p>
    <w:p w14:paraId="0A1BA9E2" w14:textId="77777777" w:rsidR="006A1652" w:rsidRDefault="006A1652" w:rsidP="00D2099E">
      <w:pPr>
        <w:spacing w:after="0" w:line="240" w:lineRule="auto"/>
        <w:ind w:left="360"/>
        <w:jc w:val="both"/>
        <w:rPr>
          <w:rFonts w:ascii="Times New Roman" w:eastAsia="Times New Roman" w:hAnsi="Times New Roman" w:cs="Times New Roman"/>
          <w:sz w:val="20"/>
          <w:szCs w:val="20"/>
          <w:lang w:val="en-US"/>
        </w:rPr>
      </w:pPr>
    </w:p>
    <w:p w14:paraId="4869C301" w14:textId="701D0DF2"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 continuity of the Company’s outstanding stock options for the </w:t>
      </w:r>
      <w:r w:rsidR="003D4BA7">
        <w:rPr>
          <w:rFonts w:ascii="Times New Roman" w:eastAsia="Times New Roman" w:hAnsi="Times New Roman" w:cs="Times New Roman"/>
          <w:sz w:val="20"/>
          <w:szCs w:val="20"/>
          <w:lang w:val="en-US"/>
        </w:rPr>
        <w:t>six</w:t>
      </w:r>
      <w:r w:rsidR="003261B8">
        <w:rPr>
          <w:rFonts w:ascii="Times New Roman" w:eastAsia="Times New Roman" w:hAnsi="Times New Roman" w:cs="Times New Roman"/>
          <w:sz w:val="20"/>
          <w:szCs w:val="20"/>
          <w:lang w:val="en-US"/>
        </w:rPr>
        <w:t xml:space="preserve"> months ended </w:t>
      </w:r>
      <w:r w:rsidR="003D4BA7">
        <w:rPr>
          <w:rFonts w:ascii="Times New Roman" w:eastAsia="Times New Roman" w:hAnsi="Times New Roman" w:cs="Times New Roman"/>
          <w:sz w:val="20"/>
          <w:szCs w:val="20"/>
          <w:lang w:val="en-US"/>
        </w:rPr>
        <w:t>June 30</w:t>
      </w:r>
      <w:r w:rsidR="003261B8">
        <w:rPr>
          <w:rFonts w:ascii="Times New Roman" w:eastAsia="Times New Roman" w:hAnsi="Times New Roman" w:cs="Times New Roman"/>
          <w:sz w:val="20"/>
          <w:szCs w:val="20"/>
          <w:lang w:val="en-US"/>
        </w:rPr>
        <w:t xml:space="preserve">, </w:t>
      </w:r>
      <w:proofErr w:type="gramStart"/>
      <w:r w:rsidR="003261B8">
        <w:rPr>
          <w:rFonts w:ascii="Times New Roman" w:eastAsia="Times New Roman" w:hAnsi="Times New Roman" w:cs="Times New Roman"/>
          <w:sz w:val="20"/>
          <w:szCs w:val="20"/>
          <w:lang w:val="en-US"/>
        </w:rPr>
        <w:t>2022</w:t>
      </w:r>
      <w:proofErr w:type="gramEnd"/>
      <w:r w:rsidR="003261B8">
        <w:rPr>
          <w:rFonts w:ascii="Times New Roman" w:eastAsia="Times New Roman" w:hAnsi="Times New Roman" w:cs="Times New Roman"/>
          <w:sz w:val="20"/>
          <w:szCs w:val="20"/>
          <w:lang w:val="en-US"/>
        </w:rPr>
        <w:t xml:space="preserve"> and </w:t>
      </w:r>
      <w:r w:rsidR="00E97C8A">
        <w:rPr>
          <w:rFonts w:ascii="Times New Roman" w:eastAsia="Times New Roman" w:hAnsi="Times New Roman" w:cs="Times New Roman"/>
          <w:sz w:val="20"/>
          <w:szCs w:val="20"/>
          <w:lang w:val="en-US"/>
        </w:rPr>
        <w:t xml:space="preserve">the year ended December 31, </w:t>
      </w:r>
      <w:r w:rsidR="003261B8">
        <w:rPr>
          <w:rFonts w:ascii="Times New Roman" w:eastAsia="Times New Roman" w:hAnsi="Times New Roman" w:cs="Times New Roman"/>
          <w:sz w:val="20"/>
          <w:szCs w:val="20"/>
          <w:lang w:val="en-US"/>
        </w:rPr>
        <w:t>20</w:t>
      </w:r>
      <w:r w:rsidR="00E97C8A">
        <w:rPr>
          <w:rFonts w:ascii="Times New Roman" w:eastAsia="Times New Roman" w:hAnsi="Times New Roman" w:cs="Times New Roman"/>
          <w:sz w:val="20"/>
          <w:szCs w:val="20"/>
          <w:lang w:val="en-US"/>
        </w:rPr>
        <w:t>2</w:t>
      </w:r>
      <w:r w:rsidR="003261B8">
        <w:rPr>
          <w:rFonts w:ascii="Times New Roman" w:eastAsia="Times New Roman" w:hAnsi="Times New Roman" w:cs="Times New Roman"/>
          <w:sz w:val="20"/>
          <w:szCs w:val="20"/>
          <w:lang w:val="en-US"/>
        </w:rPr>
        <w:t>1</w:t>
      </w:r>
      <w:r w:rsidR="00E97C8A">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is presented below:</w:t>
      </w:r>
    </w:p>
    <w:p w14:paraId="1C6AE4B1" w14:textId="30981909"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4772" w:type="pct"/>
        <w:tblInd w:w="426" w:type="dxa"/>
        <w:tblCellMar>
          <w:left w:w="0" w:type="dxa"/>
          <w:right w:w="0" w:type="dxa"/>
        </w:tblCellMar>
        <w:tblLook w:val="04A0" w:firstRow="1" w:lastRow="0" w:firstColumn="1" w:lastColumn="0" w:noHBand="0" w:noVBand="1"/>
      </w:tblPr>
      <w:tblGrid>
        <w:gridCol w:w="5189"/>
        <w:gridCol w:w="59"/>
        <w:gridCol w:w="94"/>
        <w:gridCol w:w="1686"/>
        <w:gridCol w:w="79"/>
        <w:gridCol w:w="59"/>
        <w:gridCol w:w="379"/>
        <w:gridCol w:w="1329"/>
        <w:gridCol w:w="59"/>
      </w:tblGrid>
      <w:tr w:rsidR="00BE70DB" w:rsidRPr="00D2099E" w14:paraId="19A3CDEF" w14:textId="77777777" w:rsidTr="00D33273">
        <w:tc>
          <w:tcPr>
            <w:tcW w:w="2904" w:type="pct"/>
            <w:tcBorders>
              <w:top w:val="single" w:sz="12" w:space="0" w:color="auto"/>
              <w:bottom w:val="single" w:sz="12" w:space="0" w:color="auto"/>
            </w:tcBorders>
            <w:shd w:val="clear" w:color="auto" w:fill="auto"/>
            <w:vAlign w:val="bottom"/>
            <w:hideMark/>
          </w:tcPr>
          <w:p w14:paraId="3D0B6173"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78A64BB8"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1EB3D4F8" w14:textId="77777777" w:rsidR="00BE70DB" w:rsidRPr="00D2099E" w:rsidRDefault="00BE70DB" w:rsidP="002F6A75">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Number of options</w:t>
            </w:r>
          </w:p>
        </w:tc>
        <w:tc>
          <w:tcPr>
            <w:tcW w:w="44"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73FE0322"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33" w:type="pct"/>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72CB35C5"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78DAC1AC" w14:textId="77777777" w:rsidR="00BE70DB" w:rsidRPr="00D2099E" w:rsidRDefault="00BE70DB" w:rsidP="002F6A75">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Weighted average </w:t>
            </w:r>
            <w:r w:rsidRPr="00D2099E">
              <w:rPr>
                <w:rFonts w:ascii="Times New Roman" w:eastAsia="Times New Roman" w:hAnsi="Times New Roman" w:cs="Times New Roman"/>
                <w:sz w:val="20"/>
                <w:szCs w:val="20"/>
                <w:lang w:val="en-US"/>
              </w:rPr>
              <w:br/>
              <w:t>exercise price</w:t>
            </w:r>
          </w:p>
        </w:tc>
        <w:tc>
          <w:tcPr>
            <w:tcW w:w="0" w:type="auto"/>
            <w:shd w:val="clear" w:color="auto" w:fill="auto"/>
            <w:tcMar>
              <w:top w:w="0" w:type="dxa"/>
              <w:left w:w="0" w:type="dxa"/>
              <w:bottom w:w="30" w:type="dxa"/>
              <w:right w:w="0" w:type="dxa"/>
            </w:tcMar>
            <w:vAlign w:val="bottom"/>
            <w:hideMark/>
          </w:tcPr>
          <w:p w14:paraId="7B44CE1B"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BE70DB" w:rsidRPr="00D2099E" w14:paraId="30EB036D" w14:textId="77777777" w:rsidTr="00D33273">
        <w:tc>
          <w:tcPr>
            <w:tcW w:w="2904" w:type="pct"/>
            <w:tcBorders>
              <w:top w:val="single" w:sz="12" w:space="0" w:color="auto"/>
            </w:tcBorders>
            <w:shd w:val="clear" w:color="auto" w:fill="auto"/>
            <w:vAlign w:val="bottom"/>
            <w:hideMark/>
          </w:tcPr>
          <w:p w14:paraId="6B60D9E9"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Outstanding, December 31, 2020</w:t>
            </w:r>
          </w:p>
        </w:tc>
        <w:tc>
          <w:tcPr>
            <w:tcW w:w="0" w:type="auto"/>
            <w:tcBorders>
              <w:top w:val="single" w:sz="12" w:space="0" w:color="auto"/>
            </w:tcBorders>
            <w:shd w:val="clear" w:color="auto" w:fill="auto"/>
            <w:vAlign w:val="bottom"/>
            <w:hideMark/>
          </w:tcPr>
          <w:p w14:paraId="7D94B6B4"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4D32095B"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139DCC8A" w14:textId="77777777" w:rsidR="00BE70DB" w:rsidRPr="00BE70DB" w:rsidRDefault="00BE70DB" w:rsidP="002F6A75">
            <w:pPr>
              <w:spacing w:after="0" w:line="240" w:lineRule="auto"/>
              <w:jc w:val="right"/>
              <w:rPr>
                <w:rFonts w:ascii="Times New Roman" w:eastAsia="Times New Roman" w:hAnsi="Times New Roman" w:cs="Times New Roman"/>
                <w:sz w:val="20"/>
                <w:szCs w:val="20"/>
                <w:lang w:val="en-US"/>
              </w:rPr>
            </w:pPr>
            <w:r w:rsidRPr="00BE70DB">
              <w:rPr>
                <w:rFonts w:ascii="Times New Roman" w:eastAsia="Times New Roman" w:hAnsi="Times New Roman" w:cs="Times New Roman"/>
                <w:sz w:val="20"/>
                <w:szCs w:val="20"/>
                <w:lang w:val="en-US"/>
              </w:rPr>
              <w:t>11,900,000</w:t>
            </w:r>
          </w:p>
        </w:tc>
        <w:tc>
          <w:tcPr>
            <w:tcW w:w="44" w:type="pct"/>
            <w:tcBorders>
              <w:top w:val="single" w:sz="12" w:space="0" w:color="auto"/>
            </w:tcBorders>
            <w:shd w:val="clear" w:color="auto" w:fill="auto"/>
            <w:vAlign w:val="bottom"/>
            <w:hideMark/>
          </w:tcPr>
          <w:p w14:paraId="27BC93DD" w14:textId="77777777" w:rsidR="00BE70DB" w:rsidRPr="00BE70DB" w:rsidRDefault="00BE70DB" w:rsidP="002F6A75">
            <w:pPr>
              <w:spacing w:after="0" w:line="240" w:lineRule="auto"/>
              <w:jc w:val="both"/>
              <w:rPr>
                <w:rFonts w:ascii="Times New Roman" w:eastAsia="Times New Roman" w:hAnsi="Times New Roman" w:cs="Times New Roman"/>
                <w:sz w:val="20"/>
                <w:szCs w:val="20"/>
                <w:lang w:val="en-US"/>
              </w:rPr>
            </w:pPr>
            <w:r w:rsidRPr="00BE70DB">
              <w:rPr>
                <w:rFonts w:ascii="Times New Roman" w:eastAsia="Times New Roman" w:hAnsi="Times New Roman" w:cs="Times New Roman"/>
                <w:sz w:val="20"/>
                <w:szCs w:val="20"/>
                <w:lang w:val="en-US"/>
              </w:rPr>
              <w:t> </w:t>
            </w:r>
          </w:p>
        </w:tc>
        <w:tc>
          <w:tcPr>
            <w:tcW w:w="33" w:type="pct"/>
            <w:tcBorders>
              <w:top w:val="single" w:sz="12" w:space="0" w:color="auto"/>
            </w:tcBorders>
            <w:shd w:val="clear" w:color="auto" w:fill="auto"/>
            <w:vAlign w:val="bottom"/>
            <w:hideMark/>
          </w:tcPr>
          <w:p w14:paraId="088154F0" w14:textId="77777777" w:rsidR="00BE70DB" w:rsidRPr="00BE70DB" w:rsidRDefault="00BE70DB" w:rsidP="002F6A75">
            <w:pPr>
              <w:spacing w:after="0" w:line="240" w:lineRule="auto"/>
              <w:jc w:val="both"/>
              <w:rPr>
                <w:rFonts w:ascii="Times New Roman" w:eastAsia="Times New Roman" w:hAnsi="Times New Roman" w:cs="Times New Roman"/>
                <w:sz w:val="20"/>
                <w:szCs w:val="20"/>
                <w:lang w:val="en-US"/>
              </w:rPr>
            </w:pPr>
            <w:r w:rsidRPr="00BE70DB">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64A431E2" w14:textId="77777777" w:rsidR="00BE70DB" w:rsidRPr="00BE70DB" w:rsidRDefault="00BE70DB" w:rsidP="002F6A75">
            <w:pPr>
              <w:spacing w:after="0" w:line="240" w:lineRule="auto"/>
              <w:jc w:val="both"/>
              <w:rPr>
                <w:rFonts w:ascii="Times New Roman" w:eastAsia="Times New Roman" w:hAnsi="Times New Roman" w:cs="Times New Roman"/>
                <w:sz w:val="20"/>
                <w:szCs w:val="20"/>
                <w:lang w:val="en-US"/>
              </w:rPr>
            </w:pPr>
            <w:r w:rsidRPr="00BE70DB">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0A1A9BDF" w14:textId="77777777" w:rsidR="00BE70DB" w:rsidRPr="00BE70DB" w:rsidRDefault="00BE70DB" w:rsidP="002F6A75">
            <w:pPr>
              <w:spacing w:after="0" w:line="240" w:lineRule="auto"/>
              <w:jc w:val="right"/>
              <w:rPr>
                <w:rFonts w:ascii="Times New Roman" w:eastAsia="Times New Roman" w:hAnsi="Times New Roman" w:cs="Times New Roman"/>
                <w:sz w:val="20"/>
                <w:szCs w:val="20"/>
                <w:lang w:val="en-US"/>
              </w:rPr>
            </w:pPr>
            <w:r w:rsidRPr="00BE70DB">
              <w:rPr>
                <w:rFonts w:ascii="Times New Roman" w:eastAsia="Times New Roman" w:hAnsi="Times New Roman" w:cs="Times New Roman"/>
                <w:sz w:val="20"/>
                <w:szCs w:val="20"/>
                <w:lang w:val="en-US"/>
              </w:rPr>
              <w:t>0.11</w:t>
            </w:r>
          </w:p>
        </w:tc>
        <w:tc>
          <w:tcPr>
            <w:tcW w:w="0" w:type="auto"/>
            <w:shd w:val="clear" w:color="auto" w:fill="auto"/>
            <w:vAlign w:val="bottom"/>
            <w:hideMark/>
          </w:tcPr>
          <w:p w14:paraId="39DA7BA6"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BE70DB" w:rsidRPr="00D2099E" w14:paraId="75A1BE42" w14:textId="77777777" w:rsidTr="00D33273">
        <w:tc>
          <w:tcPr>
            <w:tcW w:w="2904" w:type="pct"/>
            <w:shd w:val="clear" w:color="auto" w:fill="auto"/>
            <w:tcMar>
              <w:top w:w="0" w:type="dxa"/>
              <w:left w:w="200" w:type="dxa"/>
              <w:bottom w:w="0" w:type="dxa"/>
              <w:right w:w="0" w:type="dxa"/>
            </w:tcMar>
            <w:vAlign w:val="bottom"/>
            <w:hideMark/>
          </w:tcPr>
          <w:p w14:paraId="1068FA5B"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Granted</w:t>
            </w:r>
          </w:p>
        </w:tc>
        <w:tc>
          <w:tcPr>
            <w:tcW w:w="0" w:type="auto"/>
            <w:shd w:val="clear" w:color="auto" w:fill="auto"/>
            <w:vAlign w:val="bottom"/>
            <w:hideMark/>
          </w:tcPr>
          <w:p w14:paraId="26593D5E"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893FD7D"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7070830B" w14:textId="77777777"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450,000</w:t>
            </w:r>
          </w:p>
        </w:tc>
        <w:tc>
          <w:tcPr>
            <w:tcW w:w="44" w:type="pct"/>
            <w:shd w:val="clear" w:color="auto" w:fill="auto"/>
            <w:vAlign w:val="bottom"/>
            <w:hideMark/>
          </w:tcPr>
          <w:p w14:paraId="276026A6"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33" w:type="pct"/>
            <w:shd w:val="clear" w:color="auto" w:fill="auto"/>
            <w:vAlign w:val="bottom"/>
            <w:hideMark/>
          </w:tcPr>
          <w:p w14:paraId="2EB76647"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0" w:type="auto"/>
            <w:shd w:val="clear" w:color="auto" w:fill="auto"/>
            <w:vAlign w:val="bottom"/>
            <w:hideMark/>
          </w:tcPr>
          <w:p w14:paraId="4CDB7F91"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0" w:type="auto"/>
            <w:shd w:val="clear" w:color="auto" w:fill="auto"/>
            <w:vAlign w:val="bottom"/>
            <w:hideMark/>
          </w:tcPr>
          <w:p w14:paraId="1BB9CC59" w14:textId="77777777"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0.32</w:t>
            </w:r>
          </w:p>
        </w:tc>
        <w:tc>
          <w:tcPr>
            <w:tcW w:w="0" w:type="auto"/>
            <w:shd w:val="clear" w:color="auto" w:fill="auto"/>
            <w:vAlign w:val="bottom"/>
            <w:hideMark/>
          </w:tcPr>
          <w:p w14:paraId="41E130AC"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BE70DB" w:rsidRPr="00D2099E" w14:paraId="01B33E89" w14:textId="77777777" w:rsidTr="00D33273">
        <w:tc>
          <w:tcPr>
            <w:tcW w:w="2904" w:type="pct"/>
            <w:shd w:val="clear" w:color="auto" w:fill="auto"/>
            <w:tcMar>
              <w:top w:w="0" w:type="dxa"/>
              <w:left w:w="200" w:type="dxa"/>
              <w:bottom w:w="0" w:type="dxa"/>
              <w:right w:w="0" w:type="dxa"/>
            </w:tcMar>
            <w:vAlign w:val="bottom"/>
            <w:hideMark/>
          </w:tcPr>
          <w:p w14:paraId="7ED8098B"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Exercised</w:t>
            </w:r>
          </w:p>
        </w:tc>
        <w:tc>
          <w:tcPr>
            <w:tcW w:w="0" w:type="auto"/>
            <w:shd w:val="clear" w:color="auto" w:fill="auto"/>
            <w:vAlign w:val="bottom"/>
            <w:hideMark/>
          </w:tcPr>
          <w:p w14:paraId="40F31E32"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9DA3204"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52BD92BA" w14:textId="77777777"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(3,910,000</w:t>
            </w:r>
          </w:p>
        </w:tc>
        <w:tc>
          <w:tcPr>
            <w:tcW w:w="44" w:type="pct"/>
            <w:shd w:val="clear" w:color="auto" w:fill="auto"/>
            <w:vAlign w:val="bottom"/>
            <w:hideMark/>
          </w:tcPr>
          <w:p w14:paraId="4DB2CA27"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w:t>
            </w:r>
          </w:p>
        </w:tc>
        <w:tc>
          <w:tcPr>
            <w:tcW w:w="33" w:type="pct"/>
            <w:shd w:val="clear" w:color="auto" w:fill="auto"/>
            <w:vAlign w:val="bottom"/>
            <w:hideMark/>
          </w:tcPr>
          <w:p w14:paraId="5F02192D"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0" w:type="auto"/>
            <w:shd w:val="clear" w:color="auto" w:fill="auto"/>
            <w:vAlign w:val="bottom"/>
            <w:hideMark/>
          </w:tcPr>
          <w:p w14:paraId="6E8CB979"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0" w:type="auto"/>
            <w:shd w:val="clear" w:color="auto" w:fill="auto"/>
            <w:vAlign w:val="bottom"/>
            <w:hideMark/>
          </w:tcPr>
          <w:p w14:paraId="27B446E7" w14:textId="32A4B2E5"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0.11</w:t>
            </w:r>
          </w:p>
        </w:tc>
        <w:tc>
          <w:tcPr>
            <w:tcW w:w="0" w:type="auto"/>
            <w:shd w:val="clear" w:color="auto" w:fill="auto"/>
            <w:vAlign w:val="bottom"/>
            <w:hideMark/>
          </w:tcPr>
          <w:p w14:paraId="4A10CDC8"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BE70DB" w:rsidRPr="00D2099E" w14:paraId="65A45875" w14:textId="77777777" w:rsidTr="00D33273">
        <w:tc>
          <w:tcPr>
            <w:tcW w:w="2904" w:type="pct"/>
            <w:shd w:val="clear" w:color="auto" w:fill="auto"/>
            <w:tcMar>
              <w:top w:w="0" w:type="dxa"/>
              <w:left w:w="200" w:type="dxa"/>
              <w:bottom w:w="30" w:type="dxa"/>
              <w:right w:w="0" w:type="dxa"/>
            </w:tcMar>
            <w:vAlign w:val="bottom"/>
            <w:hideMark/>
          </w:tcPr>
          <w:p w14:paraId="5472CF2E"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Expired</w:t>
            </w:r>
          </w:p>
        </w:tc>
        <w:tc>
          <w:tcPr>
            <w:tcW w:w="0" w:type="auto"/>
            <w:shd w:val="clear" w:color="auto" w:fill="auto"/>
            <w:tcMar>
              <w:top w:w="0" w:type="dxa"/>
              <w:left w:w="0" w:type="dxa"/>
              <w:bottom w:w="30" w:type="dxa"/>
              <w:right w:w="0" w:type="dxa"/>
            </w:tcMar>
            <w:vAlign w:val="bottom"/>
            <w:hideMark/>
          </w:tcPr>
          <w:p w14:paraId="53830781"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64C3D101"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735F7D8" w14:textId="77777777"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(150,000</w:t>
            </w:r>
          </w:p>
        </w:tc>
        <w:tc>
          <w:tcPr>
            <w:tcW w:w="44" w:type="pct"/>
            <w:shd w:val="clear" w:color="auto" w:fill="auto"/>
            <w:tcMar>
              <w:top w:w="0" w:type="dxa"/>
              <w:left w:w="0" w:type="dxa"/>
              <w:bottom w:w="30" w:type="dxa"/>
              <w:right w:w="0" w:type="dxa"/>
            </w:tcMar>
            <w:vAlign w:val="bottom"/>
            <w:hideMark/>
          </w:tcPr>
          <w:p w14:paraId="7C71E332"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w:t>
            </w:r>
          </w:p>
        </w:tc>
        <w:tc>
          <w:tcPr>
            <w:tcW w:w="33" w:type="pct"/>
            <w:shd w:val="clear" w:color="auto" w:fill="auto"/>
            <w:tcMar>
              <w:top w:w="0" w:type="dxa"/>
              <w:left w:w="0" w:type="dxa"/>
              <w:bottom w:w="30" w:type="dxa"/>
              <w:right w:w="0" w:type="dxa"/>
            </w:tcMar>
            <w:vAlign w:val="bottom"/>
            <w:hideMark/>
          </w:tcPr>
          <w:p w14:paraId="3825EB2D"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0" w:type="auto"/>
            <w:shd w:val="clear" w:color="auto" w:fill="auto"/>
            <w:vAlign w:val="bottom"/>
            <w:hideMark/>
          </w:tcPr>
          <w:p w14:paraId="21BBFA7C"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0" w:type="auto"/>
            <w:shd w:val="clear" w:color="auto" w:fill="auto"/>
            <w:vAlign w:val="bottom"/>
            <w:hideMark/>
          </w:tcPr>
          <w:p w14:paraId="4385386B" w14:textId="77777777"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0.18</w:t>
            </w:r>
          </w:p>
        </w:tc>
        <w:tc>
          <w:tcPr>
            <w:tcW w:w="0" w:type="auto"/>
            <w:shd w:val="clear" w:color="auto" w:fill="auto"/>
            <w:tcMar>
              <w:top w:w="0" w:type="dxa"/>
              <w:left w:w="0" w:type="dxa"/>
              <w:bottom w:w="30" w:type="dxa"/>
              <w:right w:w="0" w:type="dxa"/>
            </w:tcMar>
            <w:vAlign w:val="bottom"/>
            <w:hideMark/>
          </w:tcPr>
          <w:p w14:paraId="68D244C0"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BE70DB" w:rsidRPr="00D2099E" w14:paraId="25389BC2" w14:textId="77777777" w:rsidTr="00D33273">
        <w:tc>
          <w:tcPr>
            <w:tcW w:w="2904" w:type="pct"/>
            <w:shd w:val="clear" w:color="auto" w:fill="auto"/>
            <w:tcMar>
              <w:top w:w="0" w:type="dxa"/>
              <w:left w:w="200" w:type="dxa"/>
              <w:bottom w:w="30" w:type="dxa"/>
              <w:right w:w="0" w:type="dxa"/>
            </w:tcMar>
            <w:vAlign w:val="bottom"/>
          </w:tcPr>
          <w:p w14:paraId="6CE2711E"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Cancelled</w:t>
            </w:r>
          </w:p>
        </w:tc>
        <w:tc>
          <w:tcPr>
            <w:tcW w:w="0" w:type="auto"/>
            <w:shd w:val="clear" w:color="auto" w:fill="auto"/>
            <w:tcMar>
              <w:top w:w="0" w:type="dxa"/>
              <w:left w:w="0" w:type="dxa"/>
              <w:bottom w:w="30" w:type="dxa"/>
              <w:right w:w="0" w:type="dxa"/>
            </w:tcMar>
            <w:vAlign w:val="bottom"/>
          </w:tcPr>
          <w:p w14:paraId="461A8C53"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000000"/>
            </w:tcBorders>
            <w:shd w:val="clear" w:color="auto" w:fill="auto"/>
            <w:vAlign w:val="bottom"/>
          </w:tcPr>
          <w:p w14:paraId="038632E2"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000000"/>
            </w:tcBorders>
            <w:shd w:val="clear" w:color="auto" w:fill="auto"/>
            <w:vAlign w:val="bottom"/>
          </w:tcPr>
          <w:p w14:paraId="4E5ABCB3" w14:textId="067A2CB2"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(6</w:t>
            </w:r>
            <w:r w:rsidR="00C963F3">
              <w:rPr>
                <w:rFonts w:ascii="Times New Roman" w:eastAsia="Times New Roman" w:hAnsi="Times New Roman" w:cs="Times New Roman"/>
                <w:sz w:val="20"/>
                <w:szCs w:val="20"/>
                <w:lang w:val="en-US"/>
              </w:rPr>
              <w:t>5</w:t>
            </w:r>
            <w:r w:rsidRPr="00722478">
              <w:rPr>
                <w:rFonts w:ascii="Times New Roman" w:eastAsia="Times New Roman" w:hAnsi="Times New Roman" w:cs="Times New Roman"/>
                <w:sz w:val="20"/>
                <w:szCs w:val="20"/>
                <w:lang w:val="en-US"/>
              </w:rPr>
              <w:t>0,000</w:t>
            </w:r>
          </w:p>
        </w:tc>
        <w:tc>
          <w:tcPr>
            <w:tcW w:w="44" w:type="pct"/>
            <w:shd w:val="clear" w:color="auto" w:fill="auto"/>
            <w:tcMar>
              <w:top w:w="0" w:type="dxa"/>
              <w:left w:w="0" w:type="dxa"/>
              <w:bottom w:w="30" w:type="dxa"/>
              <w:right w:w="0" w:type="dxa"/>
            </w:tcMar>
            <w:vAlign w:val="bottom"/>
          </w:tcPr>
          <w:p w14:paraId="0A060C80"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w:t>
            </w:r>
          </w:p>
        </w:tc>
        <w:tc>
          <w:tcPr>
            <w:tcW w:w="33" w:type="pct"/>
            <w:shd w:val="clear" w:color="auto" w:fill="auto"/>
            <w:tcMar>
              <w:top w:w="0" w:type="dxa"/>
              <w:left w:w="0" w:type="dxa"/>
              <w:bottom w:w="30" w:type="dxa"/>
              <w:right w:w="0" w:type="dxa"/>
            </w:tcMar>
            <w:vAlign w:val="bottom"/>
          </w:tcPr>
          <w:p w14:paraId="251A4C70"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000000"/>
            </w:tcBorders>
            <w:shd w:val="clear" w:color="auto" w:fill="auto"/>
            <w:vAlign w:val="bottom"/>
          </w:tcPr>
          <w:p w14:paraId="7CF33887"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000000"/>
            </w:tcBorders>
            <w:shd w:val="clear" w:color="auto" w:fill="auto"/>
            <w:vAlign w:val="bottom"/>
          </w:tcPr>
          <w:p w14:paraId="19CC9D10" w14:textId="181162BC"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0.1</w:t>
            </w:r>
            <w:r w:rsidR="00C963F3">
              <w:rPr>
                <w:rFonts w:ascii="Times New Roman" w:eastAsia="Times New Roman" w:hAnsi="Times New Roman" w:cs="Times New Roman"/>
                <w:sz w:val="20"/>
                <w:szCs w:val="20"/>
                <w:lang w:val="en-US"/>
              </w:rPr>
              <w:t>6</w:t>
            </w:r>
          </w:p>
        </w:tc>
        <w:tc>
          <w:tcPr>
            <w:tcW w:w="0" w:type="auto"/>
            <w:shd w:val="clear" w:color="auto" w:fill="auto"/>
            <w:tcMar>
              <w:top w:w="0" w:type="dxa"/>
              <w:left w:w="0" w:type="dxa"/>
              <w:bottom w:w="30" w:type="dxa"/>
              <w:right w:w="0" w:type="dxa"/>
            </w:tcMar>
            <w:vAlign w:val="bottom"/>
          </w:tcPr>
          <w:p w14:paraId="59B238C4"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p>
        </w:tc>
      </w:tr>
      <w:tr w:rsidR="00BE70DB" w:rsidRPr="00D2099E" w14:paraId="3B6B9506" w14:textId="77777777" w:rsidTr="00D33273">
        <w:tc>
          <w:tcPr>
            <w:tcW w:w="2904" w:type="pct"/>
            <w:shd w:val="clear" w:color="auto" w:fill="auto"/>
            <w:tcMar>
              <w:top w:w="0" w:type="dxa"/>
              <w:left w:w="0" w:type="dxa"/>
              <w:bottom w:w="30" w:type="dxa"/>
              <w:right w:w="0" w:type="dxa"/>
            </w:tcMar>
            <w:vAlign w:val="bottom"/>
            <w:hideMark/>
          </w:tcPr>
          <w:p w14:paraId="07BC322E"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Outstanding, December 31, 2021</w:t>
            </w:r>
          </w:p>
        </w:tc>
        <w:tc>
          <w:tcPr>
            <w:tcW w:w="0" w:type="auto"/>
            <w:shd w:val="clear" w:color="auto" w:fill="auto"/>
            <w:tcMar>
              <w:top w:w="0" w:type="dxa"/>
              <w:left w:w="0" w:type="dxa"/>
              <w:bottom w:w="30" w:type="dxa"/>
              <w:right w:w="0" w:type="dxa"/>
            </w:tcMar>
            <w:vAlign w:val="bottom"/>
            <w:hideMark/>
          </w:tcPr>
          <w:p w14:paraId="59DDB3E0"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294A75D0"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28967372" w14:textId="6E05975E"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7,6</w:t>
            </w:r>
            <w:r w:rsidR="00C963F3">
              <w:rPr>
                <w:rFonts w:ascii="Times New Roman" w:eastAsia="Times New Roman" w:hAnsi="Times New Roman" w:cs="Times New Roman"/>
                <w:sz w:val="20"/>
                <w:szCs w:val="20"/>
                <w:lang w:val="en-US"/>
              </w:rPr>
              <w:t>4</w:t>
            </w:r>
            <w:r w:rsidRPr="00722478">
              <w:rPr>
                <w:rFonts w:ascii="Times New Roman" w:eastAsia="Times New Roman" w:hAnsi="Times New Roman" w:cs="Times New Roman"/>
                <w:sz w:val="20"/>
                <w:szCs w:val="20"/>
                <w:lang w:val="en-US"/>
              </w:rPr>
              <w:t>0,000</w:t>
            </w:r>
          </w:p>
        </w:tc>
        <w:tc>
          <w:tcPr>
            <w:tcW w:w="44" w:type="pct"/>
            <w:shd w:val="clear" w:color="auto" w:fill="auto"/>
            <w:tcMar>
              <w:top w:w="0" w:type="dxa"/>
              <w:left w:w="0" w:type="dxa"/>
              <w:bottom w:w="30" w:type="dxa"/>
              <w:right w:w="0" w:type="dxa"/>
            </w:tcMar>
            <w:vAlign w:val="bottom"/>
            <w:hideMark/>
          </w:tcPr>
          <w:p w14:paraId="2ED7AFD0"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33" w:type="pct"/>
            <w:shd w:val="clear" w:color="auto" w:fill="auto"/>
            <w:tcMar>
              <w:top w:w="0" w:type="dxa"/>
              <w:left w:w="0" w:type="dxa"/>
              <w:bottom w:w="30" w:type="dxa"/>
              <w:right w:w="0" w:type="dxa"/>
            </w:tcMar>
            <w:vAlign w:val="bottom"/>
            <w:hideMark/>
          </w:tcPr>
          <w:p w14:paraId="23807869"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 </w:t>
            </w:r>
          </w:p>
        </w:tc>
        <w:tc>
          <w:tcPr>
            <w:tcW w:w="0" w:type="auto"/>
            <w:shd w:val="clear" w:color="auto" w:fill="auto"/>
            <w:vAlign w:val="bottom"/>
            <w:hideMark/>
          </w:tcPr>
          <w:p w14:paraId="12981051" w14:textId="77777777" w:rsidR="00BE70DB" w:rsidRPr="00722478" w:rsidRDefault="00BE70DB" w:rsidP="002F6A75">
            <w:pPr>
              <w:spacing w:after="0" w:line="240" w:lineRule="auto"/>
              <w:jc w:val="both"/>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w:t>
            </w:r>
          </w:p>
        </w:tc>
        <w:tc>
          <w:tcPr>
            <w:tcW w:w="0" w:type="auto"/>
            <w:shd w:val="clear" w:color="auto" w:fill="auto"/>
            <w:vAlign w:val="bottom"/>
            <w:hideMark/>
          </w:tcPr>
          <w:p w14:paraId="6EB6A16E" w14:textId="49CF4FC1" w:rsidR="00BE70DB" w:rsidRPr="00722478" w:rsidRDefault="00BE70DB" w:rsidP="002F6A75">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0.12</w:t>
            </w:r>
          </w:p>
        </w:tc>
        <w:tc>
          <w:tcPr>
            <w:tcW w:w="0" w:type="auto"/>
            <w:shd w:val="clear" w:color="auto" w:fill="auto"/>
            <w:tcMar>
              <w:top w:w="0" w:type="dxa"/>
              <w:left w:w="0" w:type="dxa"/>
              <w:bottom w:w="30" w:type="dxa"/>
              <w:right w:w="0" w:type="dxa"/>
            </w:tcMar>
            <w:vAlign w:val="bottom"/>
            <w:hideMark/>
          </w:tcPr>
          <w:p w14:paraId="6F5BE707" w14:textId="77777777" w:rsidR="00BE70DB" w:rsidRPr="00D2099E" w:rsidRDefault="00BE70DB" w:rsidP="002F6A75">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AD0E8A" w:rsidRPr="00D2099E" w14:paraId="71DBC532" w14:textId="77777777" w:rsidTr="00D33273">
        <w:tc>
          <w:tcPr>
            <w:tcW w:w="2904" w:type="pct"/>
            <w:shd w:val="clear" w:color="auto" w:fill="auto"/>
            <w:tcMar>
              <w:top w:w="0" w:type="dxa"/>
              <w:left w:w="200" w:type="dxa"/>
              <w:bottom w:w="30" w:type="dxa"/>
              <w:right w:w="0" w:type="dxa"/>
            </w:tcMar>
            <w:vAlign w:val="bottom"/>
            <w:hideMark/>
          </w:tcPr>
          <w:p w14:paraId="0515123B" w14:textId="35F8577A" w:rsidR="00AD0E8A" w:rsidRPr="00D2099E" w:rsidRDefault="00AD0E8A" w:rsidP="0066308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Exercised</w:t>
            </w:r>
          </w:p>
        </w:tc>
        <w:tc>
          <w:tcPr>
            <w:tcW w:w="0" w:type="auto"/>
            <w:shd w:val="clear" w:color="auto" w:fill="auto"/>
            <w:tcMar>
              <w:top w:w="0" w:type="dxa"/>
              <w:left w:w="0" w:type="dxa"/>
              <w:bottom w:w="30" w:type="dxa"/>
              <w:right w:w="0" w:type="dxa"/>
            </w:tcMar>
            <w:vAlign w:val="bottom"/>
            <w:hideMark/>
          </w:tcPr>
          <w:p w14:paraId="14690CAC" w14:textId="77777777" w:rsidR="00AD0E8A" w:rsidRPr="00D2099E" w:rsidRDefault="00AD0E8A" w:rsidP="0066308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1D17CE8B" w14:textId="77777777" w:rsidR="00AD0E8A" w:rsidRPr="00D2099E" w:rsidRDefault="00AD0E8A" w:rsidP="0066308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tcPr>
          <w:p w14:paraId="355B7CD8" w14:textId="25ACF4BA" w:rsidR="00AD0E8A" w:rsidRPr="00722478" w:rsidRDefault="00C80582" w:rsidP="0066308C">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4BA7">
              <w:rPr>
                <w:rFonts w:ascii="Times New Roman" w:eastAsia="Times New Roman" w:hAnsi="Times New Roman" w:cs="Times New Roman"/>
                <w:sz w:val="20"/>
                <w:szCs w:val="20"/>
                <w:lang w:val="en-US"/>
              </w:rPr>
              <w:t>220</w:t>
            </w:r>
            <w:r w:rsidR="00E97C8A">
              <w:rPr>
                <w:rFonts w:ascii="Times New Roman" w:eastAsia="Times New Roman" w:hAnsi="Times New Roman" w:cs="Times New Roman"/>
                <w:sz w:val="20"/>
                <w:szCs w:val="20"/>
                <w:lang w:val="en-US"/>
              </w:rPr>
              <w:t>,000</w:t>
            </w:r>
          </w:p>
        </w:tc>
        <w:tc>
          <w:tcPr>
            <w:tcW w:w="44" w:type="pct"/>
            <w:tcBorders>
              <w:bottom w:val="single" w:sz="12" w:space="0" w:color="auto"/>
            </w:tcBorders>
            <w:shd w:val="clear" w:color="auto" w:fill="auto"/>
            <w:tcMar>
              <w:top w:w="0" w:type="dxa"/>
              <w:left w:w="0" w:type="dxa"/>
              <w:bottom w:w="30" w:type="dxa"/>
              <w:right w:w="0" w:type="dxa"/>
            </w:tcMar>
            <w:vAlign w:val="bottom"/>
          </w:tcPr>
          <w:p w14:paraId="11D135DA" w14:textId="073AEC5D" w:rsidR="00AD0E8A" w:rsidRPr="00722478" w:rsidRDefault="00C80582" w:rsidP="0066308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33" w:type="pct"/>
            <w:shd w:val="clear" w:color="auto" w:fill="auto"/>
            <w:tcMar>
              <w:top w:w="0" w:type="dxa"/>
              <w:left w:w="0" w:type="dxa"/>
              <w:bottom w:w="30" w:type="dxa"/>
              <w:right w:w="0" w:type="dxa"/>
            </w:tcMar>
            <w:vAlign w:val="bottom"/>
          </w:tcPr>
          <w:p w14:paraId="220B9555" w14:textId="54E048A7" w:rsidR="00AD0E8A" w:rsidRPr="00722478" w:rsidRDefault="00AD0E8A" w:rsidP="0066308C">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vAlign w:val="bottom"/>
          </w:tcPr>
          <w:p w14:paraId="316CAD01" w14:textId="6F68AA9A" w:rsidR="00AD0E8A" w:rsidRPr="00722478" w:rsidRDefault="00AD0E8A" w:rsidP="0066308C">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vAlign w:val="bottom"/>
          </w:tcPr>
          <w:p w14:paraId="3135D203" w14:textId="3FF93277" w:rsidR="00AD0E8A" w:rsidRPr="00722478" w:rsidRDefault="00E97C8A" w:rsidP="0066308C">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0.08</w:t>
            </w:r>
          </w:p>
        </w:tc>
        <w:tc>
          <w:tcPr>
            <w:tcW w:w="0" w:type="auto"/>
            <w:shd w:val="clear" w:color="auto" w:fill="auto"/>
            <w:tcMar>
              <w:top w:w="0" w:type="dxa"/>
              <w:left w:w="0" w:type="dxa"/>
              <w:bottom w:w="30" w:type="dxa"/>
              <w:right w:w="0" w:type="dxa"/>
            </w:tcMar>
            <w:vAlign w:val="bottom"/>
            <w:hideMark/>
          </w:tcPr>
          <w:p w14:paraId="78C67DF9" w14:textId="77777777" w:rsidR="00AD0E8A" w:rsidRPr="00D2099E" w:rsidRDefault="00AD0E8A" w:rsidP="0066308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6405DF" w:rsidRPr="00D2099E" w14:paraId="4E056831" w14:textId="77777777" w:rsidTr="00D33273">
        <w:tc>
          <w:tcPr>
            <w:tcW w:w="2904" w:type="pct"/>
            <w:tcBorders>
              <w:bottom w:val="single" w:sz="12" w:space="0" w:color="auto"/>
            </w:tcBorders>
            <w:shd w:val="clear" w:color="auto" w:fill="auto"/>
            <w:vAlign w:val="bottom"/>
            <w:hideMark/>
          </w:tcPr>
          <w:p w14:paraId="58CB718A" w14:textId="77354820" w:rsidR="006405DF" w:rsidRPr="00D2099E" w:rsidRDefault="006405DF" w:rsidP="0066308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Outstanding, </w:t>
            </w:r>
            <w:r w:rsidR="003D4BA7">
              <w:rPr>
                <w:rFonts w:ascii="Times New Roman" w:eastAsia="Times New Roman" w:hAnsi="Times New Roman" w:cs="Times New Roman"/>
                <w:sz w:val="20"/>
                <w:szCs w:val="20"/>
                <w:lang w:val="en-US"/>
              </w:rPr>
              <w:t>June 30</w:t>
            </w:r>
            <w:r>
              <w:rPr>
                <w:rFonts w:ascii="Times New Roman" w:eastAsia="Times New Roman" w:hAnsi="Times New Roman" w:cs="Times New Roman"/>
                <w:sz w:val="20"/>
                <w:szCs w:val="20"/>
                <w:lang w:val="en-US"/>
              </w:rPr>
              <w:t>, 2022</w:t>
            </w:r>
          </w:p>
        </w:tc>
        <w:tc>
          <w:tcPr>
            <w:tcW w:w="0" w:type="auto"/>
            <w:tcBorders>
              <w:bottom w:val="single" w:sz="12" w:space="0" w:color="auto"/>
            </w:tcBorders>
            <w:shd w:val="clear" w:color="auto" w:fill="auto"/>
            <w:vAlign w:val="bottom"/>
            <w:hideMark/>
          </w:tcPr>
          <w:p w14:paraId="0FCFAAB4" w14:textId="77777777" w:rsidR="006405DF" w:rsidRPr="00D2099E" w:rsidRDefault="006405DF" w:rsidP="0066308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2CD480A0" w14:textId="77777777" w:rsidR="006405DF" w:rsidRPr="00D2099E" w:rsidRDefault="006405DF" w:rsidP="0066308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tcPr>
          <w:p w14:paraId="6F574DAB" w14:textId="521CFB8B" w:rsidR="006405DF" w:rsidRPr="00BE70DB" w:rsidRDefault="00E97C8A" w:rsidP="0066308C">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003D4BA7">
              <w:rPr>
                <w:rFonts w:ascii="Times New Roman" w:eastAsia="Times New Roman" w:hAnsi="Times New Roman" w:cs="Times New Roman"/>
                <w:sz w:val="20"/>
                <w:szCs w:val="20"/>
                <w:lang w:val="en-US"/>
              </w:rPr>
              <w:t>42</w:t>
            </w:r>
            <w:r>
              <w:rPr>
                <w:rFonts w:ascii="Times New Roman" w:eastAsia="Times New Roman" w:hAnsi="Times New Roman" w:cs="Times New Roman"/>
                <w:sz w:val="20"/>
                <w:szCs w:val="20"/>
                <w:lang w:val="en-US"/>
              </w:rPr>
              <w:t>0,000</w:t>
            </w:r>
          </w:p>
        </w:tc>
        <w:tc>
          <w:tcPr>
            <w:tcW w:w="44" w:type="pct"/>
            <w:tcBorders>
              <w:top w:val="single" w:sz="12" w:space="0" w:color="auto"/>
              <w:bottom w:val="single" w:sz="12" w:space="0" w:color="auto"/>
            </w:tcBorders>
            <w:shd w:val="clear" w:color="auto" w:fill="auto"/>
            <w:vAlign w:val="bottom"/>
          </w:tcPr>
          <w:p w14:paraId="034B8745" w14:textId="22C144E2" w:rsidR="006405DF" w:rsidRPr="00BE70DB" w:rsidRDefault="006405DF" w:rsidP="0066308C">
            <w:pPr>
              <w:spacing w:after="0" w:line="240" w:lineRule="auto"/>
              <w:jc w:val="both"/>
              <w:rPr>
                <w:rFonts w:ascii="Times New Roman" w:eastAsia="Times New Roman" w:hAnsi="Times New Roman" w:cs="Times New Roman"/>
                <w:sz w:val="20"/>
                <w:szCs w:val="20"/>
                <w:lang w:val="en-US"/>
              </w:rPr>
            </w:pPr>
          </w:p>
        </w:tc>
        <w:tc>
          <w:tcPr>
            <w:tcW w:w="33" w:type="pct"/>
            <w:tcBorders>
              <w:bottom w:val="single" w:sz="12" w:space="0" w:color="auto"/>
            </w:tcBorders>
            <w:shd w:val="clear" w:color="auto" w:fill="auto"/>
            <w:vAlign w:val="bottom"/>
          </w:tcPr>
          <w:p w14:paraId="03911625" w14:textId="21966C30" w:rsidR="006405DF" w:rsidRPr="00BE70DB" w:rsidRDefault="006405DF" w:rsidP="0066308C">
            <w:pPr>
              <w:spacing w:after="0" w:line="240" w:lineRule="auto"/>
              <w:jc w:val="both"/>
              <w:rPr>
                <w:rFonts w:ascii="Times New Roman" w:eastAsia="Times New Roman" w:hAnsi="Times New Roman" w:cs="Times New Roman"/>
                <w:sz w:val="20"/>
                <w:szCs w:val="20"/>
                <w:lang w:val="en-US"/>
              </w:rPr>
            </w:pPr>
          </w:p>
        </w:tc>
        <w:tc>
          <w:tcPr>
            <w:tcW w:w="0" w:type="auto"/>
            <w:tcBorders>
              <w:top w:val="single" w:sz="12" w:space="0" w:color="auto"/>
              <w:bottom w:val="single" w:sz="12" w:space="0" w:color="auto"/>
            </w:tcBorders>
            <w:shd w:val="clear" w:color="auto" w:fill="auto"/>
            <w:vAlign w:val="bottom"/>
          </w:tcPr>
          <w:p w14:paraId="700B4622" w14:textId="08776DB1" w:rsidR="006405DF" w:rsidRPr="00BE70DB" w:rsidRDefault="00CA5A2A" w:rsidP="0066308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0" w:type="auto"/>
            <w:tcBorders>
              <w:top w:val="single" w:sz="12" w:space="0" w:color="auto"/>
              <w:bottom w:val="single" w:sz="12" w:space="0" w:color="auto"/>
            </w:tcBorders>
            <w:shd w:val="clear" w:color="auto" w:fill="auto"/>
            <w:vAlign w:val="bottom"/>
          </w:tcPr>
          <w:p w14:paraId="7B8E7C20" w14:textId="5611DCBD" w:rsidR="006405DF" w:rsidRPr="00BE70DB" w:rsidRDefault="00E97C8A" w:rsidP="0066308C">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0.12</w:t>
            </w:r>
          </w:p>
        </w:tc>
        <w:tc>
          <w:tcPr>
            <w:tcW w:w="0" w:type="auto"/>
            <w:shd w:val="clear" w:color="auto" w:fill="auto"/>
            <w:vAlign w:val="bottom"/>
            <w:hideMark/>
          </w:tcPr>
          <w:p w14:paraId="243CDD60" w14:textId="77777777" w:rsidR="006405DF" w:rsidRPr="00D2099E" w:rsidRDefault="006405DF" w:rsidP="0066308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bl>
    <w:p w14:paraId="09D1E408"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p>
    <w:p w14:paraId="5425BBBB" w14:textId="3CEAF084"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proofErr w:type="gramStart"/>
      <w:r w:rsidRPr="00D2099E">
        <w:rPr>
          <w:rFonts w:ascii="Times New Roman" w:eastAsia="Times New Roman" w:hAnsi="Times New Roman" w:cs="Times New Roman"/>
          <w:sz w:val="20"/>
          <w:szCs w:val="20"/>
          <w:lang w:val="en-US"/>
        </w:rPr>
        <w:t>At</w:t>
      </w:r>
      <w:proofErr w:type="gramEnd"/>
      <w:r w:rsidRPr="00D2099E">
        <w:rPr>
          <w:rFonts w:ascii="Times New Roman" w:eastAsia="Times New Roman" w:hAnsi="Times New Roman" w:cs="Times New Roman"/>
          <w:sz w:val="20"/>
          <w:szCs w:val="20"/>
          <w:lang w:val="en-US"/>
        </w:rPr>
        <w:t xml:space="preserve"> </w:t>
      </w:r>
      <w:r w:rsidR="003D4BA7">
        <w:rPr>
          <w:rFonts w:ascii="Times New Roman" w:eastAsia="Times New Roman" w:hAnsi="Times New Roman" w:cs="Times New Roman"/>
          <w:sz w:val="20"/>
          <w:szCs w:val="20"/>
          <w:lang w:val="en-US"/>
        </w:rPr>
        <w:t>June 30</w:t>
      </w:r>
      <w:r w:rsidR="00AD0E8A">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xml:space="preserve"> the Company had the following outstanding stock options:</w:t>
      </w:r>
    </w:p>
    <w:p w14:paraId="469FD0F2" w14:textId="123217F2" w:rsidR="00D2099E" w:rsidRDefault="00D2099E" w:rsidP="00D2099E">
      <w:pPr>
        <w:spacing w:after="0" w:line="240" w:lineRule="auto"/>
        <w:ind w:left="360"/>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4772" w:type="pct"/>
        <w:tblInd w:w="426" w:type="dxa"/>
        <w:tblCellMar>
          <w:left w:w="0" w:type="dxa"/>
          <w:right w:w="0" w:type="dxa"/>
        </w:tblCellMar>
        <w:tblLook w:val="04A0" w:firstRow="1" w:lastRow="0" w:firstColumn="1" w:lastColumn="0" w:noHBand="0" w:noVBand="1"/>
      </w:tblPr>
      <w:tblGrid>
        <w:gridCol w:w="1629"/>
        <w:gridCol w:w="95"/>
        <w:gridCol w:w="188"/>
        <w:gridCol w:w="95"/>
        <w:gridCol w:w="2058"/>
        <w:gridCol w:w="95"/>
        <w:gridCol w:w="188"/>
        <w:gridCol w:w="2153"/>
        <w:gridCol w:w="188"/>
        <w:gridCol w:w="95"/>
        <w:gridCol w:w="2058"/>
        <w:gridCol w:w="91"/>
      </w:tblGrid>
      <w:tr w:rsidR="00BE70DB" w:rsidRPr="00AD0E8A" w14:paraId="172F34C6" w14:textId="77777777" w:rsidTr="00D33273">
        <w:tc>
          <w:tcPr>
            <w:tcW w:w="912" w:type="pct"/>
            <w:tcBorders>
              <w:top w:val="single" w:sz="12" w:space="0" w:color="auto"/>
              <w:bottom w:val="single" w:sz="12" w:space="0" w:color="auto"/>
            </w:tcBorders>
            <w:shd w:val="clear" w:color="auto" w:fill="auto"/>
            <w:vAlign w:val="bottom"/>
            <w:hideMark/>
          </w:tcPr>
          <w:p w14:paraId="003DD29D" w14:textId="77777777" w:rsidR="00BE70DB" w:rsidRPr="00CA4239" w:rsidRDefault="00BE70DB" w:rsidP="002F6A75">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Outstanding</w:t>
            </w:r>
          </w:p>
        </w:tc>
        <w:tc>
          <w:tcPr>
            <w:tcW w:w="0" w:type="auto"/>
            <w:tcBorders>
              <w:top w:val="single" w:sz="12" w:space="0" w:color="auto"/>
              <w:bottom w:val="single" w:sz="12" w:space="0" w:color="auto"/>
            </w:tcBorders>
            <w:shd w:val="clear" w:color="auto" w:fill="auto"/>
            <w:vAlign w:val="bottom"/>
            <w:hideMark/>
          </w:tcPr>
          <w:p w14:paraId="5EC57D18"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595CEB10"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5CB29D3A" w14:textId="77777777" w:rsidR="00BE70DB" w:rsidRPr="00CA4239" w:rsidRDefault="00BE70DB" w:rsidP="002F6A75">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Exercise Price</w:t>
            </w:r>
          </w:p>
        </w:tc>
        <w:tc>
          <w:tcPr>
            <w:tcW w:w="0" w:type="auto"/>
            <w:tcBorders>
              <w:top w:val="single" w:sz="12" w:space="0" w:color="auto"/>
              <w:bottom w:val="single" w:sz="12" w:space="0" w:color="auto"/>
            </w:tcBorders>
            <w:shd w:val="clear" w:color="auto" w:fill="auto"/>
            <w:vAlign w:val="bottom"/>
            <w:hideMark/>
          </w:tcPr>
          <w:p w14:paraId="4B46A0CC"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6F938D12"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0A97D903" w14:textId="77777777" w:rsidR="00BE70DB" w:rsidRPr="00CA4239" w:rsidRDefault="00BE70DB" w:rsidP="002F6A75">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Expiry Date</w:t>
            </w:r>
          </w:p>
        </w:tc>
        <w:tc>
          <w:tcPr>
            <w:tcW w:w="0" w:type="auto"/>
            <w:tcBorders>
              <w:top w:val="single" w:sz="12" w:space="0" w:color="auto"/>
              <w:bottom w:val="single" w:sz="12" w:space="0" w:color="auto"/>
            </w:tcBorders>
            <w:shd w:val="clear" w:color="auto" w:fill="auto"/>
            <w:vAlign w:val="bottom"/>
            <w:hideMark/>
          </w:tcPr>
          <w:p w14:paraId="7E6D0A19"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38296242" w14:textId="77777777" w:rsidR="00BE70DB" w:rsidRPr="00CA4239" w:rsidRDefault="00BE70DB" w:rsidP="002F6A75">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Vested</w:t>
            </w:r>
          </w:p>
        </w:tc>
        <w:tc>
          <w:tcPr>
            <w:tcW w:w="0" w:type="auto"/>
            <w:shd w:val="clear" w:color="auto" w:fill="auto"/>
            <w:vAlign w:val="bottom"/>
            <w:hideMark/>
          </w:tcPr>
          <w:p w14:paraId="26AB5D83"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BE70DB" w:rsidRPr="00AD0E8A" w14:paraId="0399255C" w14:textId="77777777" w:rsidTr="00D33273">
        <w:tc>
          <w:tcPr>
            <w:tcW w:w="912" w:type="pct"/>
            <w:tcBorders>
              <w:top w:val="single" w:sz="12" w:space="0" w:color="auto"/>
            </w:tcBorders>
            <w:shd w:val="clear" w:color="auto" w:fill="auto"/>
            <w:vAlign w:val="bottom"/>
            <w:hideMark/>
          </w:tcPr>
          <w:p w14:paraId="09083CAA"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200,000</w:t>
            </w:r>
          </w:p>
        </w:tc>
        <w:tc>
          <w:tcPr>
            <w:tcW w:w="53" w:type="pct"/>
            <w:tcBorders>
              <w:top w:val="single" w:sz="12" w:space="0" w:color="auto"/>
            </w:tcBorders>
            <w:shd w:val="clear" w:color="auto" w:fill="auto"/>
            <w:vAlign w:val="bottom"/>
            <w:hideMark/>
          </w:tcPr>
          <w:p w14:paraId="1C0C0A18"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105" w:type="pct"/>
            <w:tcBorders>
              <w:top w:val="single" w:sz="12" w:space="0" w:color="auto"/>
            </w:tcBorders>
            <w:shd w:val="clear" w:color="auto" w:fill="auto"/>
            <w:vAlign w:val="bottom"/>
            <w:hideMark/>
          </w:tcPr>
          <w:p w14:paraId="14EC0760"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53" w:type="pct"/>
            <w:tcBorders>
              <w:top w:val="single" w:sz="12" w:space="0" w:color="auto"/>
            </w:tcBorders>
            <w:shd w:val="clear" w:color="auto" w:fill="auto"/>
            <w:vAlign w:val="bottom"/>
            <w:hideMark/>
          </w:tcPr>
          <w:p w14:paraId="3DE39A62"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1152" w:type="pct"/>
            <w:tcBorders>
              <w:top w:val="single" w:sz="12" w:space="0" w:color="auto"/>
            </w:tcBorders>
            <w:shd w:val="clear" w:color="auto" w:fill="auto"/>
            <w:vAlign w:val="bottom"/>
            <w:hideMark/>
          </w:tcPr>
          <w:p w14:paraId="5FA67765"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0.12</w:t>
            </w:r>
          </w:p>
        </w:tc>
        <w:tc>
          <w:tcPr>
            <w:tcW w:w="53" w:type="pct"/>
            <w:tcBorders>
              <w:top w:val="single" w:sz="12" w:space="0" w:color="auto"/>
            </w:tcBorders>
            <w:shd w:val="clear" w:color="auto" w:fill="auto"/>
            <w:vAlign w:val="bottom"/>
            <w:hideMark/>
          </w:tcPr>
          <w:p w14:paraId="103F36B6"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105" w:type="pct"/>
            <w:tcBorders>
              <w:top w:val="single" w:sz="12" w:space="0" w:color="auto"/>
            </w:tcBorders>
            <w:shd w:val="clear" w:color="auto" w:fill="auto"/>
            <w:vAlign w:val="bottom"/>
            <w:hideMark/>
          </w:tcPr>
          <w:p w14:paraId="64228F80"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1205" w:type="pct"/>
            <w:tcBorders>
              <w:top w:val="single" w:sz="12" w:space="0" w:color="auto"/>
            </w:tcBorders>
            <w:shd w:val="clear" w:color="auto" w:fill="auto"/>
            <w:vAlign w:val="bottom"/>
            <w:hideMark/>
          </w:tcPr>
          <w:p w14:paraId="1CE801DC"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September 15, 2022</w:t>
            </w:r>
          </w:p>
        </w:tc>
        <w:tc>
          <w:tcPr>
            <w:tcW w:w="105" w:type="pct"/>
            <w:tcBorders>
              <w:top w:val="single" w:sz="12" w:space="0" w:color="auto"/>
            </w:tcBorders>
            <w:shd w:val="clear" w:color="auto" w:fill="auto"/>
            <w:vAlign w:val="bottom"/>
            <w:hideMark/>
          </w:tcPr>
          <w:p w14:paraId="0B9C1F08"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53" w:type="pct"/>
            <w:tcBorders>
              <w:top w:val="single" w:sz="12" w:space="0" w:color="auto"/>
            </w:tcBorders>
            <w:shd w:val="clear" w:color="auto" w:fill="auto"/>
            <w:vAlign w:val="bottom"/>
            <w:hideMark/>
          </w:tcPr>
          <w:p w14:paraId="7F5F1BAB"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1152" w:type="pct"/>
            <w:tcBorders>
              <w:top w:val="single" w:sz="12" w:space="0" w:color="auto"/>
            </w:tcBorders>
            <w:shd w:val="clear" w:color="auto" w:fill="auto"/>
            <w:vAlign w:val="bottom"/>
            <w:hideMark/>
          </w:tcPr>
          <w:p w14:paraId="7EB55DF0"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200,000</w:t>
            </w:r>
          </w:p>
        </w:tc>
        <w:tc>
          <w:tcPr>
            <w:tcW w:w="51" w:type="pct"/>
            <w:shd w:val="clear" w:color="auto" w:fill="auto"/>
            <w:vAlign w:val="bottom"/>
            <w:hideMark/>
          </w:tcPr>
          <w:p w14:paraId="0EE1B2E8"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BE70DB" w:rsidRPr="00AD0E8A" w14:paraId="221DBD75" w14:textId="77777777" w:rsidTr="00D33273">
        <w:tc>
          <w:tcPr>
            <w:tcW w:w="912" w:type="pct"/>
            <w:shd w:val="clear" w:color="auto" w:fill="auto"/>
            <w:vAlign w:val="bottom"/>
            <w:hideMark/>
          </w:tcPr>
          <w:p w14:paraId="253ADAF1"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1,750,000</w:t>
            </w:r>
          </w:p>
        </w:tc>
        <w:tc>
          <w:tcPr>
            <w:tcW w:w="0" w:type="auto"/>
            <w:shd w:val="clear" w:color="auto" w:fill="auto"/>
            <w:vAlign w:val="bottom"/>
            <w:hideMark/>
          </w:tcPr>
          <w:p w14:paraId="5DEE22F2"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13BF7E20"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4564DCB"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6DF3391D"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0.12</w:t>
            </w:r>
          </w:p>
        </w:tc>
        <w:tc>
          <w:tcPr>
            <w:tcW w:w="0" w:type="auto"/>
            <w:shd w:val="clear" w:color="auto" w:fill="auto"/>
            <w:vAlign w:val="bottom"/>
            <w:hideMark/>
          </w:tcPr>
          <w:p w14:paraId="26E2FB9B"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6CDB3CB4"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1B4A59A"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October 24, 2023</w:t>
            </w:r>
          </w:p>
        </w:tc>
        <w:tc>
          <w:tcPr>
            <w:tcW w:w="0" w:type="auto"/>
            <w:shd w:val="clear" w:color="auto" w:fill="auto"/>
            <w:vAlign w:val="bottom"/>
            <w:hideMark/>
          </w:tcPr>
          <w:p w14:paraId="7A41C11C"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479A49E7"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05121124"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1,750,000</w:t>
            </w:r>
          </w:p>
        </w:tc>
        <w:tc>
          <w:tcPr>
            <w:tcW w:w="0" w:type="auto"/>
            <w:shd w:val="clear" w:color="auto" w:fill="auto"/>
            <w:vAlign w:val="bottom"/>
            <w:hideMark/>
          </w:tcPr>
          <w:p w14:paraId="21284CF9"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BE70DB" w:rsidRPr="00AD0E8A" w14:paraId="7DCA3735" w14:textId="77777777" w:rsidTr="00D33273">
        <w:tc>
          <w:tcPr>
            <w:tcW w:w="912" w:type="pct"/>
            <w:shd w:val="clear" w:color="auto" w:fill="auto"/>
            <w:vAlign w:val="bottom"/>
            <w:hideMark/>
          </w:tcPr>
          <w:p w14:paraId="69F9F28A"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3,800,000</w:t>
            </w:r>
          </w:p>
        </w:tc>
        <w:tc>
          <w:tcPr>
            <w:tcW w:w="0" w:type="auto"/>
            <w:shd w:val="clear" w:color="auto" w:fill="auto"/>
            <w:vAlign w:val="bottom"/>
            <w:hideMark/>
          </w:tcPr>
          <w:p w14:paraId="34DA8B73"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F248329"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76C88133"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05118268"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0.12</w:t>
            </w:r>
          </w:p>
        </w:tc>
        <w:tc>
          <w:tcPr>
            <w:tcW w:w="0" w:type="auto"/>
            <w:shd w:val="clear" w:color="auto" w:fill="auto"/>
            <w:vAlign w:val="bottom"/>
            <w:hideMark/>
          </w:tcPr>
          <w:p w14:paraId="0BC49372"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0F5930B8"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6BAEAE13"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September 19, 2024</w:t>
            </w:r>
          </w:p>
        </w:tc>
        <w:tc>
          <w:tcPr>
            <w:tcW w:w="0" w:type="auto"/>
            <w:shd w:val="clear" w:color="auto" w:fill="auto"/>
            <w:vAlign w:val="bottom"/>
            <w:hideMark/>
          </w:tcPr>
          <w:p w14:paraId="275907B0"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1D88BD49"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21D264E6"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3,800,000</w:t>
            </w:r>
          </w:p>
        </w:tc>
        <w:tc>
          <w:tcPr>
            <w:tcW w:w="0" w:type="auto"/>
            <w:shd w:val="clear" w:color="auto" w:fill="auto"/>
            <w:vAlign w:val="bottom"/>
            <w:hideMark/>
          </w:tcPr>
          <w:p w14:paraId="1F759B0E"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BE70DB" w:rsidRPr="00AD0E8A" w14:paraId="6C278146" w14:textId="77777777" w:rsidTr="00D33273">
        <w:tc>
          <w:tcPr>
            <w:tcW w:w="912" w:type="pct"/>
            <w:shd w:val="clear" w:color="auto" w:fill="auto"/>
            <w:vAlign w:val="bottom"/>
            <w:hideMark/>
          </w:tcPr>
          <w:p w14:paraId="51B4E543"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640,000</w:t>
            </w:r>
          </w:p>
        </w:tc>
        <w:tc>
          <w:tcPr>
            <w:tcW w:w="0" w:type="auto"/>
            <w:shd w:val="clear" w:color="auto" w:fill="auto"/>
            <w:vAlign w:val="bottom"/>
            <w:hideMark/>
          </w:tcPr>
          <w:p w14:paraId="23CC22AB"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695AC01A"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5988984F"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6847F9FF"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0.06</w:t>
            </w:r>
          </w:p>
        </w:tc>
        <w:tc>
          <w:tcPr>
            <w:tcW w:w="0" w:type="auto"/>
            <w:shd w:val="clear" w:color="auto" w:fill="auto"/>
            <w:vAlign w:val="bottom"/>
            <w:hideMark/>
          </w:tcPr>
          <w:p w14:paraId="2C4E89AC"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5C0463C0"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2F73958B"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July 31, 2025</w:t>
            </w:r>
          </w:p>
        </w:tc>
        <w:tc>
          <w:tcPr>
            <w:tcW w:w="0" w:type="auto"/>
            <w:shd w:val="clear" w:color="auto" w:fill="auto"/>
            <w:vAlign w:val="bottom"/>
            <w:hideMark/>
          </w:tcPr>
          <w:p w14:paraId="003CB258"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39279F7"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155DC1B7"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640,000</w:t>
            </w:r>
          </w:p>
        </w:tc>
        <w:tc>
          <w:tcPr>
            <w:tcW w:w="0" w:type="auto"/>
            <w:shd w:val="clear" w:color="auto" w:fill="auto"/>
            <w:vAlign w:val="bottom"/>
            <w:hideMark/>
          </w:tcPr>
          <w:p w14:paraId="48DD4832"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BE70DB" w:rsidRPr="00AD0E8A" w14:paraId="0A9FD28A" w14:textId="77777777" w:rsidTr="00D33273">
        <w:tc>
          <w:tcPr>
            <w:tcW w:w="912" w:type="pct"/>
            <w:shd w:val="clear" w:color="auto" w:fill="auto"/>
            <w:vAlign w:val="bottom"/>
            <w:hideMark/>
          </w:tcPr>
          <w:p w14:paraId="429755D6" w14:textId="2738B769" w:rsidR="00BE70DB" w:rsidRPr="00CA4239" w:rsidRDefault="003D4BA7" w:rsidP="002F6A75">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78</w:t>
            </w:r>
            <w:r w:rsidR="00E97C8A" w:rsidRPr="00CA4239">
              <w:rPr>
                <w:rFonts w:ascii="Times New Roman" w:eastAsia="Times New Roman" w:hAnsi="Times New Roman" w:cs="Times New Roman"/>
                <w:sz w:val="20"/>
                <w:szCs w:val="20"/>
                <w:lang w:val="en-US"/>
              </w:rPr>
              <w:t>0</w:t>
            </w:r>
            <w:r w:rsidR="00BE70DB" w:rsidRPr="00CA4239">
              <w:rPr>
                <w:rFonts w:ascii="Times New Roman" w:eastAsia="Times New Roman" w:hAnsi="Times New Roman" w:cs="Times New Roman"/>
                <w:sz w:val="20"/>
                <w:szCs w:val="20"/>
                <w:lang w:val="en-US"/>
              </w:rPr>
              <w:t>,000</w:t>
            </w:r>
          </w:p>
        </w:tc>
        <w:tc>
          <w:tcPr>
            <w:tcW w:w="0" w:type="auto"/>
            <w:shd w:val="clear" w:color="auto" w:fill="auto"/>
            <w:vAlign w:val="bottom"/>
            <w:hideMark/>
          </w:tcPr>
          <w:p w14:paraId="42C4D2E0"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13DAB6F1"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48A8EDAD"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13B2F38C"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0.08</w:t>
            </w:r>
          </w:p>
        </w:tc>
        <w:tc>
          <w:tcPr>
            <w:tcW w:w="0" w:type="auto"/>
            <w:shd w:val="clear" w:color="auto" w:fill="auto"/>
            <w:vAlign w:val="bottom"/>
            <w:hideMark/>
          </w:tcPr>
          <w:p w14:paraId="5335F256"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579EBB16"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7F7C1FC4"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December 17, 2022</w:t>
            </w:r>
          </w:p>
        </w:tc>
        <w:tc>
          <w:tcPr>
            <w:tcW w:w="0" w:type="auto"/>
            <w:shd w:val="clear" w:color="auto" w:fill="auto"/>
            <w:vAlign w:val="bottom"/>
            <w:hideMark/>
          </w:tcPr>
          <w:p w14:paraId="57DBAE2B"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21B58D27"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4CF4C95D" w14:textId="61B7FA5F" w:rsidR="00BE70DB" w:rsidRPr="00CA4239" w:rsidRDefault="003D4BA7" w:rsidP="002F6A75">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78</w:t>
            </w:r>
            <w:r w:rsidR="00BE70DB" w:rsidRPr="00CA4239">
              <w:rPr>
                <w:rFonts w:ascii="Times New Roman" w:eastAsia="Times New Roman" w:hAnsi="Times New Roman" w:cs="Times New Roman"/>
                <w:sz w:val="20"/>
                <w:szCs w:val="20"/>
                <w:lang w:val="en-US"/>
              </w:rPr>
              <w:t>0,000</w:t>
            </w:r>
          </w:p>
        </w:tc>
        <w:tc>
          <w:tcPr>
            <w:tcW w:w="0" w:type="auto"/>
            <w:shd w:val="clear" w:color="auto" w:fill="auto"/>
            <w:vAlign w:val="bottom"/>
            <w:hideMark/>
          </w:tcPr>
          <w:p w14:paraId="65DDD777"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BE70DB" w:rsidRPr="00AD0E8A" w14:paraId="0B1B882A" w14:textId="77777777" w:rsidTr="00D33273">
        <w:tc>
          <w:tcPr>
            <w:tcW w:w="912" w:type="pct"/>
            <w:tcBorders>
              <w:bottom w:val="single" w:sz="12" w:space="0" w:color="000000"/>
            </w:tcBorders>
            <w:shd w:val="clear" w:color="auto" w:fill="auto"/>
            <w:vAlign w:val="bottom"/>
            <w:hideMark/>
          </w:tcPr>
          <w:p w14:paraId="305CB799"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250,000</w:t>
            </w:r>
          </w:p>
        </w:tc>
        <w:tc>
          <w:tcPr>
            <w:tcW w:w="0" w:type="auto"/>
            <w:shd w:val="clear" w:color="auto" w:fill="auto"/>
            <w:vAlign w:val="bottom"/>
            <w:hideMark/>
          </w:tcPr>
          <w:p w14:paraId="6FFC3CA6"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AAFA4DD"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7F549629"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6B11A7F7"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0.31</w:t>
            </w:r>
          </w:p>
        </w:tc>
        <w:tc>
          <w:tcPr>
            <w:tcW w:w="0" w:type="auto"/>
            <w:shd w:val="clear" w:color="auto" w:fill="auto"/>
            <w:vAlign w:val="bottom"/>
            <w:hideMark/>
          </w:tcPr>
          <w:p w14:paraId="1F659F5A"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189EF379"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24EF3024"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June 6, 2026</w:t>
            </w:r>
          </w:p>
        </w:tc>
        <w:tc>
          <w:tcPr>
            <w:tcW w:w="0" w:type="auto"/>
            <w:shd w:val="clear" w:color="auto" w:fill="auto"/>
            <w:vAlign w:val="bottom"/>
            <w:hideMark/>
          </w:tcPr>
          <w:p w14:paraId="07169DFD"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09B79C46"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63F2E718"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250,000</w:t>
            </w:r>
          </w:p>
        </w:tc>
        <w:tc>
          <w:tcPr>
            <w:tcW w:w="0" w:type="auto"/>
            <w:shd w:val="clear" w:color="auto" w:fill="auto"/>
            <w:vAlign w:val="bottom"/>
            <w:hideMark/>
          </w:tcPr>
          <w:p w14:paraId="7898705D"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r w:rsidR="00BE70DB" w:rsidRPr="00D2099E" w14:paraId="4FB75B09" w14:textId="77777777" w:rsidTr="00D33273">
        <w:tc>
          <w:tcPr>
            <w:tcW w:w="912" w:type="pct"/>
            <w:tcBorders>
              <w:bottom w:val="single" w:sz="12" w:space="0" w:color="auto"/>
            </w:tcBorders>
            <w:shd w:val="clear" w:color="auto" w:fill="auto"/>
            <w:vAlign w:val="bottom"/>
            <w:hideMark/>
          </w:tcPr>
          <w:p w14:paraId="3A4367C9" w14:textId="6A0CEDAB"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7,</w:t>
            </w:r>
            <w:r w:rsidR="003D4BA7">
              <w:rPr>
                <w:rFonts w:ascii="Times New Roman" w:eastAsia="Times New Roman" w:hAnsi="Times New Roman" w:cs="Times New Roman"/>
                <w:sz w:val="20"/>
                <w:szCs w:val="20"/>
                <w:lang w:val="en-US"/>
              </w:rPr>
              <w:t>42</w:t>
            </w:r>
            <w:r w:rsidRPr="00CA4239">
              <w:rPr>
                <w:rFonts w:ascii="Times New Roman" w:eastAsia="Times New Roman" w:hAnsi="Times New Roman" w:cs="Times New Roman"/>
                <w:sz w:val="20"/>
                <w:szCs w:val="20"/>
                <w:lang w:val="en-US"/>
              </w:rPr>
              <w:t>0,000</w:t>
            </w:r>
          </w:p>
        </w:tc>
        <w:tc>
          <w:tcPr>
            <w:tcW w:w="0" w:type="auto"/>
            <w:tcBorders>
              <w:bottom w:val="single" w:sz="12" w:space="0" w:color="auto"/>
            </w:tcBorders>
            <w:shd w:val="clear" w:color="auto" w:fill="auto"/>
            <w:vAlign w:val="bottom"/>
            <w:hideMark/>
          </w:tcPr>
          <w:p w14:paraId="46F14A28"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31B6CCF4"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4CE1801C"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01FC995A" w14:textId="77777777" w:rsidR="00BE70DB" w:rsidRPr="00CA4239"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5293C9BE"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0AAF52C6"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03072AC2"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45000A20"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2D914991" w14:textId="77777777" w:rsidR="00BE70DB" w:rsidRPr="00CA4239" w:rsidRDefault="00BE70DB" w:rsidP="002F6A75">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39C00549" w14:textId="0D06AD30" w:rsidR="00BE70DB" w:rsidRPr="00E97C8A" w:rsidRDefault="00BE70DB" w:rsidP="002F6A75">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7,</w:t>
            </w:r>
            <w:r w:rsidR="003D4BA7">
              <w:rPr>
                <w:rFonts w:ascii="Times New Roman" w:eastAsia="Times New Roman" w:hAnsi="Times New Roman" w:cs="Times New Roman"/>
                <w:sz w:val="20"/>
                <w:szCs w:val="20"/>
                <w:lang w:val="en-US"/>
              </w:rPr>
              <w:t>42</w:t>
            </w:r>
            <w:r w:rsidRPr="00CA4239">
              <w:rPr>
                <w:rFonts w:ascii="Times New Roman" w:eastAsia="Times New Roman" w:hAnsi="Times New Roman" w:cs="Times New Roman"/>
                <w:sz w:val="20"/>
                <w:szCs w:val="20"/>
                <w:lang w:val="en-US"/>
              </w:rPr>
              <w:t>0,000</w:t>
            </w:r>
          </w:p>
        </w:tc>
        <w:tc>
          <w:tcPr>
            <w:tcW w:w="0" w:type="auto"/>
            <w:shd w:val="clear" w:color="auto" w:fill="auto"/>
            <w:vAlign w:val="bottom"/>
            <w:hideMark/>
          </w:tcPr>
          <w:p w14:paraId="1697918C" w14:textId="77777777" w:rsidR="00BE70DB" w:rsidRPr="00E97C8A" w:rsidRDefault="00BE70DB" w:rsidP="002F6A75">
            <w:pPr>
              <w:spacing w:after="0" w:line="240" w:lineRule="auto"/>
              <w:jc w:val="both"/>
              <w:rPr>
                <w:rFonts w:ascii="Times New Roman" w:eastAsia="Times New Roman" w:hAnsi="Times New Roman" w:cs="Times New Roman"/>
                <w:sz w:val="20"/>
                <w:szCs w:val="20"/>
                <w:lang w:val="en-US"/>
              </w:rPr>
            </w:pPr>
            <w:r w:rsidRPr="00E97C8A">
              <w:rPr>
                <w:rFonts w:ascii="Times New Roman" w:eastAsia="Times New Roman" w:hAnsi="Times New Roman" w:cs="Times New Roman"/>
                <w:sz w:val="20"/>
                <w:szCs w:val="20"/>
                <w:lang w:val="en-US"/>
              </w:rPr>
              <w:t> </w:t>
            </w:r>
          </w:p>
        </w:tc>
      </w:tr>
    </w:tbl>
    <w:p w14:paraId="26CD6247" w14:textId="77777777" w:rsidR="00BE70DB" w:rsidRPr="00D2099E" w:rsidRDefault="00BE70DB" w:rsidP="00D2099E">
      <w:pPr>
        <w:spacing w:after="0" w:line="240" w:lineRule="auto"/>
        <w:ind w:left="360"/>
        <w:rPr>
          <w:rFonts w:ascii="Times New Roman" w:eastAsia="Times New Roman" w:hAnsi="Times New Roman" w:cs="Times New Roman"/>
          <w:sz w:val="20"/>
          <w:szCs w:val="20"/>
          <w:lang w:val="en-US"/>
        </w:rPr>
      </w:pPr>
    </w:p>
    <w:p w14:paraId="7C1FAFD9"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4CF499C" w14:textId="77777777" w:rsidR="009C7485" w:rsidRDefault="009C7485" w:rsidP="00D2099E">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9C7485" w:rsidRPr="00CA4239" w14:paraId="3AC43AB9" w14:textId="77777777" w:rsidTr="00B0377E">
        <w:tc>
          <w:tcPr>
            <w:tcW w:w="360" w:type="dxa"/>
            <w:hideMark/>
          </w:tcPr>
          <w:p w14:paraId="1A4F9A9F" w14:textId="77777777" w:rsidR="009C7485" w:rsidRPr="00CA4239" w:rsidRDefault="009C7485"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4</w:t>
            </w:r>
            <w:r w:rsidRPr="00CA4239">
              <w:rPr>
                <w:rFonts w:ascii="Times New Roman" w:eastAsia="Times New Roman" w:hAnsi="Times New Roman" w:cs="Times New Roman"/>
                <w:b/>
                <w:bCs/>
                <w:sz w:val="20"/>
                <w:szCs w:val="20"/>
                <w:lang w:val="en-US"/>
              </w:rPr>
              <w:t>.</w:t>
            </w:r>
          </w:p>
        </w:tc>
        <w:tc>
          <w:tcPr>
            <w:tcW w:w="0" w:type="auto"/>
            <w:hideMark/>
          </w:tcPr>
          <w:p w14:paraId="7AEB951C" w14:textId="77777777" w:rsidR="009C7485" w:rsidRPr="00CA4239" w:rsidRDefault="009C7485"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Stock Options</w:t>
            </w:r>
            <w:r>
              <w:rPr>
                <w:rFonts w:ascii="Times New Roman" w:eastAsia="Times New Roman" w:hAnsi="Times New Roman" w:cs="Times New Roman"/>
                <w:b/>
                <w:bCs/>
                <w:sz w:val="20"/>
                <w:szCs w:val="20"/>
                <w:lang w:val="en-US"/>
              </w:rPr>
              <w:t xml:space="preserve"> (continued)</w:t>
            </w:r>
          </w:p>
        </w:tc>
      </w:tr>
    </w:tbl>
    <w:p w14:paraId="23CB0EBA" w14:textId="77777777" w:rsidR="009C7485" w:rsidRDefault="009C7485" w:rsidP="00D2099E">
      <w:pPr>
        <w:spacing w:after="0" w:line="240" w:lineRule="auto"/>
        <w:ind w:left="360"/>
        <w:jc w:val="both"/>
        <w:rPr>
          <w:rFonts w:ascii="Times New Roman" w:eastAsia="Times New Roman" w:hAnsi="Times New Roman" w:cs="Times New Roman"/>
          <w:sz w:val="20"/>
          <w:szCs w:val="20"/>
          <w:lang w:val="en-US"/>
        </w:rPr>
      </w:pPr>
    </w:p>
    <w:p w14:paraId="4C441CBF" w14:textId="1246C9CB"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As </w:t>
      </w:r>
      <w:proofErr w:type="gramStart"/>
      <w:r w:rsidRPr="00D2099E">
        <w:rPr>
          <w:rFonts w:ascii="Times New Roman" w:eastAsia="Times New Roman" w:hAnsi="Times New Roman" w:cs="Times New Roman"/>
          <w:sz w:val="20"/>
          <w:szCs w:val="20"/>
          <w:lang w:val="en-US"/>
        </w:rPr>
        <w:t>at</w:t>
      </w:r>
      <w:proofErr w:type="gramEnd"/>
      <w:r w:rsidRPr="00D2099E">
        <w:rPr>
          <w:rFonts w:ascii="Times New Roman" w:eastAsia="Times New Roman" w:hAnsi="Times New Roman" w:cs="Times New Roman"/>
          <w:sz w:val="20"/>
          <w:szCs w:val="20"/>
          <w:lang w:val="en-US"/>
        </w:rPr>
        <w:t xml:space="preserve"> </w:t>
      </w:r>
      <w:r w:rsidR="00B76DD7">
        <w:rPr>
          <w:rFonts w:ascii="Times New Roman" w:eastAsia="Times New Roman" w:hAnsi="Times New Roman" w:cs="Times New Roman"/>
          <w:sz w:val="20"/>
          <w:szCs w:val="20"/>
          <w:lang w:val="en-US"/>
        </w:rPr>
        <w:t>June 30</w:t>
      </w:r>
      <w:r w:rsidR="004945FF">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xml:space="preserve">, the weighted average remaining contractual life of outstanding stock </w:t>
      </w:r>
      <w:r w:rsidRPr="009A15ED">
        <w:rPr>
          <w:rFonts w:ascii="Times New Roman" w:eastAsia="Times New Roman" w:hAnsi="Times New Roman" w:cs="Times New Roman"/>
          <w:sz w:val="20"/>
          <w:szCs w:val="20"/>
          <w:lang w:val="en-US"/>
        </w:rPr>
        <w:t xml:space="preserve">options </w:t>
      </w:r>
      <w:r w:rsidRPr="00CA4239">
        <w:rPr>
          <w:rFonts w:ascii="Times New Roman" w:eastAsia="Times New Roman" w:hAnsi="Times New Roman" w:cs="Times New Roman"/>
          <w:sz w:val="20"/>
          <w:szCs w:val="20"/>
          <w:lang w:val="en-US"/>
        </w:rPr>
        <w:t xml:space="preserve">is </w:t>
      </w:r>
      <w:r w:rsidR="00B76DD7">
        <w:rPr>
          <w:rFonts w:ascii="Times New Roman" w:eastAsia="Times New Roman" w:hAnsi="Times New Roman" w:cs="Times New Roman"/>
          <w:sz w:val="20"/>
          <w:szCs w:val="20"/>
          <w:lang w:val="en-US"/>
        </w:rPr>
        <w:t>1</w:t>
      </w:r>
      <w:r w:rsidRPr="00CA4239">
        <w:rPr>
          <w:rFonts w:ascii="Times New Roman" w:eastAsia="Times New Roman" w:hAnsi="Times New Roman" w:cs="Times New Roman"/>
          <w:sz w:val="20"/>
          <w:szCs w:val="20"/>
          <w:lang w:val="en-US"/>
        </w:rPr>
        <w:t>.</w:t>
      </w:r>
      <w:r w:rsidR="00B76DD7">
        <w:rPr>
          <w:rFonts w:ascii="Times New Roman" w:eastAsia="Times New Roman" w:hAnsi="Times New Roman" w:cs="Times New Roman"/>
          <w:sz w:val="20"/>
          <w:szCs w:val="20"/>
          <w:lang w:val="en-US"/>
        </w:rPr>
        <w:t>90</w:t>
      </w:r>
      <w:r w:rsidRPr="009A15ED">
        <w:rPr>
          <w:rFonts w:ascii="Times New Roman" w:eastAsia="Times New Roman" w:hAnsi="Times New Roman" w:cs="Times New Roman"/>
          <w:sz w:val="20"/>
          <w:szCs w:val="20"/>
          <w:lang w:val="en-US"/>
        </w:rPr>
        <w:t xml:space="preserve"> years</w:t>
      </w:r>
      <w:r w:rsidRPr="00D2099E">
        <w:rPr>
          <w:rFonts w:ascii="Times New Roman" w:eastAsia="Times New Roman" w:hAnsi="Times New Roman" w:cs="Times New Roman"/>
          <w:sz w:val="20"/>
          <w:szCs w:val="20"/>
          <w:lang w:val="en-US"/>
        </w:rPr>
        <w:t xml:space="preserve">. </w:t>
      </w:r>
    </w:p>
    <w:p w14:paraId="6C0FACDE"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067A68D" w14:textId="2BD606CF"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For the </w:t>
      </w:r>
      <w:r w:rsidR="00F334F6">
        <w:rPr>
          <w:rFonts w:ascii="Times New Roman" w:eastAsia="Times New Roman" w:hAnsi="Times New Roman" w:cs="Times New Roman"/>
          <w:sz w:val="20"/>
          <w:szCs w:val="20"/>
          <w:lang w:val="en-US"/>
        </w:rPr>
        <w:t>six</w:t>
      </w:r>
      <w:r w:rsidR="00664435">
        <w:rPr>
          <w:rFonts w:ascii="Times New Roman" w:eastAsia="Times New Roman" w:hAnsi="Times New Roman" w:cs="Times New Roman"/>
          <w:sz w:val="20"/>
          <w:szCs w:val="20"/>
          <w:lang w:val="en-US"/>
        </w:rPr>
        <w:t xml:space="preserve"> months ended </w:t>
      </w:r>
      <w:r w:rsidR="00F334F6">
        <w:rPr>
          <w:rFonts w:ascii="Times New Roman" w:eastAsia="Times New Roman" w:hAnsi="Times New Roman" w:cs="Times New Roman"/>
          <w:sz w:val="20"/>
          <w:szCs w:val="20"/>
          <w:lang w:val="en-US"/>
        </w:rPr>
        <w:t>June 30</w:t>
      </w:r>
      <w:r w:rsidR="00195440">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xml:space="preserve">, the Company </w:t>
      </w:r>
      <w:r w:rsidRPr="00BD6DCC">
        <w:rPr>
          <w:rFonts w:ascii="Times New Roman" w:eastAsia="Times New Roman" w:hAnsi="Times New Roman" w:cs="Times New Roman"/>
          <w:sz w:val="20"/>
          <w:szCs w:val="20"/>
          <w:lang w:val="en-US"/>
        </w:rPr>
        <w:t>recognized $</w:t>
      </w:r>
      <w:r w:rsidR="00B40FAC">
        <w:rPr>
          <w:rFonts w:ascii="Times New Roman" w:eastAsia="Times New Roman" w:hAnsi="Times New Roman" w:cs="Times New Roman"/>
          <w:sz w:val="20"/>
          <w:szCs w:val="20"/>
          <w:lang w:val="en-US"/>
        </w:rPr>
        <w:t>Nil</w:t>
      </w:r>
      <w:r w:rsidRPr="00D2099E">
        <w:rPr>
          <w:rFonts w:ascii="Times New Roman" w:eastAsia="Times New Roman" w:hAnsi="Times New Roman" w:cs="Times New Roman"/>
          <w:sz w:val="20"/>
          <w:szCs w:val="20"/>
          <w:lang w:val="en-US"/>
        </w:rPr>
        <w:t xml:space="preserve"> (202</w:t>
      </w:r>
      <w:r w:rsidR="00B40FAC">
        <w:rPr>
          <w:rFonts w:ascii="Times New Roman" w:eastAsia="Times New Roman" w:hAnsi="Times New Roman" w:cs="Times New Roman"/>
          <w:sz w:val="20"/>
          <w:szCs w:val="20"/>
          <w:lang w:val="en-US"/>
        </w:rPr>
        <w:t>1</w:t>
      </w:r>
      <w:r w:rsidRPr="00D2099E">
        <w:rPr>
          <w:rFonts w:ascii="Times New Roman" w:eastAsia="Times New Roman" w:hAnsi="Times New Roman" w:cs="Times New Roman"/>
          <w:sz w:val="20"/>
          <w:szCs w:val="20"/>
          <w:lang w:val="en-US"/>
        </w:rPr>
        <w:t xml:space="preserve"> - </w:t>
      </w:r>
      <w:r w:rsidR="00195440">
        <w:rPr>
          <w:rFonts w:ascii="Times New Roman" w:eastAsia="Times New Roman" w:hAnsi="Times New Roman" w:cs="Times New Roman"/>
          <w:sz w:val="20"/>
          <w:szCs w:val="20"/>
          <w:lang w:val="en-US"/>
        </w:rPr>
        <w:t>Nil</w:t>
      </w:r>
      <w:r w:rsidRPr="00D2099E">
        <w:rPr>
          <w:rFonts w:ascii="Times New Roman" w:eastAsia="Times New Roman" w:hAnsi="Times New Roman" w:cs="Times New Roman"/>
          <w:sz w:val="20"/>
          <w:szCs w:val="20"/>
          <w:lang w:val="en-US"/>
        </w:rPr>
        <w:t xml:space="preserve">) in stock-based compensation expense for options granted and vested. </w:t>
      </w:r>
      <w:proofErr w:type="gramStart"/>
      <w:r w:rsidRPr="00D2099E">
        <w:rPr>
          <w:rFonts w:ascii="Times New Roman" w:eastAsia="Times New Roman" w:hAnsi="Times New Roman" w:cs="Times New Roman"/>
          <w:sz w:val="20"/>
          <w:szCs w:val="20"/>
          <w:lang w:val="en-US"/>
        </w:rPr>
        <w:t>At</w:t>
      </w:r>
      <w:proofErr w:type="gramEnd"/>
      <w:r w:rsidRPr="00D2099E">
        <w:rPr>
          <w:rFonts w:ascii="Times New Roman" w:eastAsia="Times New Roman" w:hAnsi="Times New Roman" w:cs="Times New Roman"/>
          <w:sz w:val="20"/>
          <w:szCs w:val="20"/>
          <w:lang w:val="en-US"/>
        </w:rPr>
        <w:t xml:space="preserve"> </w:t>
      </w:r>
      <w:r w:rsidR="00F334F6">
        <w:rPr>
          <w:rFonts w:ascii="Times New Roman" w:eastAsia="Times New Roman" w:hAnsi="Times New Roman" w:cs="Times New Roman"/>
          <w:sz w:val="20"/>
          <w:szCs w:val="20"/>
          <w:lang w:val="en-US"/>
        </w:rPr>
        <w:t>June 30</w:t>
      </w:r>
      <w:r w:rsidR="00195440">
        <w:rPr>
          <w:rFonts w:ascii="Times New Roman" w:eastAsia="Times New Roman" w:hAnsi="Times New Roman" w:cs="Times New Roman"/>
          <w:sz w:val="20"/>
          <w:szCs w:val="20"/>
          <w:lang w:val="en-US"/>
        </w:rPr>
        <w:t>, 2022 and 2021</w:t>
      </w:r>
      <w:r w:rsidRPr="00D2099E">
        <w:rPr>
          <w:rFonts w:ascii="Times New Roman" w:eastAsia="Times New Roman" w:hAnsi="Times New Roman" w:cs="Times New Roman"/>
          <w:sz w:val="20"/>
          <w:szCs w:val="20"/>
          <w:lang w:val="en-US"/>
        </w:rPr>
        <w:t>, the Company has no unrecognized compensation expense related to stock options.</w:t>
      </w:r>
    </w:p>
    <w:p w14:paraId="136D4A43" w14:textId="7725D811"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E9D45B5" w14:textId="3BAE7635" w:rsidR="00AC7482" w:rsidRDefault="00B40FAC" w:rsidP="00D2099E">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During the </w:t>
      </w:r>
      <w:r w:rsidR="00F334F6">
        <w:rPr>
          <w:rFonts w:ascii="Times New Roman" w:eastAsia="Times New Roman" w:hAnsi="Times New Roman" w:cs="Times New Roman"/>
          <w:sz w:val="20"/>
          <w:szCs w:val="20"/>
          <w:lang w:val="en-US"/>
        </w:rPr>
        <w:t>six</w:t>
      </w:r>
      <w:r>
        <w:rPr>
          <w:rFonts w:ascii="Times New Roman" w:eastAsia="Times New Roman" w:hAnsi="Times New Roman" w:cs="Times New Roman"/>
          <w:sz w:val="20"/>
          <w:szCs w:val="20"/>
          <w:lang w:val="en-US"/>
        </w:rPr>
        <w:t xml:space="preserve"> months ended </w:t>
      </w:r>
      <w:r w:rsidR="00F334F6">
        <w:rPr>
          <w:rFonts w:ascii="Times New Roman" w:eastAsia="Times New Roman" w:hAnsi="Times New Roman" w:cs="Times New Roman"/>
          <w:sz w:val="20"/>
          <w:szCs w:val="20"/>
          <w:lang w:val="en-US"/>
        </w:rPr>
        <w:t>June 30</w:t>
      </w:r>
      <w:r>
        <w:rPr>
          <w:rFonts w:ascii="Times New Roman" w:eastAsia="Times New Roman" w:hAnsi="Times New Roman" w:cs="Times New Roman"/>
          <w:sz w:val="20"/>
          <w:szCs w:val="20"/>
          <w:lang w:val="en-US"/>
        </w:rPr>
        <w:t xml:space="preserve">, 2022, </w:t>
      </w:r>
      <w:r w:rsidR="00F334F6">
        <w:rPr>
          <w:rFonts w:ascii="Times New Roman" w:eastAsia="Times New Roman" w:hAnsi="Times New Roman" w:cs="Times New Roman"/>
          <w:sz w:val="20"/>
          <w:szCs w:val="20"/>
          <w:lang w:val="en-US"/>
        </w:rPr>
        <w:t>220</w:t>
      </w:r>
      <w:r>
        <w:rPr>
          <w:rFonts w:ascii="Times New Roman" w:eastAsia="Times New Roman" w:hAnsi="Times New Roman" w:cs="Times New Roman"/>
          <w:sz w:val="20"/>
          <w:szCs w:val="20"/>
          <w:lang w:val="en-US"/>
        </w:rPr>
        <w:t xml:space="preserve">,000 options </w:t>
      </w:r>
      <w:r w:rsidR="00AC7482">
        <w:rPr>
          <w:rFonts w:ascii="Times New Roman" w:eastAsia="Times New Roman" w:hAnsi="Times New Roman" w:cs="Times New Roman"/>
          <w:sz w:val="20"/>
          <w:szCs w:val="20"/>
          <w:lang w:val="en-US"/>
        </w:rPr>
        <w:t xml:space="preserve">with an exercise price of $0.10 CAD (approximately $0.08 USD) </w:t>
      </w:r>
      <w:r>
        <w:rPr>
          <w:rFonts w:ascii="Times New Roman" w:eastAsia="Times New Roman" w:hAnsi="Times New Roman" w:cs="Times New Roman"/>
          <w:sz w:val="20"/>
          <w:szCs w:val="20"/>
          <w:lang w:val="en-US"/>
        </w:rPr>
        <w:t>were exercised</w:t>
      </w:r>
      <w:r w:rsidR="003D7C55">
        <w:rPr>
          <w:rFonts w:ascii="Times New Roman" w:eastAsia="Times New Roman" w:hAnsi="Times New Roman" w:cs="Times New Roman"/>
          <w:sz w:val="20"/>
          <w:szCs w:val="20"/>
          <w:lang w:val="en-US"/>
        </w:rPr>
        <w:t xml:space="preserve"> for gross proceeds </w:t>
      </w:r>
      <w:proofErr w:type="gramStart"/>
      <w:r w:rsidR="003D7C55">
        <w:rPr>
          <w:rFonts w:ascii="Times New Roman" w:eastAsia="Times New Roman" w:hAnsi="Times New Roman" w:cs="Times New Roman"/>
          <w:sz w:val="20"/>
          <w:szCs w:val="20"/>
          <w:lang w:val="en-US"/>
        </w:rPr>
        <w:t xml:space="preserve">of </w:t>
      </w:r>
      <w:r w:rsidR="00AC7482">
        <w:rPr>
          <w:rFonts w:ascii="Times New Roman" w:eastAsia="Times New Roman" w:hAnsi="Times New Roman" w:cs="Times New Roman"/>
          <w:sz w:val="20"/>
          <w:szCs w:val="20"/>
          <w:lang w:val="en-US"/>
        </w:rPr>
        <w:t xml:space="preserve"> </w:t>
      </w:r>
      <w:r w:rsidR="009A15ED">
        <w:rPr>
          <w:rFonts w:ascii="Times New Roman" w:eastAsia="Times New Roman" w:hAnsi="Times New Roman" w:cs="Times New Roman"/>
          <w:sz w:val="20"/>
          <w:szCs w:val="20"/>
          <w:lang w:val="en-US"/>
        </w:rPr>
        <w:t>$</w:t>
      </w:r>
      <w:proofErr w:type="gramEnd"/>
      <w:r w:rsidR="004614CF">
        <w:rPr>
          <w:rFonts w:ascii="Times New Roman" w:eastAsia="Times New Roman" w:hAnsi="Times New Roman" w:cs="Times New Roman"/>
          <w:sz w:val="20"/>
          <w:szCs w:val="20"/>
          <w:lang w:val="en-US"/>
        </w:rPr>
        <w:t>25</w:t>
      </w:r>
      <w:r w:rsidR="009A15ED">
        <w:rPr>
          <w:rFonts w:ascii="Times New Roman" w:eastAsia="Times New Roman" w:hAnsi="Times New Roman" w:cs="Times New Roman"/>
          <w:sz w:val="20"/>
          <w:szCs w:val="20"/>
          <w:lang w:val="en-US"/>
        </w:rPr>
        <w:t>,000 CAD ($</w:t>
      </w:r>
      <w:r w:rsidR="004614CF">
        <w:rPr>
          <w:rFonts w:ascii="Times New Roman" w:eastAsia="Times New Roman" w:hAnsi="Times New Roman" w:cs="Times New Roman"/>
          <w:sz w:val="20"/>
          <w:szCs w:val="20"/>
          <w:lang w:val="en-US"/>
        </w:rPr>
        <w:t>19</w:t>
      </w:r>
      <w:r w:rsidR="009A15ED">
        <w:rPr>
          <w:rFonts w:ascii="Times New Roman" w:eastAsia="Times New Roman" w:hAnsi="Times New Roman" w:cs="Times New Roman"/>
          <w:sz w:val="20"/>
          <w:szCs w:val="20"/>
          <w:lang w:val="en-US"/>
        </w:rPr>
        <w:t>,</w:t>
      </w:r>
      <w:r w:rsidR="004614CF">
        <w:rPr>
          <w:rFonts w:ascii="Times New Roman" w:eastAsia="Times New Roman" w:hAnsi="Times New Roman" w:cs="Times New Roman"/>
          <w:sz w:val="20"/>
          <w:szCs w:val="20"/>
          <w:lang w:val="en-US"/>
        </w:rPr>
        <w:t>570</w:t>
      </w:r>
      <w:r w:rsidR="009A15ED">
        <w:rPr>
          <w:rFonts w:ascii="Times New Roman" w:eastAsia="Times New Roman" w:hAnsi="Times New Roman" w:cs="Times New Roman"/>
          <w:sz w:val="20"/>
          <w:szCs w:val="20"/>
          <w:lang w:val="en-US"/>
        </w:rPr>
        <w:t xml:space="preserve"> USD)</w:t>
      </w:r>
      <w:r w:rsidR="003D7C55">
        <w:rPr>
          <w:rFonts w:ascii="Times New Roman" w:eastAsia="Times New Roman" w:hAnsi="Times New Roman" w:cs="Times New Roman"/>
          <w:sz w:val="20"/>
          <w:szCs w:val="20"/>
          <w:lang w:val="en-US"/>
        </w:rPr>
        <w:t>.</w:t>
      </w:r>
      <w:r w:rsidR="004614CF">
        <w:rPr>
          <w:rFonts w:ascii="Times New Roman" w:eastAsia="Times New Roman" w:hAnsi="Times New Roman" w:cs="Times New Roman"/>
          <w:sz w:val="20"/>
          <w:szCs w:val="20"/>
          <w:lang w:val="en-US"/>
        </w:rPr>
        <w:t xml:space="preserve"> As </w:t>
      </w:r>
      <w:proofErr w:type="gramStart"/>
      <w:r w:rsidR="004614CF">
        <w:rPr>
          <w:rFonts w:ascii="Times New Roman" w:eastAsia="Times New Roman" w:hAnsi="Times New Roman" w:cs="Times New Roman"/>
          <w:sz w:val="20"/>
          <w:szCs w:val="20"/>
          <w:lang w:val="en-US"/>
        </w:rPr>
        <w:t>at</w:t>
      </w:r>
      <w:proofErr w:type="gramEnd"/>
      <w:r w:rsidR="004614CF">
        <w:rPr>
          <w:rFonts w:ascii="Times New Roman" w:eastAsia="Times New Roman" w:hAnsi="Times New Roman" w:cs="Times New Roman"/>
          <w:sz w:val="20"/>
          <w:szCs w:val="20"/>
          <w:lang w:val="en-US"/>
        </w:rPr>
        <w:t xml:space="preserve"> June 30, 2022, $3,000 </w:t>
      </w:r>
      <w:r w:rsidR="00D817C2">
        <w:rPr>
          <w:rFonts w:ascii="Times New Roman" w:eastAsia="Times New Roman" w:hAnsi="Times New Roman" w:cs="Times New Roman"/>
          <w:sz w:val="20"/>
          <w:szCs w:val="20"/>
          <w:lang w:val="en-US"/>
        </w:rPr>
        <w:t>CAD ($2,338 USD) has been</w:t>
      </w:r>
      <w:r w:rsidR="004614CF">
        <w:rPr>
          <w:rFonts w:ascii="Times New Roman" w:eastAsia="Times New Roman" w:hAnsi="Times New Roman" w:cs="Times New Roman"/>
          <w:sz w:val="20"/>
          <w:szCs w:val="20"/>
          <w:lang w:val="en-US"/>
        </w:rPr>
        <w:t xml:space="preserve"> included in shares to be cancelled.</w:t>
      </w:r>
    </w:p>
    <w:p w14:paraId="75AE98C2" w14:textId="77777777" w:rsidR="00135F41" w:rsidRPr="00D2099E" w:rsidRDefault="00135F41" w:rsidP="00D2099E">
      <w:pPr>
        <w:spacing w:after="0" w:line="240" w:lineRule="auto"/>
        <w:ind w:left="360"/>
        <w:jc w:val="both"/>
        <w:rPr>
          <w:rFonts w:ascii="Times New Roman" w:eastAsia="Times New Roman" w:hAnsi="Times New Roman" w:cs="Times New Roman"/>
          <w:sz w:val="20"/>
          <w:szCs w:val="20"/>
          <w:lang w:val="en-US"/>
        </w:rPr>
      </w:pPr>
    </w:p>
    <w:p w14:paraId="62C6BA6A" w14:textId="187D77DA"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fair values for stock options granted have been estimated using the Black-Scholes option pricing model using the following weighted average assumptions:</w:t>
      </w:r>
    </w:p>
    <w:p w14:paraId="7CEA58AF" w14:textId="77777777" w:rsidR="00D2099E" w:rsidRPr="00D2099E" w:rsidRDefault="00D2099E" w:rsidP="00D2099E">
      <w:pPr>
        <w:spacing w:after="0" w:line="240" w:lineRule="auto"/>
        <w:ind w:left="360"/>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4650" w:type="pct"/>
        <w:jc w:val="center"/>
        <w:tblCellMar>
          <w:left w:w="0" w:type="dxa"/>
          <w:right w:w="0" w:type="dxa"/>
        </w:tblCellMar>
        <w:tblLook w:val="04A0" w:firstRow="1" w:lastRow="0" w:firstColumn="1" w:lastColumn="0" w:noHBand="0" w:noVBand="1"/>
      </w:tblPr>
      <w:tblGrid>
        <w:gridCol w:w="5185"/>
        <w:gridCol w:w="136"/>
        <w:gridCol w:w="99"/>
        <w:gridCol w:w="1356"/>
        <w:gridCol w:w="167"/>
        <w:gridCol w:w="138"/>
        <w:gridCol w:w="101"/>
        <w:gridCol w:w="1356"/>
        <w:gridCol w:w="167"/>
      </w:tblGrid>
      <w:tr w:rsidR="00D2099E" w:rsidRPr="00D2099E" w14:paraId="5588E25E" w14:textId="77777777" w:rsidTr="00D33273">
        <w:trPr>
          <w:jc w:val="center"/>
        </w:trPr>
        <w:tc>
          <w:tcPr>
            <w:tcW w:w="0" w:type="auto"/>
            <w:tcBorders>
              <w:top w:val="single" w:sz="12" w:space="0" w:color="auto"/>
              <w:bottom w:val="single" w:sz="12" w:space="0" w:color="auto"/>
            </w:tcBorders>
            <w:shd w:val="clear" w:color="auto" w:fill="auto"/>
            <w:vAlign w:val="bottom"/>
            <w:hideMark/>
          </w:tcPr>
          <w:p w14:paraId="45592C28" w14:textId="77777777" w:rsidR="00D2099E" w:rsidRPr="00D2099E" w:rsidRDefault="00D2099E" w:rsidP="00D2099E">
            <w:pPr>
              <w:spacing w:after="0" w:line="240" w:lineRule="auto"/>
              <w:jc w:val="center"/>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08FFDAAB"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5A748752" w14:textId="2D171276" w:rsidR="00D2099E" w:rsidRPr="00D2099E" w:rsidRDefault="00D2099E" w:rsidP="00D2099E">
            <w:pPr>
              <w:spacing w:after="0" w:line="240" w:lineRule="auto"/>
              <w:jc w:val="center"/>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202</w:t>
            </w:r>
            <w:r w:rsidR="006405DF">
              <w:rPr>
                <w:rFonts w:ascii="Times New Roman" w:eastAsia="Times New Roman" w:hAnsi="Times New Roman" w:cs="Times New Roman"/>
                <w:color w:val="000000"/>
                <w:sz w:val="20"/>
                <w:szCs w:val="20"/>
                <w:lang w:val="en-US"/>
              </w:rPr>
              <w:t>2</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43782D48"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746DEA7C"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37C99441" w14:textId="692C04EB" w:rsidR="00D2099E" w:rsidRPr="00D2099E" w:rsidRDefault="00D2099E" w:rsidP="00D2099E">
            <w:pPr>
              <w:spacing w:after="0" w:line="240" w:lineRule="auto"/>
              <w:jc w:val="center"/>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202</w:t>
            </w:r>
            <w:r w:rsidR="006405DF">
              <w:rPr>
                <w:rFonts w:ascii="Times New Roman" w:eastAsia="Times New Roman" w:hAnsi="Times New Roman" w:cs="Times New Roman"/>
                <w:color w:val="000000"/>
                <w:sz w:val="20"/>
                <w:szCs w:val="20"/>
                <w:lang w:val="en-US"/>
              </w:rPr>
              <w:t>1</w:t>
            </w:r>
          </w:p>
        </w:tc>
        <w:tc>
          <w:tcPr>
            <w:tcW w:w="0" w:type="auto"/>
            <w:shd w:val="clear" w:color="auto" w:fill="auto"/>
            <w:tcMar>
              <w:top w:w="0" w:type="dxa"/>
              <w:left w:w="0" w:type="dxa"/>
              <w:bottom w:w="30" w:type="dxa"/>
              <w:right w:w="0" w:type="dxa"/>
            </w:tcMar>
            <w:vAlign w:val="bottom"/>
            <w:hideMark/>
          </w:tcPr>
          <w:p w14:paraId="4B49492B"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r>
      <w:tr w:rsidR="006405DF" w:rsidRPr="00D2099E" w14:paraId="76E74F97" w14:textId="77777777" w:rsidTr="00D33273">
        <w:trPr>
          <w:jc w:val="center"/>
        </w:trPr>
        <w:tc>
          <w:tcPr>
            <w:tcW w:w="2978" w:type="pct"/>
            <w:tcBorders>
              <w:top w:val="single" w:sz="12" w:space="0" w:color="auto"/>
            </w:tcBorders>
            <w:shd w:val="clear" w:color="auto" w:fill="auto"/>
            <w:vAlign w:val="bottom"/>
            <w:hideMark/>
          </w:tcPr>
          <w:p w14:paraId="7F6111A0" w14:textId="77777777" w:rsidR="006405DF" w:rsidRPr="00D2099E" w:rsidRDefault="006405DF" w:rsidP="006405DF">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Risk-free interest rate</w:t>
            </w:r>
          </w:p>
        </w:tc>
        <w:tc>
          <w:tcPr>
            <w:tcW w:w="78" w:type="pct"/>
            <w:tcBorders>
              <w:top w:val="single" w:sz="12" w:space="0" w:color="auto"/>
            </w:tcBorders>
            <w:shd w:val="clear" w:color="auto" w:fill="auto"/>
            <w:vAlign w:val="bottom"/>
            <w:hideMark/>
          </w:tcPr>
          <w:p w14:paraId="49EE3364" w14:textId="77777777" w:rsidR="006405DF" w:rsidRPr="00D2099E" w:rsidRDefault="006405DF" w:rsidP="006405DF">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57" w:type="pct"/>
            <w:tcBorders>
              <w:top w:val="single" w:sz="12" w:space="0" w:color="auto"/>
            </w:tcBorders>
            <w:shd w:val="clear" w:color="auto" w:fill="auto"/>
            <w:vAlign w:val="bottom"/>
            <w:hideMark/>
          </w:tcPr>
          <w:p w14:paraId="52365E5D" w14:textId="77777777" w:rsidR="006405DF" w:rsidRPr="00D2099E" w:rsidRDefault="006405DF" w:rsidP="006405DF">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779" w:type="pct"/>
            <w:tcBorders>
              <w:top w:val="single" w:sz="12" w:space="0" w:color="auto"/>
            </w:tcBorders>
            <w:shd w:val="clear" w:color="auto" w:fill="auto"/>
            <w:vAlign w:val="bottom"/>
          </w:tcPr>
          <w:p w14:paraId="0ACF0A3A" w14:textId="523EA21A" w:rsidR="006405DF" w:rsidRPr="00722478" w:rsidRDefault="00B40FAC" w:rsidP="00CA4239">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N/A</w:t>
            </w:r>
          </w:p>
        </w:tc>
        <w:tc>
          <w:tcPr>
            <w:tcW w:w="96" w:type="pct"/>
            <w:tcBorders>
              <w:top w:val="single" w:sz="12" w:space="0" w:color="auto"/>
            </w:tcBorders>
            <w:shd w:val="clear" w:color="auto" w:fill="auto"/>
            <w:vAlign w:val="bottom"/>
          </w:tcPr>
          <w:p w14:paraId="43C810E3" w14:textId="2EADC21B" w:rsidR="006405DF" w:rsidRPr="00D2099E" w:rsidRDefault="006405DF" w:rsidP="006405DF">
            <w:pPr>
              <w:spacing w:after="0" w:line="240" w:lineRule="auto"/>
              <w:jc w:val="both"/>
              <w:rPr>
                <w:rFonts w:ascii="Times New Roman" w:eastAsia="Times New Roman" w:hAnsi="Times New Roman" w:cs="Times New Roman"/>
                <w:color w:val="000000"/>
                <w:sz w:val="20"/>
                <w:szCs w:val="20"/>
                <w:lang w:val="en-US"/>
              </w:rPr>
            </w:pPr>
          </w:p>
        </w:tc>
        <w:tc>
          <w:tcPr>
            <w:tcW w:w="79" w:type="pct"/>
            <w:tcBorders>
              <w:top w:val="single" w:sz="12" w:space="0" w:color="auto"/>
            </w:tcBorders>
            <w:shd w:val="clear" w:color="auto" w:fill="auto"/>
            <w:vAlign w:val="bottom"/>
            <w:hideMark/>
          </w:tcPr>
          <w:p w14:paraId="6D3CA8AF" w14:textId="77777777" w:rsidR="006405DF" w:rsidRPr="00D2099E" w:rsidRDefault="006405DF" w:rsidP="006405DF">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58" w:type="pct"/>
            <w:tcBorders>
              <w:top w:val="single" w:sz="12" w:space="0" w:color="auto"/>
            </w:tcBorders>
            <w:shd w:val="clear" w:color="auto" w:fill="auto"/>
            <w:vAlign w:val="bottom"/>
            <w:hideMark/>
          </w:tcPr>
          <w:p w14:paraId="4B2021B5" w14:textId="77777777" w:rsidR="006405DF" w:rsidRPr="00D2099E" w:rsidRDefault="006405DF" w:rsidP="006405DF">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779" w:type="pct"/>
            <w:tcBorders>
              <w:top w:val="single" w:sz="12" w:space="0" w:color="auto"/>
            </w:tcBorders>
            <w:shd w:val="clear" w:color="auto" w:fill="auto"/>
            <w:vAlign w:val="bottom"/>
            <w:hideMark/>
          </w:tcPr>
          <w:p w14:paraId="2AB9F865" w14:textId="5AFC5BD3" w:rsidR="006405DF" w:rsidRPr="00D2099E" w:rsidRDefault="006405DF" w:rsidP="006405DF">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33.00 – 79.00</w:t>
            </w:r>
          </w:p>
        </w:tc>
        <w:tc>
          <w:tcPr>
            <w:tcW w:w="96" w:type="pct"/>
            <w:shd w:val="clear" w:color="auto" w:fill="auto"/>
            <w:vAlign w:val="bottom"/>
            <w:hideMark/>
          </w:tcPr>
          <w:p w14:paraId="3B7AF3CA" w14:textId="77777777" w:rsidR="006405DF" w:rsidRPr="00D2099E" w:rsidRDefault="006405DF" w:rsidP="006405DF">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r>
      <w:tr w:rsidR="00B40FAC" w:rsidRPr="00D2099E" w14:paraId="423F9644" w14:textId="77777777" w:rsidTr="00D33273">
        <w:trPr>
          <w:jc w:val="center"/>
        </w:trPr>
        <w:tc>
          <w:tcPr>
            <w:tcW w:w="0" w:type="auto"/>
            <w:shd w:val="clear" w:color="auto" w:fill="auto"/>
            <w:vAlign w:val="bottom"/>
            <w:hideMark/>
          </w:tcPr>
          <w:p w14:paraId="22E55170"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Expected life (years)</w:t>
            </w:r>
          </w:p>
        </w:tc>
        <w:tc>
          <w:tcPr>
            <w:tcW w:w="0" w:type="auto"/>
            <w:shd w:val="clear" w:color="auto" w:fill="auto"/>
            <w:vAlign w:val="bottom"/>
            <w:hideMark/>
          </w:tcPr>
          <w:p w14:paraId="5271F9A6"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7983257A"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tcPr>
          <w:p w14:paraId="3741A0CC" w14:textId="259704AA" w:rsidR="00B40FAC" w:rsidRPr="00722478" w:rsidRDefault="00B40FAC" w:rsidP="00CA4239">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N/A</w:t>
            </w:r>
          </w:p>
        </w:tc>
        <w:tc>
          <w:tcPr>
            <w:tcW w:w="0" w:type="auto"/>
            <w:shd w:val="clear" w:color="auto" w:fill="auto"/>
            <w:vAlign w:val="bottom"/>
          </w:tcPr>
          <w:p w14:paraId="6BC2861A" w14:textId="3B6C1BC9"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p>
        </w:tc>
        <w:tc>
          <w:tcPr>
            <w:tcW w:w="0" w:type="auto"/>
            <w:shd w:val="clear" w:color="auto" w:fill="auto"/>
            <w:vAlign w:val="bottom"/>
            <w:hideMark/>
          </w:tcPr>
          <w:p w14:paraId="209F850A"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22BF9232"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2A585F88" w14:textId="3D72CF80" w:rsidR="00B40FAC" w:rsidRPr="00D2099E" w:rsidRDefault="00B40FAC" w:rsidP="00B40FAC">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xml:space="preserve">3 - 5 </w:t>
            </w:r>
          </w:p>
        </w:tc>
        <w:tc>
          <w:tcPr>
            <w:tcW w:w="0" w:type="auto"/>
            <w:shd w:val="clear" w:color="auto" w:fill="auto"/>
            <w:vAlign w:val="bottom"/>
            <w:hideMark/>
          </w:tcPr>
          <w:p w14:paraId="1B55B64E"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r>
      <w:tr w:rsidR="00B40FAC" w:rsidRPr="00D2099E" w14:paraId="658C4A05" w14:textId="77777777" w:rsidTr="00D33273">
        <w:trPr>
          <w:jc w:val="center"/>
        </w:trPr>
        <w:tc>
          <w:tcPr>
            <w:tcW w:w="0" w:type="auto"/>
            <w:shd w:val="clear" w:color="auto" w:fill="auto"/>
            <w:vAlign w:val="bottom"/>
            <w:hideMark/>
          </w:tcPr>
          <w:p w14:paraId="1C7496EE"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Expected volatility</w:t>
            </w:r>
          </w:p>
        </w:tc>
        <w:tc>
          <w:tcPr>
            <w:tcW w:w="0" w:type="auto"/>
            <w:shd w:val="clear" w:color="auto" w:fill="auto"/>
            <w:vAlign w:val="bottom"/>
            <w:hideMark/>
          </w:tcPr>
          <w:p w14:paraId="3FCEF556"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01A6CC06"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tcPr>
          <w:p w14:paraId="76EDA53E" w14:textId="6410985C" w:rsidR="00B40FAC" w:rsidRPr="00722478" w:rsidRDefault="00B40FAC" w:rsidP="00CA4239">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N/A</w:t>
            </w:r>
          </w:p>
        </w:tc>
        <w:tc>
          <w:tcPr>
            <w:tcW w:w="0" w:type="auto"/>
            <w:shd w:val="clear" w:color="auto" w:fill="auto"/>
            <w:vAlign w:val="bottom"/>
          </w:tcPr>
          <w:p w14:paraId="15E93C08" w14:textId="2BB31575"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p>
        </w:tc>
        <w:tc>
          <w:tcPr>
            <w:tcW w:w="0" w:type="auto"/>
            <w:shd w:val="clear" w:color="auto" w:fill="auto"/>
            <w:vAlign w:val="bottom"/>
            <w:hideMark/>
          </w:tcPr>
          <w:p w14:paraId="2FB0AB57"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27A9F76F"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3E861419" w14:textId="104AF7A8" w:rsidR="00B40FAC" w:rsidRPr="00D2099E" w:rsidRDefault="00B40FAC" w:rsidP="00B40FAC">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245 - 257</w:t>
            </w:r>
          </w:p>
        </w:tc>
        <w:tc>
          <w:tcPr>
            <w:tcW w:w="0" w:type="auto"/>
            <w:shd w:val="clear" w:color="auto" w:fill="auto"/>
            <w:vAlign w:val="bottom"/>
            <w:hideMark/>
          </w:tcPr>
          <w:p w14:paraId="38BDD474"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r>
      <w:tr w:rsidR="00B40FAC" w:rsidRPr="00D2099E" w14:paraId="198A9FAD" w14:textId="77777777" w:rsidTr="00D33273">
        <w:trPr>
          <w:jc w:val="center"/>
        </w:trPr>
        <w:tc>
          <w:tcPr>
            <w:tcW w:w="0" w:type="auto"/>
            <w:shd w:val="clear" w:color="auto" w:fill="auto"/>
            <w:vAlign w:val="bottom"/>
            <w:hideMark/>
          </w:tcPr>
          <w:p w14:paraId="52008086"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Dividend yield</w:t>
            </w:r>
          </w:p>
        </w:tc>
        <w:tc>
          <w:tcPr>
            <w:tcW w:w="0" w:type="auto"/>
            <w:shd w:val="clear" w:color="auto" w:fill="auto"/>
            <w:vAlign w:val="bottom"/>
            <w:hideMark/>
          </w:tcPr>
          <w:p w14:paraId="784F854B"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1DB98EAD"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tcPr>
          <w:p w14:paraId="72A34335" w14:textId="2E713A94" w:rsidR="00B40FAC" w:rsidRPr="00722478" w:rsidRDefault="00B40FAC" w:rsidP="00CA4239">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N/A</w:t>
            </w:r>
          </w:p>
        </w:tc>
        <w:tc>
          <w:tcPr>
            <w:tcW w:w="0" w:type="auto"/>
            <w:shd w:val="clear" w:color="auto" w:fill="auto"/>
            <w:vAlign w:val="bottom"/>
          </w:tcPr>
          <w:p w14:paraId="7C564994" w14:textId="05F19E0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p>
        </w:tc>
        <w:tc>
          <w:tcPr>
            <w:tcW w:w="0" w:type="auto"/>
            <w:shd w:val="clear" w:color="auto" w:fill="auto"/>
            <w:vAlign w:val="bottom"/>
            <w:hideMark/>
          </w:tcPr>
          <w:p w14:paraId="1551A063"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7782C5E9"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6EEF7494" w14:textId="21482CB1" w:rsidR="00B40FAC" w:rsidRPr="00D2099E" w:rsidRDefault="00B40FAC" w:rsidP="00B40FAC">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0</w:t>
            </w:r>
          </w:p>
        </w:tc>
        <w:tc>
          <w:tcPr>
            <w:tcW w:w="0" w:type="auto"/>
            <w:shd w:val="clear" w:color="auto" w:fill="auto"/>
            <w:vAlign w:val="bottom"/>
            <w:hideMark/>
          </w:tcPr>
          <w:p w14:paraId="73583232"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r>
      <w:tr w:rsidR="00B40FAC" w:rsidRPr="00D2099E" w14:paraId="14E024BF" w14:textId="77777777" w:rsidTr="00D33273">
        <w:trPr>
          <w:jc w:val="center"/>
        </w:trPr>
        <w:tc>
          <w:tcPr>
            <w:tcW w:w="0" w:type="auto"/>
            <w:tcBorders>
              <w:bottom w:val="single" w:sz="12" w:space="0" w:color="auto"/>
            </w:tcBorders>
            <w:shd w:val="clear" w:color="auto" w:fill="auto"/>
            <w:vAlign w:val="bottom"/>
            <w:hideMark/>
          </w:tcPr>
          <w:p w14:paraId="761C7EE5"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Weighted average fair value per share</w:t>
            </w:r>
          </w:p>
        </w:tc>
        <w:tc>
          <w:tcPr>
            <w:tcW w:w="0" w:type="auto"/>
            <w:tcBorders>
              <w:bottom w:val="single" w:sz="12" w:space="0" w:color="auto"/>
            </w:tcBorders>
            <w:shd w:val="clear" w:color="auto" w:fill="auto"/>
            <w:vAlign w:val="bottom"/>
            <w:hideMark/>
          </w:tcPr>
          <w:p w14:paraId="3E3D093C"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hideMark/>
          </w:tcPr>
          <w:p w14:paraId="469807F5" w14:textId="74DEFC16"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p>
        </w:tc>
        <w:tc>
          <w:tcPr>
            <w:tcW w:w="0" w:type="auto"/>
            <w:tcBorders>
              <w:bottom w:val="single" w:sz="12" w:space="0" w:color="auto"/>
            </w:tcBorders>
            <w:shd w:val="clear" w:color="auto" w:fill="auto"/>
            <w:vAlign w:val="bottom"/>
          </w:tcPr>
          <w:p w14:paraId="51760E94" w14:textId="1D452823" w:rsidR="00B40FAC" w:rsidRPr="00722478" w:rsidRDefault="00B40FAC" w:rsidP="00CA4239">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N/A</w:t>
            </w:r>
          </w:p>
        </w:tc>
        <w:tc>
          <w:tcPr>
            <w:tcW w:w="0" w:type="auto"/>
            <w:tcBorders>
              <w:bottom w:val="single" w:sz="12" w:space="0" w:color="auto"/>
            </w:tcBorders>
            <w:shd w:val="clear" w:color="auto" w:fill="auto"/>
            <w:vAlign w:val="bottom"/>
          </w:tcPr>
          <w:p w14:paraId="391A3608" w14:textId="08C1E813"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p>
        </w:tc>
        <w:tc>
          <w:tcPr>
            <w:tcW w:w="0" w:type="auto"/>
            <w:tcBorders>
              <w:bottom w:val="single" w:sz="12" w:space="0" w:color="auto"/>
            </w:tcBorders>
            <w:shd w:val="clear" w:color="auto" w:fill="auto"/>
            <w:vAlign w:val="bottom"/>
            <w:hideMark/>
          </w:tcPr>
          <w:p w14:paraId="3D97AAD2"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hideMark/>
          </w:tcPr>
          <w:p w14:paraId="7E8112ED"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c>
          <w:tcPr>
            <w:tcW w:w="0" w:type="auto"/>
            <w:tcBorders>
              <w:bottom w:val="single" w:sz="12" w:space="0" w:color="auto"/>
            </w:tcBorders>
            <w:shd w:val="clear" w:color="auto" w:fill="auto"/>
            <w:vAlign w:val="bottom"/>
            <w:hideMark/>
          </w:tcPr>
          <w:p w14:paraId="38C009BB" w14:textId="11F0C3BF" w:rsidR="00B40FAC" w:rsidRPr="00D2099E" w:rsidRDefault="00B40FAC" w:rsidP="00B40FAC">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0.24</w:t>
            </w:r>
          </w:p>
        </w:tc>
        <w:tc>
          <w:tcPr>
            <w:tcW w:w="0" w:type="auto"/>
            <w:shd w:val="clear" w:color="auto" w:fill="auto"/>
            <w:vAlign w:val="bottom"/>
            <w:hideMark/>
          </w:tcPr>
          <w:p w14:paraId="3A4219AF" w14:textId="77777777" w:rsidR="00B40FAC" w:rsidRPr="00D2099E" w:rsidRDefault="00B40FAC" w:rsidP="00B40FA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r>
    </w:tbl>
    <w:p w14:paraId="75EE6283"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408CDD24" w14:textId="77777777" w:rsidTr="005C7D2D">
        <w:tc>
          <w:tcPr>
            <w:tcW w:w="360" w:type="dxa"/>
            <w:hideMark/>
          </w:tcPr>
          <w:p w14:paraId="0DCC1ADF" w14:textId="63AB8590"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D2099E">
              <w:rPr>
                <w:rFonts w:ascii="Times New Roman" w:eastAsia="Times New Roman" w:hAnsi="Times New Roman" w:cs="Times New Roman"/>
                <w:sz w:val="20"/>
                <w:szCs w:val="20"/>
                <w:lang w:val="en-US"/>
              </w:rPr>
              <w:t> </w:t>
            </w:r>
            <w:r w:rsidRPr="00CA4239">
              <w:rPr>
                <w:rFonts w:ascii="Times New Roman" w:eastAsia="Times New Roman" w:hAnsi="Times New Roman" w:cs="Times New Roman"/>
                <w:b/>
                <w:bCs/>
                <w:sz w:val="20"/>
                <w:szCs w:val="20"/>
                <w:lang w:val="en-US"/>
              </w:rPr>
              <w:t>1</w:t>
            </w:r>
            <w:r w:rsidR="00C80046">
              <w:rPr>
                <w:rFonts w:ascii="Times New Roman" w:eastAsia="Times New Roman" w:hAnsi="Times New Roman" w:cs="Times New Roman"/>
                <w:b/>
                <w:bCs/>
                <w:sz w:val="20"/>
                <w:szCs w:val="20"/>
                <w:lang w:val="en-US"/>
              </w:rPr>
              <w:t>5</w:t>
            </w:r>
            <w:r w:rsidRPr="00CA4239">
              <w:rPr>
                <w:rFonts w:ascii="Times New Roman" w:eastAsia="Times New Roman" w:hAnsi="Times New Roman" w:cs="Times New Roman"/>
                <w:b/>
                <w:bCs/>
                <w:sz w:val="20"/>
                <w:szCs w:val="20"/>
                <w:lang w:val="en-US"/>
              </w:rPr>
              <w:t>.</w:t>
            </w:r>
          </w:p>
        </w:tc>
        <w:tc>
          <w:tcPr>
            <w:tcW w:w="0" w:type="auto"/>
            <w:hideMark/>
          </w:tcPr>
          <w:p w14:paraId="6A2FA2FE" w14:textId="7777777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Warrants</w:t>
            </w:r>
          </w:p>
        </w:tc>
      </w:tr>
    </w:tbl>
    <w:p w14:paraId="770C7302"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3A51820" w14:textId="7B199CD2"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 continuity of the Company’s outstanding share purchase warrants for the </w:t>
      </w:r>
      <w:r w:rsidR="00D817C2">
        <w:rPr>
          <w:rFonts w:ascii="Times New Roman" w:eastAsia="Times New Roman" w:hAnsi="Times New Roman" w:cs="Times New Roman"/>
          <w:sz w:val="20"/>
          <w:szCs w:val="20"/>
          <w:lang w:val="en-US"/>
        </w:rPr>
        <w:t>six</w:t>
      </w:r>
      <w:r w:rsidR="000F3E43">
        <w:rPr>
          <w:rFonts w:ascii="Times New Roman" w:eastAsia="Times New Roman" w:hAnsi="Times New Roman" w:cs="Times New Roman"/>
          <w:sz w:val="20"/>
          <w:szCs w:val="20"/>
          <w:lang w:val="en-US"/>
        </w:rPr>
        <w:t xml:space="preserve"> months ended </w:t>
      </w:r>
      <w:r w:rsidR="00D817C2">
        <w:rPr>
          <w:rFonts w:ascii="Times New Roman" w:eastAsia="Times New Roman" w:hAnsi="Times New Roman" w:cs="Times New Roman"/>
          <w:sz w:val="20"/>
          <w:szCs w:val="20"/>
          <w:lang w:val="en-US"/>
        </w:rPr>
        <w:t>June 30</w:t>
      </w:r>
      <w:r w:rsidR="000F3E43">
        <w:rPr>
          <w:rFonts w:ascii="Times New Roman" w:eastAsia="Times New Roman" w:hAnsi="Times New Roman" w:cs="Times New Roman"/>
          <w:sz w:val="20"/>
          <w:szCs w:val="20"/>
          <w:lang w:val="en-US"/>
        </w:rPr>
        <w:t xml:space="preserve">, </w:t>
      </w:r>
      <w:proofErr w:type="gramStart"/>
      <w:r w:rsidR="000F3E43">
        <w:rPr>
          <w:rFonts w:ascii="Times New Roman" w:eastAsia="Times New Roman" w:hAnsi="Times New Roman" w:cs="Times New Roman"/>
          <w:sz w:val="20"/>
          <w:szCs w:val="20"/>
          <w:lang w:val="en-US"/>
        </w:rPr>
        <w:t>2022</w:t>
      </w:r>
      <w:proofErr w:type="gramEnd"/>
      <w:r w:rsidR="000F3E43">
        <w:rPr>
          <w:rFonts w:ascii="Times New Roman" w:eastAsia="Times New Roman" w:hAnsi="Times New Roman" w:cs="Times New Roman"/>
          <w:sz w:val="20"/>
          <w:szCs w:val="20"/>
          <w:lang w:val="en-US"/>
        </w:rPr>
        <w:t xml:space="preserve"> and </w:t>
      </w:r>
      <w:r w:rsidR="009A15ED">
        <w:rPr>
          <w:rFonts w:ascii="Times New Roman" w:eastAsia="Times New Roman" w:hAnsi="Times New Roman" w:cs="Times New Roman"/>
          <w:sz w:val="20"/>
          <w:szCs w:val="20"/>
          <w:lang w:val="en-US"/>
        </w:rPr>
        <w:t xml:space="preserve">the year ended December 31, </w:t>
      </w:r>
      <w:r w:rsidR="000F3E43">
        <w:rPr>
          <w:rFonts w:ascii="Times New Roman" w:eastAsia="Times New Roman" w:hAnsi="Times New Roman" w:cs="Times New Roman"/>
          <w:sz w:val="20"/>
          <w:szCs w:val="20"/>
          <w:lang w:val="en-US"/>
        </w:rPr>
        <w:t>20</w:t>
      </w:r>
      <w:r w:rsidR="009A15ED">
        <w:rPr>
          <w:rFonts w:ascii="Times New Roman" w:eastAsia="Times New Roman" w:hAnsi="Times New Roman" w:cs="Times New Roman"/>
          <w:sz w:val="20"/>
          <w:szCs w:val="20"/>
          <w:lang w:val="en-US"/>
        </w:rPr>
        <w:t>2</w:t>
      </w:r>
      <w:r w:rsidR="000F3E43">
        <w:rPr>
          <w:rFonts w:ascii="Times New Roman" w:eastAsia="Times New Roman" w:hAnsi="Times New Roman" w:cs="Times New Roman"/>
          <w:sz w:val="20"/>
          <w:szCs w:val="20"/>
          <w:lang w:val="en-US"/>
        </w:rPr>
        <w:t>1</w:t>
      </w:r>
      <w:r w:rsidR="009A15ED">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is presented below:</w:t>
      </w:r>
    </w:p>
    <w:p w14:paraId="33541B09" w14:textId="2C0CDF73" w:rsidR="006E48BD" w:rsidRDefault="006E48BD" w:rsidP="00D2099E">
      <w:pPr>
        <w:spacing w:after="0" w:line="240" w:lineRule="auto"/>
        <w:ind w:left="360"/>
        <w:jc w:val="both"/>
        <w:rPr>
          <w:rFonts w:ascii="Times New Roman" w:eastAsia="Times New Roman" w:hAnsi="Times New Roman" w:cs="Times New Roman"/>
          <w:sz w:val="20"/>
          <w:szCs w:val="20"/>
          <w:lang w:val="en-US"/>
        </w:rPr>
      </w:pPr>
    </w:p>
    <w:tbl>
      <w:tblPr>
        <w:tblW w:w="4772" w:type="pct"/>
        <w:tblInd w:w="426" w:type="dxa"/>
        <w:tblCellMar>
          <w:left w:w="0" w:type="dxa"/>
          <w:right w:w="0" w:type="dxa"/>
        </w:tblCellMar>
        <w:tblLook w:val="04A0" w:firstRow="1" w:lastRow="0" w:firstColumn="1" w:lastColumn="0" w:noHBand="0" w:noVBand="1"/>
      </w:tblPr>
      <w:tblGrid>
        <w:gridCol w:w="5188"/>
        <w:gridCol w:w="50"/>
        <w:gridCol w:w="50"/>
        <w:gridCol w:w="1000"/>
        <w:gridCol w:w="67"/>
        <w:gridCol w:w="50"/>
        <w:gridCol w:w="53"/>
        <w:gridCol w:w="2425"/>
        <w:gridCol w:w="50"/>
      </w:tblGrid>
      <w:tr w:rsidR="00EF78B6" w:rsidRPr="00D2099E" w14:paraId="6D1C0055" w14:textId="77777777" w:rsidTr="00FA430F">
        <w:tc>
          <w:tcPr>
            <w:tcW w:w="2904" w:type="pct"/>
            <w:tcBorders>
              <w:top w:val="single" w:sz="12" w:space="0" w:color="auto"/>
              <w:bottom w:val="single" w:sz="12" w:space="0" w:color="auto"/>
            </w:tcBorders>
            <w:shd w:val="clear" w:color="auto" w:fill="auto"/>
            <w:vAlign w:val="bottom"/>
            <w:hideMark/>
          </w:tcPr>
          <w:p w14:paraId="688400F6"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2B25B93B"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613FDA6F" w14:textId="77777777" w:rsidR="00EF78B6" w:rsidRPr="00D2099E" w:rsidRDefault="00EF78B6" w:rsidP="00FA430F">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Number of</w:t>
            </w:r>
            <w:r w:rsidRPr="00D2099E">
              <w:rPr>
                <w:rFonts w:ascii="Times New Roman" w:eastAsia="Times New Roman" w:hAnsi="Times New Roman" w:cs="Times New Roman"/>
                <w:sz w:val="20"/>
                <w:szCs w:val="20"/>
                <w:lang w:val="en-US"/>
              </w:rPr>
              <w:br/>
              <w:t>warrants</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69ABB188"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7AC6AD1B"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32EBEAEE" w14:textId="77777777" w:rsidR="00EF78B6" w:rsidRPr="00D2099E" w:rsidRDefault="00EF78B6" w:rsidP="00FA430F">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Weighted average exercise price</w:t>
            </w:r>
          </w:p>
        </w:tc>
        <w:tc>
          <w:tcPr>
            <w:tcW w:w="0" w:type="auto"/>
            <w:shd w:val="clear" w:color="auto" w:fill="auto"/>
            <w:tcMar>
              <w:top w:w="0" w:type="dxa"/>
              <w:left w:w="0" w:type="dxa"/>
              <w:bottom w:w="30" w:type="dxa"/>
              <w:right w:w="0" w:type="dxa"/>
            </w:tcMar>
            <w:vAlign w:val="bottom"/>
            <w:hideMark/>
          </w:tcPr>
          <w:p w14:paraId="1FA08BB2"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EF78B6" w:rsidRPr="00D2099E" w14:paraId="3CC53853" w14:textId="77777777" w:rsidTr="00FA430F">
        <w:tc>
          <w:tcPr>
            <w:tcW w:w="2904" w:type="pct"/>
            <w:tcBorders>
              <w:top w:val="single" w:sz="12" w:space="0" w:color="auto"/>
            </w:tcBorders>
            <w:shd w:val="clear" w:color="auto" w:fill="auto"/>
            <w:vAlign w:val="bottom"/>
            <w:hideMark/>
          </w:tcPr>
          <w:p w14:paraId="6645A075"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Outstanding, December 31, 2020</w:t>
            </w:r>
          </w:p>
        </w:tc>
        <w:tc>
          <w:tcPr>
            <w:tcW w:w="0" w:type="auto"/>
            <w:tcBorders>
              <w:top w:val="single" w:sz="12" w:space="0" w:color="auto"/>
            </w:tcBorders>
            <w:shd w:val="clear" w:color="auto" w:fill="auto"/>
            <w:vAlign w:val="bottom"/>
            <w:hideMark/>
          </w:tcPr>
          <w:p w14:paraId="182991C8"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0DCA6101"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27F81172"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35,865,312</w:t>
            </w:r>
          </w:p>
        </w:tc>
        <w:tc>
          <w:tcPr>
            <w:tcW w:w="0" w:type="auto"/>
            <w:tcBorders>
              <w:top w:val="single" w:sz="12" w:space="0" w:color="auto"/>
            </w:tcBorders>
            <w:shd w:val="clear" w:color="auto" w:fill="auto"/>
            <w:vAlign w:val="bottom"/>
            <w:hideMark/>
          </w:tcPr>
          <w:p w14:paraId="72C21116"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1A166E8F"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699C1746"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tcBorders>
            <w:shd w:val="clear" w:color="auto" w:fill="auto"/>
            <w:vAlign w:val="bottom"/>
            <w:hideMark/>
          </w:tcPr>
          <w:p w14:paraId="2435C288"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0.10</w:t>
            </w:r>
          </w:p>
        </w:tc>
        <w:tc>
          <w:tcPr>
            <w:tcW w:w="0" w:type="auto"/>
            <w:shd w:val="clear" w:color="auto" w:fill="auto"/>
            <w:vAlign w:val="bottom"/>
            <w:hideMark/>
          </w:tcPr>
          <w:p w14:paraId="3D7496AD"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EF78B6" w:rsidRPr="00D2099E" w14:paraId="4C6D92E7" w14:textId="77777777" w:rsidTr="00FA430F">
        <w:tc>
          <w:tcPr>
            <w:tcW w:w="2904" w:type="pct"/>
            <w:shd w:val="clear" w:color="auto" w:fill="auto"/>
            <w:vAlign w:val="bottom"/>
            <w:hideMark/>
          </w:tcPr>
          <w:p w14:paraId="750E9AF2"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Issued</w:t>
            </w:r>
          </w:p>
        </w:tc>
        <w:tc>
          <w:tcPr>
            <w:tcW w:w="0" w:type="auto"/>
            <w:shd w:val="clear" w:color="auto" w:fill="auto"/>
            <w:vAlign w:val="bottom"/>
            <w:hideMark/>
          </w:tcPr>
          <w:p w14:paraId="4C5B2B1A"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60916194"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4596280"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14,017,663</w:t>
            </w:r>
          </w:p>
        </w:tc>
        <w:tc>
          <w:tcPr>
            <w:tcW w:w="0" w:type="auto"/>
            <w:shd w:val="clear" w:color="auto" w:fill="auto"/>
            <w:vAlign w:val="bottom"/>
            <w:hideMark/>
          </w:tcPr>
          <w:p w14:paraId="3424AC61"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7DF5E3F2"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5D36AB88"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155F5A8C"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0.</w:t>
            </w:r>
            <w:r>
              <w:rPr>
                <w:rFonts w:ascii="Times New Roman" w:eastAsia="Times New Roman" w:hAnsi="Times New Roman" w:cs="Times New Roman"/>
                <w:sz w:val="20"/>
                <w:szCs w:val="20"/>
                <w:lang w:val="en-US"/>
              </w:rPr>
              <w:t>10</w:t>
            </w:r>
          </w:p>
        </w:tc>
        <w:tc>
          <w:tcPr>
            <w:tcW w:w="0" w:type="auto"/>
            <w:shd w:val="clear" w:color="auto" w:fill="auto"/>
            <w:vAlign w:val="bottom"/>
            <w:hideMark/>
          </w:tcPr>
          <w:p w14:paraId="0621740C"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EF78B6" w:rsidRPr="00D2099E" w14:paraId="6DDB0C38" w14:textId="77777777" w:rsidTr="00FA430F">
        <w:tc>
          <w:tcPr>
            <w:tcW w:w="2904" w:type="pct"/>
            <w:shd w:val="clear" w:color="auto" w:fill="auto"/>
            <w:vAlign w:val="bottom"/>
            <w:hideMark/>
          </w:tcPr>
          <w:p w14:paraId="22A977A5"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Exercised</w:t>
            </w:r>
          </w:p>
        </w:tc>
        <w:tc>
          <w:tcPr>
            <w:tcW w:w="0" w:type="auto"/>
            <w:shd w:val="clear" w:color="auto" w:fill="auto"/>
            <w:vAlign w:val="bottom"/>
            <w:hideMark/>
          </w:tcPr>
          <w:p w14:paraId="5A5FB29B"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2453D0F5"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3E840904"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31</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270</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314</w:t>
            </w:r>
          </w:p>
        </w:tc>
        <w:tc>
          <w:tcPr>
            <w:tcW w:w="0" w:type="auto"/>
            <w:shd w:val="clear" w:color="auto" w:fill="auto"/>
            <w:vAlign w:val="bottom"/>
            <w:hideMark/>
          </w:tcPr>
          <w:p w14:paraId="6A5AB944"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vAlign w:val="bottom"/>
            <w:hideMark/>
          </w:tcPr>
          <w:p w14:paraId="3582453D"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61A6FF56"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5E9E7FB3"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0.09</w:t>
            </w:r>
          </w:p>
        </w:tc>
        <w:tc>
          <w:tcPr>
            <w:tcW w:w="0" w:type="auto"/>
            <w:shd w:val="clear" w:color="auto" w:fill="auto"/>
            <w:vAlign w:val="bottom"/>
            <w:hideMark/>
          </w:tcPr>
          <w:p w14:paraId="0195E0BB"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EF78B6" w:rsidRPr="00D2099E" w14:paraId="3E8F4D8F" w14:textId="77777777" w:rsidTr="00FA430F">
        <w:tc>
          <w:tcPr>
            <w:tcW w:w="2904" w:type="pct"/>
            <w:shd w:val="clear" w:color="auto" w:fill="auto"/>
            <w:tcMar>
              <w:top w:w="0" w:type="dxa"/>
              <w:left w:w="0" w:type="dxa"/>
              <w:bottom w:w="30" w:type="dxa"/>
              <w:right w:w="0" w:type="dxa"/>
            </w:tcMar>
            <w:vAlign w:val="bottom"/>
            <w:hideMark/>
          </w:tcPr>
          <w:p w14:paraId="0770B995"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Expired</w:t>
            </w:r>
          </w:p>
        </w:tc>
        <w:tc>
          <w:tcPr>
            <w:tcW w:w="0" w:type="auto"/>
            <w:shd w:val="clear" w:color="auto" w:fill="auto"/>
            <w:tcMar>
              <w:top w:w="0" w:type="dxa"/>
              <w:left w:w="0" w:type="dxa"/>
              <w:bottom w:w="30" w:type="dxa"/>
              <w:right w:w="0" w:type="dxa"/>
            </w:tcMar>
            <w:vAlign w:val="bottom"/>
            <w:hideMark/>
          </w:tcPr>
          <w:p w14:paraId="0A8C441A"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421D4B0C"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78D4EEA3"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(10,768,332</w:t>
            </w:r>
          </w:p>
        </w:tc>
        <w:tc>
          <w:tcPr>
            <w:tcW w:w="0" w:type="auto"/>
            <w:shd w:val="clear" w:color="auto" w:fill="auto"/>
            <w:tcMar>
              <w:top w:w="0" w:type="dxa"/>
              <w:left w:w="0" w:type="dxa"/>
              <w:bottom w:w="30" w:type="dxa"/>
              <w:right w:w="0" w:type="dxa"/>
            </w:tcMar>
            <w:vAlign w:val="bottom"/>
            <w:hideMark/>
          </w:tcPr>
          <w:p w14:paraId="1BD3D6E8"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tcMar>
              <w:top w:w="0" w:type="dxa"/>
              <w:left w:w="0" w:type="dxa"/>
              <w:bottom w:w="30" w:type="dxa"/>
              <w:right w:w="0" w:type="dxa"/>
            </w:tcMar>
            <w:vAlign w:val="bottom"/>
            <w:hideMark/>
          </w:tcPr>
          <w:p w14:paraId="28E84724"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71FE0724"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3964F2D4"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0.13</w:t>
            </w:r>
          </w:p>
        </w:tc>
        <w:tc>
          <w:tcPr>
            <w:tcW w:w="0" w:type="auto"/>
            <w:shd w:val="clear" w:color="auto" w:fill="auto"/>
            <w:tcMar>
              <w:top w:w="0" w:type="dxa"/>
              <w:left w:w="0" w:type="dxa"/>
              <w:bottom w:w="30" w:type="dxa"/>
              <w:right w:w="0" w:type="dxa"/>
            </w:tcMar>
            <w:vAlign w:val="bottom"/>
            <w:hideMark/>
          </w:tcPr>
          <w:p w14:paraId="70C48781"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EF78B6" w:rsidRPr="00D2099E" w14:paraId="6A755E2E" w14:textId="77777777" w:rsidTr="00FA430F">
        <w:tc>
          <w:tcPr>
            <w:tcW w:w="2904" w:type="pct"/>
            <w:shd w:val="clear" w:color="auto" w:fill="auto"/>
            <w:tcMar>
              <w:top w:w="0" w:type="dxa"/>
              <w:left w:w="0" w:type="dxa"/>
              <w:bottom w:w="30" w:type="dxa"/>
              <w:right w:w="0" w:type="dxa"/>
            </w:tcMar>
            <w:vAlign w:val="bottom"/>
            <w:hideMark/>
          </w:tcPr>
          <w:p w14:paraId="1A9F3DCB"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Outstanding, December 31, 2021</w:t>
            </w:r>
          </w:p>
        </w:tc>
        <w:tc>
          <w:tcPr>
            <w:tcW w:w="0" w:type="auto"/>
            <w:shd w:val="clear" w:color="auto" w:fill="auto"/>
            <w:tcMar>
              <w:top w:w="0" w:type="dxa"/>
              <w:left w:w="0" w:type="dxa"/>
              <w:bottom w:w="30" w:type="dxa"/>
              <w:right w:w="0" w:type="dxa"/>
            </w:tcMar>
            <w:vAlign w:val="bottom"/>
            <w:hideMark/>
          </w:tcPr>
          <w:p w14:paraId="6A125C3A"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5D6901D9"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2078C770"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Pr="00D2099E">
              <w:rPr>
                <w:rFonts w:ascii="Times New Roman" w:eastAsia="Times New Roman" w:hAnsi="Times New Roman" w:cs="Times New Roman"/>
                <w:sz w:val="20"/>
                <w:szCs w:val="20"/>
                <w:lang w:val="en-US"/>
              </w:rPr>
              <w:t>,8</w:t>
            </w:r>
            <w:r>
              <w:rPr>
                <w:rFonts w:ascii="Times New Roman" w:eastAsia="Times New Roman" w:hAnsi="Times New Roman" w:cs="Times New Roman"/>
                <w:sz w:val="20"/>
                <w:szCs w:val="20"/>
                <w:lang w:val="en-US"/>
              </w:rPr>
              <w:t>44</w:t>
            </w:r>
            <w:r w:rsidRPr="00D2099E">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329</w:t>
            </w:r>
          </w:p>
        </w:tc>
        <w:tc>
          <w:tcPr>
            <w:tcW w:w="0" w:type="auto"/>
            <w:shd w:val="clear" w:color="auto" w:fill="auto"/>
            <w:tcMar>
              <w:top w:w="0" w:type="dxa"/>
              <w:left w:w="0" w:type="dxa"/>
              <w:bottom w:w="30" w:type="dxa"/>
              <w:right w:w="0" w:type="dxa"/>
            </w:tcMar>
            <w:vAlign w:val="bottom"/>
            <w:hideMark/>
          </w:tcPr>
          <w:p w14:paraId="5487D2DA"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tcMar>
              <w:top w:w="0" w:type="dxa"/>
              <w:left w:w="0" w:type="dxa"/>
              <w:bottom w:w="30" w:type="dxa"/>
              <w:right w:w="0" w:type="dxa"/>
            </w:tcMar>
            <w:vAlign w:val="bottom"/>
            <w:hideMark/>
          </w:tcPr>
          <w:p w14:paraId="79B0D3C0"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0FB875CC" w14:textId="09937A05"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0" w:type="auto"/>
            <w:shd w:val="clear" w:color="auto" w:fill="auto"/>
            <w:vAlign w:val="bottom"/>
            <w:hideMark/>
          </w:tcPr>
          <w:p w14:paraId="328BCF21" w14:textId="4D569A53"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0.</w:t>
            </w:r>
            <w:r>
              <w:rPr>
                <w:rFonts w:ascii="Times New Roman" w:eastAsia="Times New Roman" w:hAnsi="Times New Roman" w:cs="Times New Roman"/>
                <w:sz w:val="20"/>
                <w:szCs w:val="20"/>
                <w:lang w:val="en-US"/>
              </w:rPr>
              <w:t>10</w:t>
            </w:r>
          </w:p>
        </w:tc>
        <w:tc>
          <w:tcPr>
            <w:tcW w:w="0" w:type="auto"/>
            <w:shd w:val="clear" w:color="auto" w:fill="auto"/>
            <w:tcMar>
              <w:top w:w="0" w:type="dxa"/>
              <w:left w:w="0" w:type="dxa"/>
              <w:bottom w:w="30" w:type="dxa"/>
              <w:right w:w="0" w:type="dxa"/>
            </w:tcMar>
            <w:vAlign w:val="bottom"/>
            <w:hideMark/>
          </w:tcPr>
          <w:p w14:paraId="3895EB6C"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EF78B6" w:rsidRPr="00D2099E" w14:paraId="22631ED2" w14:textId="77777777" w:rsidTr="00FA430F">
        <w:tc>
          <w:tcPr>
            <w:tcW w:w="2904" w:type="pct"/>
            <w:shd w:val="clear" w:color="auto" w:fill="auto"/>
            <w:vAlign w:val="bottom"/>
            <w:hideMark/>
          </w:tcPr>
          <w:p w14:paraId="33AB03A5"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Issued</w:t>
            </w:r>
          </w:p>
        </w:tc>
        <w:tc>
          <w:tcPr>
            <w:tcW w:w="0" w:type="auto"/>
            <w:shd w:val="clear" w:color="auto" w:fill="auto"/>
            <w:vAlign w:val="bottom"/>
            <w:hideMark/>
          </w:tcPr>
          <w:p w14:paraId="42B7B139"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1C16C135"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tcPr>
          <w:p w14:paraId="2FFEDE81" w14:textId="7A39B2FC" w:rsidR="00EF78B6" w:rsidRPr="00D2099E" w:rsidRDefault="00135F41"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103,310,189</w:t>
            </w:r>
          </w:p>
        </w:tc>
        <w:tc>
          <w:tcPr>
            <w:tcW w:w="0" w:type="auto"/>
            <w:shd w:val="clear" w:color="auto" w:fill="auto"/>
            <w:vAlign w:val="bottom"/>
          </w:tcPr>
          <w:p w14:paraId="5FAAC2F1"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35058DB7"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311A6A1E"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5D65C30F" w14:textId="0E6EDD91"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937EB8">
              <w:rPr>
                <w:rFonts w:ascii="Times New Roman" w:eastAsia="Times New Roman" w:hAnsi="Times New Roman" w:cs="Times New Roman"/>
                <w:sz w:val="20"/>
                <w:szCs w:val="20"/>
                <w:lang w:val="en-US"/>
              </w:rPr>
              <w:t>3</w:t>
            </w:r>
            <w:r w:rsidR="00135F41">
              <w:rPr>
                <w:rFonts w:ascii="Times New Roman" w:eastAsia="Times New Roman" w:hAnsi="Times New Roman" w:cs="Times New Roman"/>
                <w:sz w:val="20"/>
                <w:szCs w:val="20"/>
                <w:lang w:val="en-US"/>
              </w:rPr>
              <w:t>6</w:t>
            </w:r>
          </w:p>
        </w:tc>
        <w:tc>
          <w:tcPr>
            <w:tcW w:w="0" w:type="auto"/>
            <w:shd w:val="clear" w:color="auto" w:fill="auto"/>
            <w:vAlign w:val="bottom"/>
            <w:hideMark/>
          </w:tcPr>
          <w:p w14:paraId="23F8FF33"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EF78B6" w:rsidRPr="00D2099E" w14:paraId="13A5EEEE" w14:textId="77777777" w:rsidTr="00FA430F">
        <w:tc>
          <w:tcPr>
            <w:tcW w:w="2904" w:type="pct"/>
            <w:shd w:val="clear" w:color="auto" w:fill="auto"/>
            <w:vAlign w:val="bottom"/>
            <w:hideMark/>
          </w:tcPr>
          <w:p w14:paraId="4FA22937"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Exercised</w:t>
            </w:r>
          </w:p>
        </w:tc>
        <w:tc>
          <w:tcPr>
            <w:tcW w:w="0" w:type="auto"/>
            <w:shd w:val="clear" w:color="auto" w:fill="auto"/>
            <w:vAlign w:val="bottom"/>
            <w:hideMark/>
          </w:tcPr>
          <w:p w14:paraId="1B141566"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6C85AB8A"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tcPr>
          <w:p w14:paraId="5F12C3E5" w14:textId="45C6F441"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4B56C0">
              <w:rPr>
                <w:rFonts w:ascii="Times New Roman" w:eastAsia="Times New Roman" w:hAnsi="Times New Roman" w:cs="Times New Roman"/>
                <w:sz w:val="20"/>
                <w:szCs w:val="20"/>
                <w:lang w:val="en-US"/>
              </w:rPr>
              <w:t>451</w:t>
            </w:r>
            <w:r>
              <w:rPr>
                <w:rFonts w:ascii="Times New Roman" w:eastAsia="Times New Roman" w:hAnsi="Times New Roman" w:cs="Times New Roman"/>
                <w:sz w:val="20"/>
                <w:szCs w:val="20"/>
                <w:lang w:val="en-US"/>
              </w:rPr>
              <w:t>,250</w:t>
            </w:r>
          </w:p>
        </w:tc>
        <w:tc>
          <w:tcPr>
            <w:tcW w:w="0" w:type="auto"/>
            <w:shd w:val="clear" w:color="auto" w:fill="auto"/>
            <w:vAlign w:val="bottom"/>
          </w:tcPr>
          <w:p w14:paraId="6DF1FE48"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0" w:type="auto"/>
            <w:shd w:val="clear" w:color="auto" w:fill="auto"/>
            <w:vAlign w:val="bottom"/>
          </w:tcPr>
          <w:p w14:paraId="77B5050B"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768F5E9E"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vAlign w:val="bottom"/>
          </w:tcPr>
          <w:p w14:paraId="752DDBB1" w14:textId="77777777" w:rsidR="00EF78B6" w:rsidRPr="00D2099E" w:rsidRDefault="00EF78B6"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0.08</w:t>
            </w:r>
          </w:p>
        </w:tc>
        <w:tc>
          <w:tcPr>
            <w:tcW w:w="0" w:type="auto"/>
            <w:shd w:val="clear" w:color="auto" w:fill="auto"/>
            <w:vAlign w:val="bottom"/>
            <w:hideMark/>
          </w:tcPr>
          <w:p w14:paraId="7B51FEB9"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EF78B6" w:rsidRPr="00D2099E" w14:paraId="263D0707" w14:textId="77777777" w:rsidTr="00FA430F">
        <w:tc>
          <w:tcPr>
            <w:tcW w:w="2904" w:type="pct"/>
            <w:tcBorders>
              <w:bottom w:val="single" w:sz="12" w:space="0" w:color="auto"/>
            </w:tcBorders>
            <w:shd w:val="clear" w:color="auto" w:fill="auto"/>
            <w:tcMar>
              <w:top w:w="0" w:type="dxa"/>
              <w:left w:w="0" w:type="dxa"/>
              <w:bottom w:w="30" w:type="dxa"/>
              <w:right w:w="0" w:type="dxa"/>
            </w:tcMar>
            <w:vAlign w:val="bottom"/>
            <w:hideMark/>
          </w:tcPr>
          <w:p w14:paraId="5FCBCD57"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Outstanding, </w:t>
            </w:r>
            <w:r>
              <w:rPr>
                <w:rFonts w:ascii="Times New Roman" w:eastAsia="Times New Roman" w:hAnsi="Times New Roman" w:cs="Times New Roman"/>
                <w:sz w:val="20"/>
                <w:szCs w:val="20"/>
                <w:lang w:val="en-US"/>
              </w:rPr>
              <w:t>June 30, 2022</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28917B3E"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7031BDEE"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tcPr>
          <w:p w14:paraId="3F504D72" w14:textId="327D4218" w:rsidR="00EF78B6" w:rsidRPr="00D2099E" w:rsidRDefault="00EF78B6" w:rsidP="00064A08">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135F41">
              <w:rPr>
                <w:rFonts w:ascii="Times New Roman" w:eastAsia="Times New Roman" w:hAnsi="Times New Roman" w:cs="Times New Roman"/>
                <w:sz w:val="20"/>
                <w:szCs w:val="20"/>
                <w:lang w:val="en-US"/>
              </w:rPr>
              <w:t>10</w:t>
            </w:r>
            <w:r>
              <w:rPr>
                <w:rFonts w:ascii="Times New Roman" w:eastAsia="Times New Roman" w:hAnsi="Times New Roman" w:cs="Times New Roman"/>
                <w:sz w:val="20"/>
                <w:szCs w:val="20"/>
                <w:lang w:val="en-US"/>
              </w:rPr>
              <w:t>,</w:t>
            </w:r>
            <w:r w:rsidR="00135F41">
              <w:rPr>
                <w:rFonts w:ascii="Times New Roman" w:eastAsia="Times New Roman" w:hAnsi="Times New Roman" w:cs="Times New Roman"/>
                <w:sz w:val="20"/>
                <w:szCs w:val="20"/>
                <w:lang w:val="en-US"/>
              </w:rPr>
              <w:t>703</w:t>
            </w:r>
            <w:r>
              <w:rPr>
                <w:rFonts w:ascii="Times New Roman" w:eastAsia="Times New Roman" w:hAnsi="Times New Roman" w:cs="Times New Roman"/>
                <w:sz w:val="20"/>
                <w:szCs w:val="20"/>
                <w:lang w:val="en-US"/>
              </w:rPr>
              <w:t>,</w:t>
            </w:r>
            <w:r w:rsidR="00135F41">
              <w:rPr>
                <w:rFonts w:ascii="Times New Roman" w:eastAsia="Times New Roman" w:hAnsi="Times New Roman" w:cs="Times New Roman"/>
                <w:sz w:val="20"/>
                <w:szCs w:val="20"/>
                <w:lang w:val="en-US"/>
              </w:rPr>
              <w:t>268</w:t>
            </w:r>
          </w:p>
        </w:tc>
        <w:tc>
          <w:tcPr>
            <w:tcW w:w="0" w:type="auto"/>
            <w:tcBorders>
              <w:bottom w:val="single" w:sz="12" w:space="0" w:color="auto"/>
            </w:tcBorders>
            <w:shd w:val="clear" w:color="auto" w:fill="auto"/>
            <w:tcMar>
              <w:top w:w="0" w:type="dxa"/>
              <w:left w:w="0" w:type="dxa"/>
              <w:bottom w:w="30" w:type="dxa"/>
              <w:right w:w="0" w:type="dxa"/>
            </w:tcMar>
            <w:vAlign w:val="bottom"/>
          </w:tcPr>
          <w:p w14:paraId="06B7DD2B"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tcMar>
              <w:top w:w="0" w:type="dxa"/>
              <w:left w:w="0" w:type="dxa"/>
              <w:bottom w:w="30" w:type="dxa"/>
              <w:right w:w="0" w:type="dxa"/>
            </w:tcMar>
            <w:vAlign w:val="bottom"/>
          </w:tcPr>
          <w:p w14:paraId="56AC6A6D"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auto"/>
            </w:tcBorders>
            <w:shd w:val="clear" w:color="auto" w:fill="auto"/>
            <w:vAlign w:val="bottom"/>
          </w:tcPr>
          <w:p w14:paraId="2F7BAD18"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tcPr>
          <w:p w14:paraId="36AC2EDC" w14:textId="23FBF1AC" w:rsidR="00EF78B6" w:rsidRPr="00D2099E" w:rsidRDefault="00EF78B6" w:rsidP="00FA430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                                      0.</w:t>
            </w:r>
            <w:r w:rsidR="00135F41">
              <w:rPr>
                <w:rFonts w:ascii="Times New Roman" w:eastAsia="Times New Roman" w:hAnsi="Times New Roman" w:cs="Times New Roman"/>
                <w:sz w:val="20"/>
                <w:szCs w:val="20"/>
                <w:lang w:val="en-US"/>
              </w:rPr>
              <w:t>34</w:t>
            </w:r>
          </w:p>
        </w:tc>
        <w:tc>
          <w:tcPr>
            <w:tcW w:w="0" w:type="auto"/>
            <w:shd w:val="clear" w:color="auto" w:fill="auto"/>
            <w:tcMar>
              <w:top w:w="0" w:type="dxa"/>
              <w:left w:w="0" w:type="dxa"/>
              <w:bottom w:w="30" w:type="dxa"/>
              <w:right w:w="0" w:type="dxa"/>
            </w:tcMar>
            <w:vAlign w:val="bottom"/>
            <w:hideMark/>
          </w:tcPr>
          <w:p w14:paraId="068E9028" w14:textId="77777777" w:rsidR="00EF78B6" w:rsidRPr="00D2099E" w:rsidRDefault="00EF78B6" w:rsidP="00FA430F">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bl>
    <w:p w14:paraId="04E50A16" w14:textId="6AB0B067" w:rsidR="00EF78B6" w:rsidRDefault="00EF78B6" w:rsidP="00D2099E">
      <w:pPr>
        <w:spacing w:after="0" w:line="240" w:lineRule="auto"/>
        <w:ind w:left="360"/>
        <w:jc w:val="both"/>
        <w:rPr>
          <w:rFonts w:ascii="Times New Roman" w:eastAsia="Times New Roman" w:hAnsi="Times New Roman" w:cs="Times New Roman"/>
          <w:sz w:val="20"/>
          <w:szCs w:val="20"/>
          <w:lang w:val="en-US"/>
        </w:rPr>
      </w:pPr>
    </w:p>
    <w:p w14:paraId="176C57AE" w14:textId="0F77CF78"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025EDACE" w14:textId="48B1B33B"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6435CAC7" w14:textId="3E5EF969"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5C9304C3" w14:textId="0EDE3BE5"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7EAC7683" w14:textId="1EED69DA"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15029CC6" w14:textId="489F1567"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1A04D91A" w14:textId="3BD62D1C"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228D6131" w14:textId="75C12350"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0D74B46B" w14:textId="0A2717AF"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18C44D5F" w14:textId="02B99007"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23D7089A" w14:textId="13137C59"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6D9614FB" w14:textId="77A62340"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3BA34A7B" w14:textId="5569B5DC" w:rsidR="00AB29F6" w:rsidRDefault="00AB29F6" w:rsidP="00D2099E">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AB29F6" w:rsidRPr="00CA4239" w14:paraId="3439C69D" w14:textId="77777777" w:rsidTr="00B0377E">
        <w:tc>
          <w:tcPr>
            <w:tcW w:w="360" w:type="dxa"/>
            <w:hideMark/>
          </w:tcPr>
          <w:p w14:paraId="057DCB38" w14:textId="77777777" w:rsidR="00AB29F6" w:rsidRPr="00CA4239" w:rsidRDefault="00AB29F6"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lastRenderedPageBreak/>
              <w:t>1</w:t>
            </w:r>
            <w:r>
              <w:rPr>
                <w:rFonts w:ascii="Times New Roman" w:eastAsia="Times New Roman" w:hAnsi="Times New Roman" w:cs="Times New Roman"/>
                <w:b/>
                <w:bCs/>
                <w:sz w:val="20"/>
                <w:szCs w:val="20"/>
                <w:lang w:val="en-US"/>
              </w:rPr>
              <w:t>5</w:t>
            </w:r>
            <w:r w:rsidRPr="00CA4239">
              <w:rPr>
                <w:rFonts w:ascii="Times New Roman" w:eastAsia="Times New Roman" w:hAnsi="Times New Roman" w:cs="Times New Roman"/>
                <w:b/>
                <w:bCs/>
                <w:sz w:val="20"/>
                <w:szCs w:val="20"/>
                <w:lang w:val="en-US"/>
              </w:rPr>
              <w:t>.</w:t>
            </w:r>
          </w:p>
        </w:tc>
        <w:tc>
          <w:tcPr>
            <w:tcW w:w="0" w:type="auto"/>
            <w:hideMark/>
          </w:tcPr>
          <w:p w14:paraId="45E9C510" w14:textId="77777777" w:rsidR="00AB29F6" w:rsidRPr="00CA4239" w:rsidRDefault="00AB29F6"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Warrants</w:t>
            </w:r>
            <w:r>
              <w:rPr>
                <w:rFonts w:ascii="Times New Roman" w:eastAsia="Times New Roman" w:hAnsi="Times New Roman" w:cs="Times New Roman"/>
                <w:b/>
                <w:bCs/>
                <w:sz w:val="20"/>
                <w:szCs w:val="20"/>
                <w:lang w:val="en-US"/>
              </w:rPr>
              <w:t xml:space="preserve"> (continued)</w:t>
            </w:r>
          </w:p>
        </w:tc>
      </w:tr>
    </w:tbl>
    <w:p w14:paraId="5372A39E" w14:textId="77777777" w:rsidR="00AB29F6" w:rsidRDefault="00AB29F6" w:rsidP="00D2099E">
      <w:pPr>
        <w:spacing w:after="0" w:line="240" w:lineRule="auto"/>
        <w:ind w:left="360"/>
        <w:jc w:val="both"/>
        <w:rPr>
          <w:rFonts w:ascii="Times New Roman" w:eastAsia="Times New Roman" w:hAnsi="Times New Roman" w:cs="Times New Roman"/>
          <w:sz w:val="20"/>
          <w:szCs w:val="20"/>
          <w:lang w:val="en-US"/>
        </w:rPr>
      </w:pPr>
    </w:p>
    <w:p w14:paraId="16378050" w14:textId="5B30BBBC" w:rsidR="00D2099E" w:rsidRDefault="00D2099E" w:rsidP="00937EB8">
      <w:pPr>
        <w:spacing w:after="0" w:line="240" w:lineRule="auto"/>
        <w:ind w:left="360"/>
        <w:jc w:val="both"/>
        <w:rPr>
          <w:rFonts w:ascii="Times New Roman" w:eastAsia="Times New Roman" w:hAnsi="Times New Roman" w:cs="Times New Roman"/>
          <w:sz w:val="20"/>
          <w:szCs w:val="20"/>
          <w:lang w:val="en-US"/>
        </w:rPr>
      </w:pPr>
      <w:proofErr w:type="gramStart"/>
      <w:r w:rsidRPr="00D2099E">
        <w:rPr>
          <w:rFonts w:ascii="Times New Roman" w:eastAsia="Times New Roman" w:hAnsi="Times New Roman" w:cs="Times New Roman"/>
          <w:sz w:val="20"/>
          <w:szCs w:val="20"/>
          <w:lang w:val="en-US"/>
        </w:rPr>
        <w:t>At</w:t>
      </w:r>
      <w:proofErr w:type="gramEnd"/>
      <w:r w:rsidRPr="00D2099E">
        <w:rPr>
          <w:rFonts w:ascii="Times New Roman" w:eastAsia="Times New Roman" w:hAnsi="Times New Roman" w:cs="Times New Roman"/>
          <w:sz w:val="20"/>
          <w:szCs w:val="20"/>
          <w:lang w:val="en-US"/>
        </w:rPr>
        <w:t xml:space="preserve"> </w:t>
      </w:r>
      <w:r w:rsidR="002465DE">
        <w:rPr>
          <w:rFonts w:ascii="Times New Roman" w:eastAsia="Times New Roman" w:hAnsi="Times New Roman" w:cs="Times New Roman"/>
          <w:sz w:val="20"/>
          <w:szCs w:val="20"/>
          <w:lang w:val="en-US"/>
        </w:rPr>
        <w:t>June 30</w:t>
      </w:r>
      <w:r w:rsidR="006405DF">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the Company had the following outstanding share purchase warrants:</w:t>
      </w:r>
    </w:p>
    <w:p w14:paraId="7B7F4AE6" w14:textId="54A39F2E" w:rsidR="00937EB8" w:rsidRPr="00D2099E" w:rsidRDefault="00937EB8" w:rsidP="00D2099E">
      <w:pPr>
        <w:spacing w:after="0" w:line="240" w:lineRule="auto"/>
        <w:ind w:left="360"/>
        <w:jc w:val="both"/>
        <w:rPr>
          <w:rFonts w:ascii="Times New Roman" w:eastAsia="Times New Roman" w:hAnsi="Times New Roman" w:cs="Times New Roman"/>
          <w:sz w:val="20"/>
          <w:szCs w:val="20"/>
          <w:lang w:val="en-US"/>
        </w:rPr>
      </w:pPr>
    </w:p>
    <w:tbl>
      <w:tblPr>
        <w:tblW w:w="4043" w:type="pct"/>
        <w:tblInd w:w="426" w:type="dxa"/>
        <w:tblCellMar>
          <w:left w:w="0" w:type="dxa"/>
          <w:right w:w="0" w:type="dxa"/>
        </w:tblCellMar>
        <w:tblLook w:val="04A0" w:firstRow="1" w:lastRow="0" w:firstColumn="1" w:lastColumn="0" w:noHBand="0" w:noVBand="1"/>
      </w:tblPr>
      <w:tblGrid>
        <w:gridCol w:w="146"/>
        <w:gridCol w:w="1570"/>
        <w:gridCol w:w="76"/>
        <w:gridCol w:w="76"/>
        <w:gridCol w:w="76"/>
        <w:gridCol w:w="1273"/>
        <w:gridCol w:w="150"/>
        <w:gridCol w:w="76"/>
        <w:gridCol w:w="4125"/>
      </w:tblGrid>
      <w:tr w:rsidR="00937EB8" w:rsidRPr="00C74016" w14:paraId="39664402" w14:textId="77777777" w:rsidTr="00FA430F">
        <w:tc>
          <w:tcPr>
            <w:tcW w:w="1135" w:type="pct"/>
            <w:gridSpan w:val="2"/>
            <w:tcBorders>
              <w:top w:val="single" w:sz="12" w:space="0" w:color="auto"/>
              <w:bottom w:val="single" w:sz="12" w:space="0" w:color="auto"/>
            </w:tcBorders>
            <w:shd w:val="clear" w:color="auto" w:fill="auto"/>
            <w:vAlign w:val="bottom"/>
            <w:hideMark/>
          </w:tcPr>
          <w:p w14:paraId="5D69478C" w14:textId="77777777" w:rsidR="00937EB8" w:rsidRPr="00CA4239" w:rsidRDefault="00937EB8" w:rsidP="00FA430F">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Outstanding</w:t>
            </w:r>
          </w:p>
        </w:tc>
        <w:tc>
          <w:tcPr>
            <w:tcW w:w="0" w:type="auto"/>
            <w:tcBorders>
              <w:top w:val="single" w:sz="12" w:space="0" w:color="auto"/>
              <w:bottom w:val="single" w:sz="12" w:space="0" w:color="auto"/>
            </w:tcBorders>
            <w:shd w:val="clear" w:color="auto" w:fill="auto"/>
            <w:vAlign w:val="bottom"/>
            <w:hideMark/>
          </w:tcPr>
          <w:p w14:paraId="2AEAB894" w14:textId="77777777" w:rsidR="00937EB8" w:rsidRPr="00CA4239" w:rsidRDefault="00937EB8" w:rsidP="00FA430F">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09B7BCC4" w14:textId="77777777" w:rsidR="00937EB8" w:rsidRPr="00CA4239" w:rsidRDefault="00937EB8" w:rsidP="00FA430F">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68D16B1D" w14:textId="77777777" w:rsidR="00937EB8" w:rsidRPr="00CA4239" w:rsidRDefault="00937EB8" w:rsidP="00FA430F">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Exercise Price</w:t>
            </w:r>
          </w:p>
        </w:tc>
        <w:tc>
          <w:tcPr>
            <w:tcW w:w="0" w:type="auto"/>
            <w:tcBorders>
              <w:top w:val="single" w:sz="12" w:space="0" w:color="auto"/>
              <w:bottom w:val="single" w:sz="12" w:space="0" w:color="auto"/>
            </w:tcBorders>
            <w:shd w:val="clear" w:color="auto" w:fill="auto"/>
            <w:vAlign w:val="bottom"/>
            <w:hideMark/>
          </w:tcPr>
          <w:p w14:paraId="4507356A" w14:textId="77777777" w:rsidR="00937EB8" w:rsidRPr="00CA4239" w:rsidRDefault="00937EB8" w:rsidP="00FA430F">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40990357" w14:textId="77777777" w:rsidR="00937EB8" w:rsidRPr="00CA4239" w:rsidRDefault="00937EB8" w:rsidP="00FA430F">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vAlign w:val="bottom"/>
            <w:hideMark/>
          </w:tcPr>
          <w:p w14:paraId="492206A8" w14:textId="77777777" w:rsidR="00937EB8" w:rsidRPr="00CA4239" w:rsidRDefault="00937EB8" w:rsidP="00FA430F">
            <w:pPr>
              <w:spacing w:after="0" w:line="240" w:lineRule="auto"/>
              <w:jc w:val="center"/>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Expiry Date</w:t>
            </w:r>
          </w:p>
        </w:tc>
      </w:tr>
      <w:tr w:rsidR="00937EB8" w:rsidRPr="00C74016" w14:paraId="70112572" w14:textId="77777777" w:rsidTr="00FA430F">
        <w:tc>
          <w:tcPr>
            <w:tcW w:w="97" w:type="pct"/>
            <w:tcBorders>
              <w:top w:val="single" w:sz="12" w:space="0" w:color="auto"/>
            </w:tcBorders>
            <w:shd w:val="clear" w:color="auto" w:fill="auto"/>
            <w:vAlign w:val="bottom"/>
            <w:hideMark/>
          </w:tcPr>
          <w:p w14:paraId="234BC690"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1038" w:type="pct"/>
            <w:tcBorders>
              <w:top w:val="single" w:sz="12" w:space="0" w:color="auto"/>
            </w:tcBorders>
            <w:shd w:val="clear" w:color="auto" w:fill="auto"/>
            <w:vAlign w:val="bottom"/>
            <w:hideMark/>
          </w:tcPr>
          <w:p w14:paraId="2D0D40E1"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1,000,000</w:t>
            </w:r>
          </w:p>
        </w:tc>
        <w:tc>
          <w:tcPr>
            <w:tcW w:w="50" w:type="pct"/>
            <w:tcBorders>
              <w:top w:val="single" w:sz="12" w:space="0" w:color="auto"/>
            </w:tcBorders>
            <w:shd w:val="clear" w:color="auto" w:fill="auto"/>
            <w:vAlign w:val="bottom"/>
            <w:hideMark/>
          </w:tcPr>
          <w:p w14:paraId="707EC4E9"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50" w:type="pct"/>
            <w:tcBorders>
              <w:top w:val="single" w:sz="12" w:space="0" w:color="auto"/>
            </w:tcBorders>
            <w:shd w:val="clear" w:color="auto" w:fill="auto"/>
            <w:vAlign w:val="bottom"/>
            <w:hideMark/>
          </w:tcPr>
          <w:p w14:paraId="4A55224B"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50" w:type="pct"/>
            <w:tcBorders>
              <w:top w:val="single" w:sz="12" w:space="0" w:color="auto"/>
            </w:tcBorders>
            <w:shd w:val="clear" w:color="auto" w:fill="auto"/>
            <w:vAlign w:val="bottom"/>
            <w:hideMark/>
          </w:tcPr>
          <w:p w14:paraId="3F1176A1"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841" w:type="pct"/>
            <w:tcBorders>
              <w:top w:val="single" w:sz="12" w:space="0" w:color="auto"/>
            </w:tcBorders>
            <w:shd w:val="clear" w:color="auto" w:fill="auto"/>
            <w:vAlign w:val="bottom"/>
            <w:hideMark/>
          </w:tcPr>
          <w:p w14:paraId="1C00E119"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0.16 USD</w:t>
            </w:r>
          </w:p>
        </w:tc>
        <w:tc>
          <w:tcPr>
            <w:tcW w:w="99" w:type="pct"/>
            <w:tcBorders>
              <w:top w:val="single" w:sz="12" w:space="0" w:color="auto"/>
            </w:tcBorders>
            <w:shd w:val="clear" w:color="auto" w:fill="auto"/>
            <w:vAlign w:val="bottom"/>
            <w:hideMark/>
          </w:tcPr>
          <w:p w14:paraId="68C8310E"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50" w:type="pct"/>
            <w:tcBorders>
              <w:top w:val="single" w:sz="12" w:space="0" w:color="auto"/>
            </w:tcBorders>
            <w:shd w:val="clear" w:color="auto" w:fill="auto"/>
            <w:vAlign w:val="bottom"/>
            <w:hideMark/>
          </w:tcPr>
          <w:p w14:paraId="630ED00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2724" w:type="pct"/>
            <w:tcBorders>
              <w:top w:val="single" w:sz="12" w:space="0" w:color="auto"/>
            </w:tcBorders>
            <w:shd w:val="clear" w:color="auto" w:fill="auto"/>
            <w:vAlign w:val="bottom"/>
            <w:hideMark/>
          </w:tcPr>
          <w:p w14:paraId="4A4FBCF7"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xml:space="preserve">March </w:t>
            </w:r>
            <w:r>
              <w:rPr>
                <w:rFonts w:ascii="Times New Roman" w:eastAsia="Times New Roman" w:hAnsi="Times New Roman" w:cs="Times New Roman"/>
                <w:sz w:val="20"/>
                <w:szCs w:val="20"/>
                <w:lang w:val="en-US"/>
              </w:rPr>
              <w:t>4</w:t>
            </w:r>
            <w:r w:rsidRPr="00CA4239">
              <w:rPr>
                <w:rFonts w:ascii="Times New Roman" w:eastAsia="Times New Roman" w:hAnsi="Times New Roman" w:cs="Times New Roman"/>
                <w:sz w:val="20"/>
                <w:szCs w:val="20"/>
                <w:lang w:val="en-US"/>
              </w:rPr>
              <w:t>, 2023</w:t>
            </w:r>
          </w:p>
        </w:tc>
      </w:tr>
      <w:tr w:rsidR="00937EB8" w:rsidRPr="00C74016" w14:paraId="70663CAE" w14:textId="77777777" w:rsidTr="00FA430F">
        <w:tc>
          <w:tcPr>
            <w:tcW w:w="97" w:type="pct"/>
            <w:shd w:val="clear" w:color="auto" w:fill="auto"/>
            <w:vAlign w:val="bottom"/>
            <w:hideMark/>
          </w:tcPr>
          <w:p w14:paraId="5CD67ED3"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2BCC3A99"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50,000</w:t>
            </w:r>
          </w:p>
        </w:tc>
        <w:tc>
          <w:tcPr>
            <w:tcW w:w="0" w:type="auto"/>
            <w:shd w:val="clear" w:color="auto" w:fill="auto"/>
            <w:vAlign w:val="bottom"/>
            <w:hideMark/>
          </w:tcPr>
          <w:p w14:paraId="54F0C02B"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309217D"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00569985"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154C4661"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0.32 USD</w:t>
            </w:r>
          </w:p>
        </w:tc>
        <w:tc>
          <w:tcPr>
            <w:tcW w:w="0" w:type="auto"/>
            <w:shd w:val="clear" w:color="auto" w:fill="auto"/>
            <w:vAlign w:val="bottom"/>
            <w:hideMark/>
          </w:tcPr>
          <w:p w14:paraId="2A34C085"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44CA88E3"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28F23EF6"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June 6, 2023</w:t>
            </w:r>
          </w:p>
        </w:tc>
      </w:tr>
      <w:tr w:rsidR="00937EB8" w:rsidRPr="00C74016" w14:paraId="431C0B33" w14:textId="77777777" w:rsidTr="00FA430F">
        <w:tc>
          <w:tcPr>
            <w:tcW w:w="97" w:type="pct"/>
            <w:shd w:val="clear" w:color="auto" w:fill="auto"/>
            <w:vAlign w:val="bottom"/>
            <w:hideMark/>
          </w:tcPr>
          <w:p w14:paraId="1D32CCD5"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40E8D754" w14:textId="7AD99A4D"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w:t>
            </w:r>
            <w:r w:rsidR="004B56C0">
              <w:rPr>
                <w:rFonts w:ascii="Times New Roman" w:eastAsia="Times New Roman" w:hAnsi="Times New Roman" w:cs="Times New Roman"/>
                <w:sz w:val="20"/>
                <w:szCs w:val="20"/>
                <w:lang w:val="en-US"/>
              </w:rPr>
              <w:t>124</w:t>
            </w:r>
            <w:r w:rsidRPr="00CA4239">
              <w:rPr>
                <w:rFonts w:ascii="Times New Roman" w:eastAsia="Times New Roman" w:hAnsi="Times New Roman" w:cs="Times New Roman"/>
                <w:sz w:val="20"/>
                <w:szCs w:val="20"/>
                <w:lang w:val="en-US"/>
              </w:rPr>
              <w:t>,999</w:t>
            </w:r>
          </w:p>
        </w:tc>
        <w:tc>
          <w:tcPr>
            <w:tcW w:w="0" w:type="auto"/>
            <w:shd w:val="clear" w:color="auto" w:fill="auto"/>
            <w:vAlign w:val="bottom"/>
          </w:tcPr>
          <w:p w14:paraId="3F998416"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7F6D2046"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187C06EE"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6922A8B5"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0.08 USD</w:t>
            </w:r>
          </w:p>
        </w:tc>
        <w:tc>
          <w:tcPr>
            <w:tcW w:w="0" w:type="auto"/>
            <w:shd w:val="clear" w:color="auto" w:fill="auto"/>
            <w:vAlign w:val="bottom"/>
          </w:tcPr>
          <w:p w14:paraId="71AF1632"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64F37253"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6A75C539"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September 8, 2023</w:t>
            </w:r>
          </w:p>
        </w:tc>
      </w:tr>
      <w:tr w:rsidR="00937EB8" w:rsidRPr="00C74016" w14:paraId="0D466009" w14:textId="77777777" w:rsidTr="00FA430F">
        <w:tc>
          <w:tcPr>
            <w:tcW w:w="97" w:type="pct"/>
            <w:shd w:val="clear" w:color="auto" w:fill="auto"/>
            <w:vAlign w:val="bottom"/>
            <w:hideMark/>
          </w:tcPr>
          <w:p w14:paraId="25E6882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18023E33"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1,200,000</w:t>
            </w:r>
          </w:p>
        </w:tc>
        <w:tc>
          <w:tcPr>
            <w:tcW w:w="0" w:type="auto"/>
            <w:shd w:val="clear" w:color="auto" w:fill="auto"/>
            <w:vAlign w:val="bottom"/>
            <w:hideMark/>
          </w:tcPr>
          <w:p w14:paraId="2918F1F0"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D063BA3"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32A9F94"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0538AF8F"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0.10 USD</w:t>
            </w:r>
          </w:p>
        </w:tc>
        <w:tc>
          <w:tcPr>
            <w:tcW w:w="0" w:type="auto"/>
            <w:shd w:val="clear" w:color="auto" w:fill="auto"/>
            <w:vAlign w:val="bottom"/>
            <w:hideMark/>
          </w:tcPr>
          <w:p w14:paraId="6AB3BCAA"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0C59BD0C"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69B62F6D"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September 8, 2023</w:t>
            </w:r>
          </w:p>
        </w:tc>
      </w:tr>
      <w:tr w:rsidR="00937EB8" w:rsidRPr="00C74016" w14:paraId="04E00793" w14:textId="77777777" w:rsidTr="00FA430F">
        <w:tc>
          <w:tcPr>
            <w:tcW w:w="97" w:type="pct"/>
            <w:shd w:val="clear" w:color="auto" w:fill="auto"/>
            <w:vAlign w:val="bottom"/>
            <w:hideMark/>
          </w:tcPr>
          <w:p w14:paraId="5FDF0146"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0940C9A0"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2,358,080</w:t>
            </w:r>
          </w:p>
        </w:tc>
        <w:tc>
          <w:tcPr>
            <w:tcW w:w="0" w:type="auto"/>
            <w:shd w:val="clear" w:color="auto" w:fill="auto"/>
            <w:vAlign w:val="bottom"/>
            <w:hideMark/>
          </w:tcPr>
          <w:p w14:paraId="1583C7E2"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7B97EAE3"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0E1AF2BD"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ADF0245"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0.08 USD</w:t>
            </w:r>
          </w:p>
        </w:tc>
        <w:tc>
          <w:tcPr>
            <w:tcW w:w="0" w:type="auto"/>
            <w:shd w:val="clear" w:color="auto" w:fill="auto"/>
            <w:vAlign w:val="bottom"/>
            <w:hideMark/>
          </w:tcPr>
          <w:p w14:paraId="1866E11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3DD608E5"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hideMark/>
          </w:tcPr>
          <w:p w14:paraId="5720155A"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September 8, 2023</w:t>
            </w:r>
          </w:p>
        </w:tc>
      </w:tr>
      <w:tr w:rsidR="00937EB8" w:rsidRPr="00C74016" w14:paraId="21BB4458" w14:textId="77777777" w:rsidTr="00FA430F">
        <w:tc>
          <w:tcPr>
            <w:tcW w:w="97" w:type="pct"/>
            <w:shd w:val="clear" w:color="auto" w:fill="auto"/>
            <w:vAlign w:val="bottom"/>
            <w:hideMark/>
          </w:tcPr>
          <w:p w14:paraId="218F38C5"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0E81910C"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660,000</w:t>
            </w:r>
          </w:p>
        </w:tc>
        <w:tc>
          <w:tcPr>
            <w:tcW w:w="0" w:type="auto"/>
            <w:shd w:val="clear" w:color="auto" w:fill="auto"/>
            <w:vAlign w:val="bottom"/>
          </w:tcPr>
          <w:p w14:paraId="1BA624AC"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4FD98D83"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6816A8D0"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485725AE"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0.10 USD</w:t>
            </w:r>
          </w:p>
        </w:tc>
        <w:tc>
          <w:tcPr>
            <w:tcW w:w="0" w:type="auto"/>
            <w:shd w:val="clear" w:color="auto" w:fill="auto"/>
            <w:vAlign w:val="bottom"/>
          </w:tcPr>
          <w:p w14:paraId="524D5030"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7B0A2251"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shd w:val="clear" w:color="auto" w:fill="auto"/>
            <w:vAlign w:val="bottom"/>
          </w:tcPr>
          <w:p w14:paraId="4ED3784F"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September 30, 2023</w:t>
            </w:r>
          </w:p>
        </w:tc>
      </w:tr>
      <w:tr w:rsidR="00937EB8" w:rsidRPr="00C74016" w14:paraId="1D039119" w14:textId="77777777" w:rsidTr="00FA430F">
        <w:tc>
          <w:tcPr>
            <w:tcW w:w="97" w:type="pct"/>
            <w:shd w:val="clear" w:color="auto" w:fill="auto"/>
            <w:vAlign w:val="bottom"/>
          </w:tcPr>
          <w:p w14:paraId="2839AF0C"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7FD3959"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21,705,438</w:t>
            </w:r>
          </w:p>
        </w:tc>
        <w:tc>
          <w:tcPr>
            <w:tcW w:w="0" w:type="auto"/>
            <w:shd w:val="clear" w:color="auto" w:fill="auto"/>
            <w:vAlign w:val="bottom"/>
          </w:tcPr>
          <w:p w14:paraId="588DEAF0"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577AF0B2"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2270D201"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5D353512"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0.35 USD</w:t>
            </w:r>
          </w:p>
        </w:tc>
        <w:tc>
          <w:tcPr>
            <w:tcW w:w="0" w:type="auto"/>
            <w:shd w:val="clear" w:color="auto" w:fill="auto"/>
            <w:vAlign w:val="bottom"/>
          </w:tcPr>
          <w:p w14:paraId="5D41E30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3AF8E89"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0FBF570"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March 15, 2024</w:t>
            </w:r>
          </w:p>
        </w:tc>
      </w:tr>
      <w:tr w:rsidR="00937EB8" w:rsidRPr="00C74016" w14:paraId="1B547B02" w14:textId="77777777" w:rsidTr="00FA430F">
        <w:tc>
          <w:tcPr>
            <w:tcW w:w="97" w:type="pct"/>
            <w:shd w:val="clear" w:color="auto" w:fill="auto"/>
            <w:vAlign w:val="bottom"/>
          </w:tcPr>
          <w:p w14:paraId="2CE2238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7A79DBC3"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3,393,939</w:t>
            </w:r>
          </w:p>
        </w:tc>
        <w:tc>
          <w:tcPr>
            <w:tcW w:w="0" w:type="auto"/>
            <w:shd w:val="clear" w:color="auto" w:fill="auto"/>
            <w:vAlign w:val="bottom"/>
          </w:tcPr>
          <w:p w14:paraId="2FF0D35C"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4E92C4A"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054F1BE"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15CADE38"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0.35 USD</w:t>
            </w:r>
          </w:p>
        </w:tc>
        <w:tc>
          <w:tcPr>
            <w:tcW w:w="0" w:type="auto"/>
            <w:shd w:val="clear" w:color="auto" w:fill="auto"/>
            <w:vAlign w:val="bottom"/>
          </w:tcPr>
          <w:p w14:paraId="22BBB5CE"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163A60CD"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58A05E74"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March 16, 2024</w:t>
            </w:r>
          </w:p>
        </w:tc>
      </w:tr>
      <w:tr w:rsidR="00937EB8" w:rsidRPr="00C74016" w14:paraId="63BCAC59" w14:textId="77777777" w:rsidTr="00FA430F">
        <w:tc>
          <w:tcPr>
            <w:tcW w:w="97" w:type="pct"/>
            <w:shd w:val="clear" w:color="auto" w:fill="auto"/>
            <w:vAlign w:val="bottom"/>
          </w:tcPr>
          <w:p w14:paraId="12FFC0AA"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788EF16D"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2,954,545</w:t>
            </w:r>
          </w:p>
        </w:tc>
        <w:tc>
          <w:tcPr>
            <w:tcW w:w="0" w:type="auto"/>
            <w:shd w:val="clear" w:color="auto" w:fill="auto"/>
            <w:vAlign w:val="bottom"/>
          </w:tcPr>
          <w:p w14:paraId="1ED0E13B"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E5D4702"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B7A08DE"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3B31121"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0.35 USD</w:t>
            </w:r>
          </w:p>
        </w:tc>
        <w:tc>
          <w:tcPr>
            <w:tcW w:w="0" w:type="auto"/>
            <w:shd w:val="clear" w:color="auto" w:fill="auto"/>
            <w:vAlign w:val="bottom"/>
          </w:tcPr>
          <w:p w14:paraId="47A4E8CB"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1C838A5E"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7D5FEAB9"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March 17, 2024</w:t>
            </w:r>
          </w:p>
        </w:tc>
      </w:tr>
      <w:tr w:rsidR="00937EB8" w:rsidRPr="00C74016" w14:paraId="40AF8A9F" w14:textId="77777777" w:rsidTr="00FA430F">
        <w:tc>
          <w:tcPr>
            <w:tcW w:w="97" w:type="pct"/>
            <w:shd w:val="clear" w:color="auto" w:fill="auto"/>
            <w:vAlign w:val="bottom"/>
          </w:tcPr>
          <w:p w14:paraId="582CB6F6"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673D309"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10,614,123</w:t>
            </w:r>
          </w:p>
        </w:tc>
        <w:tc>
          <w:tcPr>
            <w:tcW w:w="0" w:type="auto"/>
            <w:shd w:val="clear" w:color="auto" w:fill="auto"/>
            <w:vAlign w:val="bottom"/>
          </w:tcPr>
          <w:p w14:paraId="6473C7AD"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8C015A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0C0BB7C2"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38954C44"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0.35 USD</w:t>
            </w:r>
          </w:p>
        </w:tc>
        <w:tc>
          <w:tcPr>
            <w:tcW w:w="0" w:type="auto"/>
            <w:shd w:val="clear" w:color="auto" w:fill="auto"/>
            <w:vAlign w:val="bottom"/>
          </w:tcPr>
          <w:p w14:paraId="529BAEC9"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398D25F1"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76F56EFB"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March 18, 2024</w:t>
            </w:r>
          </w:p>
        </w:tc>
      </w:tr>
      <w:tr w:rsidR="00937EB8" w:rsidRPr="00C74016" w14:paraId="2AC93423" w14:textId="77777777" w:rsidTr="00064A08">
        <w:tc>
          <w:tcPr>
            <w:tcW w:w="97" w:type="pct"/>
            <w:shd w:val="clear" w:color="auto" w:fill="auto"/>
            <w:vAlign w:val="bottom"/>
          </w:tcPr>
          <w:p w14:paraId="2965BDEB"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3F33B723"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21,469,254</w:t>
            </w:r>
          </w:p>
        </w:tc>
        <w:tc>
          <w:tcPr>
            <w:tcW w:w="0" w:type="auto"/>
            <w:shd w:val="clear" w:color="auto" w:fill="auto"/>
            <w:vAlign w:val="bottom"/>
          </w:tcPr>
          <w:p w14:paraId="3E05A09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78EEA9C0"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76F33657"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B7890BA"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0.35 USD</w:t>
            </w:r>
          </w:p>
        </w:tc>
        <w:tc>
          <w:tcPr>
            <w:tcW w:w="0" w:type="auto"/>
            <w:shd w:val="clear" w:color="auto" w:fill="auto"/>
            <w:vAlign w:val="bottom"/>
          </w:tcPr>
          <w:p w14:paraId="0B5529C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5D309B05"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2CB805F4"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March 24, 2024</w:t>
            </w:r>
          </w:p>
        </w:tc>
      </w:tr>
      <w:tr w:rsidR="00937EB8" w:rsidRPr="00C74016" w14:paraId="29025EB0" w14:textId="77777777" w:rsidTr="00064A08">
        <w:tc>
          <w:tcPr>
            <w:tcW w:w="97" w:type="pct"/>
            <w:shd w:val="clear" w:color="auto" w:fill="auto"/>
            <w:vAlign w:val="bottom"/>
          </w:tcPr>
          <w:p w14:paraId="03E1FC09"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0F8E862B"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2,653,000</w:t>
            </w:r>
          </w:p>
        </w:tc>
        <w:tc>
          <w:tcPr>
            <w:tcW w:w="0" w:type="auto"/>
            <w:shd w:val="clear" w:color="auto" w:fill="auto"/>
            <w:vAlign w:val="bottom"/>
          </w:tcPr>
          <w:p w14:paraId="69BDC921"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30D9E8F5"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32CABD0C"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26C3381F"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0.35 USD</w:t>
            </w:r>
          </w:p>
        </w:tc>
        <w:tc>
          <w:tcPr>
            <w:tcW w:w="0" w:type="auto"/>
            <w:shd w:val="clear" w:color="auto" w:fill="auto"/>
            <w:vAlign w:val="bottom"/>
          </w:tcPr>
          <w:p w14:paraId="2A4CD10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5FFBFC97"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1162124"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March 28, 2024</w:t>
            </w:r>
          </w:p>
        </w:tc>
      </w:tr>
      <w:tr w:rsidR="00937EB8" w:rsidRPr="00C74016" w14:paraId="3FA121B6" w14:textId="77777777" w:rsidTr="00064A08">
        <w:tc>
          <w:tcPr>
            <w:tcW w:w="97" w:type="pct"/>
            <w:shd w:val="clear" w:color="auto" w:fill="auto"/>
            <w:vAlign w:val="bottom"/>
          </w:tcPr>
          <w:p w14:paraId="3FDB8A30"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4511C44" w14:textId="74E6F396"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36,268,450</w:t>
            </w:r>
          </w:p>
        </w:tc>
        <w:tc>
          <w:tcPr>
            <w:tcW w:w="0" w:type="auto"/>
            <w:shd w:val="clear" w:color="auto" w:fill="auto"/>
            <w:vAlign w:val="bottom"/>
          </w:tcPr>
          <w:p w14:paraId="16B64BD3"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A879F70"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FFC77F5"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4392DDE7" w14:textId="017F2491"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2465DE">
              <w:rPr>
                <w:rFonts w:ascii="Times New Roman" w:eastAsia="Times New Roman" w:hAnsi="Times New Roman" w:cs="Times New Roman"/>
                <w:sz w:val="20"/>
                <w:szCs w:val="20"/>
                <w:lang w:val="en-US"/>
              </w:rPr>
              <w:t>39</w:t>
            </w:r>
            <w:r>
              <w:rPr>
                <w:rFonts w:ascii="Times New Roman" w:eastAsia="Times New Roman" w:hAnsi="Times New Roman" w:cs="Times New Roman"/>
                <w:sz w:val="20"/>
                <w:szCs w:val="20"/>
                <w:lang w:val="en-US"/>
              </w:rPr>
              <w:t xml:space="preserve"> USD</w:t>
            </w:r>
          </w:p>
        </w:tc>
        <w:tc>
          <w:tcPr>
            <w:tcW w:w="0" w:type="auto"/>
            <w:shd w:val="clear" w:color="auto" w:fill="auto"/>
            <w:vAlign w:val="bottom"/>
          </w:tcPr>
          <w:p w14:paraId="7457AFF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306C11E"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152B77D7" w14:textId="679AB65E"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June 29, 2025</w:t>
            </w:r>
          </w:p>
        </w:tc>
      </w:tr>
      <w:tr w:rsidR="002465DE" w:rsidRPr="00C74016" w14:paraId="7C5FA4DB" w14:textId="77777777" w:rsidTr="00937EB8">
        <w:tc>
          <w:tcPr>
            <w:tcW w:w="97" w:type="pct"/>
            <w:tcBorders>
              <w:bottom w:val="single" w:sz="12" w:space="0" w:color="000000"/>
            </w:tcBorders>
            <w:shd w:val="clear" w:color="auto" w:fill="auto"/>
            <w:vAlign w:val="bottom"/>
          </w:tcPr>
          <w:p w14:paraId="7D004B32" w14:textId="77777777" w:rsidR="002465DE" w:rsidRPr="00CA4239" w:rsidRDefault="002465DE" w:rsidP="00FA430F">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000000"/>
            </w:tcBorders>
            <w:shd w:val="clear" w:color="auto" w:fill="auto"/>
            <w:vAlign w:val="bottom"/>
          </w:tcPr>
          <w:p w14:paraId="0F51C982" w14:textId="2ED4D4BA" w:rsidR="002465DE" w:rsidRDefault="002465DE"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4,251,440</w:t>
            </w:r>
          </w:p>
        </w:tc>
        <w:tc>
          <w:tcPr>
            <w:tcW w:w="0" w:type="auto"/>
            <w:shd w:val="clear" w:color="auto" w:fill="auto"/>
            <w:vAlign w:val="bottom"/>
          </w:tcPr>
          <w:p w14:paraId="4FAC3BF2" w14:textId="77777777" w:rsidR="002465DE" w:rsidRPr="00CA4239" w:rsidRDefault="002465DE"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1D8483D7" w14:textId="77777777" w:rsidR="002465DE" w:rsidRPr="00CA4239" w:rsidRDefault="002465DE"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7FC2892C" w14:textId="77777777" w:rsidR="002465DE" w:rsidRPr="00CA4239" w:rsidRDefault="002465DE"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515546B" w14:textId="1034E9BE" w:rsidR="002465DE" w:rsidRDefault="002465DE"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0.24 USD</w:t>
            </w:r>
          </w:p>
        </w:tc>
        <w:tc>
          <w:tcPr>
            <w:tcW w:w="0" w:type="auto"/>
            <w:shd w:val="clear" w:color="auto" w:fill="auto"/>
            <w:vAlign w:val="bottom"/>
          </w:tcPr>
          <w:p w14:paraId="7E547B63" w14:textId="77777777" w:rsidR="002465DE" w:rsidRPr="00CA4239" w:rsidRDefault="002465DE"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0A0E8219" w14:textId="77777777" w:rsidR="002465DE" w:rsidRPr="00CA4239" w:rsidRDefault="002465DE" w:rsidP="00FA430F">
            <w:pPr>
              <w:spacing w:after="0" w:line="240" w:lineRule="auto"/>
              <w:jc w:val="both"/>
              <w:rPr>
                <w:rFonts w:ascii="Times New Roman" w:eastAsia="Times New Roman" w:hAnsi="Times New Roman" w:cs="Times New Roman"/>
                <w:sz w:val="20"/>
                <w:szCs w:val="20"/>
                <w:lang w:val="en-US"/>
              </w:rPr>
            </w:pPr>
          </w:p>
        </w:tc>
        <w:tc>
          <w:tcPr>
            <w:tcW w:w="0" w:type="auto"/>
            <w:shd w:val="clear" w:color="auto" w:fill="auto"/>
            <w:vAlign w:val="bottom"/>
          </w:tcPr>
          <w:p w14:paraId="69A1B9BE" w14:textId="33D27128" w:rsidR="002465DE" w:rsidRDefault="002465DE"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June 29, 2025</w:t>
            </w:r>
          </w:p>
        </w:tc>
      </w:tr>
      <w:tr w:rsidR="00937EB8" w:rsidRPr="00D2099E" w14:paraId="54D5C497" w14:textId="77777777" w:rsidTr="00FA430F">
        <w:tc>
          <w:tcPr>
            <w:tcW w:w="97" w:type="pct"/>
            <w:tcBorders>
              <w:top w:val="single" w:sz="12" w:space="0" w:color="000000"/>
              <w:bottom w:val="single" w:sz="12" w:space="0" w:color="000000"/>
            </w:tcBorders>
            <w:shd w:val="clear" w:color="auto" w:fill="auto"/>
            <w:vAlign w:val="bottom"/>
            <w:hideMark/>
          </w:tcPr>
          <w:p w14:paraId="5AF73C09"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top w:val="single" w:sz="12" w:space="0" w:color="000000"/>
              <w:bottom w:val="single" w:sz="12" w:space="0" w:color="auto"/>
            </w:tcBorders>
            <w:shd w:val="clear" w:color="auto" w:fill="auto"/>
            <w:vAlign w:val="bottom"/>
            <w:hideMark/>
          </w:tcPr>
          <w:p w14:paraId="59C704A7" w14:textId="0C47EC3D"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2465DE">
              <w:rPr>
                <w:rFonts w:ascii="Times New Roman" w:eastAsia="Times New Roman" w:hAnsi="Times New Roman" w:cs="Times New Roman"/>
                <w:sz w:val="20"/>
                <w:szCs w:val="20"/>
                <w:lang w:val="en-US"/>
              </w:rPr>
              <w:t>10</w:t>
            </w:r>
            <w:r>
              <w:rPr>
                <w:rFonts w:ascii="Times New Roman" w:eastAsia="Times New Roman" w:hAnsi="Times New Roman" w:cs="Times New Roman"/>
                <w:sz w:val="20"/>
                <w:szCs w:val="20"/>
                <w:lang w:val="en-US"/>
              </w:rPr>
              <w:t>,</w:t>
            </w:r>
            <w:r w:rsidR="002465DE">
              <w:rPr>
                <w:rFonts w:ascii="Times New Roman" w:eastAsia="Times New Roman" w:hAnsi="Times New Roman" w:cs="Times New Roman"/>
                <w:sz w:val="20"/>
                <w:szCs w:val="20"/>
                <w:lang w:val="en-US"/>
              </w:rPr>
              <w:t>703</w:t>
            </w:r>
            <w:r>
              <w:rPr>
                <w:rFonts w:ascii="Times New Roman" w:eastAsia="Times New Roman" w:hAnsi="Times New Roman" w:cs="Times New Roman"/>
                <w:sz w:val="20"/>
                <w:szCs w:val="20"/>
                <w:lang w:val="en-US"/>
              </w:rPr>
              <w:t>,</w:t>
            </w:r>
            <w:r w:rsidR="002465DE">
              <w:rPr>
                <w:rFonts w:ascii="Times New Roman" w:eastAsia="Times New Roman" w:hAnsi="Times New Roman" w:cs="Times New Roman"/>
                <w:sz w:val="20"/>
                <w:szCs w:val="20"/>
                <w:lang w:val="en-US"/>
              </w:rPr>
              <w:t>268</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430A5D46"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7FA921C4"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16814628"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786D1A02"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0C8BC8BF"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69A11157" w14:textId="77777777" w:rsidR="00937EB8" w:rsidRPr="00CA4239" w:rsidRDefault="00937EB8" w:rsidP="00FA430F">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63231B28" w14:textId="77777777" w:rsidR="00937EB8" w:rsidRPr="00CA4239" w:rsidRDefault="00937EB8" w:rsidP="00FA430F">
            <w:pPr>
              <w:spacing w:after="0" w:line="240" w:lineRule="auto"/>
              <w:jc w:val="right"/>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tc>
      </w:tr>
    </w:tbl>
    <w:p w14:paraId="457D9F0E" w14:textId="403CE739"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p>
    <w:p w14:paraId="7F4BB925" w14:textId="3E01864A"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As </w:t>
      </w:r>
      <w:proofErr w:type="gramStart"/>
      <w:r w:rsidRPr="00D2099E">
        <w:rPr>
          <w:rFonts w:ascii="Times New Roman" w:eastAsia="Times New Roman" w:hAnsi="Times New Roman" w:cs="Times New Roman"/>
          <w:sz w:val="20"/>
          <w:szCs w:val="20"/>
          <w:lang w:val="en-US"/>
        </w:rPr>
        <w:t>at</w:t>
      </w:r>
      <w:proofErr w:type="gramEnd"/>
      <w:r w:rsidRPr="00D2099E">
        <w:rPr>
          <w:rFonts w:ascii="Times New Roman" w:eastAsia="Times New Roman" w:hAnsi="Times New Roman" w:cs="Times New Roman"/>
          <w:sz w:val="20"/>
          <w:szCs w:val="20"/>
          <w:lang w:val="en-US"/>
        </w:rPr>
        <w:t xml:space="preserve"> </w:t>
      </w:r>
      <w:r w:rsidR="00937EB8">
        <w:rPr>
          <w:rFonts w:ascii="Times New Roman" w:eastAsia="Times New Roman" w:hAnsi="Times New Roman" w:cs="Times New Roman"/>
          <w:sz w:val="20"/>
          <w:szCs w:val="20"/>
          <w:lang w:val="en-US"/>
        </w:rPr>
        <w:t>June 30</w:t>
      </w:r>
      <w:r w:rsidR="000F3E43">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xml:space="preserve">, the weighted average remaining contractual life of outstanding warrants </w:t>
      </w:r>
      <w:r w:rsidRPr="00C74016">
        <w:rPr>
          <w:rFonts w:ascii="Times New Roman" w:eastAsia="Times New Roman" w:hAnsi="Times New Roman" w:cs="Times New Roman"/>
          <w:sz w:val="20"/>
          <w:szCs w:val="20"/>
          <w:lang w:val="en-US"/>
        </w:rPr>
        <w:t xml:space="preserve">is </w:t>
      </w:r>
      <w:r w:rsidR="00937EB8">
        <w:rPr>
          <w:rFonts w:ascii="Times New Roman" w:eastAsia="Times New Roman" w:hAnsi="Times New Roman" w:cs="Times New Roman"/>
          <w:sz w:val="20"/>
          <w:szCs w:val="20"/>
          <w:lang w:val="en-US"/>
        </w:rPr>
        <w:t>2</w:t>
      </w:r>
      <w:r w:rsidRPr="00CA4239">
        <w:rPr>
          <w:rFonts w:ascii="Times New Roman" w:eastAsia="Times New Roman" w:hAnsi="Times New Roman" w:cs="Times New Roman"/>
          <w:sz w:val="20"/>
          <w:szCs w:val="20"/>
          <w:lang w:val="en-US"/>
        </w:rPr>
        <w:t>.</w:t>
      </w:r>
      <w:r w:rsidR="002465DE">
        <w:rPr>
          <w:rFonts w:ascii="Times New Roman" w:eastAsia="Times New Roman" w:hAnsi="Times New Roman" w:cs="Times New Roman"/>
          <w:sz w:val="20"/>
          <w:szCs w:val="20"/>
          <w:lang w:val="en-US"/>
        </w:rPr>
        <w:t>03</w:t>
      </w:r>
      <w:r w:rsidRPr="00C74016">
        <w:rPr>
          <w:rFonts w:ascii="Times New Roman" w:eastAsia="Times New Roman" w:hAnsi="Times New Roman" w:cs="Times New Roman"/>
          <w:sz w:val="20"/>
          <w:szCs w:val="20"/>
          <w:lang w:val="en-US"/>
        </w:rPr>
        <w:t xml:space="preserve"> years</w:t>
      </w:r>
      <w:r w:rsidRPr="00D2099E">
        <w:rPr>
          <w:rFonts w:ascii="Times New Roman" w:eastAsia="Times New Roman" w:hAnsi="Times New Roman" w:cs="Times New Roman"/>
          <w:sz w:val="20"/>
          <w:szCs w:val="20"/>
          <w:lang w:val="en-US"/>
        </w:rPr>
        <w:t>.</w:t>
      </w:r>
    </w:p>
    <w:p w14:paraId="59FFF675" w14:textId="04350C26" w:rsidR="00D22503"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179037C3" w14:textId="6C8C6DD4" w:rsidR="0026169D" w:rsidRDefault="0026169D" w:rsidP="00D213AE">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 </w:t>
      </w:r>
      <w:proofErr w:type="gramStart"/>
      <w:r>
        <w:rPr>
          <w:rFonts w:ascii="Times New Roman" w:eastAsia="Times New Roman" w:hAnsi="Times New Roman" w:cs="Times New Roman"/>
          <w:sz w:val="20"/>
          <w:szCs w:val="20"/>
          <w:lang w:val="en-US"/>
        </w:rPr>
        <w:t>at</w:t>
      </w:r>
      <w:proofErr w:type="gramEnd"/>
      <w:r>
        <w:rPr>
          <w:rFonts w:ascii="Times New Roman" w:eastAsia="Times New Roman" w:hAnsi="Times New Roman" w:cs="Times New Roman"/>
          <w:sz w:val="20"/>
          <w:szCs w:val="20"/>
          <w:lang w:val="en-US"/>
        </w:rPr>
        <w:t xml:space="preserve"> December 31, 2021, the Company had </w:t>
      </w:r>
      <w:r w:rsidR="00D213AE">
        <w:rPr>
          <w:rFonts w:ascii="Times New Roman" w:eastAsia="Times New Roman" w:hAnsi="Times New Roman" w:cs="Times New Roman"/>
          <w:sz w:val="20"/>
          <w:szCs w:val="20"/>
          <w:lang w:val="en-US"/>
        </w:rPr>
        <w:t xml:space="preserve">3,776,249 warrants issued in connection with private placements, </w:t>
      </w:r>
      <w:r w:rsidR="00610118">
        <w:rPr>
          <w:rFonts w:ascii="Times New Roman" w:eastAsia="Times New Roman" w:hAnsi="Times New Roman" w:cs="Times New Roman"/>
          <w:sz w:val="20"/>
          <w:szCs w:val="20"/>
          <w:lang w:val="en-US"/>
        </w:rPr>
        <w:t xml:space="preserve">or </w:t>
      </w:r>
      <w:r w:rsidR="00D213AE">
        <w:rPr>
          <w:rFonts w:ascii="Times New Roman" w:eastAsia="Times New Roman" w:hAnsi="Times New Roman" w:cs="Times New Roman"/>
          <w:sz w:val="20"/>
          <w:szCs w:val="20"/>
          <w:lang w:val="en-US"/>
        </w:rPr>
        <w:t xml:space="preserve">debt settlements. The exercise price of such warrants </w:t>
      </w:r>
      <w:r w:rsidR="00B77DFD">
        <w:rPr>
          <w:rFonts w:ascii="Times New Roman" w:eastAsia="Times New Roman" w:hAnsi="Times New Roman" w:cs="Times New Roman"/>
          <w:sz w:val="20"/>
          <w:szCs w:val="20"/>
          <w:lang w:val="en-US"/>
        </w:rPr>
        <w:t>was</w:t>
      </w:r>
      <w:r w:rsidR="00D213AE">
        <w:rPr>
          <w:rFonts w:ascii="Times New Roman" w:eastAsia="Times New Roman" w:hAnsi="Times New Roman" w:cs="Times New Roman"/>
          <w:sz w:val="20"/>
          <w:szCs w:val="20"/>
          <w:lang w:val="en-US"/>
        </w:rPr>
        <w:t xml:space="preserve"> denominated in CAD other than the functional currency prior to January 1, 2022. As such the warrants were classified as derivate liabilities with a fair value of $472,899. As a result of the change in functional currency of </w:t>
      </w:r>
      <w:r w:rsidR="00026FD9">
        <w:rPr>
          <w:rFonts w:ascii="Times New Roman" w:eastAsia="Times New Roman" w:hAnsi="Times New Roman" w:cs="Times New Roman"/>
          <w:sz w:val="20"/>
          <w:szCs w:val="20"/>
          <w:lang w:val="en-US"/>
        </w:rPr>
        <w:t xml:space="preserve">the Company </w:t>
      </w:r>
      <w:r w:rsidR="0012306F">
        <w:rPr>
          <w:rFonts w:ascii="Times New Roman" w:eastAsia="Times New Roman" w:hAnsi="Times New Roman" w:cs="Times New Roman"/>
          <w:sz w:val="20"/>
          <w:szCs w:val="20"/>
          <w:lang w:val="en-US"/>
        </w:rPr>
        <w:t>to CAD on January 1, 2022</w:t>
      </w:r>
      <w:r w:rsidR="00D213AE">
        <w:rPr>
          <w:rFonts w:ascii="Times New Roman" w:eastAsia="Times New Roman" w:hAnsi="Times New Roman" w:cs="Times New Roman"/>
          <w:sz w:val="20"/>
          <w:szCs w:val="20"/>
          <w:lang w:val="en-US"/>
        </w:rPr>
        <w:t xml:space="preserve">, such warrants were reclassified to </w:t>
      </w:r>
      <w:r w:rsidR="00FB7C8C">
        <w:rPr>
          <w:rFonts w:ascii="Times New Roman" w:eastAsia="Times New Roman" w:hAnsi="Times New Roman" w:cs="Times New Roman"/>
          <w:sz w:val="20"/>
          <w:szCs w:val="20"/>
          <w:lang w:val="en-US"/>
        </w:rPr>
        <w:t xml:space="preserve">equity. </w:t>
      </w:r>
    </w:p>
    <w:p w14:paraId="122AEFD4" w14:textId="77777777" w:rsidR="0026169D" w:rsidRDefault="0026169D" w:rsidP="0026169D">
      <w:pPr>
        <w:spacing w:after="0" w:line="240" w:lineRule="auto"/>
        <w:ind w:left="360"/>
        <w:jc w:val="both"/>
        <w:rPr>
          <w:rFonts w:ascii="Times New Roman" w:eastAsia="Times New Roman" w:hAnsi="Times New Roman" w:cs="Times New Roman"/>
          <w:sz w:val="20"/>
          <w:szCs w:val="20"/>
          <w:lang w:val="en-US"/>
        </w:rPr>
      </w:pPr>
    </w:p>
    <w:p w14:paraId="0C5117E2" w14:textId="50F98A78" w:rsidR="00AD2AC5" w:rsidRPr="00D2099E" w:rsidRDefault="0012367B" w:rsidP="00AD2AC5">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Due </w:t>
      </w:r>
      <w:r w:rsidR="00C80582">
        <w:rPr>
          <w:rFonts w:ascii="Times New Roman" w:eastAsia="Times New Roman" w:hAnsi="Times New Roman" w:cs="Times New Roman"/>
          <w:sz w:val="20"/>
          <w:szCs w:val="20"/>
          <w:lang w:val="en-US"/>
        </w:rPr>
        <w:t xml:space="preserve">to </w:t>
      </w:r>
      <w:r>
        <w:rPr>
          <w:rFonts w:ascii="Times New Roman" w:eastAsia="Times New Roman" w:hAnsi="Times New Roman" w:cs="Times New Roman"/>
          <w:sz w:val="20"/>
          <w:szCs w:val="20"/>
          <w:lang w:val="en-US"/>
        </w:rPr>
        <w:t xml:space="preserve">the change in functional currency of </w:t>
      </w:r>
      <w:r w:rsidR="00026FD9">
        <w:rPr>
          <w:rFonts w:ascii="Times New Roman" w:eastAsia="Times New Roman" w:hAnsi="Times New Roman" w:cs="Times New Roman"/>
          <w:sz w:val="20"/>
          <w:szCs w:val="20"/>
          <w:lang w:val="en-US"/>
        </w:rPr>
        <w:t>the Company</w:t>
      </w:r>
      <w:r w:rsidR="00AD2AC5">
        <w:rPr>
          <w:rFonts w:ascii="Times New Roman" w:eastAsia="Times New Roman" w:hAnsi="Times New Roman" w:cs="Times New Roman"/>
          <w:sz w:val="20"/>
          <w:szCs w:val="20"/>
          <w:lang w:val="en-US"/>
        </w:rPr>
        <w:t xml:space="preserve">, </w:t>
      </w:r>
      <w:r w:rsidR="00505B65">
        <w:rPr>
          <w:rFonts w:ascii="Times New Roman" w:eastAsia="Times New Roman" w:hAnsi="Times New Roman" w:cs="Times New Roman"/>
          <w:sz w:val="20"/>
          <w:szCs w:val="20"/>
          <w:lang w:val="en-US"/>
        </w:rPr>
        <w:t>4,068,080</w:t>
      </w:r>
      <w:r>
        <w:rPr>
          <w:rFonts w:ascii="Times New Roman" w:eastAsia="Times New Roman" w:hAnsi="Times New Roman" w:cs="Times New Roman"/>
          <w:sz w:val="20"/>
          <w:szCs w:val="20"/>
          <w:lang w:val="en-US"/>
        </w:rPr>
        <w:t xml:space="preserve"> warrants with a carrying value of $163,162 were reassessed to be derivative </w:t>
      </w:r>
      <w:r w:rsidR="00116E61">
        <w:rPr>
          <w:rFonts w:ascii="Times New Roman" w:eastAsia="Times New Roman" w:hAnsi="Times New Roman" w:cs="Times New Roman"/>
          <w:sz w:val="20"/>
          <w:szCs w:val="20"/>
          <w:lang w:val="en-US"/>
        </w:rPr>
        <w:t xml:space="preserve">liabilities </w:t>
      </w:r>
      <w:r>
        <w:rPr>
          <w:rFonts w:ascii="Times New Roman" w:eastAsia="Times New Roman" w:hAnsi="Times New Roman" w:cs="Times New Roman"/>
          <w:sz w:val="20"/>
          <w:szCs w:val="20"/>
          <w:lang w:val="en-US"/>
        </w:rPr>
        <w:t>as the exercise prices are denominated in USD other than the new functional currency</w:t>
      </w:r>
      <w:r w:rsidR="00AD2AC5">
        <w:rPr>
          <w:rFonts w:ascii="Times New Roman" w:eastAsia="Times New Roman" w:hAnsi="Times New Roman" w:cs="Times New Roman"/>
          <w:sz w:val="20"/>
          <w:szCs w:val="20"/>
          <w:lang w:val="en-US"/>
        </w:rPr>
        <w:t xml:space="preserve">. </w:t>
      </w:r>
      <w:r w:rsidR="00392D0B">
        <w:rPr>
          <w:rFonts w:ascii="Times New Roman" w:eastAsia="Times New Roman" w:hAnsi="Times New Roman" w:cs="Times New Roman"/>
          <w:sz w:val="20"/>
          <w:szCs w:val="20"/>
          <w:lang w:val="en-US"/>
        </w:rPr>
        <w:t xml:space="preserve">Immediately before the reclassification, the fair value of the warrants </w:t>
      </w:r>
      <w:proofErr w:type="gramStart"/>
      <w:r w:rsidR="00392D0B">
        <w:rPr>
          <w:rFonts w:ascii="Times New Roman" w:eastAsia="Times New Roman" w:hAnsi="Times New Roman" w:cs="Times New Roman"/>
          <w:sz w:val="20"/>
          <w:szCs w:val="20"/>
          <w:lang w:val="en-US"/>
        </w:rPr>
        <w:t>were</w:t>
      </w:r>
      <w:proofErr w:type="gramEnd"/>
      <w:r w:rsidR="00392D0B">
        <w:rPr>
          <w:rFonts w:ascii="Times New Roman" w:eastAsia="Times New Roman" w:hAnsi="Times New Roman" w:cs="Times New Roman"/>
          <w:sz w:val="20"/>
          <w:szCs w:val="20"/>
          <w:lang w:val="en-US"/>
        </w:rPr>
        <w:t xml:space="preserve"> remeasured using the Black-Scholes option pricing model, with the following assumptions</w:t>
      </w:r>
      <w:r w:rsidR="0066707D">
        <w:rPr>
          <w:rFonts w:ascii="Times New Roman" w:eastAsia="Times New Roman" w:hAnsi="Times New Roman" w:cs="Times New Roman"/>
          <w:sz w:val="20"/>
          <w:szCs w:val="20"/>
          <w:lang w:val="en-US"/>
        </w:rPr>
        <w:t xml:space="preserve"> (weighted average)</w:t>
      </w:r>
      <w:r w:rsidR="00392D0B">
        <w:rPr>
          <w:rFonts w:ascii="Times New Roman" w:eastAsia="Times New Roman" w:hAnsi="Times New Roman" w:cs="Times New Roman"/>
          <w:sz w:val="20"/>
          <w:szCs w:val="20"/>
          <w:lang w:val="en-US"/>
        </w:rPr>
        <w:t xml:space="preserve">: </w:t>
      </w:r>
      <w:r w:rsidR="00392D0B" w:rsidRPr="00AD2AC5">
        <w:rPr>
          <w:rFonts w:ascii="Times New Roman" w:eastAsia="Times New Roman" w:hAnsi="Times New Roman" w:cs="Times New Roman"/>
          <w:sz w:val="20"/>
          <w:szCs w:val="20"/>
          <w:lang w:val="en-US"/>
        </w:rPr>
        <w:t xml:space="preserve">expected dividend yield - 0%, expected volatility - </w:t>
      </w:r>
      <w:r w:rsidR="009B5DDF">
        <w:rPr>
          <w:rFonts w:ascii="Times New Roman" w:eastAsia="Times New Roman" w:hAnsi="Times New Roman" w:cs="Times New Roman"/>
          <w:sz w:val="20"/>
          <w:szCs w:val="20"/>
          <w:lang w:val="en-US"/>
        </w:rPr>
        <w:t>159</w:t>
      </w:r>
      <w:r w:rsidR="00392D0B" w:rsidRPr="00AD2AC5">
        <w:rPr>
          <w:rFonts w:ascii="Times New Roman" w:eastAsia="Times New Roman" w:hAnsi="Times New Roman" w:cs="Times New Roman"/>
          <w:sz w:val="20"/>
          <w:szCs w:val="20"/>
          <w:lang w:val="en-US"/>
        </w:rPr>
        <w:t xml:space="preserve">%, risk-free interest rate </w:t>
      </w:r>
      <w:r w:rsidR="009B5DDF">
        <w:rPr>
          <w:rFonts w:ascii="Times New Roman" w:eastAsia="Times New Roman" w:hAnsi="Times New Roman" w:cs="Times New Roman"/>
          <w:sz w:val="20"/>
          <w:szCs w:val="20"/>
          <w:lang w:val="en-US"/>
        </w:rPr>
        <w:t>–</w:t>
      </w:r>
      <w:r w:rsidR="00392D0B" w:rsidRPr="00AD2AC5">
        <w:rPr>
          <w:rFonts w:ascii="Times New Roman" w:eastAsia="Times New Roman" w:hAnsi="Times New Roman" w:cs="Times New Roman"/>
          <w:sz w:val="20"/>
          <w:szCs w:val="20"/>
          <w:lang w:val="en-US"/>
        </w:rPr>
        <w:t xml:space="preserve"> </w:t>
      </w:r>
      <w:r w:rsidR="009B5DDF">
        <w:rPr>
          <w:rFonts w:ascii="Times New Roman" w:eastAsia="Times New Roman" w:hAnsi="Times New Roman" w:cs="Times New Roman"/>
          <w:sz w:val="20"/>
          <w:szCs w:val="20"/>
          <w:lang w:val="en-US"/>
        </w:rPr>
        <w:t>0.89</w:t>
      </w:r>
      <w:r w:rsidR="00392D0B" w:rsidRPr="00AD2AC5">
        <w:rPr>
          <w:rFonts w:ascii="Times New Roman" w:eastAsia="Times New Roman" w:hAnsi="Times New Roman" w:cs="Times New Roman"/>
          <w:sz w:val="20"/>
          <w:szCs w:val="20"/>
          <w:lang w:val="en-US"/>
        </w:rPr>
        <w:t xml:space="preserve">% and an expected remaining life </w:t>
      </w:r>
      <w:r w:rsidR="009B5DDF">
        <w:rPr>
          <w:rFonts w:ascii="Times New Roman" w:eastAsia="Times New Roman" w:hAnsi="Times New Roman" w:cs="Times New Roman"/>
          <w:sz w:val="20"/>
          <w:szCs w:val="20"/>
          <w:lang w:val="en-US"/>
        </w:rPr>
        <w:t>–</w:t>
      </w:r>
      <w:r w:rsidR="00392D0B" w:rsidRPr="00AD2AC5">
        <w:rPr>
          <w:rFonts w:ascii="Times New Roman" w:eastAsia="Times New Roman" w:hAnsi="Times New Roman" w:cs="Times New Roman"/>
          <w:sz w:val="20"/>
          <w:szCs w:val="20"/>
          <w:lang w:val="en-US"/>
        </w:rPr>
        <w:t xml:space="preserve"> </w:t>
      </w:r>
      <w:r w:rsidR="009B5DDF">
        <w:rPr>
          <w:rFonts w:ascii="Times New Roman" w:eastAsia="Times New Roman" w:hAnsi="Times New Roman" w:cs="Times New Roman"/>
          <w:sz w:val="20"/>
          <w:szCs w:val="20"/>
          <w:lang w:val="en-US"/>
        </w:rPr>
        <w:t>1.56</w:t>
      </w:r>
      <w:r w:rsidR="00392D0B" w:rsidRPr="00AD2AC5">
        <w:rPr>
          <w:rFonts w:ascii="Times New Roman" w:eastAsia="Times New Roman" w:hAnsi="Times New Roman" w:cs="Times New Roman"/>
          <w:sz w:val="20"/>
          <w:szCs w:val="20"/>
          <w:lang w:val="en-US"/>
        </w:rPr>
        <w:t xml:space="preserve"> years</w:t>
      </w:r>
      <w:r w:rsidR="00392D0B">
        <w:rPr>
          <w:rFonts w:ascii="Times New Roman" w:eastAsia="Times New Roman" w:hAnsi="Times New Roman" w:cs="Times New Roman"/>
          <w:sz w:val="20"/>
          <w:szCs w:val="20"/>
          <w:lang w:val="en-US"/>
        </w:rPr>
        <w:t xml:space="preserve">. </w:t>
      </w:r>
      <w:r w:rsidR="009B5DDF">
        <w:rPr>
          <w:rFonts w:ascii="Times New Roman" w:eastAsia="Times New Roman" w:hAnsi="Times New Roman" w:cs="Times New Roman"/>
          <w:sz w:val="20"/>
          <w:szCs w:val="20"/>
          <w:lang w:val="en-US"/>
        </w:rPr>
        <w:t xml:space="preserve">The Company recognized a loss in fair value change on the derivative liabilities of $288,618 on January 1, </w:t>
      </w:r>
      <w:r w:rsidR="009B5DDF" w:rsidRPr="00FC7262">
        <w:rPr>
          <w:rFonts w:ascii="Times New Roman" w:eastAsia="Times New Roman" w:hAnsi="Times New Roman" w:cs="Times New Roman"/>
          <w:sz w:val="20"/>
          <w:szCs w:val="20"/>
          <w:lang w:val="en-US"/>
        </w:rPr>
        <w:t>2022.</w:t>
      </w:r>
      <w:r w:rsidR="00392D0B" w:rsidRPr="00FC7262">
        <w:rPr>
          <w:rFonts w:ascii="Times New Roman" w:eastAsia="Times New Roman" w:hAnsi="Times New Roman" w:cs="Times New Roman"/>
          <w:sz w:val="20"/>
          <w:szCs w:val="20"/>
          <w:lang w:val="en-US"/>
        </w:rPr>
        <w:t xml:space="preserve"> </w:t>
      </w:r>
      <w:r w:rsidR="009B5DDF" w:rsidRPr="00FC7262">
        <w:rPr>
          <w:rFonts w:ascii="Times New Roman" w:eastAsia="Times New Roman" w:hAnsi="Times New Roman" w:cs="Times New Roman"/>
          <w:sz w:val="20"/>
          <w:szCs w:val="20"/>
          <w:lang w:val="en-US"/>
        </w:rPr>
        <w:t xml:space="preserve">As </w:t>
      </w:r>
      <w:proofErr w:type="gramStart"/>
      <w:r w:rsidR="009B5DDF" w:rsidRPr="00FC7262">
        <w:rPr>
          <w:rFonts w:ascii="Times New Roman" w:eastAsia="Times New Roman" w:hAnsi="Times New Roman" w:cs="Times New Roman"/>
          <w:sz w:val="20"/>
          <w:szCs w:val="20"/>
          <w:lang w:val="en-US"/>
        </w:rPr>
        <w:t>at</w:t>
      </w:r>
      <w:proofErr w:type="gramEnd"/>
      <w:r w:rsidR="009B5DDF" w:rsidRPr="00FC7262">
        <w:rPr>
          <w:rFonts w:ascii="Times New Roman" w:eastAsia="Times New Roman" w:hAnsi="Times New Roman" w:cs="Times New Roman"/>
          <w:sz w:val="20"/>
          <w:szCs w:val="20"/>
          <w:lang w:val="en-US"/>
        </w:rPr>
        <w:t xml:space="preserve"> </w:t>
      </w:r>
      <w:r w:rsidR="00AB29F6" w:rsidRPr="00064A08">
        <w:rPr>
          <w:rFonts w:ascii="Times New Roman" w:eastAsia="Times New Roman" w:hAnsi="Times New Roman" w:cs="Times New Roman"/>
          <w:sz w:val="20"/>
          <w:szCs w:val="20"/>
          <w:lang w:val="en-US"/>
        </w:rPr>
        <w:t>June 30</w:t>
      </w:r>
      <w:r w:rsidR="009B5DDF" w:rsidRPr="00FC7262">
        <w:rPr>
          <w:rFonts w:ascii="Times New Roman" w:eastAsia="Times New Roman" w:hAnsi="Times New Roman" w:cs="Times New Roman"/>
          <w:sz w:val="20"/>
          <w:szCs w:val="20"/>
          <w:lang w:val="en-US"/>
        </w:rPr>
        <w:t>, 2022, the fair value of the warrants were remeasured at $</w:t>
      </w:r>
      <w:r w:rsidR="00695A80" w:rsidRPr="00064A08">
        <w:rPr>
          <w:rFonts w:ascii="Times New Roman" w:eastAsia="Times New Roman" w:hAnsi="Times New Roman" w:cs="Times New Roman"/>
          <w:sz w:val="20"/>
          <w:szCs w:val="20"/>
          <w:lang w:val="en-US"/>
        </w:rPr>
        <w:t>516,903</w:t>
      </w:r>
      <w:r w:rsidR="000C0414" w:rsidRPr="00FC7262">
        <w:rPr>
          <w:rFonts w:ascii="Times New Roman" w:eastAsia="Times New Roman" w:hAnsi="Times New Roman" w:cs="Times New Roman"/>
          <w:sz w:val="20"/>
          <w:szCs w:val="20"/>
          <w:lang w:val="en-US"/>
        </w:rPr>
        <w:t xml:space="preserve"> </w:t>
      </w:r>
      <w:r w:rsidR="009B5DDF" w:rsidRPr="00FC7262">
        <w:rPr>
          <w:rFonts w:ascii="Times New Roman" w:eastAsia="Times New Roman" w:hAnsi="Times New Roman" w:cs="Times New Roman"/>
          <w:sz w:val="20"/>
          <w:szCs w:val="20"/>
          <w:lang w:val="en-US"/>
        </w:rPr>
        <w:t>using Black-Scholes option pricing model, with the following assumptions (weighted average): expected dividend yield - 0%, expected volatility - 1</w:t>
      </w:r>
      <w:r w:rsidR="00695A80" w:rsidRPr="00064A08">
        <w:rPr>
          <w:rFonts w:ascii="Times New Roman" w:eastAsia="Times New Roman" w:hAnsi="Times New Roman" w:cs="Times New Roman"/>
          <w:sz w:val="20"/>
          <w:szCs w:val="20"/>
          <w:lang w:val="en-US"/>
        </w:rPr>
        <w:t>35</w:t>
      </w:r>
      <w:r w:rsidR="009B5DDF" w:rsidRPr="00FC7262">
        <w:rPr>
          <w:rFonts w:ascii="Times New Roman" w:eastAsia="Times New Roman" w:hAnsi="Times New Roman" w:cs="Times New Roman"/>
          <w:sz w:val="20"/>
          <w:szCs w:val="20"/>
          <w:lang w:val="en-US"/>
        </w:rPr>
        <w:t xml:space="preserve">%, risk-free interest rate – </w:t>
      </w:r>
      <w:r w:rsidR="00695A80" w:rsidRPr="00064A08">
        <w:rPr>
          <w:rFonts w:ascii="Times New Roman" w:eastAsia="Times New Roman" w:hAnsi="Times New Roman" w:cs="Times New Roman"/>
          <w:sz w:val="20"/>
          <w:szCs w:val="20"/>
          <w:lang w:val="en-US"/>
        </w:rPr>
        <w:t>3.05</w:t>
      </w:r>
      <w:r w:rsidR="009B5DDF" w:rsidRPr="00FC7262">
        <w:rPr>
          <w:rFonts w:ascii="Times New Roman" w:eastAsia="Times New Roman" w:hAnsi="Times New Roman" w:cs="Times New Roman"/>
          <w:sz w:val="20"/>
          <w:szCs w:val="20"/>
          <w:lang w:val="en-US"/>
        </w:rPr>
        <w:t xml:space="preserve">% and an expected remaining life </w:t>
      </w:r>
      <w:r w:rsidR="00695A80" w:rsidRPr="00064A08">
        <w:rPr>
          <w:rFonts w:ascii="Times New Roman" w:eastAsia="Times New Roman" w:hAnsi="Times New Roman" w:cs="Times New Roman"/>
          <w:sz w:val="20"/>
          <w:szCs w:val="20"/>
          <w:lang w:val="en-US"/>
        </w:rPr>
        <w:t xml:space="preserve">ranging from 0.68 </w:t>
      </w:r>
      <w:r w:rsidR="009B5DDF" w:rsidRPr="00FC7262">
        <w:rPr>
          <w:rFonts w:ascii="Times New Roman" w:eastAsia="Times New Roman" w:hAnsi="Times New Roman" w:cs="Times New Roman"/>
          <w:sz w:val="20"/>
          <w:szCs w:val="20"/>
          <w:lang w:val="en-US"/>
        </w:rPr>
        <w:t>– 1.</w:t>
      </w:r>
      <w:r w:rsidR="00FC7262" w:rsidRPr="00064A08">
        <w:rPr>
          <w:rFonts w:ascii="Times New Roman" w:eastAsia="Times New Roman" w:hAnsi="Times New Roman" w:cs="Times New Roman"/>
          <w:sz w:val="20"/>
          <w:szCs w:val="20"/>
          <w:lang w:val="en-US"/>
        </w:rPr>
        <w:t>25</w:t>
      </w:r>
      <w:r w:rsidR="009B5DDF" w:rsidRPr="00FC7262">
        <w:rPr>
          <w:rFonts w:ascii="Times New Roman" w:eastAsia="Times New Roman" w:hAnsi="Times New Roman" w:cs="Times New Roman"/>
          <w:sz w:val="20"/>
          <w:szCs w:val="20"/>
          <w:lang w:val="en-US"/>
        </w:rPr>
        <w:t xml:space="preserve"> years. </w:t>
      </w:r>
      <w:r w:rsidR="00244D9D" w:rsidRPr="00FC7262">
        <w:rPr>
          <w:rFonts w:ascii="Times New Roman" w:eastAsia="Times New Roman" w:hAnsi="Times New Roman" w:cs="Times New Roman"/>
          <w:sz w:val="20"/>
          <w:szCs w:val="20"/>
          <w:lang w:val="en-US"/>
        </w:rPr>
        <w:t>The Company recognized a loss on fair value change of $</w:t>
      </w:r>
      <w:r w:rsidR="00FC7262" w:rsidRPr="00064A08">
        <w:rPr>
          <w:rFonts w:ascii="Times New Roman" w:eastAsia="Times New Roman" w:hAnsi="Times New Roman" w:cs="Times New Roman"/>
          <w:sz w:val="20"/>
          <w:szCs w:val="20"/>
          <w:lang w:val="en-US"/>
        </w:rPr>
        <w:t>356</w:t>
      </w:r>
      <w:r w:rsidR="00244D9D" w:rsidRPr="00FC7262">
        <w:rPr>
          <w:rFonts w:ascii="Times New Roman" w:eastAsia="Times New Roman" w:hAnsi="Times New Roman" w:cs="Times New Roman"/>
          <w:sz w:val="20"/>
          <w:szCs w:val="20"/>
          <w:lang w:val="en-US"/>
        </w:rPr>
        <w:t>,</w:t>
      </w:r>
      <w:r w:rsidR="00FC7262" w:rsidRPr="00064A08">
        <w:rPr>
          <w:rFonts w:ascii="Times New Roman" w:eastAsia="Times New Roman" w:hAnsi="Times New Roman" w:cs="Times New Roman"/>
          <w:sz w:val="20"/>
          <w:szCs w:val="20"/>
          <w:lang w:val="en-US"/>
        </w:rPr>
        <w:t>200 for the six months ended June 30, 2022</w:t>
      </w:r>
      <w:r w:rsidR="00244D9D" w:rsidRPr="00FC7262">
        <w:rPr>
          <w:rFonts w:ascii="Times New Roman" w:eastAsia="Times New Roman" w:hAnsi="Times New Roman" w:cs="Times New Roman"/>
          <w:sz w:val="20"/>
          <w:szCs w:val="20"/>
          <w:lang w:val="en-US"/>
        </w:rPr>
        <w:t>.</w:t>
      </w:r>
    </w:p>
    <w:p w14:paraId="5AAE2A1C" w14:textId="3C06FE80" w:rsidR="00597DE0" w:rsidRDefault="00597DE0" w:rsidP="00CA4239">
      <w:pPr>
        <w:spacing w:after="0" w:line="240" w:lineRule="auto"/>
        <w:jc w:val="both"/>
        <w:rPr>
          <w:rFonts w:ascii="Times New Roman" w:eastAsia="Times New Roman" w:hAnsi="Times New Roman" w:cs="Times New Roman"/>
          <w:sz w:val="20"/>
          <w:szCs w:val="20"/>
          <w:lang w:val="en-US"/>
        </w:rPr>
      </w:pPr>
    </w:p>
    <w:p w14:paraId="735E37B6" w14:textId="5D881F43" w:rsidR="00FC7262" w:rsidRDefault="00FC7262" w:rsidP="00CA4239">
      <w:pPr>
        <w:spacing w:after="0" w:line="240" w:lineRule="auto"/>
        <w:jc w:val="both"/>
        <w:rPr>
          <w:rFonts w:ascii="Times New Roman" w:eastAsia="Times New Roman" w:hAnsi="Times New Roman" w:cs="Times New Roman"/>
          <w:sz w:val="20"/>
          <w:szCs w:val="20"/>
          <w:lang w:val="en-US"/>
        </w:rPr>
      </w:pPr>
    </w:p>
    <w:p w14:paraId="4A242588" w14:textId="394096D3" w:rsidR="00FC7262" w:rsidRDefault="00FC7262" w:rsidP="00CA4239">
      <w:pPr>
        <w:spacing w:after="0" w:line="240" w:lineRule="auto"/>
        <w:jc w:val="both"/>
        <w:rPr>
          <w:rFonts w:ascii="Times New Roman" w:eastAsia="Times New Roman" w:hAnsi="Times New Roman" w:cs="Times New Roman"/>
          <w:sz w:val="20"/>
          <w:szCs w:val="20"/>
          <w:lang w:val="en-US"/>
        </w:rPr>
      </w:pPr>
    </w:p>
    <w:p w14:paraId="7DE6EC5F" w14:textId="55F0DB4C" w:rsidR="00FC7262" w:rsidRDefault="00FC7262" w:rsidP="00CA4239">
      <w:pPr>
        <w:spacing w:after="0" w:line="240" w:lineRule="auto"/>
        <w:jc w:val="both"/>
        <w:rPr>
          <w:rFonts w:ascii="Times New Roman" w:eastAsia="Times New Roman" w:hAnsi="Times New Roman" w:cs="Times New Roman"/>
          <w:sz w:val="20"/>
          <w:szCs w:val="20"/>
          <w:lang w:val="en-US"/>
        </w:rPr>
      </w:pPr>
    </w:p>
    <w:p w14:paraId="1419C8B5" w14:textId="1C4673A4" w:rsidR="00FC7262" w:rsidRDefault="00FC7262" w:rsidP="00CA4239">
      <w:pPr>
        <w:spacing w:after="0" w:line="240" w:lineRule="auto"/>
        <w:jc w:val="both"/>
        <w:rPr>
          <w:rFonts w:ascii="Times New Roman" w:eastAsia="Times New Roman" w:hAnsi="Times New Roman" w:cs="Times New Roman"/>
          <w:sz w:val="20"/>
          <w:szCs w:val="20"/>
          <w:lang w:val="en-US"/>
        </w:rPr>
      </w:pPr>
    </w:p>
    <w:p w14:paraId="55CF0C41" w14:textId="14559F11" w:rsidR="00FC7262" w:rsidRDefault="00FC7262" w:rsidP="00CA4239">
      <w:pPr>
        <w:spacing w:after="0" w:line="240" w:lineRule="auto"/>
        <w:jc w:val="both"/>
        <w:rPr>
          <w:rFonts w:ascii="Times New Roman" w:eastAsia="Times New Roman" w:hAnsi="Times New Roman" w:cs="Times New Roman"/>
          <w:sz w:val="20"/>
          <w:szCs w:val="20"/>
          <w:lang w:val="en-US"/>
        </w:rPr>
      </w:pPr>
    </w:p>
    <w:p w14:paraId="33C41695" w14:textId="55DD3CA8" w:rsidR="00FC7262" w:rsidRDefault="00FC7262" w:rsidP="00CA4239">
      <w:pPr>
        <w:spacing w:after="0" w:line="240" w:lineRule="auto"/>
        <w:jc w:val="both"/>
        <w:rPr>
          <w:rFonts w:ascii="Times New Roman" w:eastAsia="Times New Roman" w:hAnsi="Times New Roman" w:cs="Times New Roman"/>
          <w:sz w:val="20"/>
          <w:szCs w:val="20"/>
          <w:lang w:val="en-US"/>
        </w:rPr>
      </w:pPr>
    </w:p>
    <w:p w14:paraId="236CCE01" w14:textId="2027AF18" w:rsidR="00FC7262" w:rsidRDefault="00FC7262" w:rsidP="00CA4239">
      <w:pPr>
        <w:spacing w:after="0" w:line="240" w:lineRule="auto"/>
        <w:jc w:val="both"/>
        <w:rPr>
          <w:rFonts w:ascii="Times New Roman" w:eastAsia="Times New Roman" w:hAnsi="Times New Roman" w:cs="Times New Roman"/>
          <w:sz w:val="20"/>
          <w:szCs w:val="20"/>
          <w:lang w:val="en-US"/>
        </w:rPr>
      </w:pPr>
    </w:p>
    <w:p w14:paraId="2D74DE12" w14:textId="76779CF7" w:rsidR="00FC7262" w:rsidRDefault="00FC7262" w:rsidP="00CA4239">
      <w:pPr>
        <w:spacing w:after="0" w:line="240" w:lineRule="auto"/>
        <w:jc w:val="both"/>
        <w:rPr>
          <w:rFonts w:ascii="Times New Roman" w:eastAsia="Times New Roman" w:hAnsi="Times New Roman" w:cs="Times New Roman"/>
          <w:sz w:val="20"/>
          <w:szCs w:val="20"/>
          <w:lang w:val="en-US"/>
        </w:rPr>
      </w:pPr>
    </w:p>
    <w:p w14:paraId="65CD95DB" w14:textId="1AFAE294" w:rsidR="00FC7262" w:rsidRDefault="00FC7262" w:rsidP="00CA4239">
      <w:pPr>
        <w:spacing w:after="0" w:line="240" w:lineRule="auto"/>
        <w:jc w:val="both"/>
        <w:rPr>
          <w:rFonts w:ascii="Times New Roman" w:eastAsia="Times New Roman" w:hAnsi="Times New Roman" w:cs="Times New Roman"/>
          <w:sz w:val="20"/>
          <w:szCs w:val="20"/>
          <w:lang w:val="en-US"/>
        </w:rPr>
      </w:pPr>
    </w:p>
    <w:p w14:paraId="25D31073" w14:textId="2D2AC699" w:rsidR="00FC7262" w:rsidRDefault="00FC7262" w:rsidP="00CA4239">
      <w:pPr>
        <w:spacing w:after="0" w:line="240" w:lineRule="auto"/>
        <w:jc w:val="both"/>
        <w:rPr>
          <w:rFonts w:ascii="Times New Roman" w:eastAsia="Times New Roman" w:hAnsi="Times New Roman" w:cs="Times New Roman"/>
          <w:sz w:val="20"/>
          <w:szCs w:val="20"/>
          <w:lang w:val="en-US"/>
        </w:rPr>
      </w:pPr>
    </w:p>
    <w:p w14:paraId="5D11A59C" w14:textId="4AF82B25" w:rsidR="00FC7262" w:rsidRDefault="00FC7262" w:rsidP="00CA4239">
      <w:pPr>
        <w:spacing w:after="0" w:line="240" w:lineRule="auto"/>
        <w:jc w:val="both"/>
        <w:rPr>
          <w:rFonts w:ascii="Times New Roman" w:eastAsia="Times New Roman" w:hAnsi="Times New Roman" w:cs="Times New Roman"/>
          <w:sz w:val="20"/>
          <w:szCs w:val="20"/>
          <w:lang w:val="en-US"/>
        </w:rPr>
      </w:pPr>
    </w:p>
    <w:p w14:paraId="2D9BFF7D" w14:textId="21E8E182" w:rsidR="00FC7262" w:rsidRDefault="00FC7262" w:rsidP="00CA4239">
      <w:pPr>
        <w:spacing w:after="0" w:line="240" w:lineRule="auto"/>
        <w:jc w:val="both"/>
        <w:rPr>
          <w:rFonts w:ascii="Times New Roman" w:eastAsia="Times New Roman" w:hAnsi="Times New Roman" w:cs="Times New Roman"/>
          <w:sz w:val="20"/>
          <w:szCs w:val="20"/>
          <w:lang w:val="en-US"/>
        </w:rPr>
      </w:pPr>
    </w:p>
    <w:p w14:paraId="7E1FECE6" w14:textId="0E469AA4" w:rsidR="00FC7262" w:rsidRDefault="00FC7262" w:rsidP="00CA4239">
      <w:pPr>
        <w:spacing w:after="0" w:line="240" w:lineRule="auto"/>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FC7262" w:rsidRPr="00CA4239" w14:paraId="48DD7BFE" w14:textId="77777777" w:rsidTr="00B0377E">
        <w:tc>
          <w:tcPr>
            <w:tcW w:w="360" w:type="dxa"/>
            <w:hideMark/>
          </w:tcPr>
          <w:p w14:paraId="50C245A1" w14:textId="77777777" w:rsidR="00FC7262" w:rsidRPr="00CA4239" w:rsidRDefault="00FC7262"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lastRenderedPageBreak/>
              <w:t>1</w:t>
            </w:r>
            <w:r>
              <w:rPr>
                <w:rFonts w:ascii="Times New Roman" w:eastAsia="Times New Roman" w:hAnsi="Times New Roman" w:cs="Times New Roman"/>
                <w:b/>
                <w:bCs/>
                <w:sz w:val="20"/>
                <w:szCs w:val="20"/>
                <w:lang w:val="en-US"/>
              </w:rPr>
              <w:t>5</w:t>
            </w:r>
            <w:r w:rsidRPr="00CA4239">
              <w:rPr>
                <w:rFonts w:ascii="Times New Roman" w:eastAsia="Times New Roman" w:hAnsi="Times New Roman" w:cs="Times New Roman"/>
                <w:b/>
                <w:bCs/>
                <w:sz w:val="20"/>
                <w:szCs w:val="20"/>
                <w:lang w:val="en-US"/>
              </w:rPr>
              <w:t>.</w:t>
            </w:r>
          </w:p>
        </w:tc>
        <w:tc>
          <w:tcPr>
            <w:tcW w:w="0" w:type="auto"/>
            <w:hideMark/>
          </w:tcPr>
          <w:p w14:paraId="47F6245A" w14:textId="77777777" w:rsidR="00FC7262" w:rsidRPr="00CA4239" w:rsidRDefault="00FC7262"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Warrants</w:t>
            </w:r>
            <w:r>
              <w:rPr>
                <w:rFonts w:ascii="Times New Roman" w:eastAsia="Times New Roman" w:hAnsi="Times New Roman" w:cs="Times New Roman"/>
                <w:b/>
                <w:bCs/>
                <w:sz w:val="20"/>
                <w:szCs w:val="20"/>
                <w:lang w:val="en-US"/>
              </w:rPr>
              <w:t xml:space="preserve"> (continued)</w:t>
            </w:r>
          </w:p>
        </w:tc>
      </w:tr>
    </w:tbl>
    <w:p w14:paraId="45A74FE8" w14:textId="77777777" w:rsidR="00FC7262" w:rsidRDefault="00FC7262" w:rsidP="00CA4239">
      <w:pPr>
        <w:spacing w:after="0" w:line="240" w:lineRule="auto"/>
        <w:jc w:val="both"/>
        <w:rPr>
          <w:rFonts w:ascii="Times New Roman" w:eastAsia="Times New Roman" w:hAnsi="Times New Roman" w:cs="Times New Roman"/>
          <w:sz w:val="20"/>
          <w:szCs w:val="20"/>
          <w:lang w:val="en-US"/>
        </w:rPr>
      </w:pPr>
    </w:p>
    <w:p w14:paraId="2E0A7F66" w14:textId="14A099B4"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The following is a continuity of the Company’s derivative warrant liability:</w:t>
      </w:r>
    </w:p>
    <w:p w14:paraId="63C624C6"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437DAD07"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4750" w:type="pct"/>
        <w:tblInd w:w="360" w:type="dxa"/>
        <w:tblCellMar>
          <w:left w:w="0" w:type="dxa"/>
          <w:right w:w="0" w:type="dxa"/>
        </w:tblCellMar>
        <w:tblLook w:val="04A0" w:firstRow="1" w:lastRow="0" w:firstColumn="1" w:lastColumn="0" w:noHBand="0" w:noVBand="1"/>
      </w:tblPr>
      <w:tblGrid>
        <w:gridCol w:w="7098"/>
        <w:gridCol w:w="158"/>
        <w:gridCol w:w="100"/>
        <w:gridCol w:w="1403"/>
        <w:gridCol w:w="133"/>
      </w:tblGrid>
      <w:tr w:rsidR="00D2099E" w:rsidRPr="00D2099E" w14:paraId="4D1F2757" w14:textId="77777777" w:rsidTr="00D33273">
        <w:tc>
          <w:tcPr>
            <w:tcW w:w="0" w:type="auto"/>
            <w:tcBorders>
              <w:top w:val="single" w:sz="12" w:space="0" w:color="auto"/>
              <w:bottom w:val="single" w:sz="12" w:space="0" w:color="auto"/>
            </w:tcBorders>
            <w:shd w:val="clear" w:color="auto" w:fill="auto"/>
            <w:vAlign w:val="bottom"/>
            <w:hideMark/>
          </w:tcPr>
          <w:p w14:paraId="4763AB00"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55A4077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gridSpan w:val="2"/>
            <w:tcBorders>
              <w:top w:val="single" w:sz="12" w:space="0" w:color="auto"/>
              <w:bottom w:val="single" w:sz="12" w:space="0" w:color="auto"/>
            </w:tcBorders>
            <w:shd w:val="clear" w:color="auto" w:fill="auto"/>
            <w:vAlign w:val="bottom"/>
            <w:hideMark/>
          </w:tcPr>
          <w:p w14:paraId="10BEA890" w14:textId="77777777" w:rsidR="00D2099E" w:rsidRPr="00D2099E" w:rsidRDefault="00D2099E" w:rsidP="00D2099E">
            <w:pPr>
              <w:spacing w:after="0" w:line="240" w:lineRule="auto"/>
              <w:jc w:val="center"/>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Total</w:t>
            </w:r>
          </w:p>
        </w:tc>
        <w:tc>
          <w:tcPr>
            <w:tcW w:w="0" w:type="auto"/>
            <w:shd w:val="clear" w:color="auto" w:fill="auto"/>
            <w:tcMar>
              <w:top w:w="0" w:type="dxa"/>
              <w:left w:w="0" w:type="dxa"/>
              <w:bottom w:w="30" w:type="dxa"/>
              <w:right w:w="0" w:type="dxa"/>
            </w:tcMar>
            <w:vAlign w:val="bottom"/>
            <w:hideMark/>
          </w:tcPr>
          <w:p w14:paraId="7D55515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1384EB29" w14:textId="77777777" w:rsidTr="00D33273">
        <w:tc>
          <w:tcPr>
            <w:tcW w:w="3991" w:type="pct"/>
            <w:tcBorders>
              <w:top w:val="single" w:sz="12" w:space="0" w:color="auto"/>
            </w:tcBorders>
            <w:shd w:val="clear" w:color="auto" w:fill="auto"/>
            <w:vAlign w:val="bottom"/>
            <w:hideMark/>
          </w:tcPr>
          <w:p w14:paraId="3F35044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Balance, January </w:t>
            </w:r>
            <w:proofErr w:type="gramStart"/>
            <w:r w:rsidRPr="00D2099E">
              <w:rPr>
                <w:rFonts w:ascii="Times New Roman" w:eastAsia="Times New Roman" w:hAnsi="Times New Roman" w:cs="Times New Roman"/>
                <w:sz w:val="20"/>
                <w:szCs w:val="20"/>
                <w:lang w:val="en-US"/>
              </w:rPr>
              <w:t>1</w:t>
            </w:r>
            <w:proofErr w:type="gramEnd"/>
            <w:r w:rsidRPr="00D2099E">
              <w:rPr>
                <w:rFonts w:ascii="Times New Roman" w:eastAsia="Times New Roman" w:hAnsi="Times New Roman" w:cs="Times New Roman"/>
                <w:sz w:val="20"/>
                <w:szCs w:val="20"/>
                <w:lang w:val="en-US"/>
              </w:rPr>
              <w:t xml:space="preserve"> and December 31, 2020</w:t>
            </w:r>
          </w:p>
        </w:tc>
        <w:tc>
          <w:tcPr>
            <w:tcW w:w="89" w:type="pct"/>
            <w:tcBorders>
              <w:top w:val="single" w:sz="12" w:space="0" w:color="auto"/>
            </w:tcBorders>
            <w:shd w:val="clear" w:color="auto" w:fill="auto"/>
            <w:vAlign w:val="bottom"/>
            <w:hideMark/>
          </w:tcPr>
          <w:p w14:paraId="6FF10EA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56" w:type="pct"/>
            <w:tcBorders>
              <w:top w:val="single" w:sz="12" w:space="0" w:color="auto"/>
            </w:tcBorders>
            <w:shd w:val="clear" w:color="auto" w:fill="auto"/>
            <w:vAlign w:val="bottom"/>
            <w:hideMark/>
          </w:tcPr>
          <w:p w14:paraId="0DCCCD4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789" w:type="pct"/>
            <w:tcBorders>
              <w:top w:val="single" w:sz="12" w:space="0" w:color="auto"/>
            </w:tcBorders>
            <w:shd w:val="clear" w:color="auto" w:fill="auto"/>
            <w:vAlign w:val="bottom"/>
            <w:hideMark/>
          </w:tcPr>
          <w:p w14:paraId="04EAF854" w14:textId="77777777" w:rsidR="00D2099E" w:rsidRPr="00F956B0" w:rsidRDefault="00D2099E" w:rsidP="00D2099E">
            <w:pPr>
              <w:spacing w:after="0" w:line="240" w:lineRule="auto"/>
              <w:jc w:val="right"/>
              <w:rPr>
                <w:rFonts w:ascii="Times New Roman" w:eastAsia="Times New Roman" w:hAnsi="Times New Roman" w:cs="Times New Roman"/>
                <w:sz w:val="20"/>
                <w:szCs w:val="20"/>
                <w:lang w:val="en-US"/>
              </w:rPr>
            </w:pPr>
            <w:r w:rsidRPr="00F956B0">
              <w:rPr>
                <w:rFonts w:ascii="Times New Roman" w:eastAsia="Times New Roman" w:hAnsi="Times New Roman" w:cs="Times New Roman"/>
                <w:sz w:val="20"/>
                <w:szCs w:val="20"/>
                <w:lang w:val="en-US"/>
              </w:rPr>
              <w:t>1,804,572</w:t>
            </w:r>
          </w:p>
        </w:tc>
        <w:tc>
          <w:tcPr>
            <w:tcW w:w="75" w:type="pct"/>
            <w:shd w:val="clear" w:color="auto" w:fill="auto"/>
            <w:vAlign w:val="bottom"/>
            <w:hideMark/>
          </w:tcPr>
          <w:p w14:paraId="45456D75"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7E8942AD" w14:textId="77777777" w:rsidTr="00D33273">
        <w:tc>
          <w:tcPr>
            <w:tcW w:w="0" w:type="auto"/>
            <w:shd w:val="clear" w:color="auto" w:fill="auto"/>
            <w:vAlign w:val="bottom"/>
            <w:hideMark/>
          </w:tcPr>
          <w:p w14:paraId="6D3E4C9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Issued during the period</w:t>
            </w:r>
          </w:p>
        </w:tc>
        <w:tc>
          <w:tcPr>
            <w:tcW w:w="0" w:type="auto"/>
            <w:shd w:val="clear" w:color="auto" w:fill="auto"/>
            <w:vAlign w:val="bottom"/>
            <w:hideMark/>
          </w:tcPr>
          <w:p w14:paraId="0A0C8497"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1D47389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505311B5" w14:textId="77777777" w:rsidR="00D2099E" w:rsidRPr="00722478" w:rsidRDefault="00D2099E" w:rsidP="00D2099E">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621,500</w:t>
            </w:r>
          </w:p>
        </w:tc>
        <w:tc>
          <w:tcPr>
            <w:tcW w:w="0" w:type="auto"/>
            <w:shd w:val="clear" w:color="auto" w:fill="auto"/>
            <w:vAlign w:val="bottom"/>
            <w:hideMark/>
          </w:tcPr>
          <w:p w14:paraId="1DDB3B9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D2099E" w:rsidRPr="00D2099E" w14:paraId="34E589EB" w14:textId="77777777" w:rsidTr="00D33273">
        <w:tc>
          <w:tcPr>
            <w:tcW w:w="0" w:type="auto"/>
            <w:shd w:val="clear" w:color="auto" w:fill="auto"/>
            <w:vAlign w:val="bottom"/>
            <w:hideMark/>
          </w:tcPr>
          <w:p w14:paraId="72CFE39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Extinguished during the period</w:t>
            </w:r>
          </w:p>
        </w:tc>
        <w:tc>
          <w:tcPr>
            <w:tcW w:w="0" w:type="auto"/>
            <w:shd w:val="clear" w:color="auto" w:fill="auto"/>
            <w:vAlign w:val="bottom"/>
            <w:hideMark/>
          </w:tcPr>
          <w:p w14:paraId="2C5B756C"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4BB4680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6308C749" w14:textId="77777777" w:rsidR="00D2099E" w:rsidRPr="00722478" w:rsidRDefault="00D2099E" w:rsidP="00D2099E">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(479,535</w:t>
            </w:r>
          </w:p>
        </w:tc>
        <w:tc>
          <w:tcPr>
            <w:tcW w:w="0" w:type="auto"/>
            <w:shd w:val="clear" w:color="auto" w:fill="auto"/>
            <w:vAlign w:val="bottom"/>
            <w:hideMark/>
          </w:tcPr>
          <w:p w14:paraId="62D2326E"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r>
      <w:tr w:rsidR="00D2099E" w:rsidRPr="00D2099E" w14:paraId="7785681D" w14:textId="77777777" w:rsidTr="00D33273">
        <w:tc>
          <w:tcPr>
            <w:tcW w:w="0" w:type="auto"/>
            <w:shd w:val="clear" w:color="auto" w:fill="auto"/>
            <w:tcMar>
              <w:top w:w="0" w:type="dxa"/>
              <w:left w:w="0" w:type="dxa"/>
              <w:bottom w:w="30" w:type="dxa"/>
              <w:right w:w="0" w:type="dxa"/>
            </w:tcMar>
            <w:vAlign w:val="bottom"/>
            <w:hideMark/>
          </w:tcPr>
          <w:p w14:paraId="64E8BBAF"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Change in fair value of derivative</w:t>
            </w:r>
          </w:p>
        </w:tc>
        <w:tc>
          <w:tcPr>
            <w:tcW w:w="0" w:type="auto"/>
            <w:shd w:val="clear" w:color="auto" w:fill="auto"/>
            <w:tcMar>
              <w:top w:w="0" w:type="dxa"/>
              <w:left w:w="0" w:type="dxa"/>
              <w:bottom w:w="30" w:type="dxa"/>
              <w:right w:w="0" w:type="dxa"/>
            </w:tcMar>
            <w:vAlign w:val="bottom"/>
            <w:hideMark/>
          </w:tcPr>
          <w:p w14:paraId="4F751512"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59B62DFA"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tcBorders>
              <w:bottom w:val="single" w:sz="12" w:space="0" w:color="000000"/>
            </w:tcBorders>
            <w:shd w:val="clear" w:color="auto" w:fill="auto"/>
            <w:vAlign w:val="bottom"/>
            <w:hideMark/>
          </w:tcPr>
          <w:p w14:paraId="3D0EB2E0" w14:textId="7BD9A03A" w:rsidR="00D2099E" w:rsidRPr="00722478" w:rsidRDefault="00D2099E" w:rsidP="00D2099E">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w:t>
            </w:r>
            <w:r w:rsidR="00050C08" w:rsidRPr="00722478">
              <w:rPr>
                <w:rFonts w:ascii="Times New Roman" w:eastAsia="Times New Roman" w:hAnsi="Times New Roman" w:cs="Times New Roman"/>
                <w:sz w:val="20"/>
                <w:szCs w:val="20"/>
                <w:lang w:val="en-US"/>
              </w:rPr>
              <w:t>1,473</w:t>
            </w:r>
            <w:r w:rsidRPr="00722478">
              <w:rPr>
                <w:rFonts w:ascii="Times New Roman" w:eastAsia="Times New Roman" w:hAnsi="Times New Roman" w:cs="Times New Roman"/>
                <w:sz w:val="20"/>
                <w:szCs w:val="20"/>
                <w:lang w:val="en-US"/>
              </w:rPr>
              <w:t>,</w:t>
            </w:r>
            <w:r w:rsidR="00050C08" w:rsidRPr="00722478">
              <w:rPr>
                <w:rFonts w:ascii="Times New Roman" w:eastAsia="Times New Roman" w:hAnsi="Times New Roman" w:cs="Times New Roman"/>
                <w:sz w:val="20"/>
                <w:szCs w:val="20"/>
                <w:lang w:val="en-US"/>
              </w:rPr>
              <w:t>6</w:t>
            </w:r>
            <w:r w:rsidR="00F956B0" w:rsidRPr="00722478">
              <w:rPr>
                <w:rFonts w:ascii="Times New Roman" w:eastAsia="Times New Roman" w:hAnsi="Times New Roman" w:cs="Times New Roman"/>
                <w:sz w:val="20"/>
                <w:szCs w:val="20"/>
                <w:lang w:val="en-US"/>
              </w:rPr>
              <w:t>38</w:t>
            </w:r>
          </w:p>
        </w:tc>
        <w:tc>
          <w:tcPr>
            <w:tcW w:w="0" w:type="auto"/>
            <w:shd w:val="clear" w:color="auto" w:fill="auto"/>
            <w:tcMar>
              <w:top w:w="0" w:type="dxa"/>
              <w:left w:w="0" w:type="dxa"/>
              <w:bottom w:w="30" w:type="dxa"/>
              <w:right w:w="0" w:type="dxa"/>
            </w:tcMar>
            <w:vAlign w:val="bottom"/>
            <w:hideMark/>
          </w:tcPr>
          <w:p w14:paraId="77F11A28"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r>
      <w:tr w:rsidR="00D2099E" w:rsidRPr="00D2099E" w14:paraId="3DFB2425" w14:textId="77777777" w:rsidTr="00D33273">
        <w:tc>
          <w:tcPr>
            <w:tcW w:w="0" w:type="auto"/>
            <w:shd w:val="clear" w:color="auto" w:fill="auto"/>
            <w:tcMar>
              <w:top w:w="0" w:type="dxa"/>
              <w:left w:w="0" w:type="dxa"/>
              <w:bottom w:w="30" w:type="dxa"/>
              <w:right w:w="0" w:type="dxa"/>
            </w:tcMar>
            <w:vAlign w:val="bottom"/>
            <w:hideMark/>
          </w:tcPr>
          <w:p w14:paraId="53F81CD7"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Balance, December 31, 2021</w:t>
            </w:r>
          </w:p>
        </w:tc>
        <w:tc>
          <w:tcPr>
            <w:tcW w:w="0" w:type="auto"/>
            <w:shd w:val="clear" w:color="auto" w:fill="auto"/>
            <w:tcMar>
              <w:top w:w="0" w:type="dxa"/>
              <w:left w:w="0" w:type="dxa"/>
              <w:bottom w:w="30" w:type="dxa"/>
              <w:right w:w="0" w:type="dxa"/>
            </w:tcMar>
            <w:vAlign w:val="bottom"/>
            <w:hideMark/>
          </w:tcPr>
          <w:p w14:paraId="70774B2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c>
          <w:tcPr>
            <w:tcW w:w="0" w:type="auto"/>
            <w:shd w:val="clear" w:color="auto" w:fill="auto"/>
            <w:vAlign w:val="bottom"/>
            <w:hideMark/>
          </w:tcPr>
          <w:p w14:paraId="2B8A27D3"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w:t>
            </w:r>
          </w:p>
        </w:tc>
        <w:tc>
          <w:tcPr>
            <w:tcW w:w="0" w:type="auto"/>
            <w:shd w:val="clear" w:color="auto" w:fill="auto"/>
            <w:vAlign w:val="bottom"/>
            <w:hideMark/>
          </w:tcPr>
          <w:p w14:paraId="6E26A6C9" w14:textId="66E4DDDC" w:rsidR="00D2099E" w:rsidRPr="00722478" w:rsidRDefault="00F956B0" w:rsidP="00D2099E">
            <w:pPr>
              <w:spacing w:after="0" w:line="240" w:lineRule="auto"/>
              <w:jc w:val="right"/>
              <w:rPr>
                <w:rFonts w:ascii="Times New Roman" w:eastAsia="Times New Roman" w:hAnsi="Times New Roman" w:cs="Times New Roman"/>
                <w:sz w:val="20"/>
                <w:szCs w:val="20"/>
                <w:lang w:val="en-US"/>
              </w:rPr>
            </w:pPr>
            <w:r w:rsidRPr="00722478">
              <w:rPr>
                <w:rFonts w:ascii="Times New Roman" w:eastAsia="Times New Roman" w:hAnsi="Times New Roman" w:cs="Times New Roman"/>
                <w:sz w:val="20"/>
                <w:szCs w:val="20"/>
                <w:lang w:val="en-US"/>
              </w:rPr>
              <w:t>472,899</w:t>
            </w:r>
          </w:p>
        </w:tc>
        <w:tc>
          <w:tcPr>
            <w:tcW w:w="0" w:type="auto"/>
            <w:shd w:val="clear" w:color="auto" w:fill="auto"/>
            <w:tcMar>
              <w:top w:w="0" w:type="dxa"/>
              <w:left w:w="0" w:type="dxa"/>
              <w:bottom w:w="30" w:type="dxa"/>
              <w:right w:w="0" w:type="dxa"/>
            </w:tcMar>
            <w:vAlign w:val="bottom"/>
            <w:hideMark/>
          </w:tcPr>
          <w:p w14:paraId="5BD964C1"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r w:rsidR="006405DF" w:rsidRPr="00FC7262" w14:paraId="3165461F" w14:textId="77777777" w:rsidTr="00D33273">
        <w:tc>
          <w:tcPr>
            <w:tcW w:w="0" w:type="auto"/>
            <w:shd w:val="clear" w:color="auto" w:fill="auto"/>
            <w:vAlign w:val="bottom"/>
            <w:hideMark/>
          </w:tcPr>
          <w:p w14:paraId="682F1EBA" w14:textId="50B95430" w:rsidR="006405DF" w:rsidRPr="00FC7262" w:rsidRDefault="00425494"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Effect of change in functional currency</w:t>
            </w:r>
          </w:p>
        </w:tc>
        <w:tc>
          <w:tcPr>
            <w:tcW w:w="0" w:type="auto"/>
            <w:shd w:val="clear" w:color="auto" w:fill="auto"/>
            <w:vAlign w:val="bottom"/>
            <w:hideMark/>
          </w:tcPr>
          <w:p w14:paraId="72BABF2D" w14:textId="77777777" w:rsidR="006405DF" w:rsidRPr="00FC7262" w:rsidRDefault="006405D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 </w:t>
            </w:r>
          </w:p>
        </w:tc>
        <w:tc>
          <w:tcPr>
            <w:tcW w:w="0" w:type="auto"/>
            <w:shd w:val="clear" w:color="auto" w:fill="auto"/>
            <w:vAlign w:val="bottom"/>
            <w:hideMark/>
          </w:tcPr>
          <w:p w14:paraId="014519FD" w14:textId="77777777" w:rsidR="006405DF" w:rsidRPr="00FC7262" w:rsidRDefault="006405D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 </w:t>
            </w:r>
          </w:p>
        </w:tc>
        <w:tc>
          <w:tcPr>
            <w:tcW w:w="0" w:type="auto"/>
            <w:shd w:val="clear" w:color="auto" w:fill="auto"/>
            <w:vAlign w:val="bottom"/>
          </w:tcPr>
          <w:p w14:paraId="53029D1B" w14:textId="2A51BBA9" w:rsidR="006405DF" w:rsidRPr="00FC7262" w:rsidRDefault="00425494" w:rsidP="0066308C">
            <w:pPr>
              <w:spacing w:after="0" w:line="240" w:lineRule="auto"/>
              <w:jc w:val="right"/>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w:t>
            </w:r>
            <w:r w:rsidR="00DD595C" w:rsidRPr="00FC7262">
              <w:rPr>
                <w:rFonts w:ascii="Times New Roman" w:eastAsia="Times New Roman" w:hAnsi="Times New Roman" w:cs="Times New Roman"/>
                <w:sz w:val="20"/>
                <w:szCs w:val="20"/>
                <w:lang w:val="en-US"/>
              </w:rPr>
              <w:t>309,737</w:t>
            </w:r>
          </w:p>
        </w:tc>
        <w:tc>
          <w:tcPr>
            <w:tcW w:w="0" w:type="auto"/>
            <w:shd w:val="clear" w:color="auto" w:fill="auto"/>
            <w:vAlign w:val="bottom"/>
            <w:hideMark/>
          </w:tcPr>
          <w:p w14:paraId="2651F65E" w14:textId="766B5638" w:rsidR="006405DF" w:rsidRPr="00FC7262" w:rsidRDefault="00425494"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w:t>
            </w:r>
            <w:r w:rsidR="006405DF" w:rsidRPr="00FC7262">
              <w:rPr>
                <w:rFonts w:ascii="Times New Roman" w:eastAsia="Times New Roman" w:hAnsi="Times New Roman" w:cs="Times New Roman"/>
                <w:sz w:val="20"/>
                <w:szCs w:val="20"/>
                <w:lang w:val="en-US"/>
              </w:rPr>
              <w:t> </w:t>
            </w:r>
          </w:p>
        </w:tc>
      </w:tr>
      <w:tr w:rsidR="006405DF" w:rsidRPr="00FC7262" w14:paraId="0E4E25D1" w14:textId="77777777" w:rsidTr="00D33273">
        <w:tc>
          <w:tcPr>
            <w:tcW w:w="0" w:type="auto"/>
            <w:shd w:val="clear" w:color="auto" w:fill="auto"/>
            <w:tcMar>
              <w:top w:w="0" w:type="dxa"/>
              <w:left w:w="0" w:type="dxa"/>
              <w:bottom w:w="30" w:type="dxa"/>
              <w:right w:w="0" w:type="dxa"/>
            </w:tcMar>
            <w:vAlign w:val="bottom"/>
            <w:hideMark/>
          </w:tcPr>
          <w:p w14:paraId="6465991A" w14:textId="77777777" w:rsidR="006405DF" w:rsidRPr="00FC7262" w:rsidRDefault="006405D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Change in fair value of derivative</w:t>
            </w:r>
          </w:p>
        </w:tc>
        <w:tc>
          <w:tcPr>
            <w:tcW w:w="0" w:type="auto"/>
            <w:shd w:val="clear" w:color="auto" w:fill="auto"/>
            <w:tcMar>
              <w:top w:w="0" w:type="dxa"/>
              <w:left w:w="0" w:type="dxa"/>
              <w:bottom w:w="30" w:type="dxa"/>
              <w:right w:w="0" w:type="dxa"/>
            </w:tcMar>
            <w:vAlign w:val="bottom"/>
            <w:hideMark/>
          </w:tcPr>
          <w:p w14:paraId="28AF71A8" w14:textId="77777777" w:rsidR="006405DF" w:rsidRPr="00FC7262" w:rsidRDefault="006405D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 </w:t>
            </w:r>
          </w:p>
        </w:tc>
        <w:tc>
          <w:tcPr>
            <w:tcW w:w="0" w:type="auto"/>
            <w:shd w:val="clear" w:color="auto" w:fill="auto"/>
            <w:vAlign w:val="bottom"/>
            <w:hideMark/>
          </w:tcPr>
          <w:p w14:paraId="6DA8137E" w14:textId="77777777" w:rsidR="006405DF" w:rsidRPr="00FC7262" w:rsidRDefault="006405D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 </w:t>
            </w:r>
          </w:p>
        </w:tc>
        <w:tc>
          <w:tcPr>
            <w:tcW w:w="0" w:type="auto"/>
            <w:shd w:val="clear" w:color="auto" w:fill="auto"/>
            <w:vAlign w:val="bottom"/>
          </w:tcPr>
          <w:p w14:paraId="6400C454" w14:textId="169826DF" w:rsidR="006405DF" w:rsidRPr="00FC7262" w:rsidRDefault="00F17381" w:rsidP="0066308C">
            <w:pPr>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361,170</w:t>
            </w:r>
          </w:p>
        </w:tc>
        <w:tc>
          <w:tcPr>
            <w:tcW w:w="0" w:type="auto"/>
            <w:shd w:val="clear" w:color="auto" w:fill="auto"/>
            <w:tcMar>
              <w:top w:w="0" w:type="dxa"/>
              <w:left w:w="0" w:type="dxa"/>
              <w:bottom w:w="30" w:type="dxa"/>
              <w:right w:w="0" w:type="dxa"/>
            </w:tcMar>
            <w:vAlign w:val="bottom"/>
            <w:hideMark/>
          </w:tcPr>
          <w:p w14:paraId="0C78B897" w14:textId="70DF9BDD" w:rsidR="006405DF" w:rsidRPr="00FC7262" w:rsidRDefault="006405DF" w:rsidP="0066308C">
            <w:pPr>
              <w:spacing w:after="0" w:line="240" w:lineRule="auto"/>
              <w:jc w:val="both"/>
              <w:rPr>
                <w:rFonts w:ascii="Times New Roman" w:eastAsia="Times New Roman" w:hAnsi="Times New Roman" w:cs="Times New Roman"/>
                <w:sz w:val="20"/>
                <w:szCs w:val="20"/>
                <w:lang w:val="en-US"/>
              </w:rPr>
            </w:pPr>
          </w:p>
        </w:tc>
      </w:tr>
      <w:tr w:rsidR="007513CF" w:rsidRPr="00FC7262" w14:paraId="42CC8CD5" w14:textId="77777777" w:rsidTr="00D33273">
        <w:tc>
          <w:tcPr>
            <w:tcW w:w="0" w:type="auto"/>
            <w:shd w:val="clear" w:color="auto" w:fill="auto"/>
            <w:tcMar>
              <w:top w:w="0" w:type="dxa"/>
              <w:left w:w="0" w:type="dxa"/>
              <w:bottom w:w="30" w:type="dxa"/>
              <w:right w:w="0" w:type="dxa"/>
            </w:tcMar>
            <w:vAlign w:val="bottom"/>
          </w:tcPr>
          <w:p w14:paraId="1FC1FB17" w14:textId="17C2C554" w:rsidR="007513CF" w:rsidRPr="00FC7262" w:rsidRDefault="007513C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 xml:space="preserve">Foreign </w:t>
            </w:r>
            <w:r w:rsidR="00DB0E99">
              <w:rPr>
                <w:rFonts w:ascii="Times New Roman" w:eastAsia="Times New Roman" w:hAnsi="Times New Roman" w:cs="Times New Roman"/>
                <w:sz w:val="20"/>
                <w:szCs w:val="20"/>
                <w:lang w:val="en-US"/>
              </w:rPr>
              <w:t>currency translation</w:t>
            </w:r>
            <w:r w:rsidRPr="00FC7262">
              <w:rPr>
                <w:rFonts w:ascii="Times New Roman" w:eastAsia="Times New Roman" w:hAnsi="Times New Roman" w:cs="Times New Roman"/>
                <w:sz w:val="20"/>
                <w:szCs w:val="20"/>
                <w:lang w:val="en-US"/>
              </w:rPr>
              <w:t xml:space="preserve"> </w:t>
            </w:r>
          </w:p>
        </w:tc>
        <w:tc>
          <w:tcPr>
            <w:tcW w:w="0" w:type="auto"/>
            <w:shd w:val="clear" w:color="auto" w:fill="auto"/>
            <w:tcMar>
              <w:top w:w="0" w:type="dxa"/>
              <w:left w:w="0" w:type="dxa"/>
              <w:bottom w:w="30" w:type="dxa"/>
              <w:right w:w="0" w:type="dxa"/>
            </w:tcMar>
            <w:vAlign w:val="bottom"/>
          </w:tcPr>
          <w:p w14:paraId="6FCA520E" w14:textId="77777777" w:rsidR="007513CF" w:rsidRPr="00FC7262" w:rsidRDefault="007513CF" w:rsidP="0066308C">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000000"/>
            </w:tcBorders>
            <w:shd w:val="clear" w:color="auto" w:fill="auto"/>
            <w:vAlign w:val="bottom"/>
          </w:tcPr>
          <w:p w14:paraId="3FBAE5D6" w14:textId="77777777" w:rsidR="007513CF" w:rsidRPr="00FC7262" w:rsidRDefault="007513CF" w:rsidP="0066308C">
            <w:pPr>
              <w:spacing w:after="0" w:line="240" w:lineRule="auto"/>
              <w:jc w:val="both"/>
              <w:rPr>
                <w:rFonts w:ascii="Times New Roman" w:eastAsia="Times New Roman" w:hAnsi="Times New Roman" w:cs="Times New Roman"/>
                <w:sz w:val="20"/>
                <w:szCs w:val="20"/>
                <w:lang w:val="en-US"/>
              </w:rPr>
            </w:pPr>
          </w:p>
        </w:tc>
        <w:tc>
          <w:tcPr>
            <w:tcW w:w="0" w:type="auto"/>
            <w:tcBorders>
              <w:bottom w:val="single" w:sz="12" w:space="0" w:color="000000"/>
            </w:tcBorders>
            <w:shd w:val="clear" w:color="auto" w:fill="auto"/>
            <w:vAlign w:val="bottom"/>
          </w:tcPr>
          <w:p w14:paraId="00101B3D" w14:textId="661801FD" w:rsidR="007513CF" w:rsidRPr="00FC7262" w:rsidRDefault="00FC7262" w:rsidP="0066308C">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w:t>
            </w:r>
            <w:r w:rsidR="004C2420">
              <w:rPr>
                <w:rFonts w:ascii="Times New Roman" w:eastAsia="Times New Roman" w:hAnsi="Times New Roman" w:cs="Times New Roman"/>
                <w:sz w:val="20"/>
                <w:szCs w:val="20"/>
                <w:lang w:val="en-US"/>
              </w:rPr>
              <w:t>7</w:t>
            </w:r>
            <w:r w:rsidRPr="00064A08">
              <w:rPr>
                <w:rFonts w:ascii="Times New Roman" w:eastAsia="Times New Roman" w:hAnsi="Times New Roman" w:cs="Times New Roman"/>
                <w:sz w:val="20"/>
                <w:szCs w:val="20"/>
                <w:lang w:val="en-US"/>
              </w:rPr>
              <w:t>,4</w:t>
            </w:r>
            <w:r w:rsidR="004C2420">
              <w:rPr>
                <w:rFonts w:ascii="Times New Roman" w:eastAsia="Times New Roman" w:hAnsi="Times New Roman" w:cs="Times New Roman"/>
                <w:sz w:val="20"/>
                <w:szCs w:val="20"/>
                <w:lang w:val="en-US"/>
              </w:rPr>
              <w:t>2</w:t>
            </w:r>
            <w:r w:rsidRPr="00064A08">
              <w:rPr>
                <w:rFonts w:ascii="Times New Roman" w:eastAsia="Times New Roman" w:hAnsi="Times New Roman" w:cs="Times New Roman"/>
                <w:sz w:val="20"/>
                <w:szCs w:val="20"/>
                <w:lang w:val="en-US"/>
              </w:rPr>
              <w:t>9</w:t>
            </w:r>
          </w:p>
        </w:tc>
        <w:tc>
          <w:tcPr>
            <w:tcW w:w="0" w:type="auto"/>
            <w:shd w:val="clear" w:color="auto" w:fill="auto"/>
            <w:tcMar>
              <w:top w:w="0" w:type="dxa"/>
              <w:left w:w="0" w:type="dxa"/>
              <w:bottom w:w="30" w:type="dxa"/>
              <w:right w:w="0" w:type="dxa"/>
            </w:tcMar>
            <w:vAlign w:val="bottom"/>
          </w:tcPr>
          <w:p w14:paraId="04F19422" w14:textId="3B694539" w:rsidR="007513CF" w:rsidRPr="00FC7262" w:rsidRDefault="00FC7262"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w:t>
            </w:r>
          </w:p>
        </w:tc>
      </w:tr>
      <w:tr w:rsidR="006405DF" w:rsidRPr="00D2099E" w14:paraId="05961F1D" w14:textId="77777777" w:rsidTr="00D33273">
        <w:tc>
          <w:tcPr>
            <w:tcW w:w="0" w:type="auto"/>
            <w:tcBorders>
              <w:bottom w:val="single" w:sz="12" w:space="0" w:color="auto"/>
            </w:tcBorders>
            <w:shd w:val="clear" w:color="auto" w:fill="auto"/>
            <w:tcMar>
              <w:top w:w="0" w:type="dxa"/>
              <w:left w:w="0" w:type="dxa"/>
              <w:bottom w:w="30" w:type="dxa"/>
              <w:right w:w="0" w:type="dxa"/>
            </w:tcMar>
            <w:vAlign w:val="bottom"/>
            <w:hideMark/>
          </w:tcPr>
          <w:p w14:paraId="670D75CD" w14:textId="421143F7" w:rsidR="006405DF" w:rsidRPr="00FC7262" w:rsidRDefault="006405D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Balance</w:t>
            </w:r>
            <w:r w:rsidR="00A24ACC" w:rsidRPr="00FC7262">
              <w:rPr>
                <w:rFonts w:ascii="Times New Roman" w:eastAsia="Times New Roman" w:hAnsi="Times New Roman" w:cs="Times New Roman"/>
                <w:sz w:val="20"/>
                <w:szCs w:val="20"/>
                <w:lang w:val="en-US"/>
              </w:rPr>
              <w:t>, June 30</w:t>
            </w:r>
            <w:r w:rsidRPr="00FC7262">
              <w:rPr>
                <w:rFonts w:ascii="Times New Roman" w:eastAsia="Times New Roman" w:hAnsi="Times New Roman" w:cs="Times New Roman"/>
                <w:sz w:val="20"/>
                <w:szCs w:val="20"/>
                <w:lang w:val="en-US"/>
              </w:rPr>
              <w:t>, 2022</w:t>
            </w:r>
          </w:p>
        </w:tc>
        <w:tc>
          <w:tcPr>
            <w:tcW w:w="0" w:type="auto"/>
            <w:tcBorders>
              <w:bottom w:val="single" w:sz="12" w:space="0" w:color="auto"/>
            </w:tcBorders>
            <w:shd w:val="clear" w:color="auto" w:fill="auto"/>
            <w:tcMar>
              <w:top w:w="0" w:type="dxa"/>
              <w:left w:w="0" w:type="dxa"/>
              <w:bottom w:w="30" w:type="dxa"/>
              <w:right w:w="0" w:type="dxa"/>
            </w:tcMar>
            <w:vAlign w:val="bottom"/>
            <w:hideMark/>
          </w:tcPr>
          <w:p w14:paraId="0A6D2021" w14:textId="77777777" w:rsidR="006405DF" w:rsidRPr="00FC7262" w:rsidRDefault="006405D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 </w:t>
            </w:r>
          </w:p>
        </w:tc>
        <w:tc>
          <w:tcPr>
            <w:tcW w:w="0" w:type="auto"/>
            <w:tcBorders>
              <w:bottom w:val="single" w:sz="12" w:space="0" w:color="auto"/>
            </w:tcBorders>
            <w:shd w:val="clear" w:color="auto" w:fill="auto"/>
            <w:vAlign w:val="bottom"/>
            <w:hideMark/>
          </w:tcPr>
          <w:p w14:paraId="17763F9F" w14:textId="77777777" w:rsidR="006405DF" w:rsidRPr="00FC7262" w:rsidRDefault="006405DF" w:rsidP="0066308C">
            <w:pPr>
              <w:spacing w:after="0" w:line="240" w:lineRule="auto"/>
              <w:jc w:val="both"/>
              <w:rPr>
                <w:rFonts w:ascii="Times New Roman" w:eastAsia="Times New Roman" w:hAnsi="Times New Roman" w:cs="Times New Roman"/>
                <w:sz w:val="20"/>
                <w:szCs w:val="20"/>
                <w:lang w:val="en-US"/>
              </w:rPr>
            </w:pPr>
            <w:r w:rsidRPr="00FC7262">
              <w:rPr>
                <w:rFonts w:ascii="Times New Roman" w:eastAsia="Times New Roman" w:hAnsi="Times New Roman" w:cs="Times New Roman"/>
                <w:sz w:val="20"/>
                <w:szCs w:val="20"/>
                <w:lang w:val="en-US"/>
              </w:rPr>
              <w:t>$</w:t>
            </w:r>
          </w:p>
        </w:tc>
        <w:tc>
          <w:tcPr>
            <w:tcW w:w="0" w:type="auto"/>
            <w:tcBorders>
              <w:bottom w:val="single" w:sz="12" w:space="0" w:color="auto"/>
            </w:tcBorders>
            <w:shd w:val="clear" w:color="auto" w:fill="auto"/>
            <w:vAlign w:val="bottom"/>
          </w:tcPr>
          <w:p w14:paraId="2E7381FE" w14:textId="2B693AA4" w:rsidR="006405DF" w:rsidRPr="00FC7262" w:rsidRDefault="00FC7262" w:rsidP="0066308C">
            <w:pPr>
              <w:spacing w:after="0" w:line="240" w:lineRule="auto"/>
              <w:jc w:val="right"/>
              <w:rPr>
                <w:rFonts w:ascii="Times New Roman" w:eastAsia="Times New Roman" w:hAnsi="Times New Roman" w:cs="Times New Roman"/>
                <w:sz w:val="20"/>
                <w:szCs w:val="20"/>
                <w:lang w:val="en-US"/>
              </w:rPr>
            </w:pPr>
            <w:r w:rsidRPr="00064A08">
              <w:rPr>
                <w:rFonts w:ascii="Times New Roman" w:eastAsia="Times New Roman" w:hAnsi="Times New Roman" w:cs="Times New Roman"/>
                <w:sz w:val="20"/>
                <w:szCs w:val="20"/>
                <w:lang w:val="en-US"/>
              </w:rPr>
              <w:t>516,903</w:t>
            </w:r>
          </w:p>
        </w:tc>
        <w:tc>
          <w:tcPr>
            <w:tcW w:w="0" w:type="auto"/>
            <w:shd w:val="clear" w:color="auto" w:fill="auto"/>
            <w:tcMar>
              <w:top w:w="0" w:type="dxa"/>
              <w:left w:w="0" w:type="dxa"/>
              <w:bottom w:w="30" w:type="dxa"/>
              <w:right w:w="0" w:type="dxa"/>
            </w:tcMar>
            <w:vAlign w:val="bottom"/>
            <w:hideMark/>
          </w:tcPr>
          <w:p w14:paraId="204EAED7" w14:textId="77777777" w:rsidR="006405DF" w:rsidRPr="00D2099E" w:rsidRDefault="006405DF" w:rsidP="0066308C">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c>
      </w:tr>
    </w:tbl>
    <w:p w14:paraId="66A665B9"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p>
    <w:p w14:paraId="71910A38" w14:textId="661163DC" w:rsidR="006777D4" w:rsidRPr="00D2099E" w:rsidRDefault="00466FD6" w:rsidP="006777D4">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In connection with the private placements in </w:t>
      </w:r>
      <w:proofErr w:type="gramStart"/>
      <w:r>
        <w:rPr>
          <w:rFonts w:ascii="Times New Roman" w:eastAsia="Times New Roman" w:hAnsi="Times New Roman" w:cs="Times New Roman"/>
          <w:sz w:val="20"/>
          <w:szCs w:val="20"/>
          <w:lang w:val="en-US"/>
        </w:rPr>
        <w:t>March,</w:t>
      </w:r>
      <w:proofErr w:type="gramEnd"/>
      <w:r>
        <w:rPr>
          <w:rFonts w:ascii="Times New Roman" w:eastAsia="Times New Roman" w:hAnsi="Times New Roman" w:cs="Times New Roman"/>
          <w:sz w:val="20"/>
          <w:szCs w:val="20"/>
          <w:lang w:val="en-US"/>
        </w:rPr>
        <w:t xml:space="preserve"> 2022, the Company issued warrants and finder’s warrants for a total number of 62,790,299 (Note 13). As the fair value of the common shares on the closing dates of the private placements</w:t>
      </w:r>
      <w:r w:rsidR="00DC6F2F">
        <w:rPr>
          <w:rFonts w:ascii="Times New Roman" w:eastAsia="Times New Roman" w:hAnsi="Times New Roman" w:cs="Times New Roman"/>
          <w:sz w:val="20"/>
          <w:szCs w:val="20"/>
          <w:lang w:val="en-US"/>
        </w:rPr>
        <w:t xml:space="preserve"> were greater than the unit subscription price</w:t>
      </w:r>
      <w:r>
        <w:rPr>
          <w:rFonts w:ascii="Times New Roman" w:eastAsia="Times New Roman" w:hAnsi="Times New Roman" w:cs="Times New Roman"/>
          <w:sz w:val="20"/>
          <w:szCs w:val="20"/>
          <w:lang w:val="en-US"/>
        </w:rPr>
        <w:t xml:space="preserve">, no residual value was assigned to any of the warrants. </w:t>
      </w:r>
      <w:r w:rsidR="006777D4" w:rsidRPr="00D2099E">
        <w:rPr>
          <w:rFonts w:ascii="Times New Roman" w:eastAsia="Times New Roman" w:hAnsi="Times New Roman" w:cs="Times New Roman"/>
          <w:sz w:val="20"/>
          <w:szCs w:val="20"/>
          <w:lang w:val="en-US"/>
        </w:rPr>
        <w:t xml:space="preserve">The fair values for </w:t>
      </w:r>
      <w:r w:rsidR="00A27620">
        <w:rPr>
          <w:rFonts w:ascii="Times New Roman" w:eastAsia="Times New Roman" w:hAnsi="Times New Roman" w:cs="Times New Roman"/>
          <w:sz w:val="20"/>
          <w:szCs w:val="20"/>
          <w:lang w:val="en-US"/>
        </w:rPr>
        <w:t>finder’s warrants</w:t>
      </w:r>
      <w:r w:rsidR="006777D4" w:rsidRPr="00D2099E">
        <w:rPr>
          <w:rFonts w:ascii="Times New Roman" w:eastAsia="Times New Roman" w:hAnsi="Times New Roman" w:cs="Times New Roman"/>
          <w:sz w:val="20"/>
          <w:szCs w:val="20"/>
          <w:lang w:val="en-US"/>
        </w:rPr>
        <w:t xml:space="preserve"> granted </w:t>
      </w:r>
      <w:r>
        <w:rPr>
          <w:rFonts w:ascii="Times New Roman" w:eastAsia="Times New Roman" w:hAnsi="Times New Roman" w:cs="Times New Roman"/>
          <w:sz w:val="20"/>
          <w:szCs w:val="20"/>
          <w:lang w:val="en-US"/>
        </w:rPr>
        <w:t xml:space="preserve">during the current period, </w:t>
      </w:r>
      <w:r w:rsidR="006777D4" w:rsidRPr="00D2099E">
        <w:rPr>
          <w:rFonts w:ascii="Times New Roman" w:eastAsia="Times New Roman" w:hAnsi="Times New Roman" w:cs="Times New Roman"/>
          <w:sz w:val="20"/>
          <w:szCs w:val="20"/>
          <w:lang w:val="en-US"/>
        </w:rPr>
        <w:t>have been estimated using the Black-Scholes option pricing model using the following assumptions:</w:t>
      </w:r>
    </w:p>
    <w:p w14:paraId="6441FF5A" w14:textId="77777777" w:rsidR="006777D4" w:rsidRPr="00D2099E" w:rsidRDefault="006777D4" w:rsidP="006777D4">
      <w:pPr>
        <w:spacing w:after="0" w:line="240" w:lineRule="auto"/>
        <w:ind w:left="360"/>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3876" w:type="pct"/>
        <w:jc w:val="center"/>
        <w:tblCellMar>
          <w:left w:w="0" w:type="dxa"/>
          <w:right w:w="0" w:type="dxa"/>
        </w:tblCellMar>
        <w:tblLook w:val="04A0" w:firstRow="1" w:lastRow="0" w:firstColumn="1" w:lastColumn="0" w:noHBand="0" w:noVBand="1"/>
      </w:tblPr>
      <w:tblGrid>
        <w:gridCol w:w="5185"/>
        <w:gridCol w:w="136"/>
        <w:gridCol w:w="99"/>
        <w:gridCol w:w="1669"/>
        <w:gridCol w:w="167"/>
      </w:tblGrid>
      <w:tr w:rsidR="00AB0D6B" w:rsidRPr="00EB7D9E" w14:paraId="13FC82CE" w14:textId="77777777" w:rsidTr="00117DB6">
        <w:trPr>
          <w:jc w:val="center"/>
        </w:trPr>
        <w:tc>
          <w:tcPr>
            <w:tcW w:w="0" w:type="auto"/>
            <w:tcBorders>
              <w:top w:val="single" w:sz="12" w:space="0" w:color="auto"/>
              <w:bottom w:val="single" w:sz="12" w:space="0" w:color="auto"/>
            </w:tcBorders>
            <w:shd w:val="clear" w:color="auto" w:fill="auto"/>
            <w:vAlign w:val="bottom"/>
            <w:hideMark/>
          </w:tcPr>
          <w:p w14:paraId="52EE0705" w14:textId="77777777" w:rsidR="00AB0D6B" w:rsidRPr="00D2099E" w:rsidRDefault="00AB0D6B" w:rsidP="007F2074">
            <w:pPr>
              <w:spacing w:after="0" w:line="240" w:lineRule="auto"/>
              <w:jc w:val="center"/>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top w:val="single" w:sz="12" w:space="0" w:color="auto"/>
              <w:bottom w:val="single" w:sz="12" w:space="0" w:color="auto"/>
            </w:tcBorders>
            <w:shd w:val="clear" w:color="auto" w:fill="auto"/>
            <w:tcMar>
              <w:top w:w="0" w:type="dxa"/>
              <w:left w:w="0" w:type="dxa"/>
              <w:bottom w:w="30" w:type="dxa"/>
              <w:right w:w="0" w:type="dxa"/>
            </w:tcMar>
            <w:vAlign w:val="bottom"/>
            <w:hideMark/>
          </w:tcPr>
          <w:p w14:paraId="1090372A" w14:textId="77777777" w:rsidR="00AB0D6B" w:rsidRPr="00D2099E" w:rsidRDefault="00AB0D6B" w:rsidP="007F2074">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1218" w:type="pct"/>
            <w:gridSpan w:val="2"/>
            <w:tcBorders>
              <w:top w:val="single" w:sz="12" w:space="0" w:color="auto"/>
              <w:bottom w:val="single" w:sz="12" w:space="0" w:color="auto"/>
            </w:tcBorders>
            <w:shd w:val="clear" w:color="auto" w:fill="auto"/>
            <w:vAlign w:val="bottom"/>
            <w:hideMark/>
          </w:tcPr>
          <w:p w14:paraId="07A112C3" w14:textId="77777777" w:rsidR="00AB0D6B" w:rsidRPr="00EB7D9E" w:rsidRDefault="00AB0D6B" w:rsidP="007F2074">
            <w:pPr>
              <w:spacing w:after="0" w:line="240" w:lineRule="auto"/>
              <w:jc w:val="center"/>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2022</w:t>
            </w:r>
          </w:p>
        </w:tc>
        <w:tc>
          <w:tcPr>
            <w:tcW w:w="0" w:type="auto"/>
            <w:shd w:val="clear" w:color="auto" w:fill="auto"/>
            <w:tcMar>
              <w:top w:w="0" w:type="dxa"/>
              <w:left w:w="0" w:type="dxa"/>
              <w:bottom w:w="30" w:type="dxa"/>
              <w:right w:w="0" w:type="dxa"/>
            </w:tcMar>
            <w:vAlign w:val="bottom"/>
            <w:hideMark/>
          </w:tcPr>
          <w:p w14:paraId="495987C6"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r>
      <w:tr w:rsidR="00AB0D6B" w:rsidRPr="00EB7D9E" w14:paraId="0508DF8C" w14:textId="77777777" w:rsidTr="00117DB6">
        <w:trPr>
          <w:jc w:val="center"/>
        </w:trPr>
        <w:tc>
          <w:tcPr>
            <w:tcW w:w="3573" w:type="pct"/>
            <w:tcBorders>
              <w:top w:val="single" w:sz="12" w:space="0" w:color="auto"/>
            </w:tcBorders>
            <w:shd w:val="clear" w:color="auto" w:fill="auto"/>
            <w:vAlign w:val="bottom"/>
            <w:hideMark/>
          </w:tcPr>
          <w:p w14:paraId="5932DF31"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Risk-free interest rate</w:t>
            </w:r>
          </w:p>
        </w:tc>
        <w:tc>
          <w:tcPr>
            <w:tcW w:w="94" w:type="pct"/>
            <w:tcBorders>
              <w:top w:val="single" w:sz="12" w:space="0" w:color="auto"/>
            </w:tcBorders>
            <w:shd w:val="clear" w:color="auto" w:fill="auto"/>
            <w:vAlign w:val="bottom"/>
            <w:hideMark/>
          </w:tcPr>
          <w:p w14:paraId="0FA94A26"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68" w:type="pct"/>
            <w:tcBorders>
              <w:top w:val="single" w:sz="12" w:space="0" w:color="auto"/>
            </w:tcBorders>
            <w:shd w:val="clear" w:color="auto" w:fill="auto"/>
            <w:vAlign w:val="bottom"/>
            <w:hideMark/>
          </w:tcPr>
          <w:p w14:paraId="6C8E4422"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1150" w:type="pct"/>
            <w:tcBorders>
              <w:top w:val="single" w:sz="12" w:space="0" w:color="auto"/>
            </w:tcBorders>
            <w:shd w:val="clear" w:color="auto" w:fill="auto"/>
            <w:vAlign w:val="bottom"/>
          </w:tcPr>
          <w:p w14:paraId="28D8AC43" w14:textId="78EE110D" w:rsidR="00AB0D6B" w:rsidRPr="00EB7D9E" w:rsidRDefault="00AB0D6B" w:rsidP="007F2074">
            <w:pPr>
              <w:spacing w:after="0" w:line="240" w:lineRule="auto"/>
              <w:jc w:val="center"/>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1.21 – 1.30%</w:t>
            </w:r>
          </w:p>
        </w:tc>
        <w:tc>
          <w:tcPr>
            <w:tcW w:w="115" w:type="pct"/>
            <w:shd w:val="clear" w:color="auto" w:fill="auto"/>
            <w:vAlign w:val="bottom"/>
          </w:tcPr>
          <w:p w14:paraId="1B554D00"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p>
        </w:tc>
      </w:tr>
      <w:tr w:rsidR="00AB0D6B" w:rsidRPr="00EB7D9E" w14:paraId="047E96A8" w14:textId="77777777" w:rsidTr="00117DB6">
        <w:trPr>
          <w:jc w:val="center"/>
        </w:trPr>
        <w:tc>
          <w:tcPr>
            <w:tcW w:w="0" w:type="auto"/>
            <w:shd w:val="clear" w:color="auto" w:fill="auto"/>
            <w:vAlign w:val="bottom"/>
            <w:hideMark/>
          </w:tcPr>
          <w:p w14:paraId="4074A532"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Expected life (years)</w:t>
            </w:r>
          </w:p>
        </w:tc>
        <w:tc>
          <w:tcPr>
            <w:tcW w:w="0" w:type="auto"/>
            <w:shd w:val="clear" w:color="auto" w:fill="auto"/>
            <w:vAlign w:val="bottom"/>
            <w:hideMark/>
          </w:tcPr>
          <w:p w14:paraId="55F256DD"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4CFB451C"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1150" w:type="pct"/>
            <w:shd w:val="clear" w:color="auto" w:fill="auto"/>
            <w:vAlign w:val="bottom"/>
          </w:tcPr>
          <w:p w14:paraId="5E97216E" w14:textId="49956F77" w:rsidR="00AB0D6B" w:rsidRPr="00EB7D9E" w:rsidRDefault="00AB0D6B" w:rsidP="007F2074">
            <w:pPr>
              <w:spacing w:after="0" w:line="240" w:lineRule="auto"/>
              <w:jc w:val="center"/>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2</w:t>
            </w:r>
          </w:p>
        </w:tc>
        <w:tc>
          <w:tcPr>
            <w:tcW w:w="0" w:type="auto"/>
            <w:shd w:val="clear" w:color="auto" w:fill="auto"/>
            <w:vAlign w:val="bottom"/>
          </w:tcPr>
          <w:p w14:paraId="66EA6621"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p>
        </w:tc>
      </w:tr>
      <w:tr w:rsidR="00AB0D6B" w:rsidRPr="00EB7D9E" w14:paraId="39DAA3D3" w14:textId="77777777" w:rsidTr="00117DB6">
        <w:trPr>
          <w:jc w:val="center"/>
        </w:trPr>
        <w:tc>
          <w:tcPr>
            <w:tcW w:w="0" w:type="auto"/>
            <w:shd w:val="clear" w:color="auto" w:fill="auto"/>
            <w:vAlign w:val="bottom"/>
            <w:hideMark/>
          </w:tcPr>
          <w:p w14:paraId="0766561E"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Expected volatility</w:t>
            </w:r>
          </w:p>
        </w:tc>
        <w:tc>
          <w:tcPr>
            <w:tcW w:w="0" w:type="auto"/>
            <w:shd w:val="clear" w:color="auto" w:fill="auto"/>
            <w:vAlign w:val="bottom"/>
            <w:hideMark/>
          </w:tcPr>
          <w:p w14:paraId="7C028161"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072A6732"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1150" w:type="pct"/>
            <w:shd w:val="clear" w:color="auto" w:fill="auto"/>
            <w:vAlign w:val="bottom"/>
          </w:tcPr>
          <w:p w14:paraId="00C58D82" w14:textId="6E065707" w:rsidR="00AB0D6B" w:rsidRPr="00EB7D9E" w:rsidRDefault="00AB0D6B" w:rsidP="007F2074">
            <w:pPr>
              <w:spacing w:after="0" w:line="240" w:lineRule="auto"/>
              <w:jc w:val="center"/>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154%</w:t>
            </w:r>
          </w:p>
        </w:tc>
        <w:tc>
          <w:tcPr>
            <w:tcW w:w="0" w:type="auto"/>
            <w:shd w:val="clear" w:color="auto" w:fill="auto"/>
            <w:vAlign w:val="bottom"/>
          </w:tcPr>
          <w:p w14:paraId="35D26B60"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p>
        </w:tc>
      </w:tr>
      <w:tr w:rsidR="00AB0D6B" w:rsidRPr="00EB7D9E" w14:paraId="4B86A757" w14:textId="77777777" w:rsidTr="00117DB6">
        <w:trPr>
          <w:jc w:val="center"/>
        </w:trPr>
        <w:tc>
          <w:tcPr>
            <w:tcW w:w="0" w:type="auto"/>
            <w:shd w:val="clear" w:color="auto" w:fill="auto"/>
            <w:vAlign w:val="bottom"/>
            <w:hideMark/>
          </w:tcPr>
          <w:p w14:paraId="13CBBBA2"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Dividend yield</w:t>
            </w:r>
          </w:p>
        </w:tc>
        <w:tc>
          <w:tcPr>
            <w:tcW w:w="0" w:type="auto"/>
            <w:shd w:val="clear" w:color="auto" w:fill="auto"/>
            <w:vAlign w:val="bottom"/>
            <w:hideMark/>
          </w:tcPr>
          <w:p w14:paraId="09E9F180"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6EE25F17"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1150" w:type="pct"/>
            <w:shd w:val="clear" w:color="auto" w:fill="auto"/>
            <w:vAlign w:val="bottom"/>
          </w:tcPr>
          <w:p w14:paraId="7D66D9E8" w14:textId="73794D66" w:rsidR="00AB0D6B" w:rsidRPr="00EB7D9E" w:rsidRDefault="00AB0D6B" w:rsidP="007F2074">
            <w:pPr>
              <w:spacing w:after="0" w:line="240" w:lineRule="auto"/>
              <w:jc w:val="center"/>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0%</w:t>
            </w:r>
          </w:p>
        </w:tc>
        <w:tc>
          <w:tcPr>
            <w:tcW w:w="0" w:type="auto"/>
            <w:shd w:val="clear" w:color="auto" w:fill="auto"/>
            <w:vAlign w:val="bottom"/>
          </w:tcPr>
          <w:p w14:paraId="6DC2907D"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p>
        </w:tc>
      </w:tr>
      <w:tr w:rsidR="00AB0D6B" w:rsidRPr="00D2099E" w14:paraId="35E1A851" w14:textId="77777777" w:rsidTr="00117DB6">
        <w:trPr>
          <w:jc w:val="center"/>
        </w:trPr>
        <w:tc>
          <w:tcPr>
            <w:tcW w:w="0" w:type="auto"/>
            <w:tcBorders>
              <w:bottom w:val="single" w:sz="12" w:space="0" w:color="auto"/>
            </w:tcBorders>
            <w:shd w:val="clear" w:color="auto" w:fill="auto"/>
            <w:vAlign w:val="bottom"/>
            <w:hideMark/>
          </w:tcPr>
          <w:p w14:paraId="07CEA108" w14:textId="5CA9D4D6"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Share price</w:t>
            </w:r>
          </w:p>
        </w:tc>
        <w:tc>
          <w:tcPr>
            <w:tcW w:w="0" w:type="auto"/>
            <w:tcBorders>
              <w:bottom w:val="single" w:sz="12" w:space="0" w:color="auto"/>
            </w:tcBorders>
            <w:shd w:val="clear" w:color="auto" w:fill="auto"/>
            <w:vAlign w:val="bottom"/>
            <w:hideMark/>
          </w:tcPr>
          <w:p w14:paraId="1D045D04"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hideMark/>
          </w:tcPr>
          <w:p w14:paraId="4B712344" w14:textId="77777777" w:rsidR="00AB0D6B" w:rsidRPr="00EB7D9E" w:rsidRDefault="00AB0D6B" w:rsidP="007F2074">
            <w:pPr>
              <w:spacing w:after="0" w:line="240" w:lineRule="auto"/>
              <w:jc w:val="both"/>
              <w:rPr>
                <w:rFonts w:ascii="Times New Roman" w:eastAsia="Times New Roman" w:hAnsi="Times New Roman" w:cs="Times New Roman"/>
                <w:color w:val="000000"/>
                <w:sz w:val="20"/>
                <w:szCs w:val="20"/>
                <w:lang w:val="en-US"/>
              </w:rPr>
            </w:pPr>
          </w:p>
        </w:tc>
        <w:tc>
          <w:tcPr>
            <w:tcW w:w="1150" w:type="pct"/>
            <w:tcBorders>
              <w:bottom w:val="single" w:sz="12" w:space="0" w:color="auto"/>
            </w:tcBorders>
            <w:shd w:val="clear" w:color="auto" w:fill="auto"/>
            <w:vAlign w:val="bottom"/>
          </w:tcPr>
          <w:p w14:paraId="4E62C61D" w14:textId="05E9380D" w:rsidR="00AB0D6B" w:rsidRPr="00722478" w:rsidRDefault="00AB0D6B" w:rsidP="00AB0D6B">
            <w:pPr>
              <w:spacing w:after="0" w:line="240" w:lineRule="auto"/>
              <w:jc w:val="center"/>
              <w:rPr>
                <w:rFonts w:ascii="Times New Roman" w:eastAsia="Times New Roman" w:hAnsi="Times New Roman" w:cs="Times New Roman"/>
                <w:color w:val="000000"/>
                <w:sz w:val="20"/>
                <w:szCs w:val="20"/>
                <w:lang w:val="en-US"/>
              </w:rPr>
            </w:pPr>
            <w:r w:rsidRPr="00EB7D9E">
              <w:rPr>
                <w:rFonts w:ascii="Times New Roman" w:eastAsia="Times New Roman" w:hAnsi="Times New Roman" w:cs="Times New Roman"/>
                <w:color w:val="000000"/>
                <w:sz w:val="20"/>
                <w:szCs w:val="20"/>
                <w:lang w:val="en-US"/>
              </w:rPr>
              <w:t>$0.24 - $.031 CAD</w:t>
            </w:r>
          </w:p>
        </w:tc>
        <w:tc>
          <w:tcPr>
            <w:tcW w:w="0" w:type="auto"/>
            <w:shd w:val="clear" w:color="auto" w:fill="auto"/>
            <w:vAlign w:val="bottom"/>
          </w:tcPr>
          <w:p w14:paraId="3E571B48" w14:textId="77777777" w:rsidR="00AB0D6B" w:rsidRPr="00D2099E" w:rsidRDefault="00AB0D6B" w:rsidP="007F2074">
            <w:pPr>
              <w:spacing w:after="0" w:line="240" w:lineRule="auto"/>
              <w:jc w:val="both"/>
              <w:rPr>
                <w:rFonts w:ascii="Times New Roman" w:eastAsia="Times New Roman" w:hAnsi="Times New Roman" w:cs="Times New Roman"/>
                <w:color w:val="000000"/>
                <w:sz w:val="20"/>
                <w:szCs w:val="20"/>
                <w:lang w:val="en-US"/>
              </w:rPr>
            </w:pPr>
          </w:p>
        </w:tc>
      </w:tr>
    </w:tbl>
    <w:p w14:paraId="216DF5EC" w14:textId="085F7E04" w:rsidR="006777D4" w:rsidRDefault="006777D4" w:rsidP="00D2099E">
      <w:pPr>
        <w:spacing w:after="0" w:line="240" w:lineRule="auto"/>
        <w:jc w:val="both"/>
        <w:rPr>
          <w:rFonts w:ascii="Times New Roman" w:eastAsia="Times New Roman" w:hAnsi="Times New Roman" w:cs="Times New Roman"/>
          <w:sz w:val="20"/>
          <w:szCs w:val="20"/>
          <w:lang w:val="en-US"/>
        </w:rPr>
      </w:pPr>
    </w:p>
    <w:p w14:paraId="0B859B10" w14:textId="3A2E403A" w:rsidR="00FC7262" w:rsidRDefault="00D27B84" w:rsidP="00D27B84">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During the </w:t>
      </w:r>
      <w:r w:rsidR="00A24ACC">
        <w:rPr>
          <w:rFonts w:ascii="Times New Roman" w:eastAsia="Times New Roman" w:hAnsi="Times New Roman" w:cs="Times New Roman"/>
          <w:sz w:val="20"/>
          <w:szCs w:val="20"/>
          <w:lang w:val="en-US"/>
        </w:rPr>
        <w:t>six</w:t>
      </w:r>
      <w:r>
        <w:rPr>
          <w:rFonts w:ascii="Times New Roman" w:eastAsia="Times New Roman" w:hAnsi="Times New Roman" w:cs="Times New Roman"/>
          <w:sz w:val="20"/>
          <w:szCs w:val="20"/>
          <w:lang w:val="en-US"/>
        </w:rPr>
        <w:t xml:space="preserve"> months ended </w:t>
      </w:r>
      <w:r w:rsidR="00A24ACC">
        <w:rPr>
          <w:rFonts w:ascii="Times New Roman" w:eastAsia="Times New Roman" w:hAnsi="Times New Roman" w:cs="Times New Roman"/>
          <w:sz w:val="20"/>
          <w:szCs w:val="20"/>
          <w:lang w:val="en-US"/>
        </w:rPr>
        <w:t>June 30</w:t>
      </w:r>
      <w:r>
        <w:rPr>
          <w:rFonts w:ascii="Times New Roman" w:eastAsia="Times New Roman" w:hAnsi="Times New Roman" w:cs="Times New Roman"/>
          <w:sz w:val="20"/>
          <w:szCs w:val="20"/>
          <w:lang w:val="en-US"/>
        </w:rPr>
        <w:t xml:space="preserve">, 2022, </w:t>
      </w:r>
      <w:r w:rsidR="002344C4">
        <w:rPr>
          <w:rFonts w:ascii="Times New Roman" w:eastAsia="Times New Roman" w:hAnsi="Times New Roman" w:cs="Times New Roman"/>
          <w:sz w:val="20"/>
          <w:szCs w:val="20"/>
          <w:lang w:val="en-US"/>
        </w:rPr>
        <w:t>451</w:t>
      </w:r>
      <w:r>
        <w:rPr>
          <w:rFonts w:ascii="Times New Roman" w:eastAsia="Times New Roman" w:hAnsi="Times New Roman" w:cs="Times New Roman"/>
          <w:sz w:val="20"/>
          <w:szCs w:val="20"/>
          <w:lang w:val="en-US"/>
        </w:rPr>
        <w:t>,250 warrants were exercised at $0.10 CAD for gross proceeds of $</w:t>
      </w:r>
      <w:r w:rsidR="002344C4">
        <w:rPr>
          <w:rFonts w:ascii="Times New Roman" w:eastAsia="Times New Roman" w:hAnsi="Times New Roman" w:cs="Times New Roman"/>
          <w:sz w:val="20"/>
          <w:szCs w:val="20"/>
          <w:lang w:val="en-US"/>
        </w:rPr>
        <w:t>45</w:t>
      </w:r>
      <w:r>
        <w:rPr>
          <w:rFonts w:ascii="Times New Roman" w:eastAsia="Times New Roman" w:hAnsi="Times New Roman" w:cs="Times New Roman"/>
          <w:sz w:val="20"/>
          <w:szCs w:val="20"/>
          <w:lang w:val="en-US"/>
        </w:rPr>
        <w:t>,</w:t>
      </w:r>
      <w:r w:rsidR="002344C4">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5 ($</w:t>
      </w:r>
      <w:r w:rsidR="00A24ACC">
        <w:rPr>
          <w:rFonts w:ascii="Times New Roman" w:eastAsia="Times New Roman" w:hAnsi="Times New Roman" w:cs="Times New Roman"/>
          <w:sz w:val="20"/>
          <w:szCs w:val="20"/>
          <w:lang w:val="en-US"/>
        </w:rPr>
        <w:t>35</w:t>
      </w:r>
      <w:r>
        <w:rPr>
          <w:rFonts w:ascii="Times New Roman" w:eastAsia="Times New Roman" w:hAnsi="Times New Roman" w:cs="Times New Roman"/>
          <w:sz w:val="20"/>
          <w:szCs w:val="20"/>
          <w:lang w:val="en-US"/>
        </w:rPr>
        <w:t>,</w:t>
      </w:r>
      <w:r w:rsidR="00DB0E99">
        <w:rPr>
          <w:rFonts w:ascii="Times New Roman" w:eastAsia="Times New Roman" w:hAnsi="Times New Roman" w:cs="Times New Roman"/>
          <w:sz w:val="20"/>
          <w:szCs w:val="20"/>
          <w:lang w:val="en-US"/>
        </w:rPr>
        <w:t>813</w:t>
      </w:r>
      <w:r>
        <w:rPr>
          <w:rFonts w:ascii="Times New Roman" w:eastAsia="Times New Roman" w:hAnsi="Times New Roman" w:cs="Times New Roman"/>
          <w:sz w:val="20"/>
          <w:szCs w:val="20"/>
          <w:lang w:val="en-US"/>
        </w:rPr>
        <w:t xml:space="preserve"> USD). </w:t>
      </w:r>
    </w:p>
    <w:p w14:paraId="1B576025" w14:textId="77777777" w:rsidR="006777D4" w:rsidRPr="00D2099E" w:rsidRDefault="006777D4" w:rsidP="00064A08">
      <w:pPr>
        <w:spacing w:after="0" w:line="240" w:lineRule="auto"/>
        <w:ind w:left="360"/>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7E638178" w14:textId="77777777" w:rsidTr="005C7D2D">
        <w:tc>
          <w:tcPr>
            <w:tcW w:w="360" w:type="dxa"/>
            <w:hideMark/>
          </w:tcPr>
          <w:p w14:paraId="5ADF77F6" w14:textId="7826983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sidR="00C80046">
              <w:rPr>
                <w:rFonts w:ascii="Times New Roman" w:eastAsia="Times New Roman" w:hAnsi="Times New Roman" w:cs="Times New Roman"/>
                <w:b/>
                <w:bCs/>
                <w:sz w:val="20"/>
                <w:szCs w:val="20"/>
                <w:lang w:val="en-US"/>
              </w:rPr>
              <w:t>6</w:t>
            </w:r>
            <w:r w:rsidRPr="00CA4239">
              <w:rPr>
                <w:rFonts w:ascii="Times New Roman" w:eastAsia="Times New Roman" w:hAnsi="Times New Roman" w:cs="Times New Roman"/>
                <w:b/>
                <w:bCs/>
                <w:sz w:val="20"/>
                <w:szCs w:val="20"/>
                <w:lang w:val="en-US"/>
              </w:rPr>
              <w:t>.</w:t>
            </w:r>
          </w:p>
        </w:tc>
        <w:tc>
          <w:tcPr>
            <w:tcW w:w="0" w:type="auto"/>
            <w:hideMark/>
          </w:tcPr>
          <w:p w14:paraId="4A0A0B62" w14:textId="7777777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Restricted Stock Units</w:t>
            </w:r>
          </w:p>
        </w:tc>
      </w:tr>
    </w:tbl>
    <w:p w14:paraId="4A6AD4C0"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A29173C" w14:textId="4B2F73B9" w:rsidR="00E90916"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During the </w:t>
      </w:r>
      <w:r w:rsidR="009A6146">
        <w:rPr>
          <w:rFonts w:ascii="Times New Roman" w:eastAsia="Times New Roman" w:hAnsi="Times New Roman" w:cs="Times New Roman"/>
          <w:sz w:val="20"/>
          <w:szCs w:val="20"/>
          <w:lang w:val="en-US"/>
        </w:rPr>
        <w:t xml:space="preserve">six </w:t>
      </w:r>
      <w:r w:rsidR="000F3E43">
        <w:rPr>
          <w:rFonts w:ascii="Times New Roman" w:eastAsia="Times New Roman" w:hAnsi="Times New Roman" w:cs="Times New Roman"/>
          <w:sz w:val="20"/>
          <w:szCs w:val="20"/>
          <w:lang w:val="en-US"/>
        </w:rPr>
        <w:t xml:space="preserve">months ended </w:t>
      </w:r>
      <w:r w:rsidR="009A6146">
        <w:rPr>
          <w:rFonts w:ascii="Times New Roman" w:eastAsia="Times New Roman" w:hAnsi="Times New Roman" w:cs="Times New Roman"/>
          <w:sz w:val="20"/>
          <w:szCs w:val="20"/>
          <w:lang w:val="en-US"/>
        </w:rPr>
        <w:t>June 30</w:t>
      </w:r>
      <w:r w:rsidR="000F3E43">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xml:space="preserve">, the Company </w:t>
      </w:r>
      <w:r w:rsidRPr="006A418B">
        <w:rPr>
          <w:rFonts w:ascii="Times New Roman" w:eastAsia="Times New Roman" w:hAnsi="Times New Roman" w:cs="Times New Roman"/>
          <w:sz w:val="20"/>
          <w:szCs w:val="20"/>
          <w:lang w:val="en-US"/>
        </w:rPr>
        <w:t xml:space="preserve">granted </w:t>
      </w:r>
      <w:r w:rsidR="00172210" w:rsidRPr="00172210">
        <w:rPr>
          <w:rFonts w:ascii="Times New Roman" w:eastAsia="Times New Roman" w:hAnsi="Times New Roman" w:cs="Times New Roman"/>
          <w:sz w:val="20"/>
          <w:szCs w:val="20"/>
          <w:lang w:val="en-US"/>
        </w:rPr>
        <w:t>650,000</w:t>
      </w:r>
      <w:r w:rsidRPr="00172210">
        <w:rPr>
          <w:rFonts w:ascii="Times New Roman" w:eastAsia="Times New Roman" w:hAnsi="Times New Roman" w:cs="Times New Roman"/>
          <w:sz w:val="20"/>
          <w:szCs w:val="20"/>
          <w:lang w:val="en-US"/>
        </w:rPr>
        <w:t xml:space="preserve"> (202</w:t>
      </w:r>
      <w:r w:rsidR="00172210" w:rsidRPr="00172210">
        <w:rPr>
          <w:rFonts w:ascii="Times New Roman" w:eastAsia="Times New Roman" w:hAnsi="Times New Roman" w:cs="Times New Roman"/>
          <w:sz w:val="20"/>
          <w:szCs w:val="20"/>
          <w:lang w:val="en-US"/>
        </w:rPr>
        <w:t>1</w:t>
      </w:r>
      <w:r w:rsidRPr="00172210">
        <w:rPr>
          <w:rFonts w:ascii="Times New Roman" w:eastAsia="Times New Roman" w:hAnsi="Times New Roman" w:cs="Times New Roman"/>
          <w:sz w:val="20"/>
          <w:szCs w:val="20"/>
          <w:lang w:val="en-US"/>
        </w:rPr>
        <w:t xml:space="preserve"> – </w:t>
      </w:r>
      <w:r w:rsidR="00172210" w:rsidRPr="00CA4239">
        <w:rPr>
          <w:rFonts w:ascii="Times New Roman" w:eastAsia="Times New Roman" w:hAnsi="Times New Roman" w:cs="Times New Roman"/>
          <w:sz w:val="20"/>
          <w:szCs w:val="20"/>
          <w:lang w:val="en-US"/>
        </w:rPr>
        <w:t>150</w:t>
      </w:r>
      <w:r w:rsidR="000F3E43" w:rsidRPr="00CA4239">
        <w:rPr>
          <w:rFonts w:ascii="Times New Roman" w:eastAsia="Times New Roman" w:hAnsi="Times New Roman" w:cs="Times New Roman"/>
          <w:sz w:val="20"/>
          <w:szCs w:val="20"/>
          <w:lang w:val="en-US"/>
        </w:rPr>
        <w:t>,000</w:t>
      </w:r>
      <w:r w:rsidR="00172210" w:rsidRPr="00172210">
        <w:rPr>
          <w:rFonts w:ascii="Times New Roman" w:eastAsia="Times New Roman" w:hAnsi="Times New Roman" w:cs="Times New Roman"/>
          <w:sz w:val="20"/>
          <w:szCs w:val="20"/>
          <w:lang w:val="en-US"/>
        </w:rPr>
        <w:t>)</w:t>
      </w:r>
      <w:r w:rsidR="000F3E43" w:rsidRPr="00172210">
        <w:rPr>
          <w:rFonts w:ascii="Times New Roman" w:eastAsia="Times New Roman" w:hAnsi="Times New Roman" w:cs="Times New Roman"/>
          <w:sz w:val="20"/>
          <w:szCs w:val="20"/>
          <w:lang w:val="en-US"/>
        </w:rPr>
        <w:t xml:space="preserve"> </w:t>
      </w:r>
      <w:r w:rsidRPr="00172210">
        <w:rPr>
          <w:rFonts w:ascii="Times New Roman" w:eastAsia="Times New Roman" w:hAnsi="Times New Roman" w:cs="Times New Roman"/>
          <w:sz w:val="20"/>
          <w:szCs w:val="20"/>
          <w:lang w:val="en-US"/>
        </w:rPr>
        <w:t>restricted</w:t>
      </w:r>
      <w:r w:rsidRPr="00D2099E">
        <w:rPr>
          <w:rFonts w:ascii="Times New Roman" w:eastAsia="Times New Roman" w:hAnsi="Times New Roman" w:cs="Times New Roman"/>
          <w:sz w:val="20"/>
          <w:szCs w:val="20"/>
          <w:lang w:val="en-US"/>
        </w:rPr>
        <w:t xml:space="preserve"> stock units (“RSUs”) as consideration for management and consulting contracts. The RSUs were </w:t>
      </w:r>
      <w:r w:rsidRPr="00172210">
        <w:rPr>
          <w:rFonts w:ascii="Times New Roman" w:eastAsia="Times New Roman" w:hAnsi="Times New Roman" w:cs="Times New Roman"/>
          <w:sz w:val="20"/>
          <w:szCs w:val="20"/>
          <w:lang w:val="en-US"/>
        </w:rPr>
        <w:t xml:space="preserve">valued at </w:t>
      </w:r>
      <w:r w:rsidRPr="00CA4239">
        <w:rPr>
          <w:rFonts w:ascii="Times New Roman" w:eastAsia="Times New Roman" w:hAnsi="Times New Roman" w:cs="Times New Roman"/>
          <w:sz w:val="20"/>
          <w:szCs w:val="20"/>
          <w:lang w:val="en-US"/>
        </w:rPr>
        <w:t>$</w:t>
      </w:r>
      <w:r w:rsidR="00E90916">
        <w:rPr>
          <w:rFonts w:ascii="Times New Roman" w:eastAsia="Times New Roman" w:hAnsi="Times New Roman" w:cs="Times New Roman"/>
          <w:sz w:val="20"/>
          <w:szCs w:val="20"/>
          <w:lang w:val="en-US"/>
        </w:rPr>
        <w:t>84</w:t>
      </w:r>
      <w:r w:rsidR="00172210" w:rsidRPr="00172210">
        <w:rPr>
          <w:rFonts w:ascii="Times New Roman" w:eastAsia="Times New Roman" w:hAnsi="Times New Roman" w:cs="Times New Roman"/>
          <w:sz w:val="20"/>
          <w:szCs w:val="20"/>
          <w:lang w:val="en-US"/>
        </w:rPr>
        <w:t>,</w:t>
      </w:r>
      <w:r w:rsidR="00E90916">
        <w:rPr>
          <w:rFonts w:ascii="Times New Roman" w:eastAsia="Times New Roman" w:hAnsi="Times New Roman" w:cs="Times New Roman"/>
          <w:sz w:val="20"/>
          <w:szCs w:val="20"/>
          <w:lang w:val="en-US"/>
        </w:rPr>
        <w:t>721</w:t>
      </w:r>
      <w:r w:rsidRPr="00D2099E">
        <w:rPr>
          <w:rFonts w:ascii="Times New Roman" w:eastAsia="Times New Roman" w:hAnsi="Times New Roman" w:cs="Times New Roman"/>
          <w:sz w:val="20"/>
          <w:szCs w:val="20"/>
          <w:lang w:val="en-US"/>
        </w:rPr>
        <w:t xml:space="preserve"> (202</w:t>
      </w:r>
      <w:r w:rsidR="00172210">
        <w:rPr>
          <w:rFonts w:ascii="Times New Roman" w:eastAsia="Times New Roman" w:hAnsi="Times New Roman" w:cs="Times New Roman"/>
          <w:sz w:val="20"/>
          <w:szCs w:val="20"/>
          <w:lang w:val="en-US"/>
        </w:rPr>
        <w:t>1</w:t>
      </w:r>
      <w:r w:rsidRPr="00D2099E">
        <w:rPr>
          <w:rFonts w:ascii="Times New Roman" w:eastAsia="Times New Roman" w:hAnsi="Times New Roman" w:cs="Times New Roman"/>
          <w:sz w:val="20"/>
          <w:szCs w:val="20"/>
          <w:lang w:val="en-US"/>
        </w:rPr>
        <w:t xml:space="preserve"> - $</w:t>
      </w:r>
      <w:r w:rsidR="0096653C">
        <w:rPr>
          <w:rFonts w:ascii="Times New Roman" w:eastAsia="Times New Roman" w:hAnsi="Times New Roman" w:cs="Times New Roman"/>
          <w:sz w:val="20"/>
          <w:szCs w:val="20"/>
          <w:lang w:val="en-US"/>
        </w:rPr>
        <w:t>36,900</w:t>
      </w:r>
      <w:r w:rsidRPr="00D2099E">
        <w:rPr>
          <w:rFonts w:ascii="Times New Roman" w:eastAsia="Times New Roman" w:hAnsi="Times New Roman" w:cs="Times New Roman"/>
          <w:sz w:val="20"/>
          <w:szCs w:val="20"/>
          <w:lang w:val="en-US"/>
        </w:rPr>
        <w:t>) based on the fair market value of the closing price of the common stock of the Company at the grant date and are recognized evenly over the vesting period. Within 30 days of vesting, the RSUs are exchanged for shares of common stock of the Company.</w:t>
      </w:r>
      <w:r w:rsidR="006A418B">
        <w:rPr>
          <w:rFonts w:ascii="Times New Roman" w:eastAsia="Times New Roman" w:hAnsi="Times New Roman" w:cs="Times New Roman"/>
          <w:sz w:val="20"/>
          <w:szCs w:val="20"/>
          <w:lang w:val="en-US"/>
        </w:rPr>
        <w:t xml:space="preserve"> </w:t>
      </w:r>
    </w:p>
    <w:p w14:paraId="071BD43E" w14:textId="77777777" w:rsidR="00E90916" w:rsidRDefault="00E90916" w:rsidP="00D2099E">
      <w:pPr>
        <w:spacing w:after="0" w:line="240" w:lineRule="auto"/>
        <w:ind w:left="360"/>
        <w:jc w:val="both"/>
        <w:rPr>
          <w:rFonts w:ascii="Times New Roman" w:eastAsia="Times New Roman" w:hAnsi="Times New Roman" w:cs="Times New Roman"/>
          <w:sz w:val="20"/>
          <w:szCs w:val="20"/>
          <w:lang w:val="en-US"/>
        </w:rPr>
      </w:pPr>
    </w:p>
    <w:p w14:paraId="7F70A2D6" w14:textId="5F108A23" w:rsidR="00D2099E" w:rsidRPr="00D2099E" w:rsidRDefault="00E90916" w:rsidP="00D2099E">
      <w:pPr>
        <w:spacing w:after="0"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During the </w:t>
      </w:r>
      <w:r w:rsidR="009A6146">
        <w:rPr>
          <w:rFonts w:ascii="Times New Roman" w:eastAsia="Times New Roman" w:hAnsi="Times New Roman" w:cs="Times New Roman"/>
          <w:sz w:val="20"/>
          <w:szCs w:val="20"/>
          <w:lang w:val="en-US"/>
        </w:rPr>
        <w:t xml:space="preserve">six </w:t>
      </w:r>
      <w:r>
        <w:rPr>
          <w:rFonts w:ascii="Times New Roman" w:eastAsia="Times New Roman" w:hAnsi="Times New Roman" w:cs="Times New Roman"/>
          <w:sz w:val="20"/>
          <w:szCs w:val="20"/>
          <w:lang w:val="en-US"/>
        </w:rPr>
        <w:t xml:space="preserve">months ended </w:t>
      </w:r>
      <w:r w:rsidR="009A6146">
        <w:rPr>
          <w:rFonts w:ascii="Times New Roman" w:eastAsia="Times New Roman" w:hAnsi="Times New Roman" w:cs="Times New Roman"/>
          <w:sz w:val="20"/>
          <w:szCs w:val="20"/>
          <w:lang w:val="en-US"/>
        </w:rPr>
        <w:t>June 30</w:t>
      </w:r>
      <w:r>
        <w:rPr>
          <w:rFonts w:ascii="Times New Roman" w:eastAsia="Times New Roman" w:hAnsi="Times New Roman" w:cs="Times New Roman"/>
          <w:sz w:val="20"/>
          <w:szCs w:val="20"/>
          <w:lang w:val="en-US"/>
        </w:rPr>
        <w:t xml:space="preserve">, 2022, </w:t>
      </w:r>
      <w:r w:rsidR="006A418B" w:rsidRPr="00CA4239">
        <w:rPr>
          <w:rFonts w:ascii="Times New Roman" w:eastAsia="Times New Roman" w:hAnsi="Times New Roman" w:cs="Times New Roman"/>
          <w:sz w:val="20"/>
          <w:szCs w:val="20"/>
          <w:lang w:val="en-US"/>
        </w:rPr>
        <w:t>50,000</w:t>
      </w:r>
      <w:r w:rsidR="006A418B" w:rsidRPr="00E90916">
        <w:rPr>
          <w:rFonts w:ascii="Times New Roman" w:eastAsia="Times New Roman" w:hAnsi="Times New Roman" w:cs="Times New Roman"/>
          <w:sz w:val="20"/>
          <w:szCs w:val="20"/>
          <w:lang w:val="en-US"/>
        </w:rPr>
        <w:t xml:space="preserve"> common </w:t>
      </w:r>
      <w:proofErr w:type="gramStart"/>
      <w:r w:rsidR="006A418B" w:rsidRPr="00E90916">
        <w:rPr>
          <w:rFonts w:ascii="Times New Roman" w:eastAsia="Times New Roman" w:hAnsi="Times New Roman" w:cs="Times New Roman"/>
          <w:sz w:val="20"/>
          <w:szCs w:val="20"/>
          <w:lang w:val="en-US"/>
        </w:rPr>
        <w:t>stock</w:t>
      </w:r>
      <w:proofErr w:type="gramEnd"/>
      <w:r w:rsidR="006A418B" w:rsidRPr="00E90916">
        <w:rPr>
          <w:rFonts w:ascii="Times New Roman" w:eastAsia="Times New Roman" w:hAnsi="Times New Roman" w:cs="Times New Roman"/>
          <w:sz w:val="20"/>
          <w:szCs w:val="20"/>
          <w:lang w:val="en-US"/>
        </w:rPr>
        <w:t xml:space="preserve"> </w:t>
      </w:r>
      <w:r w:rsidR="00193202" w:rsidRPr="00E90916">
        <w:rPr>
          <w:rFonts w:ascii="Times New Roman" w:eastAsia="Times New Roman" w:hAnsi="Times New Roman" w:cs="Times New Roman"/>
          <w:sz w:val="20"/>
          <w:szCs w:val="20"/>
          <w:lang w:val="en-US"/>
        </w:rPr>
        <w:t>valued at $</w:t>
      </w:r>
      <w:r w:rsidR="00193202" w:rsidRPr="00CA4239">
        <w:rPr>
          <w:rFonts w:ascii="Times New Roman" w:eastAsia="Times New Roman" w:hAnsi="Times New Roman" w:cs="Times New Roman"/>
          <w:sz w:val="20"/>
          <w:szCs w:val="20"/>
          <w:lang w:val="en-US"/>
        </w:rPr>
        <w:t>7,450</w:t>
      </w:r>
      <w:r w:rsidR="00193202" w:rsidRPr="00E90916">
        <w:rPr>
          <w:rFonts w:ascii="Times New Roman" w:eastAsia="Times New Roman" w:hAnsi="Times New Roman" w:cs="Times New Roman"/>
          <w:sz w:val="20"/>
          <w:szCs w:val="20"/>
          <w:lang w:val="en-US"/>
        </w:rPr>
        <w:t xml:space="preserve"> </w:t>
      </w:r>
      <w:r w:rsidR="00193202">
        <w:rPr>
          <w:rFonts w:ascii="Times New Roman" w:eastAsia="Times New Roman" w:hAnsi="Times New Roman" w:cs="Times New Roman"/>
          <w:sz w:val="20"/>
          <w:szCs w:val="20"/>
          <w:lang w:val="en-US"/>
        </w:rPr>
        <w:t xml:space="preserve">relating to the </w:t>
      </w:r>
      <w:r w:rsidR="00AC29D4">
        <w:rPr>
          <w:rFonts w:ascii="Times New Roman" w:eastAsia="Times New Roman" w:hAnsi="Times New Roman" w:cs="Times New Roman"/>
          <w:sz w:val="20"/>
          <w:szCs w:val="20"/>
          <w:lang w:val="en-US"/>
        </w:rPr>
        <w:t>vested</w:t>
      </w:r>
      <w:r w:rsidR="00193202">
        <w:rPr>
          <w:rFonts w:ascii="Times New Roman" w:eastAsia="Times New Roman" w:hAnsi="Times New Roman" w:cs="Times New Roman"/>
          <w:sz w:val="20"/>
          <w:szCs w:val="20"/>
          <w:lang w:val="en-US"/>
        </w:rPr>
        <w:t xml:space="preserve"> </w:t>
      </w:r>
      <w:r w:rsidR="00193202" w:rsidRPr="00CA4239">
        <w:rPr>
          <w:rFonts w:ascii="Times New Roman" w:eastAsia="Times New Roman" w:hAnsi="Times New Roman" w:cs="Times New Roman"/>
          <w:sz w:val="20"/>
          <w:szCs w:val="20"/>
          <w:lang w:val="en-US"/>
        </w:rPr>
        <w:t>50,000</w:t>
      </w:r>
      <w:r w:rsidR="00193202" w:rsidRPr="00E90916">
        <w:rPr>
          <w:rFonts w:ascii="Times New Roman" w:eastAsia="Times New Roman" w:hAnsi="Times New Roman" w:cs="Times New Roman"/>
          <w:sz w:val="20"/>
          <w:szCs w:val="20"/>
          <w:lang w:val="en-US"/>
        </w:rPr>
        <w:t xml:space="preserve"> RSUs</w:t>
      </w:r>
      <w:r w:rsidRPr="00E90916">
        <w:rPr>
          <w:rFonts w:ascii="Times New Roman" w:eastAsia="Times New Roman" w:hAnsi="Times New Roman" w:cs="Times New Roman"/>
          <w:sz w:val="20"/>
          <w:szCs w:val="20"/>
          <w:lang w:val="en-US"/>
        </w:rPr>
        <w:t xml:space="preserve"> during</w:t>
      </w:r>
      <w:r>
        <w:rPr>
          <w:rFonts w:ascii="Times New Roman" w:eastAsia="Times New Roman" w:hAnsi="Times New Roman" w:cs="Times New Roman"/>
          <w:sz w:val="20"/>
          <w:szCs w:val="20"/>
          <w:lang w:val="en-US"/>
        </w:rPr>
        <w:t xml:space="preserve"> the year ended December 31, 2021,</w:t>
      </w:r>
      <w:r w:rsidRPr="00E9091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were issued</w:t>
      </w:r>
      <w:r w:rsidR="00462EC0">
        <w:rPr>
          <w:rFonts w:ascii="Times New Roman" w:eastAsia="Times New Roman" w:hAnsi="Times New Roman" w:cs="Times New Roman"/>
          <w:sz w:val="20"/>
          <w:szCs w:val="20"/>
          <w:lang w:val="en-US"/>
        </w:rPr>
        <w:t xml:space="preserve"> (Note 13)</w:t>
      </w:r>
      <w:r w:rsidR="00193202">
        <w:rPr>
          <w:rFonts w:ascii="Times New Roman" w:eastAsia="Times New Roman" w:hAnsi="Times New Roman" w:cs="Times New Roman"/>
          <w:sz w:val="20"/>
          <w:szCs w:val="20"/>
          <w:lang w:val="en-US"/>
        </w:rPr>
        <w:t>.</w:t>
      </w:r>
    </w:p>
    <w:p w14:paraId="1F23EAD3" w14:textId="77777777" w:rsidR="00D2099E" w:rsidRP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FF45687" w14:textId="48DC8F80" w:rsidR="00D2099E" w:rsidRDefault="00D2099E" w:rsidP="00D2099E">
      <w:pPr>
        <w:spacing w:after="0" w:line="240" w:lineRule="auto"/>
        <w:ind w:left="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For the </w:t>
      </w:r>
      <w:r w:rsidR="009A6146">
        <w:rPr>
          <w:rFonts w:ascii="Times New Roman" w:eastAsia="Times New Roman" w:hAnsi="Times New Roman" w:cs="Times New Roman"/>
          <w:sz w:val="20"/>
          <w:szCs w:val="20"/>
          <w:lang w:val="en-US"/>
        </w:rPr>
        <w:t>six</w:t>
      </w:r>
      <w:r w:rsidR="000F3E43">
        <w:rPr>
          <w:rFonts w:ascii="Times New Roman" w:eastAsia="Times New Roman" w:hAnsi="Times New Roman" w:cs="Times New Roman"/>
          <w:sz w:val="20"/>
          <w:szCs w:val="20"/>
          <w:lang w:val="en-US"/>
        </w:rPr>
        <w:t xml:space="preserve"> months ended </w:t>
      </w:r>
      <w:r w:rsidR="009A6146">
        <w:rPr>
          <w:rFonts w:ascii="Times New Roman" w:eastAsia="Times New Roman" w:hAnsi="Times New Roman" w:cs="Times New Roman"/>
          <w:sz w:val="20"/>
          <w:szCs w:val="20"/>
          <w:lang w:val="en-US"/>
        </w:rPr>
        <w:t>June 30</w:t>
      </w:r>
      <w:r w:rsidR="000F3E43">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xml:space="preserve">, the Company </w:t>
      </w:r>
      <w:r w:rsidRPr="00E90916">
        <w:rPr>
          <w:rFonts w:ascii="Times New Roman" w:eastAsia="Times New Roman" w:hAnsi="Times New Roman" w:cs="Times New Roman"/>
          <w:sz w:val="20"/>
          <w:szCs w:val="20"/>
          <w:lang w:val="en-US"/>
        </w:rPr>
        <w:t xml:space="preserve">recognized </w:t>
      </w:r>
      <w:r w:rsidRPr="00CA4239">
        <w:rPr>
          <w:rFonts w:ascii="Times New Roman" w:eastAsia="Times New Roman" w:hAnsi="Times New Roman" w:cs="Times New Roman"/>
          <w:sz w:val="20"/>
          <w:szCs w:val="20"/>
          <w:lang w:val="en-US"/>
        </w:rPr>
        <w:t>$</w:t>
      </w:r>
      <w:r w:rsidR="00E90916" w:rsidRPr="00E90916">
        <w:rPr>
          <w:rFonts w:ascii="Times New Roman" w:eastAsia="Times New Roman" w:hAnsi="Times New Roman" w:cs="Times New Roman"/>
          <w:sz w:val="20"/>
          <w:szCs w:val="20"/>
          <w:lang w:val="en-US"/>
        </w:rPr>
        <w:t>84,721</w:t>
      </w:r>
      <w:r w:rsidRPr="00193202">
        <w:rPr>
          <w:rFonts w:ascii="Times New Roman" w:eastAsia="Times New Roman" w:hAnsi="Times New Roman" w:cs="Times New Roman"/>
          <w:sz w:val="20"/>
          <w:szCs w:val="20"/>
          <w:lang w:val="en-US"/>
        </w:rPr>
        <w:t xml:space="preserve"> (</w:t>
      </w:r>
      <w:r w:rsidRPr="00D2099E">
        <w:rPr>
          <w:rFonts w:ascii="Times New Roman" w:eastAsia="Times New Roman" w:hAnsi="Times New Roman" w:cs="Times New Roman"/>
          <w:sz w:val="20"/>
          <w:szCs w:val="20"/>
          <w:lang w:val="en-US"/>
        </w:rPr>
        <w:t>202</w:t>
      </w:r>
      <w:r w:rsidR="00E90916">
        <w:rPr>
          <w:rFonts w:ascii="Times New Roman" w:eastAsia="Times New Roman" w:hAnsi="Times New Roman" w:cs="Times New Roman"/>
          <w:sz w:val="20"/>
          <w:szCs w:val="20"/>
          <w:lang w:val="en-US"/>
        </w:rPr>
        <w:t>1</w:t>
      </w:r>
      <w:r w:rsidRPr="00D2099E">
        <w:rPr>
          <w:rFonts w:ascii="Times New Roman" w:eastAsia="Times New Roman" w:hAnsi="Times New Roman" w:cs="Times New Roman"/>
          <w:sz w:val="20"/>
          <w:szCs w:val="20"/>
          <w:lang w:val="en-US"/>
        </w:rPr>
        <w:t xml:space="preserve"> - $</w:t>
      </w:r>
      <w:r w:rsidR="0096653C">
        <w:rPr>
          <w:rFonts w:ascii="Times New Roman" w:eastAsia="Times New Roman" w:hAnsi="Times New Roman" w:cs="Times New Roman"/>
          <w:sz w:val="20"/>
          <w:szCs w:val="20"/>
          <w:lang w:val="en-US"/>
        </w:rPr>
        <w:t>36,900</w:t>
      </w:r>
      <w:r w:rsidRPr="00D2099E">
        <w:rPr>
          <w:rFonts w:ascii="Times New Roman" w:eastAsia="Times New Roman" w:hAnsi="Times New Roman" w:cs="Times New Roman"/>
          <w:sz w:val="20"/>
          <w:szCs w:val="20"/>
          <w:lang w:val="en-US"/>
        </w:rPr>
        <w:t>) in stock-based compensation expense for RSUs granted and vested</w:t>
      </w:r>
      <w:r w:rsidR="00C940FE">
        <w:rPr>
          <w:rFonts w:ascii="Times New Roman" w:eastAsia="Times New Roman" w:hAnsi="Times New Roman" w:cs="Times New Roman"/>
          <w:sz w:val="20"/>
          <w:szCs w:val="20"/>
          <w:lang w:val="en-US"/>
        </w:rPr>
        <w:t xml:space="preserve"> (Note 13)</w:t>
      </w:r>
      <w:r w:rsidRPr="00D2099E">
        <w:rPr>
          <w:rFonts w:ascii="Times New Roman" w:eastAsia="Times New Roman" w:hAnsi="Times New Roman" w:cs="Times New Roman"/>
          <w:sz w:val="20"/>
          <w:szCs w:val="20"/>
          <w:lang w:val="en-US"/>
        </w:rPr>
        <w:t xml:space="preserve">. </w:t>
      </w:r>
      <w:proofErr w:type="gramStart"/>
      <w:r w:rsidRPr="00D2099E">
        <w:rPr>
          <w:rFonts w:ascii="Times New Roman" w:eastAsia="Times New Roman" w:hAnsi="Times New Roman" w:cs="Times New Roman"/>
          <w:sz w:val="20"/>
          <w:szCs w:val="20"/>
          <w:lang w:val="en-US"/>
        </w:rPr>
        <w:t>At</w:t>
      </w:r>
      <w:proofErr w:type="gramEnd"/>
      <w:r w:rsidRPr="00D2099E">
        <w:rPr>
          <w:rFonts w:ascii="Times New Roman" w:eastAsia="Times New Roman" w:hAnsi="Times New Roman" w:cs="Times New Roman"/>
          <w:sz w:val="20"/>
          <w:szCs w:val="20"/>
          <w:lang w:val="en-US"/>
        </w:rPr>
        <w:t xml:space="preserve"> </w:t>
      </w:r>
      <w:r w:rsidR="00F0590C">
        <w:rPr>
          <w:rFonts w:ascii="Times New Roman" w:eastAsia="Times New Roman" w:hAnsi="Times New Roman" w:cs="Times New Roman"/>
          <w:sz w:val="20"/>
          <w:szCs w:val="20"/>
          <w:lang w:val="en-US"/>
        </w:rPr>
        <w:t>June 30</w:t>
      </w:r>
      <w:r w:rsidR="000F3E43">
        <w:rPr>
          <w:rFonts w:ascii="Times New Roman" w:eastAsia="Times New Roman" w:hAnsi="Times New Roman" w:cs="Times New Roman"/>
          <w:sz w:val="20"/>
          <w:szCs w:val="20"/>
          <w:lang w:val="en-US"/>
        </w:rPr>
        <w:t>, 2022</w:t>
      </w:r>
      <w:r w:rsidRPr="00D2099E">
        <w:rPr>
          <w:rFonts w:ascii="Times New Roman" w:eastAsia="Times New Roman" w:hAnsi="Times New Roman" w:cs="Times New Roman"/>
          <w:sz w:val="20"/>
          <w:szCs w:val="20"/>
          <w:lang w:val="en-US"/>
        </w:rPr>
        <w:t xml:space="preserve"> and 202</w:t>
      </w:r>
      <w:r w:rsidR="000F3E43">
        <w:rPr>
          <w:rFonts w:ascii="Times New Roman" w:eastAsia="Times New Roman" w:hAnsi="Times New Roman" w:cs="Times New Roman"/>
          <w:sz w:val="20"/>
          <w:szCs w:val="20"/>
          <w:lang w:val="en-US"/>
        </w:rPr>
        <w:t>1</w:t>
      </w:r>
      <w:r w:rsidRPr="002D22DB">
        <w:rPr>
          <w:rFonts w:ascii="Times New Roman" w:eastAsia="Times New Roman" w:hAnsi="Times New Roman" w:cs="Times New Roman"/>
          <w:sz w:val="20"/>
          <w:szCs w:val="20"/>
          <w:lang w:val="en-US"/>
        </w:rPr>
        <w:t xml:space="preserve">, </w:t>
      </w:r>
      <w:r w:rsidRPr="00722478">
        <w:rPr>
          <w:rFonts w:ascii="Times New Roman" w:eastAsia="Times New Roman" w:hAnsi="Times New Roman" w:cs="Times New Roman"/>
          <w:sz w:val="20"/>
          <w:szCs w:val="20"/>
          <w:lang w:val="en-US"/>
        </w:rPr>
        <w:t>the Company has no unrecognized compensation expense related to RSUs.</w:t>
      </w:r>
    </w:p>
    <w:p w14:paraId="79A7FE54" w14:textId="418568AE" w:rsidR="00FC7262" w:rsidRDefault="00FC7262" w:rsidP="00D2099E">
      <w:pPr>
        <w:spacing w:after="0" w:line="240" w:lineRule="auto"/>
        <w:ind w:left="360"/>
        <w:jc w:val="both"/>
        <w:rPr>
          <w:rFonts w:ascii="Times New Roman" w:eastAsia="Times New Roman" w:hAnsi="Times New Roman" w:cs="Times New Roman"/>
          <w:sz w:val="20"/>
          <w:szCs w:val="20"/>
          <w:lang w:val="en-US"/>
        </w:rPr>
      </w:pPr>
    </w:p>
    <w:p w14:paraId="360DA2D8" w14:textId="03562005" w:rsidR="00FC7262" w:rsidRDefault="00FC7262" w:rsidP="00D2099E">
      <w:pPr>
        <w:spacing w:after="0" w:line="240" w:lineRule="auto"/>
        <w:ind w:left="360"/>
        <w:jc w:val="both"/>
        <w:rPr>
          <w:rFonts w:ascii="Times New Roman" w:eastAsia="Times New Roman" w:hAnsi="Times New Roman" w:cs="Times New Roman"/>
          <w:sz w:val="20"/>
          <w:szCs w:val="20"/>
          <w:lang w:val="en-US"/>
        </w:rPr>
      </w:pPr>
    </w:p>
    <w:p w14:paraId="1A171252" w14:textId="77777777" w:rsidR="00FC7262" w:rsidRPr="00D2099E" w:rsidRDefault="00FC7262" w:rsidP="00D2099E">
      <w:pPr>
        <w:spacing w:after="0" w:line="240" w:lineRule="auto"/>
        <w:ind w:left="360"/>
        <w:jc w:val="both"/>
        <w:rPr>
          <w:rFonts w:ascii="Times New Roman" w:eastAsia="Times New Roman" w:hAnsi="Times New Roman" w:cs="Times New Roman"/>
          <w:sz w:val="20"/>
          <w:szCs w:val="20"/>
          <w:lang w:val="en-US"/>
        </w:rPr>
      </w:pPr>
    </w:p>
    <w:p w14:paraId="1BA84386" w14:textId="7716F9AF" w:rsid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4775AD21" w14:textId="301D4B12" w:rsidR="00FC7262" w:rsidRDefault="00FC7262" w:rsidP="00D2099E">
      <w:pPr>
        <w:spacing w:after="0" w:line="240" w:lineRule="auto"/>
        <w:jc w:val="both"/>
        <w:rPr>
          <w:rFonts w:ascii="Times New Roman" w:eastAsia="Times New Roman" w:hAnsi="Times New Roman" w:cs="Times New Roman"/>
          <w:sz w:val="20"/>
          <w:szCs w:val="20"/>
          <w:lang w:val="en-US"/>
        </w:rPr>
      </w:pPr>
    </w:p>
    <w:p w14:paraId="6ED5B68C" w14:textId="721FD5FD" w:rsidR="00FC7262" w:rsidRDefault="00FC7262" w:rsidP="00D2099E">
      <w:pPr>
        <w:spacing w:after="0" w:line="240" w:lineRule="auto"/>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FC7262" w:rsidRPr="00CA4239" w14:paraId="375665CD" w14:textId="77777777" w:rsidTr="00B0377E">
        <w:tc>
          <w:tcPr>
            <w:tcW w:w="360" w:type="dxa"/>
            <w:hideMark/>
          </w:tcPr>
          <w:p w14:paraId="755EEC45" w14:textId="77777777" w:rsidR="00FC7262" w:rsidRPr="00CA4239" w:rsidRDefault="00FC7262"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lastRenderedPageBreak/>
              <w:t>1</w:t>
            </w:r>
            <w:r>
              <w:rPr>
                <w:rFonts w:ascii="Times New Roman" w:eastAsia="Times New Roman" w:hAnsi="Times New Roman" w:cs="Times New Roman"/>
                <w:b/>
                <w:bCs/>
                <w:sz w:val="20"/>
                <w:szCs w:val="20"/>
                <w:lang w:val="en-US"/>
              </w:rPr>
              <w:t>6</w:t>
            </w:r>
            <w:r w:rsidRPr="00CA4239">
              <w:rPr>
                <w:rFonts w:ascii="Times New Roman" w:eastAsia="Times New Roman" w:hAnsi="Times New Roman" w:cs="Times New Roman"/>
                <w:b/>
                <w:bCs/>
                <w:sz w:val="20"/>
                <w:szCs w:val="20"/>
                <w:lang w:val="en-US"/>
              </w:rPr>
              <w:t>.</w:t>
            </w:r>
          </w:p>
        </w:tc>
        <w:tc>
          <w:tcPr>
            <w:tcW w:w="0" w:type="auto"/>
            <w:hideMark/>
          </w:tcPr>
          <w:p w14:paraId="559B0688" w14:textId="6D6961C0" w:rsidR="00FC7262" w:rsidRPr="00CA4239" w:rsidRDefault="00FC7262" w:rsidP="00B0377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Restricted Stock Units</w:t>
            </w:r>
            <w:r>
              <w:rPr>
                <w:rFonts w:ascii="Times New Roman" w:eastAsia="Times New Roman" w:hAnsi="Times New Roman" w:cs="Times New Roman"/>
                <w:b/>
                <w:bCs/>
                <w:sz w:val="20"/>
                <w:szCs w:val="20"/>
                <w:lang w:val="en-US"/>
              </w:rPr>
              <w:t xml:space="preserve"> (continued)</w:t>
            </w:r>
          </w:p>
        </w:tc>
      </w:tr>
    </w:tbl>
    <w:p w14:paraId="4A614C9C" w14:textId="77777777" w:rsidR="00FC7262" w:rsidRPr="00D2099E" w:rsidRDefault="00FC7262" w:rsidP="00D2099E">
      <w:pPr>
        <w:spacing w:after="0" w:line="240" w:lineRule="auto"/>
        <w:jc w:val="both"/>
        <w:rPr>
          <w:rFonts w:ascii="Times New Roman" w:eastAsia="Times New Roman" w:hAnsi="Times New Roman" w:cs="Times New Roman"/>
          <w:sz w:val="20"/>
          <w:szCs w:val="20"/>
          <w:lang w:val="en-US"/>
        </w:rPr>
      </w:pPr>
    </w:p>
    <w:tbl>
      <w:tblPr>
        <w:tblW w:w="4250" w:type="pct"/>
        <w:jc w:val="center"/>
        <w:tblCellMar>
          <w:left w:w="0" w:type="dxa"/>
          <w:right w:w="0" w:type="dxa"/>
        </w:tblCellMar>
        <w:tblLook w:val="04A0" w:firstRow="1" w:lastRow="0" w:firstColumn="1" w:lastColumn="0" w:noHBand="0" w:noVBand="1"/>
      </w:tblPr>
      <w:tblGrid>
        <w:gridCol w:w="4773"/>
        <w:gridCol w:w="156"/>
        <w:gridCol w:w="76"/>
        <w:gridCol w:w="1270"/>
        <w:gridCol w:w="76"/>
        <w:gridCol w:w="156"/>
        <w:gridCol w:w="101"/>
        <w:gridCol w:w="1270"/>
        <w:gridCol w:w="78"/>
      </w:tblGrid>
      <w:tr w:rsidR="00D2099E" w:rsidRPr="00D2099E" w14:paraId="05039002" w14:textId="77777777" w:rsidTr="00D33273">
        <w:trPr>
          <w:jc w:val="center"/>
        </w:trPr>
        <w:tc>
          <w:tcPr>
            <w:tcW w:w="0" w:type="auto"/>
            <w:tcBorders>
              <w:top w:val="single" w:sz="12" w:space="0" w:color="auto"/>
            </w:tcBorders>
            <w:shd w:val="clear" w:color="auto" w:fill="auto"/>
            <w:vAlign w:val="bottom"/>
            <w:hideMark/>
          </w:tcPr>
          <w:p w14:paraId="2133344A"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top w:val="single" w:sz="12" w:space="0" w:color="auto"/>
            </w:tcBorders>
            <w:shd w:val="clear" w:color="auto" w:fill="auto"/>
            <w:tcMar>
              <w:top w:w="0" w:type="dxa"/>
              <w:left w:w="0" w:type="dxa"/>
              <w:bottom w:w="30" w:type="dxa"/>
              <w:right w:w="0" w:type="dxa"/>
            </w:tcMar>
            <w:vAlign w:val="bottom"/>
            <w:hideMark/>
          </w:tcPr>
          <w:p w14:paraId="4469AEBC"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gridSpan w:val="2"/>
            <w:tcBorders>
              <w:top w:val="single" w:sz="12" w:space="0" w:color="auto"/>
              <w:bottom w:val="single" w:sz="12" w:space="0" w:color="000000"/>
            </w:tcBorders>
            <w:shd w:val="clear" w:color="auto" w:fill="auto"/>
            <w:vAlign w:val="bottom"/>
            <w:hideMark/>
          </w:tcPr>
          <w:p w14:paraId="25613073" w14:textId="77777777" w:rsidR="00D2099E" w:rsidRPr="00D2099E" w:rsidRDefault="00D2099E" w:rsidP="00D2099E">
            <w:pPr>
              <w:spacing w:after="0" w:line="240" w:lineRule="auto"/>
              <w:jc w:val="center"/>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Number of</w:t>
            </w:r>
            <w:r w:rsidRPr="00D2099E">
              <w:rPr>
                <w:rFonts w:ascii="Times New Roman" w:eastAsia="Times New Roman" w:hAnsi="Times New Roman" w:cs="Times New Roman"/>
                <w:color w:val="000000"/>
                <w:sz w:val="20"/>
                <w:szCs w:val="20"/>
                <w:lang w:val="en-US"/>
              </w:rPr>
              <w:br/>
              <w:t>restricted</w:t>
            </w:r>
            <w:r w:rsidRPr="00D2099E">
              <w:rPr>
                <w:rFonts w:ascii="Times New Roman" w:eastAsia="Times New Roman" w:hAnsi="Times New Roman" w:cs="Times New Roman"/>
                <w:color w:val="000000"/>
                <w:sz w:val="20"/>
                <w:szCs w:val="20"/>
                <w:lang w:val="en-US"/>
              </w:rPr>
              <w:br/>
              <w:t>stock units</w:t>
            </w:r>
          </w:p>
        </w:tc>
        <w:tc>
          <w:tcPr>
            <w:tcW w:w="0" w:type="auto"/>
            <w:tcBorders>
              <w:top w:val="single" w:sz="12" w:space="0" w:color="auto"/>
            </w:tcBorders>
            <w:shd w:val="clear" w:color="auto" w:fill="auto"/>
            <w:tcMar>
              <w:top w:w="0" w:type="dxa"/>
              <w:left w:w="0" w:type="dxa"/>
              <w:bottom w:w="30" w:type="dxa"/>
              <w:right w:w="0" w:type="dxa"/>
            </w:tcMar>
            <w:vAlign w:val="bottom"/>
            <w:hideMark/>
          </w:tcPr>
          <w:p w14:paraId="1C8C7090"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top w:val="single" w:sz="12" w:space="0" w:color="auto"/>
            </w:tcBorders>
            <w:shd w:val="clear" w:color="auto" w:fill="auto"/>
            <w:tcMar>
              <w:top w:w="0" w:type="dxa"/>
              <w:left w:w="0" w:type="dxa"/>
              <w:bottom w:w="30" w:type="dxa"/>
              <w:right w:w="0" w:type="dxa"/>
            </w:tcMar>
            <w:vAlign w:val="bottom"/>
            <w:hideMark/>
          </w:tcPr>
          <w:p w14:paraId="52C71469"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gridSpan w:val="2"/>
            <w:tcBorders>
              <w:top w:val="single" w:sz="12" w:space="0" w:color="auto"/>
              <w:bottom w:val="single" w:sz="12" w:space="0" w:color="000000"/>
            </w:tcBorders>
            <w:shd w:val="clear" w:color="auto" w:fill="auto"/>
            <w:vAlign w:val="bottom"/>
            <w:hideMark/>
          </w:tcPr>
          <w:p w14:paraId="3A66E0A7" w14:textId="77777777" w:rsidR="00D2099E" w:rsidRPr="00D2099E" w:rsidRDefault="00D2099E" w:rsidP="00D2099E">
            <w:pPr>
              <w:spacing w:after="0" w:line="240" w:lineRule="auto"/>
              <w:jc w:val="center"/>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Weighted</w:t>
            </w:r>
            <w:r w:rsidRPr="00D2099E">
              <w:rPr>
                <w:rFonts w:ascii="Times New Roman" w:eastAsia="Times New Roman" w:hAnsi="Times New Roman" w:cs="Times New Roman"/>
                <w:color w:val="000000"/>
                <w:sz w:val="20"/>
                <w:szCs w:val="20"/>
                <w:lang w:val="en-US"/>
              </w:rPr>
              <w:br/>
              <w:t>average</w:t>
            </w:r>
            <w:r w:rsidRPr="00D2099E">
              <w:rPr>
                <w:rFonts w:ascii="Times New Roman" w:eastAsia="Times New Roman" w:hAnsi="Times New Roman" w:cs="Times New Roman"/>
                <w:color w:val="000000"/>
                <w:sz w:val="20"/>
                <w:szCs w:val="20"/>
                <w:lang w:val="en-US"/>
              </w:rPr>
              <w:br/>
              <w:t>fair value per</w:t>
            </w:r>
            <w:r w:rsidRPr="00D2099E">
              <w:rPr>
                <w:rFonts w:ascii="Times New Roman" w:eastAsia="Times New Roman" w:hAnsi="Times New Roman" w:cs="Times New Roman"/>
                <w:color w:val="000000"/>
                <w:sz w:val="20"/>
                <w:szCs w:val="20"/>
                <w:lang w:val="en-US"/>
              </w:rPr>
              <w:br/>
              <w:t>award</w:t>
            </w:r>
          </w:p>
        </w:tc>
        <w:tc>
          <w:tcPr>
            <w:tcW w:w="0" w:type="auto"/>
            <w:tcBorders>
              <w:top w:val="single" w:sz="12" w:space="0" w:color="auto"/>
            </w:tcBorders>
            <w:shd w:val="clear" w:color="auto" w:fill="auto"/>
            <w:tcMar>
              <w:top w:w="0" w:type="dxa"/>
              <w:left w:w="0" w:type="dxa"/>
              <w:bottom w:w="30" w:type="dxa"/>
              <w:right w:w="0" w:type="dxa"/>
            </w:tcMar>
            <w:vAlign w:val="bottom"/>
            <w:hideMark/>
          </w:tcPr>
          <w:p w14:paraId="17C53EB6"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r>
      <w:tr w:rsidR="00D2099E" w:rsidRPr="00D2099E" w14:paraId="6DF4E144" w14:textId="77777777" w:rsidTr="00D33273">
        <w:trPr>
          <w:jc w:val="center"/>
        </w:trPr>
        <w:tc>
          <w:tcPr>
            <w:tcW w:w="0" w:type="auto"/>
            <w:shd w:val="clear" w:color="auto" w:fill="auto"/>
            <w:vAlign w:val="bottom"/>
            <w:hideMark/>
          </w:tcPr>
          <w:p w14:paraId="4126166D"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Balance, December 31, 2020</w:t>
            </w:r>
          </w:p>
        </w:tc>
        <w:tc>
          <w:tcPr>
            <w:tcW w:w="0" w:type="auto"/>
            <w:shd w:val="clear" w:color="auto" w:fill="auto"/>
            <w:vAlign w:val="bottom"/>
            <w:hideMark/>
          </w:tcPr>
          <w:p w14:paraId="6D373633"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7A27443A"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4F714F18" w14:textId="77777777" w:rsidR="00D2099E" w:rsidRPr="00D2099E" w:rsidRDefault="00D2099E" w:rsidP="00D2099E">
            <w:pPr>
              <w:spacing w:after="0" w:line="240" w:lineRule="auto"/>
              <w:jc w:val="right"/>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c>
          <w:tcPr>
            <w:tcW w:w="0" w:type="auto"/>
            <w:shd w:val="clear" w:color="auto" w:fill="auto"/>
            <w:vAlign w:val="bottom"/>
            <w:hideMark/>
          </w:tcPr>
          <w:p w14:paraId="48F42675"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59742F11"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593E93D7"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c>
          <w:tcPr>
            <w:tcW w:w="0" w:type="auto"/>
            <w:shd w:val="clear" w:color="auto" w:fill="auto"/>
            <w:vAlign w:val="bottom"/>
            <w:hideMark/>
          </w:tcPr>
          <w:p w14:paraId="50BA71D3" w14:textId="77777777" w:rsidR="00D2099E" w:rsidRPr="00D2099E" w:rsidRDefault="00D2099E" w:rsidP="00D2099E">
            <w:pPr>
              <w:spacing w:after="0" w:line="240" w:lineRule="auto"/>
              <w:jc w:val="right"/>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w:t>
            </w:r>
          </w:p>
        </w:tc>
        <w:tc>
          <w:tcPr>
            <w:tcW w:w="0" w:type="auto"/>
            <w:shd w:val="clear" w:color="auto" w:fill="auto"/>
            <w:vAlign w:val="bottom"/>
            <w:hideMark/>
          </w:tcPr>
          <w:p w14:paraId="1BAD99E0" w14:textId="77777777" w:rsidR="00D2099E" w:rsidRPr="00D2099E" w:rsidRDefault="00D2099E" w:rsidP="00D2099E">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r>
      <w:tr w:rsidR="00D2099E" w:rsidRPr="002D22DB" w14:paraId="5EC49365" w14:textId="77777777" w:rsidTr="00D33273">
        <w:trPr>
          <w:jc w:val="center"/>
        </w:trPr>
        <w:tc>
          <w:tcPr>
            <w:tcW w:w="0" w:type="auto"/>
            <w:shd w:val="clear" w:color="auto" w:fill="auto"/>
            <w:tcMar>
              <w:top w:w="0" w:type="dxa"/>
              <w:left w:w="200" w:type="dxa"/>
              <w:bottom w:w="0" w:type="dxa"/>
              <w:right w:w="0" w:type="dxa"/>
            </w:tcMar>
            <w:vAlign w:val="bottom"/>
            <w:hideMark/>
          </w:tcPr>
          <w:p w14:paraId="6672E510"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Granted</w:t>
            </w:r>
          </w:p>
        </w:tc>
        <w:tc>
          <w:tcPr>
            <w:tcW w:w="0" w:type="auto"/>
            <w:shd w:val="clear" w:color="auto" w:fill="auto"/>
            <w:vAlign w:val="bottom"/>
            <w:hideMark/>
          </w:tcPr>
          <w:p w14:paraId="60CA7E49"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535BB0CD"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7F9A9318" w14:textId="12C18E31" w:rsidR="00D2099E" w:rsidRPr="00722478" w:rsidRDefault="002D22DB" w:rsidP="00D2099E">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1,325</w:t>
            </w:r>
            <w:r w:rsidR="00D2099E" w:rsidRPr="00722478">
              <w:rPr>
                <w:rFonts w:ascii="Times New Roman" w:eastAsia="Times New Roman" w:hAnsi="Times New Roman" w:cs="Times New Roman"/>
                <w:color w:val="000000"/>
                <w:sz w:val="20"/>
                <w:szCs w:val="20"/>
                <w:lang w:val="en-US"/>
              </w:rPr>
              <w:t>,000</w:t>
            </w:r>
          </w:p>
        </w:tc>
        <w:tc>
          <w:tcPr>
            <w:tcW w:w="0" w:type="auto"/>
            <w:shd w:val="clear" w:color="auto" w:fill="auto"/>
            <w:vAlign w:val="bottom"/>
            <w:hideMark/>
          </w:tcPr>
          <w:p w14:paraId="6809EBC3"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5FA69558"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14BC3454"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13302873" w14:textId="26789F1B" w:rsidR="00D2099E" w:rsidRPr="00722478" w:rsidRDefault="00D2099E" w:rsidP="00D2099E">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0.</w:t>
            </w:r>
            <w:r w:rsidR="002D22DB" w:rsidRPr="00722478">
              <w:rPr>
                <w:rFonts w:ascii="Times New Roman" w:eastAsia="Times New Roman" w:hAnsi="Times New Roman" w:cs="Times New Roman"/>
                <w:color w:val="000000"/>
                <w:sz w:val="20"/>
                <w:szCs w:val="20"/>
                <w:lang w:val="en-US"/>
              </w:rPr>
              <w:t>16</w:t>
            </w:r>
          </w:p>
        </w:tc>
        <w:tc>
          <w:tcPr>
            <w:tcW w:w="0" w:type="auto"/>
            <w:shd w:val="clear" w:color="auto" w:fill="auto"/>
            <w:vAlign w:val="bottom"/>
            <w:hideMark/>
          </w:tcPr>
          <w:p w14:paraId="398C8484" w14:textId="77777777" w:rsidR="00D2099E" w:rsidRPr="002D22DB" w:rsidRDefault="00D2099E" w:rsidP="00D2099E">
            <w:pPr>
              <w:spacing w:after="0" w:line="240" w:lineRule="auto"/>
              <w:jc w:val="both"/>
              <w:rPr>
                <w:rFonts w:ascii="Times New Roman" w:eastAsia="Times New Roman" w:hAnsi="Times New Roman" w:cs="Times New Roman"/>
                <w:color w:val="000000"/>
                <w:sz w:val="20"/>
                <w:szCs w:val="20"/>
                <w:lang w:val="en-US"/>
              </w:rPr>
            </w:pPr>
            <w:r w:rsidRPr="002D22DB">
              <w:rPr>
                <w:rFonts w:ascii="Times New Roman" w:eastAsia="Times New Roman" w:hAnsi="Times New Roman" w:cs="Times New Roman"/>
                <w:color w:val="000000"/>
                <w:sz w:val="20"/>
                <w:szCs w:val="20"/>
                <w:lang w:val="en-US"/>
              </w:rPr>
              <w:t> </w:t>
            </w:r>
          </w:p>
        </w:tc>
      </w:tr>
      <w:tr w:rsidR="00D2099E" w:rsidRPr="002D22DB" w14:paraId="7C914BE7" w14:textId="77777777" w:rsidTr="00D33273">
        <w:trPr>
          <w:jc w:val="center"/>
        </w:trPr>
        <w:tc>
          <w:tcPr>
            <w:tcW w:w="0" w:type="auto"/>
            <w:shd w:val="clear" w:color="auto" w:fill="auto"/>
            <w:tcMar>
              <w:top w:w="0" w:type="dxa"/>
              <w:left w:w="200" w:type="dxa"/>
              <w:bottom w:w="30" w:type="dxa"/>
              <w:right w:w="0" w:type="dxa"/>
            </w:tcMar>
            <w:vAlign w:val="bottom"/>
            <w:hideMark/>
          </w:tcPr>
          <w:p w14:paraId="3657628F"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Vested</w:t>
            </w:r>
          </w:p>
        </w:tc>
        <w:tc>
          <w:tcPr>
            <w:tcW w:w="0" w:type="auto"/>
            <w:shd w:val="clear" w:color="auto" w:fill="auto"/>
            <w:tcMar>
              <w:top w:w="0" w:type="dxa"/>
              <w:left w:w="0" w:type="dxa"/>
              <w:bottom w:w="30" w:type="dxa"/>
              <w:right w:w="0" w:type="dxa"/>
            </w:tcMar>
            <w:vAlign w:val="bottom"/>
            <w:hideMark/>
          </w:tcPr>
          <w:p w14:paraId="516CCBC2"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tcBorders>
              <w:bottom w:val="single" w:sz="12" w:space="0" w:color="000000"/>
            </w:tcBorders>
            <w:shd w:val="clear" w:color="auto" w:fill="auto"/>
            <w:vAlign w:val="bottom"/>
            <w:hideMark/>
          </w:tcPr>
          <w:p w14:paraId="55D1BA13"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tcBorders>
              <w:bottom w:val="single" w:sz="12" w:space="0" w:color="000000"/>
            </w:tcBorders>
            <w:shd w:val="clear" w:color="auto" w:fill="auto"/>
            <w:vAlign w:val="bottom"/>
            <w:hideMark/>
          </w:tcPr>
          <w:p w14:paraId="69DC5A9E" w14:textId="7C7C9636" w:rsidR="00D2099E" w:rsidRPr="00722478" w:rsidRDefault="00D2099E" w:rsidP="00D2099E">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(1</w:t>
            </w:r>
            <w:r w:rsidR="002D22DB" w:rsidRPr="00722478">
              <w:rPr>
                <w:rFonts w:ascii="Times New Roman" w:eastAsia="Times New Roman" w:hAnsi="Times New Roman" w:cs="Times New Roman"/>
                <w:color w:val="000000"/>
                <w:sz w:val="20"/>
                <w:szCs w:val="20"/>
                <w:lang w:val="en-US"/>
              </w:rPr>
              <w:t>,325</w:t>
            </w:r>
            <w:r w:rsidRPr="00722478">
              <w:rPr>
                <w:rFonts w:ascii="Times New Roman" w:eastAsia="Times New Roman" w:hAnsi="Times New Roman" w:cs="Times New Roman"/>
                <w:color w:val="000000"/>
                <w:sz w:val="20"/>
                <w:szCs w:val="20"/>
                <w:lang w:val="en-US"/>
              </w:rPr>
              <w:t>,000</w:t>
            </w:r>
          </w:p>
        </w:tc>
        <w:tc>
          <w:tcPr>
            <w:tcW w:w="0" w:type="auto"/>
            <w:shd w:val="clear" w:color="auto" w:fill="auto"/>
            <w:tcMar>
              <w:top w:w="0" w:type="dxa"/>
              <w:left w:w="0" w:type="dxa"/>
              <w:bottom w:w="30" w:type="dxa"/>
              <w:right w:w="0" w:type="dxa"/>
            </w:tcMar>
            <w:vAlign w:val="bottom"/>
            <w:hideMark/>
          </w:tcPr>
          <w:p w14:paraId="458D58EF"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w:t>
            </w:r>
          </w:p>
        </w:tc>
        <w:tc>
          <w:tcPr>
            <w:tcW w:w="0" w:type="auto"/>
            <w:shd w:val="clear" w:color="auto" w:fill="auto"/>
            <w:tcMar>
              <w:top w:w="0" w:type="dxa"/>
              <w:left w:w="0" w:type="dxa"/>
              <w:bottom w:w="30" w:type="dxa"/>
              <w:right w:w="0" w:type="dxa"/>
            </w:tcMar>
            <w:vAlign w:val="bottom"/>
            <w:hideMark/>
          </w:tcPr>
          <w:p w14:paraId="5A999420"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tcBorders>
              <w:bottom w:val="single" w:sz="12" w:space="0" w:color="000000"/>
            </w:tcBorders>
            <w:shd w:val="clear" w:color="auto" w:fill="auto"/>
            <w:vAlign w:val="bottom"/>
            <w:hideMark/>
          </w:tcPr>
          <w:p w14:paraId="50D47E85"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tcBorders>
              <w:bottom w:val="single" w:sz="12" w:space="0" w:color="000000"/>
            </w:tcBorders>
            <w:shd w:val="clear" w:color="auto" w:fill="auto"/>
            <w:vAlign w:val="bottom"/>
            <w:hideMark/>
          </w:tcPr>
          <w:p w14:paraId="03068791" w14:textId="529B99CA" w:rsidR="00D2099E" w:rsidRPr="00722478" w:rsidRDefault="00D2099E" w:rsidP="00D2099E">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0.</w:t>
            </w:r>
            <w:r w:rsidR="002D22DB" w:rsidRPr="00722478">
              <w:rPr>
                <w:rFonts w:ascii="Times New Roman" w:eastAsia="Times New Roman" w:hAnsi="Times New Roman" w:cs="Times New Roman"/>
                <w:color w:val="000000"/>
                <w:sz w:val="20"/>
                <w:szCs w:val="20"/>
                <w:lang w:val="en-US"/>
              </w:rPr>
              <w:t>16</w:t>
            </w:r>
          </w:p>
        </w:tc>
        <w:tc>
          <w:tcPr>
            <w:tcW w:w="0" w:type="auto"/>
            <w:shd w:val="clear" w:color="auto" w:fill="auto"/>
            <w:tcMar>
              <w:top w:w="0" w:type="dxa"/>
              <w:left w:w="0" w:type="dxa"/>
              <w:bottom w:w="30" w:type="dxa"/>
              <w:right w:w="0" w:type="dxa"/>
            </w:tcMar>
            <w:vAlign w:val="bottom"/>
            <w:hideMark/>
          </w:tcPr>
          <w:p w14:paraId="2C8B7196" w14:textId="77777777" w:rsidR="00D2099E" w:rsidRPr="002D22DB" w:rsidRDefault="00D2099E" w:rsidP="00D2099E">
            <w:pPr>
              <w:spacing w:after="0" w:line="240" w:lineRule="auto"/>
              <w:jc w:val="both"/>
              <w:rPr>
                <w:rFonts w:ascii="Times New Roman" w:eastAsia="Times New Roman" w:hAnsi="Times New Roman" w:cs="Times New Roman"/>
                <w:color w:val="000000"/>
                <w:sz w:val="20"/>
                <w:szCs w:val="20"/>
                <w:lang w:val="en-US"/>
              </w:rPr>
            </w:pPr>
            <w:r w:rsidRPr="002D22DB">
              <w:rPr>
                <w:rFonts w:ascii="Times New Roman" w:eastAsia="Times New Roman" w:hAnsi="Times New Roman" w:cs="Times New Roman"/>
                <w:color w:val="000000"/>
                <w:sz w:val="20"/>
                <w:szCs w:val="20"/>
                <w:lang w:val="en-US"/>
              </w:rPr>
              <w:t> </w:t>
            </w:r>
          </w:p>
        </w:tc>
      </w:tr>
      <w:tr w:rsidR="00D2099E" w:rsidRPr="002D22DB" w14:paraId="19C53E9E" w14:textId="77777777" w:rsidTr="00D33273">
        <w:trPr>
          <w:jc w:val="center"/>
        </w:trPr>
        <w:tc>
          <w:tcPr>
            <w:tcW w:w="0" w:type="auto"/>
            <w:shd w:val="clear" w:color="auto" w:fill="auto"/>
            <w:tcMar>
              <w:top w:w="0" w:type="dxa"/>
              <w:left w:w="0" w:type="dxa"/>
              <w:bottom w:w="30" w:type="dxa"/>
              <w:right w:w="0" w:type="dxa"/>
            </w:tcMar>
            <w:vAlign w:val="bottom"/>
            <w:hideMark/>
          </w:tcPr>
          <w:p w14:paraId="6D19C78A"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Balance, December 31, 2021</w:t>
            </w:r>
          </w:p>
        </w:tc>
        <w:tc>
          <w:tcPr>
            <w:tcW w:w="0" w:type="auto"/>
            <w:shd w:val="clear" w:color="auto" w:fill="auto"/>
            <w:tcMar>
              <w:top w:w="0" w:type="dxa"/>
              <w:left w:w="0" w:type="dxa"/>
              <w:bottom w:w="30" w:type="dxa"/>
              <w:right w:w="0" w:type="dxa"/>
            </w:tcMar>
            <w:vAlign w:val="bottom"/>
            <w:hideMark/>
          </w:tcPr>
          <w:p w14:paraId="1108E542"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1D4FCCA7"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196AD493" w14:textId="77777777" w:rsidR="00D2099E" w:rsidRPr="00722478" w:rsidRDefault="00D2099E" w:rsidP="00D2099E">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w:t>
            </w:r>
          </w:p>
        </w:tc>
        <w:tc>
          <w:tcPr>
            <w:tcW w:w="0" w:type="auto"/>
            <w:shd w:val="clear" w:color="auto" w:fill="auto"/>
            <w:tcMar>
              <w:top w:w="0" w:type="dxa"/>
              <w:left w:w="0" w:type="dxa"/>
              <w:bottom w:w="30" w:type="dxa"/>
              <w:right w:w="0" w:type="dxa"/>
            </w:tcMar>
            <w:vAlign w:val="bottom"/>
            <w:hideMark/>
          </w:tcPr>
          <w:p w14:paraId="3269BDD5" w14:textId="77777777" w:rsidR="00D2099E" w:rsidRPr="00722478" w:rsidRDefault="00D2099E" w:rsidP="00D2099E">
            <w:pPr>
              <w:spacing w:after="0" w:line="240" w:lineRule="auto"/>
              <w:jc w:val="right"/>
              <w:rPr>
                <w:rFonts w:ascii="Times New Roman" w:eastAsia="Times New Roman" w:hAnsi="Times New Roman" w:cs="Times New Roman"/>
                <w:color w:val="000000"/>
                <w:sz w:val="20"/>
                <w:szCs w:val="20"/>
                <w:lang w:val="en-US"/>
              </w:rPr>
            </w:pPr>
          </w:p>
        </w:tc>
        <w:tc>
          <w:tcPr>
            <w:tcW w:w="0" w:type="auto"/>
            <w:shd w:val="clear" w:color="auto" w:fill="auto"/>
            <w:tcMar>
              <w:top w:w="0" w:type="dxa"/>
              <w:left w:w="0" w:type="dxa"/>
              <w:bottom w:w="30" w:type="dxa"/>
              <w:right w:w="0" w:type="dxa"/>
            </w:tcMar>
            <w:vAlign w:val="bottom"/>
            <w:hideMark/>
          </w:tcPr>
          <w:p w14:paraId="1DA45139"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43CCBE11" w14:textId="77777777" w:rsidR="00D2099E" w:rsidRPr="00722478" w:rsidRDefault="00D2099E" w:rsidP="00D2099E">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shd w:val="clear" w:color="auto" w:fill="auto"/>
            <w:vAlign w:val="bottom"/>
            <w:hideMark/>
          </w:tcPr>
          <w:p w14:paraId="20A45B28" w14:textId="77777777" w:rsidR="00D2099E" w:rsidRPr="00722478" w:rsidRDefault="00D2099E" w:rsidP="00D2099E">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w:t>
            </w:r>
          </w:p>
        </w:tc>
        <w:tc>
          <w:tcPr>
            <w:tcW w:w="0" w:type="auto"/>
            <w:shd w:val="clear" w:color="auto" w:fill="auto"/>
            <w:tcMar>
              <w:top w:w="0" w:type="dxa"/>
              <w:left w:w="0" w:type="dxa"/>
              <w:bottom w:w="30" w:type="dxa"/>
              <w:right w:w="0" w:type="dxa"/>
            </w:tcMar>
            <w:vAlign w:val="bottom"/>
            <w:hideMark/>
          </w:tcPr>
          <w:p w14:paraId="5C49E439" w14:textId="77777777" w:rsidR="00D2099E" w:rsidRPr="002D22DB" w:rsidRDefault="00D2099E" w:rsidP="00D2099E">
            <w:pPr>
              <w:spacing w:after="0" w:line="240" w:lineRule="auto"/>
              <w:jc w:val="right"/>
              <w:rPr>
                <w:rFonts w:ascii="Times New Roman" w:eastAsia="Times New Roman" w:hAnsi="Times New Roman" w:cs="Times New Roman"/>
                <w:color w:val="000000"/>
                <w:sz w:val="20"/>
                <w:szCs w:val="20"/>
                <w:lang w:val="en-US"/>
              </w:rPr>
            </w:pPr>
          </w:p>
        </w:tc>
      </w:tr>
      <w:tr w:rsidR="006405DF" w:rsidRPr="00D2099E" w14:paraId="7B60F185" w14:textId="77777777" w:rsidTr="00D33273">
        <w:trPr>
          <w:jc w:val="center"/>
        </w:trPr>
        <w:tc>
          <w:tcPr>
            <w:tcW w:w="3000" w:type="pct"/>
            <w:shd w:val="clear" w:color="auto" w:fill="auto"/>
            <w:tcMar>
              <w:top w:w="0" w:type="dxa"/>
              <w:left w:w="200" w:type="dxa"/>
              <w:bottom w:w="0" w:type="dxa"/>
              <w:right w:w="0" w:type="dxa"/>
            </w:tcMar>
            <w:vAlign w:val="bottom"/>
            <w:hideMark/>
          </w:tcPr>
          <w:p w14:paraId="569F0EB2" w14:textId="77777777"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Granted</w:t>
            </w:r>
          </w:p>
        </w:tc>
        <w:tc>
          <w:tcPr>
            <w:tcW w:w="98" w:type="pct"/>
            <w:shd w:val="clear" w:color="auto" w:fill="auto"/>
            <w:vAlign w:val="bottom"/>
            <w:hideMark/>
          </w:tcPr>
          <w:p w14:paraId="2F039D41" w14:textId="77777777"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48" w:type="pct"/>
            <w:shd w:val="clear" w:color="auto" w:fill="auto"/>
            <w:vAlign w:val="bottom"/>
            <w:hideMark/>
          </w:tcPr>
          <w:p w14:paraId="38B4913E" w14:textId="77777777"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798" w:type="pct"/>
            <w:shd w:val="clear" w:color="auto" w:fill="auto"/>
            <w:vAlign w:val="bottom"/>
          </w:tcPr>
          <w:p w14:paraId="0234CE12" w14:textId="0F913BE2" w:rsidR="006405DF" w:rsidRPr="00D2099E" w:rsidRDefault="00E90916" w:rsidP="0066308C">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650,000</w:t>
            </w:r>
          </w:p>
        </w:tc>
        <w:tc>
          <w:tcPr>
            <w:tcW w:w="48" w:type="pct"/>
            <w:shd w:val="clear" w:color="auto" w:fill="auto"/>
            <w:vAlign w:val="bottom"/>
          </w:tcPr>
          <w:p w14:paraId="3ED23426" w14:textId="6BDA61C1"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p>
        </w:tc>
        <w:tc>
          <w:tcPr>
            <w:tcW w:w="98" w:type="pct"/>
            <w:shd w:val="clear" w:color="auto" w:fill="auto"/>
            <w:vAlign w:val="bottom"/>
          </w:tcPr>
          <w:p w14:paraId="212764B5" w14:textId="33F8D399"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p>
        </w:tc>
        <w:tc>
          <w:tcPr>
            <w:tcW w:w="63" w:type="pct"/>
            <w:shd w:val="clear" w:color="auto" w:fill="auto"/>
            <w:vAlign w:val="bottom"/>
          </w:tcPr>
          <w:p w14:paraId="7F4F487F" w14:textId="3C2008A7"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p>
        </w:tc>
        <w:tc>
          <w:tcPr>
            <w:tcW w:w="798" w:type="pct"/>
            <w:shd w:val="clear" w:color="auto" w:fill="auto"/>
            <w:vAlign w:val="bottom"/>
          </w:tcPr>
          <w:p w14:paraId="1F9D1AB0" w14:textId="0A46BDF0" w:rsidR="006405DF" w:rsidRPr="00D2099E" w:rsidRDefault="00FD4431" w:rsidP="0066308C">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0.13</w:t>
            </w:r>
          </w:p>
        </w:tc>
        <w:tc>
          <w:tcPr>
            <w:tcW w:w="49" w:type="pct"/>
            <w:shd w:val="clear" w:color="auto" w:fill="auto"/>
            <w:vAlign w:val="bottom"/>
          </w:tcPr>
          <w:p w14:paraId="691590CD" w14:textId="786FD689"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p>
        </w:tc>
      </w:tr>
      <w:tr w:rsidR="006405DF" w:rsidRPr="00D2099E" w14:paraId="3908366F" w14:textId="77777777" w:rsidTr="00D33273">
        <w:trPr>
          <w:jc w:val="center"/>
        </w:trPr>
        <w:tc>
          <w:tcPr>
            <w:tcW w:w="0" w:type="auto"/>
            <w:shd w:val="clear" w:color="auto" w:fill="auto"/>
            <w:tcMar>
              <w:top w:w="0" w:type="dxa"/>
              <w:left w:w="200" w:type="dxa"/>
              <w:bottom w:w="30" w:type="dxa"/>
              <w:right w:w="0" w:type="dxa"/>
            </w:tcMar>
            <w:vAlign w:val="bottom"/>
            <w:hideMark/>
          </w:tcPr>
          <w:p w14:paraId="511E6E7B" w14:textId="77777777"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Vested</w:t>
            </w:r>
          </w:p>
        </w:tc>
        <w:tc>
          <w:tcPr>
            <w:tcW w:w="0" w:type="auto"/>
            <w:shd w:val="clear" w:color="auto" w:fill="auto"/>
            <w:tcMar>
              <w:top w:w="0" w:type="dxa"/>
              <w:left w:w="0" w:type="dxa"/>
              <w:bottom w:w="30" w:type="dxa"/>
              <w:right w:w="0" w:type="dxa"/>
            </w:tcMar>
            <w:vAlign w:val="bottom"/>
            <w:hideMark/>
          </w:tcPr>
          <w:p w14:paraId="17814592" w14:textId="77777777"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bottom w:val="single" w:sz="12" w:space="0" w:color="000000"/>
            </w:tcBorders>
            <w:shd w:val="clear" w:color="auto" w:fill="auto"/>
            <w:vAlign w:val="bottom"/>
            <w:hideMark/>
          </w:tcPr>
          <w:p w14:paraId="5556A032" w14:textId="77777777"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bottom w:val="single" w:sz="12" w:space="0" w:color="000000"/>
            </w:tcBorders>
            <w:shd w:val="clear" w:color="auto" w:fill="auto"/>
            <w:vAlign w:val="bottom"/>
          </w:tcPr>
          <w:p w14:paraId="774C73CE" w14:textId="19C6210C" w:rsidR="006405DF" w:rsidRPr="00D2099E" w:rsidRDefault="00E90916" w:rsidP="0066308C">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(650,000</w:t>
            </w:r>
          </w:p>
        </w:tc>
        <w:tc>
          <w:tcPr>
            <w:tcW w:w="0" w:type="auto"/>
            <w:shd w:val="clear" w:color="auto" w:fill="auto"/>
            <w:tcMar>
              <w:top w:w="0" w:type="dxa"/>
              <w:left w:w="0" w:type="dxa"/>
              <w:bottom w:w="30" w:type="dxa"/>
              <w:right w:w="0" w:type="dxa"/>
            </w:tcMar>
            <w:vAlign w:val="bottom"/>
          </w:tcPr>
          <w:p w14:paraId="4B039747" w14:textId="5D9413FC" w:rsidR="006405DF" w:rsidRPr="00D2099E" w:rsidRDefault="00E90916" w:rsidP="0066308C">
            <w:pP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w:t>
            </w:r>
          </w:p>
        </w:tc>
        <w:tc>
          <w:tcPr>
            <w:tcW w:w="0" w:type="auto"/>
            <w:shd w:val="clear" w:color="auto" w:fill="auto"/>
            <w:tcMar>
              <w:top w:w="0" w:type="dxa"/>
              <w:left w:w="0" w:type="dxa"/>
              <w:bottom w:w="30" w:type="dxa"/>
              <w:right w:w="0" w:type="dxa"/>
            </w:tcMar>
            <w:vAlign w:val="bottom"/>
          </w:tcPr>
          <w:p w14:paraId="63CF58EE" w14:textId="50DDA414"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p>
        </w:tc>
        <w:tc>
          <w:tcPr>
            <w:tcW w:w="0" w:type="auto"/>
            <w:tcBorders>
              <w:bottom w:val="single" w:sz="12" w:space="0" w:color="000000"/>
            </w:tcBorders>
            <w:shd w:val="clear" w:color="auto" w:fill="auto"/>
            <w:vAlign w:val="bottom"/>
          </w:tcPr>
          <w:p w14:paraId="24939002" w14:textId="41AE2566"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p>
        </w:tc>
        <w:tc>
          <w:tcPr>
            <w:tcW w:w="0" w:type="auto"/>
            <w:tcBorders>
              <w:bottom w:val="single" w:sz="12" w:space="0" w:color="000000"/>
            </w:tcBorders>
            <w:shd w:val="clear" w:color="auto" w:fill="auto"/>
            <w:vAlign w:val="bottom"/>
          </w:tcPr>
          <w:p w14:paraId="4C0865A2" w14:textId="30DDAA33" w:rsidR="006405DF" w:rsidRPr="00D2099E" w:rsidRDefault="00FD4431" w:rsidP="0066308C">
            <w:pPr>
              <w:spacing w:after="0" w:line="240" w:lineRule="auto"/>
              <w:jc w:val="right"/>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0.13</w:t>
            </w:r>
          </w:p>
        </w:tc>
        <w:tc>
          <w:tcPr>
            <w:tcW w:w="0" w:type="auto"/>
            <w:shd w:val="clear" w:color="auto" w:fill="auto"/>
            <w:tcMar>
              <w:top w:w="0" w:type="dxa"/>
              <w:left w:w="0" w:type="dxa"/>
              <w:bottom w:w="30" w:type="dxa"/>
              <w:right w:w="0" w:type="dxa"/>
            </w:tcMar>
            <w:vAlign w:val="bottom"/>
          </w:tcPr>
          <w:p w14:paraId="792FC792" w14:textId="79F31438" w:rsidR="006405DF" w:rsidRPr="00D2099E" w:rsidRDefault="006405DF" w:rsidP="0066308C">
            <w:pPr>
              <w:spacing w:after="0" w:line="240" w:lineRule="auto"/>
              <w:jc w:val="both"/>
              <w:rPr>
                <w:rFonts w:ascii="Times New Roman" w:eastAsia="Times New Roman" w:hAnsi="Times New Roman" w:cs="Times New Roman"/>
                <w:color w:val="000000"/>
                <w:sz w:val="20"/>
                <w:szCs w:val="20"/>
                <w:lang w:val="en-US"/>
              </w:rPr>
            </w:pPr>
          </w:p>
        </w:tc>
      </w:tr>
      <w:tr w:rsidR="002636D9" w:rsidRPr="00D2099E" w14:paraId="0F562FAE" w14:textId="77777777" w:rsidTr="00D33273">
        <w:trPr>
          <w:jc w:val="center"/>
        </w:trPr>
        <w:tc>
          <w:tcPr>
            <w:tcW w:w="0" w:type="auto"/>
            <w:tcBorders>
              <w:bottom w:val="single" w:sz="12" w:space="0" w:color="auto"/>
            </w:tcBorders>
            <w:shd w:val="clear" w:color="auto" w:fill="auto"/>
            <w:vAlign w:val="bottom"/>
            <w:hideMark/>
          </w:tcPr>
          <w:p w14:paraId="0B1D06AF" w14:textId="507A05FA" w:rsidR="002636D9" w:rsidRPr="00D2099E" w:rsidRDefault="002636D9" w:rsidP="002636D9">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xml:space="preserve">Balance, </w:t>
            </w:r>
            <w:r w:rsidR="00F0590C">
              <w:rPr>
                <w:rFonts w:ascii="Times New Roman" w:eastAsia="Times New Roman" w:hAnsi="Times New Roman" w:cs="Times New Roman"/>
                <w:color w:val="000000"/>
                <w:sz w:val="20"/>
                <w:szCs w:val="20"/>
                <w:lang w:val="en-US"/>
              </w:rPr>
              <w:t>June 30</w:t>
            </w:r>
            <w:r>
              <w:rPr>
                <w:rFonts w:ascii="Times New Roman" w:eastAsia="Times New Roman" w:hAnsi="Times New Roman" w:cs="Times New Roman"/>
                <w:color w:val="000000"/>
                <w:sz w:val="20"/>
                <w:szCs w:val="20"/>
                <w:lang w:val="en-US"/>
              </w:rPr>
              <w:t>, 2022</w:t>
            </w:r>
          </w:p>
        </w:tc>
        <w:tc>
          <w:tcPr>
            <w:tcW w:w="0" w:type="auto"/>
            <w:tcBorders>
              <w:bottom w:val="single" w:sz="12" w:space="0" w:color="auto"/>
            </w:tcBorders>
            <w:shd w:val="clear" w:color="auto" w:fill="auto"/>
            <w:vAlign w:val="bottom"/>
            <w:hideMark/>
          </w:tcPr>
          <w:p w14:paraId="7396308D" w14:textId="77777777" w:rsidR="002636D9" w:rsidRPr="00D2099E" w:rsidRDefault="002636D9" w:rsidP="002636D9">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hideMark/>
          </w:tcPr>
          <w:p w14:paraId="63D18E47" w14:textId="77777777" w:rsidR="002636D9" w:rsidRPr="00D2099E" w:rsidRDefault="002636D9" w:rsidP="002636D9">
            <w:pPr>
              <w:spacing w:after="0" w:line="240" w:lineRule="auto"/>
              <w:jc w:val="both"/>
              <w:rPr>
                <w:rFonts w:ascii="Times New Roman" w:eastAsia="Times New Roman" w:hAnsi="Times New Roman" w:cs="Times New Roman"/>
                <w:color w:val="000000"/>
                <w:sz w:val="20"/>
                <w:szCs w:val="20"/>
                <w:lang w:val="en-US"/>
              </w:rPr>
            </w:pPr>
            <w:r w:rsidRPr="00D2099E">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tcPr>
          <w:p w14:paraId="794C19C6" w14:textId="1D8E01B2" w:rsidR="002636D9" w:rsidRPr="00D2099E" w:rsidRDefault="002636D9" w:rsidP="002636D9">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w:t>
            </w:r>
          </w:p>
        </w:tc>
        <w:tc>
          <w:tcPr>
            <w:tcW w:w="0" w:type="auto"/>
            <w:tcBorders>
              <w:bottom w:val="single" w:sz="12" w:space="0" w:color="auto"/>
            </w:tcBorders>
            <w:shd w:val="clear" w:color="auto" w:fill="auto"/>
            <w:vAlign w:val="bottom"/>
          </w:tcPr>
          <w:p w14:paraId="7785B4EA" w14:textId="3FC14B79" w:rsidR="002636D9" w:rsidRPr="00D2099E" w:rsidRDefault="002636D9" w:rsidP="002636D9">
            <w:pPr>
              <w:spacing w:after="0" w:line="240" w:lineRule="auto"/>
              <w:jc w:val="both"/>
              <w:rPr>
                <w:rFonts w:ascii="Times New Roman" w:eastAsia="Times New Roman" w:hAnsi="Times New Roman" w:cs="Times New Roman"/>
                <w:color w:val="000000"/>
                <w:sz w:val="20"/>
                <w:szCs w:val="20"/>
                <w:lang w:val="en-US"/>
              </w:rPr>
            </w:pPr>
          </w:p>
        </w:tc>
        <w:tc>
          <w:tcPr>
            <w:tcW w:w="0" w:type="auto"/>
            <w:tcBorders>
              <w:bottom w:val="single" w:sz="12" w:space="0" w:color="auto"/>
            </w:tcBorders>
            <w:shd w:val="clear" w:color="auto" w:fill="auto"/>
            <w:vAlign w:val="bottom"/>
          </w:tcPr>
          <w:p w14:paraId="5F7A7C1A" w14:textId="6BE3D471" w:rsidR="002636D9" w:rsidRPr="00D2099E" w:rsidRDefault="002636D9" w:rsidP="002636D9">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tcPr>
          <w:p w14:paraId="78F7DE76" w14:textId="1E59D788" w:rsidR="002636D9" w:rsidRPr="00D2099E" w:rsidRDefault="002636D9" w:rsidP="002636D9">
            <w:pPr>
              <w:spacing w:after="0" w:line="240" w:lineRule="auto"/>
              <w:jc w:val="both"/>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 </w:t>
            </w:r>
          </w:p>
        </w:tc>
        <w:tc>
          <w:tcPr>
            <w:tcW w:w="0" w:type="auto"/>
            <w:tcBorders>
              <w:bottom w:val="single" w:sz="12" w:space="0" w:color="auto"/>
            </w:tcBorders>
            <w:shd w:val="clear" w:color="auto" w:fill="auto"/>
            <w:vAlign w:val="bottom"/>
          </w:tcPr>
          <w:p w14:paraId="581E6015" w14:textId="77AE4635" w:rsidR="002636D9" w:rsidRPr="00D2099E" w:rsidRDefault="002636D9" w:rsidP="002636D9">
            <w:pPr>
              <w:spacing w:after="0" w:line="240" w:lineRule="auto"/>
              <w:jc w:val="right"/>
              <w:rPr>
                <w:rFonts w:ascii="Times New Roman" w:eastAsia="Times New Roman" w:hAnsi="Times New Roman" w:cs="Times New Roman"/>
                <w:color w:val="000000"/>
                <w:sz w:val="20"/>
                <w:szCs w:val="20"/>
                <w:lang w:val="en-US"/>
              </w:rPr>
            </w:pPr>
            <w:r w:rsidRPr="00722478">
              <w:rPr>
                <w:rFonts w:ascii="Times New Roman" w:eastAsia="Times New Roman" w:hAnsi="Times New Roman" w:cs="Times New Roman"/>
                <w:color w:val="000000"/>
                <w:sz w:val="20"/>
                <w:szCs w:val="20"/>
                <w:lang w:val="en-US"/>
              </w:rPr>
              <w:t>–</w:t>
            </w:r>
          </w:p>
        </w:tc>
        <w:tc>
          <w:tcPr>
            <w:tcW w:w="0" w:type="auto"/>
            <w:tcBorders>
              <w:bottom w:val="single" w:sz="12" w:space="0" w:color="auto"/>
            </w:tcBorders>
            <w:shd w:val="clear" w:color="auto" w:fill="auto"/>
            <w:vAlign w:val="bottom"/>
          </w:tcPr>
          <w:p w14:paraId="2058F25A" w14:textId="702EB2DE" w:rsidR="002636D9" w:rsidRPr="00D2099E" w:rsidRDefault="002636D9" w:rsidP="002636D9">
            <w:pPr>
              <w:spacing w:after="0" w:line="240" w:lineRule="auto"/>
              <w:jc w:val="both"/>
              <w:rPr>
                <w:rFonts w:ascii="Times New Roman" w:eastAsia="Times New Roman" w:hAnsi="Times New Roman" w:cs="Times New Roman"/>
                <w:color w:val="000000"/>
                <w:sz w:val="20"/>
                <w:szCs w:val="20"/>
                <w:lang w:val="en-US"/>
              </w:rPr>
            </w:pPr>
          </w:p>
        </w:tc>
      </w:tr>
    </w:tbl>
    <w:p w14:paraId="3EFFFA0E" w14:textId="227EF267" w:rsidR="00D2099E" w:rsidRDefault="00D2099E" w:rsidP="00D2099E">
      <w:pPr>
        <w:spacing w:after="0" w:line="240" w:lineRule="auto"/>
        <w:jc w:val="center"/>
        <w:rPr>
          <w:rFonts w:ascii="Times New Roman" w:eastAsia="Times New Roman" w:hAnsi="Times New Roman" w:cs="Times New Roman"/>
          <w:sz w:val="20"/>
          <w:szCs w:val="20"/>
          <w:lang w:val="en-US"/>
        </w:rPr>
      </w:pPr>
    </w:p>
    <w:p w14:paraId="7B262099" w14:textId="77777777" w:rsidR="002523FD" w:rsidRPr="00D2099E" w:rsidRDefault="002523FD" w:rsidP="00D2099E">
      <w:pPr>
        <w:spacing w:after="0" w:line="240" w:lineRule="auto"/>
        <w:jc w:val="center"/>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2523FD" w:rsidRPr="00670AF0" w14:paraId="515EB0DC" w14:textId="77777777" w:rsidTr="00AE52B2">
        <w:tc>
          <w:tcPr>
            <w:tcW w:w="360" w:type="dxa"/>
            <w:hideMark/>
          </w:tcPr>
          <w:p w14:paraId="2539B610" w14:textId="77777777" w:rsidR="002523FD" w:rsidRPr="00CA4239" w:rsidRDefault="002523FD"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7</w:t>
            </w:r>
            <w:r w:rsidRPr="00CA4239">
              <w:rPr>
                <w:rFonts w:ascii="Times New Roman" w:eastAsia="Times New Roman" w:hAnsi="Times New Roman" w:cs="Times New Roman"/>
                <w:b/>
                <w:bCs/>
                <w:sz w:val="20"/>
                <w:szCs w:val="20"/>
                <w:lang w:val="en-US"/>
              </w:rPr>
              <w:t>.</w:t>
            </w:r>
          </w:p>
        </w:tc>
        <w:tc>
          <w:tcPr>
            <w:tcW w:w="0" w:type="auto"/>
            <w:hideMark/>
          </w:tcPr>
          <w:p w14:paraId="320A54A9" w14:textId="77777777" w:rsidR="002523FD" w:rsidRPr="00CA4239" w:rsidRDefault="002523FD"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Related Party Transactions</w:t>
            </w:r>
          </w:p>
        </w:tc>
      </w:tr>
    </w:tbl>
    <w:p w14:paraId="38B3BD1E" w14:textId="77777777" w:rsidR="002523FD" w:rsidRPr="00CA4239" w:rsidRDefault="002523FD" w:rsidP="002523FD">
      <w:pPr>
        <w:spacing w:after="0" w:line="240" w:lineRule="auto"/>
        <w:jc w:val="both"/>
        <w:rPr>
          <w:rFonts w:ascii="Times New Roman" w:eastAsia="Times New Roman" w:hAnsi="Times New Roman" w:cs="Times New Roman"/>
          <w:sz w:val="20"/>
          <w:szCs w:val="20"/>
          <w:lang w:val="en-US"/>
        </w:rPr>
      </w:pPr>
      <w:r w:rsidRPr="00CA4239">
        <w:rPr>
          <w:rFonts w:ascii="Times New Roman" w:eastAsia="Times New Roman" w:hAnsi="Times New Roman" w:cs="Times New Roman"/>
          <w:sz w:val="20"/>
          <w:szCs w:val="20"/>
          <w:lang w:val="en-US"/>
        </w:rPr>
        <w:t> </w:t>
      </w:r>
    </w:p>
    <w:p w14:paraId="626AEF87" w14:textId="7821DBA7" w:rsidR="002523FD" w:rsidRPr="00D330EB" w:rsidRDefault="002523FD" w:rsidP="002523FD">
      <w:pPr>
        <w:spacing w:after="0" w:line="240" w:lineRule="auto"/>
        <w:ind w:left="360"/>
        <w:jc w:val="both"/>
        <w:rPr>
          <w:rFonts w:ascii="Times New Roman" w:eastAsia="Times New Roman" w:hAnsi="Times New Roman" w:cs="Times New Roman"/>
          <w:sz w:val="20"/>
          <w:szCs w:val="20"/>
          <w:lang w:val="en-US"/>
        </w:rPr>
      </w:pPr>
      <w:proofErr w:type="gramStart"/>
      <w:r w:rsidRPr="00D330EB">
        <w:rPr>
          <w:rFonts w:ascii="Times New Roman" w:eastAsia="Times New Roman" w:hAnsi="Times New Roman" w:cs="Times New Roman"/>
          <w:sz w:val="20"/>
          <w:szCs w:val="20"/>
          <w:lang w:val="en-US"/>
        </w:rPr>
        <w:t>At</w:t>
      </w:r>
      <w:proofErr w:type="gramEnd"/>
      <w:r w:rsidRPr="00D330EB">
        <w:rPr>
          <w:rFonts w:ascii="Times New Roman" w:eastAsia="Times New Roman" w:hAnsi="Times New Roman" w:cs="Times New Roman"/>
          <w:sz w:val="20"/>
          <w:szCs w:val="20"/>
          <w:lang w:val="en-US"/>
        </w:rPr>
        <w:t xml:space="preserve"> </w:t>
      </w:r>
      <w:r w:rsidR="00FC7262" w:rsidRPr="00064A08">
        <w:rPr>
          <w:rFonts w:ascii="Times New Roman" w:eastAsia="Times New Roman" w:hAnsi="Times New Roman" w:cs="Times New Roman"/>
          <w:sz w:val="20"/>
          <w:szCs w:val="20"/>
          <w:lang w:val="en-US"/>
        </w:rPr>
        <w:t>June 30</w:t>
      </w:r>
      <w:r w:rsidRPr="00D330EB">
        <w:rPr>
          <w:rFonts w:ascii="Times New Roman" w:eastAsia="Times New Roman" w:hAnsi="Times New Roman" w:cs="Times New Roman"/>
          <w:sz w:val="20"/>
          <w:szCs w:val="20"/>
          <w:lang w:val="en-US"/>
        </w:rPr>
        <w:t>, 2022, accounts payable and accrued liabilities included $</w:t>
      </w:r>
      <w:r w:rsidR="00FC7262" w:rsidRPr="00064A08">
        <w:rPr>
          <w:rFonts w:ascii="Times New Roman" w:eastAsia="Times New Roman" w:hAnsi="Times New Roman" w:cs="Times New Roman"/>
          <w:sz w:val="20"/>
          <w:szCs w:val="20"/>
          <w:lang w:val="en-US"/>
        </w:rPr>
        <w:t>144,804</w:t>
      </w:r>
      <w:r w:rsidRPr="00D330EB">
        <w:rPr>
          <w:rFonts w:ascii="Times New Roman" w:eastAsia="Times New Roman" w:hAnsi="Times New Roman" w:cs="Times New Roman"/>
          <w:sz w:val="20"/>
          <w:szCs w:val="20"/>
          <w:lang w:val="en-US"/>
        </w:rPr>
        <w:t xml:space="preserve"> (December 31, 2021 - $13,831) due to related parties. The amounts are unsecured, non-interest bearing and due on demand.</w:t>
      </w:r>
    </w:p>
    <w:p w14:paraId="3B7400C2" w14:textId="77777777" w:rsidR="002523FD" w:rsidRPr="00D330EB" w:rsidRDefault="002523FD" w:rsidP="002523FD">
      <w:pPr>
        <w:spacing w:after="0" w:line="240" w:lineRule="auto"/>
        <w:ind w:left="360"/>
        <w:jc w:val="both"/>
        <w:rPr>
          <w:rFonts w:ascii="Times New Roman" w:eastAsia="Times New Roman" w:hAnsi="Times New Roman" w:cs="Times New Roman"/>
          <w:sz w:val="20"/>
          <w:szCs w:val="20"/>
          <w:lang w:val="en-US"/>
        </w:rPr>
      </w:pPr>
      <w:r w:rsidRPr="00D330EB">
        <w:rPr>
          <w:rFonts w:ascii="Times New Roman" w:eastAsia="Times New Roman" w:hAnsi="Times New Roman" w:cs="Times New Roman"/>
          <w:sz w:val="20"/>
          <w:szCs w:val="20"/>
          <w:lang w:val="en-US"/>
        </w:rPr>
        <w:t> </w:t>
      </w:r>
    </w:p>
    <w:p w14:paraId="6C4DEFD6" w14:textId="33A3AF94" w:rsidR="002523FD" w:rsidRPr="00D330EB" w:rsidRDefault="002523FD" w:rsidP="002523FD">
      <w:pPr>
        <w:spacing w:after="0" w:line="240" w:lineRule="auto"/>
        <w:ind w:left="360"/>
        <w:jc w:val="both"/>
        <w:rPr>
          <w:rFonts w:ascii="Times New Roman" w:eastAsia="Times New Roman" w:hAnsi="Times New Roman" w:cs="Times New Roman"/>
          <w:sz w:val="20"/>
          <w:szCs w:val="20"/>
          <w:lang w:val="en-US"/>
        </w:rPr>
      </w:pPr>
      <w:r w:rsidRPr="00D330EB">
        <w:rPr>
          <w:rFonts w:ascii="Times New Roman" w:eastAsia="Times New Roman" w:hAnsi="Times New Roman" w:cs="Times New Roman"/>
          <w:sz w:val="20"/>
          <w:szCs w:val="20"/>
          <w:lang w:val="en-US"/>
        </w:rPr>
        <w:t xml:space="preserve">During the </w:t>
      </w:r>
      <w:r w:rsidR="00FC7262" w:rsidRPr="00064A08">
        <w:rPr>
          <w:rFonts w:ascii="Times New Roman" w:eastAsia="Times New Roman" w:hAnsi="Times New Roman" w:cs="Times New Roman"/>
          <w:sz w:val="20"/>
          <w:szCs w:val="20"/>
          <w:lang w:val="en-US"/>
        </w:rPr>
        <w:t>six</w:t>
      </w:r>
      <w:r w:rsidRPr="00D330EB">
        <w:rPr>
          <w:rFonts w:ascii="Times New Roman" w:eastAsia="Times New Roman" w:hAnsi="Times New Roman" w:cs="Times New Roman"/>
          <w:sz w:val="20"/>
          <w:szCs w:val="20"/>
          <w:lang w:val="en-US"/>
        </w:rPr>
        <w:t xml:space="preserve"> months ended </w:t>
      </w:r>
      <w:r w:rsidR="00FC7262" w:rsidRPr="00064A08">
        <w:rPr>
          <w:rFonts w:ascii="Times New Roman" w:eastAsia="Times New Roman" w:hAnsi="Times New Roman" w:cs="Times New Roman"/>
          <w:sz w:val="20"/>
          <w:szCs w:val="20"/>
          <w:lang w:val="en-US"/>
        </w:rPr>
        <w:t>June 30</w:t>
      </w:r>
      <w:r w:rsidRPr="00D330EB">
        <w:rPr>
          <w:rFonts w:ascii="Times New Roman" w:eastAsia="Times New Roman" w:hAnsi="Times New Roman" w:cs="Times New Roman"/>
          <w:sz w:val="20"/>
          <w:szCs w:val="20"/>
          <w:lang w:val="en-US"/>
        </w:rPr>
        <w:t>, 2022, management fees of $</w:t>
      </w:r>
      <w:r w:rsidR="00BE0A27" w:rsidRPr="00064A08">
        <w:rPr>
          <w:rFonts w:ascii="Times New Roman" w:eastAsia="Times New Roman" w:hAnsi="Times New Roman" w:cs="Times New Roman"/>
          <w:sz w:val="20"/>
          <w:szCs w:val="20"/>
          <w:lang w:val="en-US"/>
        </w:rPr>
        <w:t>463,325</w:t>
      </w:r>
      <w:r w:rsidRPr="00D330EB">
        <w:rPr>
          <w:rFonts w:ascii="Times New Roman" w:eastAsia="Times New Roman" w:hAnsi="Times New Roman" w:cs="Times New Roman"/>
          <w:sz w:val="20"/>
          <w:szCs w:val="20"/>
          <w:lang w:val="en-US"/>
        </w:rPr>
        <w:t xml:space="preserve"> (2021 - $</w:t>
      </w:r>
      <w:r w:rsidR="00D330EB" w:rsidRPr="00064A08">
        <w:rPr>
          <w:rFonts w:ascii="Times New Roman" w:eastAsia="Times New Roman" w:hAnsi="Times New Roman" w:cs="Times New Roman"/>
          <w:sz w:val="20"/>
          <w:szCs w:val="20"/>
          <w:lang w:val="en-US"/>
        </w:rPr>
        <w:t>123,254</w:t>
      </w:r>
      <w:r w:rsidRPr="00D330EB">
        <w:rPr>
          <w:rFonts w:ascii="Times New Roman" w:eastAsia="Times New Roman" w:hAnsi="Times New Roman" w:cs="Times New Roman"/>
          <w:sz w:val="20"/>
          <w:szCs w:val="20"/>
          <w:lang w:val="en-US"/>
        </w:rPr>
        <w:t>) and director fees of $</w:t>
      </w:r>
      <w:r w:rsidR="00D330EB" w:rsidRPr="00064A08">
        <w:rPr>
          <w:rFonts w:ascii="Times New Roman" w:eastAsia="Times New Roman" w:hAnsi="Times New Roman" w:cs="Times New Roman"/>
          <w:sz w:val="20"/>
          <w:szCs w:val="20"/>
          <w:lang w:val="en-US"/>
        </w:rPr>
        <w:t>36,000</w:t>
      </w:r>
      <w:r w:rsidRPr="00D330EB">
        <w:rPr>
          <w:rFonts w:ascii="Times New Roman" w:eastAsia="Times New Roman" w:hAnsi="Times New Roman" w:cs="Times New Roman"/>
          <w:sz w:val="20"/>
          <w:szCs w:val="20"/>
          <w:lang w:val="en-US"/>
        </w:rPr>
        <w:t xml:space="preserve"> (2021 - $</w:t>
      </w:r>
      <w:r w:rsidR="00D330EB" w:rsidRPr="00064A08">
        <w:rPr>
          <w:rFonts w:ascii="Times New Roman" w:eastAsia="Times New Roman" w:hAnsi="Times New Roman" w:cs="Times New Roman"/>
          <w:sz w:val="20"/>
          <w:szCs w:val="20"/>
          <w:lang w:val="en-US"/>
        </w:rPr>
        <w:t>Nil</w:t>
      </w:r>
      <w:r w:rsidRPr="00D330EB">
        <w:rPr>
          <w:rFonts w:ascii="Times New Roman" w:eastAsia="Times New Roman" w:hAnsi="Times New Roman" w:cs="Times New Roman"/>
          <w:sz w:val="20"/>
          <w:szCs w:val="20"/>
          <w:lang w:val="en-US"/>
        </w:rPr>
        <w:t>) were incurred to related parties.</w:t>
      </w:r>
    </w:p>
    <w:p w14:paraId="04F6CB06" w14:textId="77777777" w:rsidR="002523FD" w:rsidRPr="00D330EB" w:rsidRDefault="002523FD" w:rsidP="002523FD">
      <w:pPr>
        <w:spacing w:after="0" w:line="240" w:lineRule="auto"/>
        <w:ind w:left="360"/>
        <w:jc w:val="both"/>
        <w:rPr>
          <w:rFonts w:ascii="Times New Roman" w:eastAsia="Times New Roman" w:hAnsi="Times New Roman" w:cs="Times New Roman"/>
          <w:sz w:val="20"/>
          <w:szCs w:val="20"/>
          <w:lang w:val="en-US"/>
        </w:rPr>
      </w:pPr>
      <w:r w:rsidRPr="00D330EB">
        <w:rPr>
          <w:rFonts w:ascii="Times New Roman" w:eastAsia="Times New Roman" w:hAnsi="Times New Roman" w:cs="Times New Roman"/>
          <w:sz w:val="20"/>
          <w:szCs w:val="20"/>
          <w:lang w:val="en-US"/>
        </w:rPr>
        <w:t> </w:t>
      </w:r>
    </w:p>
    <w:p w14:paraId="0AD75669" w14:textId="68803111" w:rsidR="002523FD" w:rsidRPr="00D330EB" w:rsidRDefault="002523FD" w:rsidP="002523FD">
      <w:pPr>
        <w:spacing w:after="0" w:line="240" w:lineRule="auto"/>
        <w:ind w:left="360"/>
        <w:jc w:val="both"/>
        <w:rPr>
          <w:rFonts w:ascii="Times New Roman" w:eastAsia="Times New Roman" w:hAnsi="Times New Roman" w:cs="Times New Roman"/>
          <w:sz w:val="20"/>
          <w:szCs w:val="20"/>
          <w:lang w:val="en-US"/>
        </w:rPr>
      </w:pPr>
      <w:r w:rsidRPr="00D330EB">
        <w:rPr>
          <w:rFonts w:ascii="Times New Roman" w:eastAsia="Times New Roman" w:hAnsi="Times New Roman" w:cs="Times New Roman"/>
          <w:sz w:val="20"/>
          <w:szCs w:val="20"/>
          <w:lang w:val="en-US"/>
        </w:rPr>
        <w:t xml:space="preserve">During the </w:t>
      </w:r>
      <w:r w:rsidR="00D330EB" w:rsidRPr="00064A08">
        <w:rPr>
          <w:rFonts w:ascii="Times New Roman" w:eastAsia="Times New Roman" w:hAnsi="Times New Roman" w:cs="Times New Roman"/>
          <w:sz w:val="20"/>
          <w:szCs w:val="20"/>
          <w:lang w:val="en-US"/>
        </w:rPr>
        <w:t>six</w:t>
      </w:r>
      <w:r w:rsidRPr="00D330EB">
        <w:rPr>
          <w:rFonts w:ascii="Times New Roman" w:eastAsia="Times New Roman" w:hAnsi="Times New Roman" w:cs="Times New Roman"/>
          <w:sz w:val="20"/>
          <w:szCs w:val="20"/>
          <w:lang w:val="en-US"/>
        </w:rPr>
        <w:t xml:space="preserve"> months ended </w:t>
      </w:r>
      <w:r w:rsidR="00D330EB" w:rsidRPr="00064A08">
        <w:rPr>
          <w:rFonts w:ascii="Times New Roman" w:eastAsia="Times New Roman" w:hAnsi="Times New Roman" w:cs="Times New Roman"/>
          <w:sz w:val="20"/>
          <w:szCs w:val="20"/>
          <w:lang w:val="en-US"/>
        </w:rPr>
        <w:t>June 30</w:t>
      </w:r>
      <w:r w:rsidRPr="00D330EB">
        <w:rPr>
          <w:rFonts w:ascii="Times New Roman" w:eastAsia="Times New Roman" w:hAnsi="Times New Roman" w:cs="Times New Roman"/>
          <w:sz w:val="20"/>
          <w:szCs w:val="20"/>
          <w:lang w:val="en-US"/>
        </w:rPr>
        <w:t>, 2022, the Company issued 2,000,000 (2021 - 1,416,667) units for the settlement of accounts payable owed to related parties in the amount of $242,513 (2021 - $70,833), resulting in no gain or loss.</w:t>
      </w:r>
    </w:p>
    <w:p w14:paraId="021ABA96" w14:textId="77777777" w:rsidR="002523FD" w:rsidRPr="00D330EB" w:rsidRDefault="002523FD" w:rsidP="002523FD">
      <w:pPr>
        <w:spacing w:after="0" w:line="240" w:lineRule="auto"/>
        <w:ind w:left="360"/>
        <w:jc w:val="both"/>
        <w:rPr>
          <w:rFonts w:ascii="Times New Roman" w:eastAsia="Times New Roman" w:hAnsi="Times New Roman" w:cs="Times New Roman"/>
          <w:sz w:val="20"/>
          <w:szCs w:val="20"/>
          <w:lang w:val="en-US"/>
        </w:rPr>
      </w:pPr>
      <w:r w:rsidRPr="00D330EB">
        <w:rPr>
          <w:rFonts w:ascii="Times New Roman" w:eastAsia="Times New Roman" w:hAnsi="Times New Roman" w:cs="Times New Roman"/>
          <w:sz w:val="20"/>
          <w:szCs w:val="20"/>
          <w:lang w:val="en-US"/>
        </w:rPr>
        <w:t> </w:t>
      </w:r>
    </w:p>
    <w:p w14:paraId="5674C80F" w14:textId="79634933" w:rsidR="002523FD" w:rsidRPr="00D330EB" w:rsidRDefault="002523FD" w:rsidP="002523FD">
      <w:pPr>
        <w:spacing w:after="0" w:line="240" w:lineRule="auto"/>
        <w:ind w:left="360"/>
        <w:jc w:val="both"/>
        <w:rPr>
          <w:rFonts w:ascii="Times New Roman" w:eastAsia="Times New Roman" w:hAnsi="Times New Roman" w:cs="Times New Roman"/>
          <w:sz w:val="20"/>
          <w:szCs w:val="20"/>
          <w:lang w:val="en-US"/>
        </w:rPr>
      </w:pPr>
      <w:r w:rsidRPr="00D330EB">
        <w:rPr>
          <w:rFonts w:ascii="Times New Roman" w:eastAsia="Times New Roman" w:hAnsi="Times New Roman" w:cs="Times New Roman"/>
          <w:sz w:val="20"/>
          <w:szCs w:val="20"/>
          <w:lang w:val="en-US"/>
        </w:rPr>
        <w:t xml:space="preserve">During the </w:t>
      </w:r>
      <w:r w:rsidR="00D330EB" w:rsidRPr="00064A08">
        <w:rPr>
          <w:rFonts w:ascii="Times New Roman" w:eastAsia="Times New Roman" w:hAnsi="Times New Roman" w:cs="Times New Roman"/>
          <w:sz w:val="20"/>
          <w:szCs w:val="20"/>
          <w:lang w:val="en-US"/>
        </w:rPr>
        <w:t>six</w:t>
      </w:r>
      <w:r w:rsidRPr="00D330EB">
        <w:rPr>
          <w:rFonts w:ascii="Times New Roman" w:eastAsia="Times New Roman" w:hAnsi="Times New Roman" w:cs="Times New Roman"/>
          <w:sz w:val="20"/>
          <w:szCs w:val="20"/>
          <w:lang w:val="en-US"/>
        </w:rPr>
        <w:t xml:space="preserve"> months ended </w:t>
      </w:r>
      <w:r w:rsidR="00D330EB" w:rsidRPr="00064A08">
        <w:rPr>
          <w:rFonts w:ascii="Times New Roman" w:eastAsia="Times New Roman" w:hAnsi="Times New Roman" w:cs="Times New Roman"/>
          <w:sz w:val="20"/>
          <w:szCs w:val="20"/>
          <w:lang w:val="en-US"/>
        </w:rPr>
        <w:t>June 30</w:t>
      </w:r>
      <w:r w:rsidRPr="00D330EB">
        <w:rPr>
          <w:rFonts w:ascii="Times New Roman" w:eastAsia="Times New Roman" w:hAnsi="Times New Roman" w:cs="Times New Roman"/>
          <w:sz w:val="20"/>
          <w:szCs w:val="20"/>
          <w:lang w:val="en-US"/>
        </w:rPr>
        <w:t>, 2022, the Company issued Nil (2021 - 5,146,667) common shares relating to the exercise of Nil (2021 – 4,476,667) warrants and Nil (2021 – 670,000) options held by related parties. As consideration, the Company entered into promissory note agreements with the related parties for total principal receivable by the Company of $Nil (2021 - $518,820 (CAD$648,078)). Refer to Note 11.</w:t>
      </w:r>
    </w:p>
    <w:p w14:paraId="592BD0CD" w14:textId="77777777" w:rsidR="002523FD" w:rsidRPr="002D7D91" w:rsidRDefault="002523FD" w:rsidP="002523FD">
      <w:pPr>
        <w:spacing w:after="0" w:line="240" w:lineRule="auto"/>
        <w:jc w:val="both"/>
        <w:rPr>
          <w:rFonts w:ascii="Times New Roman" w:eastAsia="Times New Roman" w:hAnsi="Times New Roman" w:cs="Times New Roman"/>
          <w:sz w:val="20"/>
          <w:szCs w:val="20"/>
          <w:lang w:val="en-US"/>
        </w:rPr>
      </w:pPr>
      <w:r w:rsidRPr="002D7D91">
        <w:rPr>
          <w:rFonts w:ascii="Times New Roman" w:eastAsia="Times New Roman" w:hAnsi="Times New Roman" w:cs="Times New Roman"/>
          <w:sz w:val="20"/>
          <w:szCs w:val="20"/>
          <w:lang w:val="en-US"/>
        </w:rPr>
        <w:t> </w:t>
      </w:r>
    </w:p>
    <w:p w14:paraId="00F621CB" w14:textId="067B5D3F" w:rsidR="002523FD" w:rsidRDefault="002523FD" w:rsidP="002523FD">
      <w:pPr>
        <w:spacing w:after="0" w:line="240" w:lineRule="auto"/>
        <w:ind w:left="360"/>
        <w:jc w:val="both"/>
        <w:rPr>
          <w:rFonts w:ascii="Times New Roman" w:eastAsia="Times New Roman" w:hAnsi="Times New Roman" w:cs="Times New Roman"/>
          <w:sz w:val="20"/>
          <w:szCs w:val="20"/>
          <w:lang w:val="en-US"/>
        </w:rPr>
      </w:pPr>
      <w:r w:rsidRPr="002D7D91">
        <w:rPr>
          <w:rFonts w:ascii="Times New Roman" w:eastAsia="Times New Roman" w:hAnsi="Times New Roman" w:cs="Times New Roman"/>
          <w:sz w:val="20"/>
          <w:szCs w:val="20"/>
          <w:lang w:val="en-US"/>
        </w:rPr>
        <w:t xml:space="preserve">As </w:t>
      </w:r>
      <w:proofErr w:type="gramStart"/>
      <w:r w:rsidRPr="002D7D91">
        <w:rPr>
          <w:rFonts w:ascii="Times New Roman" w:eastAsia="Times New Roman" w:hAnsi="Times New Roman" w:cs="Times New Roman"/>
          <w:sz w:val="20"/>
          <w:szCs w:val="20"/>
          <w:lang w:val="en-US"/>
        </w:rPr>
        <w:t>at</w:t>
      </w:r>
      <w:proofErr w:type="gramEnd"/>
      <w:r w:rsidRPr="002D7D91">
        <w:rPr>
          <w:rFonts w:ascii="Times New Roman" w:eastAsia="Times New Roman" w:hAnsi="Times New Roman" w:cs="Times New Roman"/>
          <w:sz w:val="20"/>
          <w:szCs w:val="20"/>
          <w:lang w:val="en-US"/>
        </w:rPr>
        <w:t xml:space="preserve"> </w:t>
      </w:r>
      <w:r w:rsidR="00BE0A27" w:rsidRPr="00064A08">
        <w:rPr>
          <w:rFonts w:ascii="Times New Roman" w:eastAsia="Times New Roman" w:hAnsi="Times New Roman" w:cs="Times New Roman"/>
          <w:sz w:val="20"/>
          <w:szCs w:val="20"/>
          <w:lang w:val="en-US"/>
        </w:rPr>
        <w:t>June 30, 2022</w:t>
      </w:r>
      <w:r w:rsidRPr="002D7D91">
        <w:rPr>
          <w:rFonts w:ascii="Times New Roman" w:eastAsia="Times New Roman" w:hAnsi="Times New Roman" w:cs="Times New Roman"/>
          <w:sz w:val="20"/>
          <w:szCs w:val="20"/>
          <w:lang w:val="en-US"/>
        </w:rPr>
        <w:t>, notes receivable included $5</w:t>
      </w:r>
      <w:r w:rsidR="00D330EB" w:rsidRPr="00064A08">
        <w:rPr>
          <w:rFonts w:ascii="Times New Roman" w:eastAsia="Times New Roman" w:hAnsi="Times New Roman" w:cs="Times New Roman"/>
          <w:sz w:val="20"/>
          <w:szCs w:val="20"/>
          <w:lang w:val="en-US"/>
        </w:rPr>
        <w:t>2</w:t>
      </w:r>
      <w:r w:rsidRPr="002D7D91">
        <w:rPr>
          <w:rFonts w:ascii="Times New Roman" w:eastAsia="Times New Roman" w:hAnsi="Times New Roman" w:cs="Times New Roman"/>
          <w:sz w:val="20"/>
          <w:szCs w:val="20"/>
          <w:lang w:val="en-US"/>
        </w:rPr>
        <w:t>2,</w:t>
      </w:r>
      <w:r w:rsidR="00D330EB" w:rsidRPr="00064A08">
        <w:rPr>
          <w:rFonts w:ascii="Times New Roman" w:eastAsia="Times New Roman" w:hAnsi="Times New Roman" w:cs="Times New Roman"/>
          <w:sz w:val="20"/>
          <w:szCs w:val="20"/>
          <w:lang w:val="en-US"/>
        </w:rPr>
        <w:t>817</w:t>
      </w:r>
      <w:r w:rsidRPr="002D7D91">
        <w:rPr>
          <w:rFonts w:ascii="Times New Roman" w:eastAsia="Times New Roman" w:hAnsi="Times New Roman" w:cs="Times New Roman"/>
          <w:sz w:val="20"/>
          <w:szCs w:val="20"/>
          <w:lang w:val="en-US"/>
        </w:rPr>
        <w:t xml:space="preserve"> (December 31, 2021 - $517,985) due from related parties. The amounts are unsecured, bear interest at 5% per annum and mature between one to two years from grant.</w:t>
      </w:r>
    </w:p>
    <w:p w14:paraId="720FB4C5" w14:textId="10F1AE9E" w:rsidR="00734328" w:rsidRDefault="00734328">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53ADF3F0" w14:textId="01200FB9" w:rsidR="002B2500" w:rsidRDefault="002B2500" w:rsidP="00734328">
      <w:pPr>
        <w:spacing w:after="0" w:line="240" w:lineRule="auto"/>
        <w:ind w:left="360"/>
        <w:jc w:val="both"/>
        <w:rPr>
          <w:rFonts w:ascii="Times New Roman" w:eastAsia="Times New Roman" w:hAnsi="Times New Roman" w:cs="Times New Roman"/>
          <w:sz w:val="20"/>
          <w:szCs w:val="20"/>
          <w:lang w:val="en-US"/>
        </w:rPr>
      </w:pPr>
      <w:bookmarkStart w:id="12" w:name="_Hlk97541605"/>
    </w:p>
    <w:tbl>
      <w:tblPr>
        <w:tblW w:w="5000" w:type="pct"/>
        <w:tblCellMar>
          <w:left w:w="0" w:type="dxa"/>
          <w:right w:w="0" w:type="dxa"/>
        </w:tblCellMar>
        <w:tblLook w:val="04A0" w:firstRow="1" w:lastRow="0" w:firstColumn="1" w:lastColumn="0" w:noHBand="0" w:noVBand="1"/>
      </w:tblPr>
      <w:tblGrid>
        <w:gridCol w:w="360"/>
        <w:gridCol w:w="9000"/>
      </w:tblGrid>
      <w:tr w:rsidR="002B2500" w:rsidRPr="00CA4239" w14:paraId="1CE88BC9" w14:textId="77777777" w:rsidTr="00AE52B2">
        <w:tc>
          <w:tcPr>
            <w:tcW w:w="360" w:type="dxa"/>
            <w:hideMark/>
          </w:tcPr>
          <w:p w14:paraId="7CAAF927" w14:textId="573C3DBE" w:rsidR="002B2500" w:rsidRPr="00CA4239" w:rsidRDefault="002B2500" w:rsidP="00AE52B2">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Pr>
                <w:rFonts w:ascii="Times New Roman" w:eastAsia="Times New Roman" w:hAnsi="Times New Roman" w:cs="Times New Roman"/>
                <w:b/>
                <w:bCs/>
                <w:sz w:val="20"/>
                <w:szCs w:val="20"/>
                <w:lang w:val="en-US"/>
              </w:rPr>
              <w:t>8</w:t>
            </w:r>
            <w:r w:rsidRPr="00CA4239">
              <w:rPr>
                <w:rFonts w:ascii="Times New Roman" w:eastAsia="Times New Roman" w:hAnsi="Times New Roman" w:cs="Times New Roman"/>
                <w:b/>
                <w:bCs/>
                <w:sz w:val="20"/>
                <w:szCs w:val="20"/>
                <w:lang w:val="en-US"/>
              </w:rPr>
              <w:t>.</w:t>
            </w:r>
          </w:p>
        </w:tc>
        <w:tc>
          <w:tcPr>
            <w:tcW w:w="0" w:type="auto"/>
            <w:hideMark/>
          </w:tcPr>
          <w:p w14:paraId="4625382A" w14:textId="3AD70D72" w:rsidR="002B2500" w:rsidRPr="00CA4239" w:rsidRDefault="00445B5D"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General and Administrative</w:t>
            </w:r>
          </w:p>
        </w:tc>
      </w:tr>
    </w:tbl>
    <w:p w14:paraId="213ACA1B" w14:textId="7DFF37CF" w:rsidR="002B2500" w:rsidRDefault="002B2500" w:rsidP="00734328">
      <w:pPr>
        <w:spacing w:after="0" w:line="240" w:lineRule="auto"/>
        <w:ind w:left="360"/>
        <w:jc w:val="both"/>
        <w:rPr>
          <w:rFonts w:ascii="Times New Roman" w:eastAsia="Times New Roman" w:hAnsi="Times New Roman" w:cs="Times New Roman"/>
          <w:sz w:val="20"/>
          <w:szCs w:val="20"/>
          <w:lang w:val="en-US"/>
        </w:rPr>
      </w:pPr>
    </w:p>
    <w:tbl>
      <w:tblPr>
        <w:tblW w:w="6804" w:type="dxa"/>
        <w:tblInd w:w="426" w:type="dxa"/>
        <w:tblLook w:val="04A0" w:firstRow="1" w:lastRow="0" w:firstColumn="1" w:lastColumn="0" w:noHBand="0" w:noVBand="1"/>
      </w:tblPr>
      <w:tblGrid>
        <w:gridCol w:w="2656"/>
        <w:gridCol w:w="316"/>
        <w:gridCol w:w="1705"/>
        <w:gridCol w:w="316"/>
        <w:gridCol w:w="1811"/>
      </w:tblGrid>
      <w:tr w:rsidR="001824A6" w:rsidRPr="008174F4" w14:paraId="3E02C6FD" w14:textId="77777777" w:rsidTr="0008506C">
        <w:trPr>
          <w:trHeight w:val="300"/>
        </w:trPr>
        <w:tc>
          <w:tcPr>
            <w:tcW w:w="2656" w:type="dxa"/>
            <w:tcBorders>
              <w:top w:val="single" w:sz="8" w:space="0" w:color="auto"/>
              <w:left w:val="nil"/>
              <w:bottom w:val="nil"/>
              <w:right w:val="nil"/>
            </w:tcBorders>
            <w:shd w:val="clear" w:color="auto" w:fill="auto"/>
            <w:noWrap/>
            <w:vAlign w:val="bottom"/>
            <w:hideMark/>
          </w:tcPr>
          <w:p w14:paraId="0408F0A0" w14:textId="77777777" w:rsidR="001824A6" w:rsidRPr="00117DB6" w:rsidRDefault="001824A6" w:rsidP="001824A6">
            <w:pPr>
              <w:spacing w:after="0" w:line="240" w:lineRule="auto"/>
              <w:rPr>
                <w:rFonts w:ascii="Times New Roman" w:eastAsia="Times New Roman" w:hAnsi="Times New Roman" w:cs="Times New Roman"/>
                <w:color w:val="000000"/>
                <w:lang w:eastAsia="zh-CN"/>
              </w:rPr>
            </w:pPr>
            <w:r w:rsidRPr="00117DB6">
              <w:rPr>
                <w:rFonts w:ascii="Times New Roman" w:eastAsia="Times New Roman" w:hAnsi="Times New Roman" w:cs="Times New Roman"/>
                <w:color w:val="000000"/>
                <w:lang w:eastAsia="zh-CN"/>
              </w:rPr>
              <w:t> </w:t>
            </w:r>
          </w:p>
        </w:tc>
        <w:tc>
          <w:tcPr>
            <w:tcW w:w="4148" w:type="dxa"/>
            <w:gridSpan w:val="4"/>
            <w:tcBorders>
              <w:top w:val="single" w:sz="8" w:space="0" w:color="auto"/>
              <w:left w:val="nil"/>
              <w:bottom w:val="nil"/>
              <w:right w:val="nil"/>
            </w:tcBorders>
            <w:shd w:val="clear" w:color="auto" w:fill="auto"/>
            <w:noWrap/>
            <w:vAlign w:val="bottom"/>
            <w:hideMark/>
          </w:tcPr>
          <w:p w14:paraId="6603E205" w14:textId="45B4DBE7" w:rsidR="001824A6" w:rsidRPr="003A0AFF" w:rsidRDefault="001824A6" w:rsidP="001824A6">
            <w:pPr>
              <w:spacing w:after="0" w:line="240" w:lineRule="auto"/>
              <w:jc w:val="center"/>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 xml:space="preserve">For the </w:t>
            </w:r>
            <w:r w:rsidR="00985263" w:rsidRPr="003A0AFF">
              <w:rPr>
                <w:rFonts w:ascii="Times New Roman" w:eastAsia="Times New Roman" w:hAnsi="Times New Roman" w:cs="Times New Roman"/>
                <w:b/>
                <w:bCs/>
                <w:color w:val="000000"/>
                <w:sz w:val="20"/>
                <w:szCs w:val="20"/>
                <w:lang w:eastAsia="zh-CN"/>
              </w:rPr>
              <w:t>six</w:t>
            </w:r>
            <w:r w:rsidRPr="003A0AFF">
              <w:rPr>
                <w:rFonts w:ascii="Times New Roman" w:eastAsia="Times New Roman" w:hAnsi="Times New Roman" w:cs="Times New Roman"/>
                <w:b/>
                <w:bCs/>
                <w:color w:val="000000"/>
                <w:sz w:val="20"/>
                <w:szCs w:val="20"/>
                <w:lang w:eastAsia="zh-CN"/>
              </w:rPr>
              <w:t xml:space="preserve"> months ended</w:t>
            </w:r>
          </w:p>
        </w:tc>
      </w:tr>
      <w:tr w:rsidR="001824A6" w:rsidRPr="008174F4" w14:paraId="09D06F28" w14:textId="77777777" w:rsidTr="001824A6">
        <w:trPr>
          <w:trHeight w:val="315"/>
        </w:trPr>
        <w:tc>
          <w:tcPr>
            <w:tcW w:w="2656" w:type="dxa"/>
            <w:tcBorders>
              <w:top w:val="nil"/>
              <w:left w:val="nil"/>
              <w:bottom w:val="single" w:sz="8" w:space="0" w:color="auto"/>
              <w:right w:val="nil"/>
            </w:tcBorders>
            <w:shd w:val="clear" w:color="auto" w:fill="auto"/>
            <w:noWrap/>
            <w:vAlign w:val="bottom"/>
            <w:hideMark/>
          </w:tcPr>
          <w:p w14:paraId="0B98A457" w14:textId="77777777" w:rsidR="001824A6" w:rsidRPr="00117DB6" w:rsidRDefault="001824A6" w:rsidP="001824A6">
            <w:pPr>
              <w:spacing w:after="0" w:line="240" w:lineRule="auto"/>
              <w:rPr>
                <w:rFonts w:ascii="Times New Roman" w:eastAsia="Times New Roman" w:hAnsi="Times New Roman" w:cs="Times New Roman"/>
                <w:color w:val="000000"/>
                <w:lang w:eastAsia="zh-CN"/>
              </w:rPr>
            </w:pPr>
            <w:r w:rsidRPr="00117DB6">
              <w:rPr>
                <w:rFonts w:ascii="Times New Roman" w:eastAsia="Times New Roman" w:hAnsi="Times New Roman" w:cs="Times New Roman"/>
                <w:color w:val="000000"/>
                <w:lang w:eastAsia="zh-CN"/>
              </w:rPr>
              <w:t> </w:t>
            </w:r>
          </w:p>
        </w:tc>
        <w:tc>
          <w:tcPr>
            <w:tcW w:w="316" w:type="dxa"/>
            <w:tcBorders>
              <w:top w:val="nil"/>
              <w:left w:val="nil"/>
              <w:bottom w:val="single" w:sz="8" w:space="0" w:color="auto"/>
              <w:right w:val="nil"/>
            </w:tcBorders>
            <w:shd w:val="clear" w:color="auto" w:fill="auto"/>
            <w:noWrap/>
            <w:vAlign w:val="bottom"/>
            <w:hideMark/>
          </w:tcPr>
          <w:p w14:paraId="79E55B91" w14:textId="77777777" w:rsidR="001824A6" w:rsidRPr="003A0AFF" w:rsidRDefault="001824A6" w:rsidP="001824A6">
            <w:pPr>
              <w:spacing w:after="0" w:line="240" w:lineRule="auto"/>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 </w:t>
            </w:r>
          </w:p>
        </w:tc>
        <w:tc>
          <w:tcPr>
            <w:tcW w:w="1705" w:type="dxa"/>
            <w:tcBorders>
              <w:top w:val="nil"/>
              <w:left w:val="nil"/>
              <w:bottom w:val="single" w:sz="8" w:space="0" w:color="auto"/>
              <w:right w:val="nil"/>
            </w:tcBorders>
            <w:shd w:val="clear" w:color="auto" w:fill="auto"/>
            <w:noWrap/>
            <w:vAlign w:val="bottom"/>
            <w:hideMark/>
          </w:tcPr>
          <w:p w14:paraId="6EF6D231" w14:textId="46651897" w:rsidR="001824A6" w:rsidRPr="003A0AFF" w:rsidRDefault="00985263"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June 30</w:t>
            </w:r>
            <w:r w:rsidR="001824A6" w:rsidRPr="003A0AFF">
              <w:rPr>
                <w:rFonts w:ascii="Times New Roman" w:eastAsia="Times New Roman" w:hAnsi="Times New Roman" w:cs="Times New Roman"/>
                <w:b/>
                <w:bCs/>
                <w:color w:val="000000"/>
                <w:sz w:val="20"/>
                <w:szCs w:val="20"/>
                <w:lang w:eastAsia="zh-CN"/>
              </w:rPr>
              <w:t>, 2022</w:t>
            </w:r>
          </w:p>
        </w:tc>
        <w:tc>
          <w:tcPr>
            <w:tcW w:w="316" w:type="dxa"/>
            <w:tcBorders>
              <w:top w:val="nil"/>
              <w:left w:val="nil"/>
              <w:bottom w:val="single" w:sz="8" w:space="0" w:color="auto"/>
              <w:right w:val="nil"/>
            </w:tcBorders>
            <w:shd w:val="clear" w:color="auto" w:fill="auto"/>
            <w:noWrap/>
            <w:vAlign w:val="bottom"/>
            <w:hideMark/>
          </w:tcPr>
          <w:p w14:paraId="0DEAA035" w14:textId="77777777"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 </w:t>
            </w:r>
          </w:p>
        </w:tc>
        <w:tc>
          <w:tcPr>
            <w:tcW w:w="1811" w:type="dxa"/>
            <w:tcBorders>
              <w:top w:val="nil"/>
              <w:left w:val="nil"/>
              <w:bottom w:val="single" w:sz="8" w:space="0" w:color="auto"/>
              <w:right w:val="nil"/>
            </w:tcBorders>
            <w:shd w:val="clear" w:color="auto" w:fill="auto"/>
            <w:noWrap/>
            <w:vAlign w:val="bottom"/>
            <w:hideMark/>
          </w:tcPr>
          <w:p w14:paraId="7D10D536" w14:textId="2F6D335F" w:rsidR="001824A6" w:rsidRPr="003A0AFF" w:rsidRDefault="00985263"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June 30</w:t>
            </w:r>
            <w:r w:rsidR="001824A6" w:rsidRPr="003A0AFF">
              <w:rPr>
                <w:rFonts w:ascii="Times New Roman" w:eastAsia="Times New Roman" w:hAnsi="Times New Roman" w:cs="Times New Roman"/>
                <w:b/>
                <w:bCs/>
                <w:color w:val="000000"/>
                <w:sz w:val="20"/>
                <w:szCs w:val="20"/>
                <w:lang w:eastAsia="zh-CN"/>
              </w:rPr>
              <w:t>, 2021</w:t>
            </w:r>
          </w:p>
        </w:tc>
      </w:tr>
      <w:tr w:rsidR="001824A6" w:rsidRPr="008174F4" w14:paraId="2BCB26A5" w14:textId="77777777" w:rsidTr="001824A6">
        <w:trPr>
          <w:trHeight w:val="300"/>
        </w:trPr>
        <w:tc>
          <w:tcPr>
            <w:tcW w:w="2656" w:type="dxa"/>
            <w:tcBorders>
              <w:top w:val="nil"/>
              <w:left w:val="nil"/>
              <w:bottom w:val="nil"/>
              <w:right w:val="nil"/>
            </w:tcBorders>
            <w:shd w:val="clear" w:color="auto" w:fill="auto"/>
            <w:noWrap/>
            <w:vAlign w:val="bottom"/>
            <w:hideMark/>
          </w:tcPr>
          <w:p w14:paraId="1C4512CC" w14:textId="77777777" w:rsidR="001824A6" w:rsidRPr="008174F4" w:rsidRDefault="001824A6" w:rsidP="001824A6">
            <w:pPr>
              <w:spacing w:after="0" w:line="240" w:lineRule="auto"/>
              <w:rPr>
                <w:rFonts w:ascii="Times New Roman" w:eastAsia="Times New Roman" w:hAnsi="Times New Roman" w:cs="Times New Roman"/>
                <w:color w:val="000000"/>
                <w:sz w:val="20"/>
                <w:szCs w:val="20"/>
                <w:lang w:eastAsia="zh-CN"/>
              </w:rPr>
            </w:pPr>
            <w:r w:rsidRPr="008174F4">
              <w:rPr>
                <w:rFonts w:ascii="Times New Roman" w:eastAsia="Times New Roman" w:hAnsi="Times New Roman" w:cs="Times New Roman"/>
                <w:color w:val="000000"/>
                <w:sz w:val="20"/>
                <w:szCs w:val="20"/>
                <w:lang w:eastAsia="zh-CN"/>
              </w:rPr>
              <w:t xml:space="preserve">Salaries and compensation </w:t>
            </w:r>
          </w:p>
        </w:tc>
        <w:tc>
          <w:tcPr>
            <w:tcW w:w="316" w:type="dxa"/>
            <w:tcBorders>
              <w:top w:val="nil"/>
              <w:left w:val="nil"/>
              <w:bottom w:val="nil"/>
              <w:right w:val="nil"/>
            </w:tcBorders>
            <w:shd w:val="clear" w:color="auto" w:fill="auto"/>
            <w:noWrap/>
            <w:vAlign w:val="bottom"/>
            <w:hideMark/>
          </w:tcPr>
          <w:p w14:paraId="20EED79B" w14:textId="5CBD99B9" w:rsidR="001824A6" w:rsidRPr="003A0AFF" w:rsidRDefault="001824A6" w:rsidP="001824A6">
            <w:pPr>
              <w:spacing w:after="0" w:line="240" w:lineRule="auto"/>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b/>
                <w:bCs/>
                <w:color w:val="000000"/>
                <w:sz w:val="20"/>
                <w:szCs w:val="20"/>
                <w:lang w:eastAsia="zh-CN"/>
              </w:rPr>
              <w:t>$</w:t>
            </w:r>
          </w:p>
        </w:tc>
        <w:tc>
          <w:tcPr>
            <w:tcW w:w="1705" w:type="dxa"/>
            <w:tcBorders>
              <w:top w:val="nil"/>
              <w:left w:val="nil"/>
              <w:bottom w:val="nil"/>
              <w:right w:val="nil"/>
            </w:tcBorders>
            <w:shd w:val="clear" w:color="auto" w:fill="auto"/>
            <w:noWrap/>
            <w:vAlign w:val="bottom"/>
            <w:hideMark/>
          </w:tcPr>
          <w:p w14:paraId="05D21154" w14:textId="0B58872D" w:rsidR="001824A6" w:rsidRPr="003A0AFF" w:rsidRDefault="002D7D91"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1,5</w:t>
            </w:r>
            <w:r w:rsidR="004C2420" w:rsidRPr="003A0AFF">
              <w:rPr>
                <w:rFonts w:ascii="Times New Roman" w:eastAsia="Times New Roman" w:hAnsi="Times New Roman" w:cs="Times New Roman"/>
                <w:b/>
                <w:bCs/>
                <w:color w:val="000000"/>
                <w:sz w:val="20"/>
                <w:szCs w:val="20"/>
                <w:lang w:eastAsia="zh-CN"/>
              </w:rPr>
              <w:t>31</w:t>
            </w:r>
            <w:r w:rsidRPr="003A0AFF">
              <w:rPr>
                <w:rFonts w:ascii="Times New Roman" w:eastAsia="Times New Roman" w:hAnsi="Times New Roman" w:cs="Times New Roman"/>
                <w:b/>
                <w:bCs/>
                <w:color w:val="000000"/>
                <w:sz w:val="20"/>
                <w:szCs w:val="20"/>
                <w:lang w:eastAsia="zh-CN"/>
              </w:rPr>
              <w:t>,</w:t>
            </w:r>
            <w:r w:rsidR="004C2420" w:rsidRPr="003A0AFF">
              <w:rPr>
                <w:rFonts w:ascii="Times New Roman" w:eastAsia="Times New Roman" w:hAnsi="Times New Roman" w:cs="Times New Roman"/>
                <w:b/>
                <w:bCs/>
                <w:color w:val="000000"/>
                <w:sz w:val="20"/>
                <w:szCs w:val="20"/>
                <w:lang w:eastAsia="zh-CN"/>
              </w:rPr>
              <w:t>542</w:t>
            </w:r>
            <w:r w:rsidR="001824A6" w:rsidRPr="003A0AFF">
              <w:rPr>
                <w:rFonts w:ascii="Times New Roman" w:eastAsia="Times New Roman" w:hAnsi="Times New Roman" w:cs="Times New Roman"/>
                <w:b/>
                <w:bCs/>
                <w:color w:val="000000"/>
                <w:sz w:val="20"/>
                <w:szCs w:val="20"/>
                <w:lang w:eastAsia="zh-CN"/>
              </w:rPr>
              <w:t xml:space="preserve"> </w:t>
            </w:r>
          </w:p>
        </w:tc>
        <w:tc>
          <w:tcPr>
            <w:tcW w:w="316" w:type="dxa"/>
            <w:tcBorders>
              <w:top w:val="nil"/>
              <w:left w:val="nil"/>
              <w:bottom w:val="nil"/>
              <w:right w:val="nil"/>
            </w:tcBorders>
            <w:shd w:val="clear" w:color="auto" w:fill="auto"/>
            <w:noWrap/>
            <w:vAlign w:val="bottom"/>
            <w:hideMark/>
          </w:tcPr>
          <w:p w14:paraId="66EF89F2" w14:textId="5E5C108E"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color w:val="000000"/>
                <w:sz w:val="20"/>
                <w:szCs w:val="20"/>
                <w:lang w:eastAsia="zh-CN"/>
              </w:rPr>
              <w:t>$</w:t>
            </w:r>
          </w:p>
        </w:tc>
        <w:tc>
          <w:tcPr>
            <w:tcW w:w="1811" w:type="dxa"/>
            <w:tcBorders>
              <w:top w:val="nil"/>
              <w:left w:val="nil"/>
              <w:bottom w:val="nil"/>
              <w:right w:val="nil"/>
            </w:tcBorders>
            <w:shd w:val="clear" w:color="auto" w:fill="auto"/>
            <w:noWrap/>
            <w:vAlign w:val="bottom"/>
            <w:hideMark/>
          </w:tcPr>
          <w:p w14:paraId="0E8BFF3B" w14:textId="5E467DA5" w:rsidR="001824A6" w:rsidRPr="003A0AFF" w:rsidRDefault="00216932" w:rsidP="001824A6">
            <w:pPr>
              <w:spacing w:after="0" w:line="240" w:lineRule="auto"/>
              <w:jc w:val="right"/>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721,908</w:t>
            </w:r>
            <w:r w:rsidR="001824A6" w:rsidRPr="003A0AFF">
              <w:rPr>
                <w:rFonts w:ascii="Times New Roman" w:eastAsia="Times New Roman" w:hAnsi="Times New Roman" w:cs="Times New Roman"/>
                <w:color w:val="000000"/>
                <w:sz w:val="20"/>
                <w:szCs w:val="20"/>
                <w:lang w:eastAsia="zh-CN"/>
              </w:rPr>
              <w:t xml:space="preserve"> </w:t>
            </w:r>
          </w:p>
        </w:tc>
      </w:tr>
      <w:tr w:rsidR="001824A6" w:rsidRPr="001824A6" w14:paraId="6B2DC4C2" w14:textId="77777777" w:rsidTr="001824A6">
        <w:trPr>
          <w:trHeight w:val="300"/>
        </w:trPr>
        <w:tc>
          <w:tcPr>
            <w:tcW w:w="2656" w:type="dxa"/>
            <w:tcBorders>
              <w:top w:val="nil"/>
              <w:left w:val="nil"/>
              <w:bottom w:val="nil"/>
              <w:right w:val="nil"/>
            </w:tcBorders>
            <w:shd w:val="clear" w:color="auto" w:fill="auto"/>
            <w:noWrap/>
            <w:vAlign w:val="bottom"/>
            <w:hideMark/>
          </w:tcPr>
          <w:p w14:paraId="2B9641DD" w14:textId="77777777" w:rsidR="001824A6" w:rsidRPr="001824A6" w:rsidRDefault="001824A6" w:rsidP="001824A6">
            <w:pPr>
              <w:spacing w:after="0" w:line="240" w:lineRule="auto"/>
              <w:rPr>
                <w:rFonts w:ascii="Times New Roman" w:eastAsia="Times New Roman" w:hAnsi="Times New Roman" w:cs="Times New Roman"/>
                <w:color w:val="000000"/>
                <w:sz w:val="20"/>
                <w:szCs w:val="20"/>
                <w:lang w:eastAsia="zh-CN"/>
              </w:rPr>
            </w:pPr>
            <w:r w:rsidRPr="001824A6">
              <w:rPr>
                <w:rFonts w:ascii="Times New Roman" w:eastAsia="Times New Roman" w:hAnsi="Times New Roman" w:cs="Times New Roman"/>
                <w:color w:val="000000"/>
                <w:sz w:val="20"/>
                <w:szCs w:val="20"/>
                <w:lang w:eastAsia="zh-CN"/>
              </w:rPr>
              <w:t>Professional fees</w:t>
            </w:r>
          </w:p>
        </w:tc>
        <w:tc>
          <w:tcPr>
            <w:tcW w:w="316" w:type="dxa"/>
            <w:tcBorders>
              <w:top w:val="nil"/>
              <w:left w:val="nil"/>
              <w:bottom w:val="nil"/>
              <w:right w:val="nil"/>
            </w:tcBorders>
            <w:shd w:val="clear" w:color="auto" w:fill="auto"/>
            <w:noWrap/>
            <w:vAlign w:val="bottom"/>
            <w:hideMark/>
          </w:tcPr>
          <w:p w14:paraId="3E697E6C" w14:textId="77777777" w:rsidR="001824A6" w:rsidRPr="003A0AFF" w:rsidRDefault="001824A6" w:rsidP="001824A6">
            <w:pPr>
              <w:spacing w:after="0" w:line="240" w:lineRule="auto"/>
              <w:rPr>
                <w:rFonts w:ascii="Times New Roman" w:eastAsia="Times New Roman" w:hAnsi="Times New Roman" w:cs="Times New Roman"/>
                <w:color w:val="000000"/>
                <w:sz w:val="20"/>
                <w:szCs w:val="20"/>
                <w:lang w:eastAsia="zh-CN"/>
              </w:rPr>
            </w:pPr>
          </w:p>
        </w:tc>
        <w:tc>
          <w:tcPr>
            <w:tcW w:w="1705" w:type="dxa"/>
            <w:tcBorders>
              <w:top w:val="nil"/>
              <w:left w:val="nil"/>
              <w:bottom w:val="nil"/>
              <w:right w:val="nil"/>
            </w:tcBorders>
            <w:shd w:val="clear" w:color="auto" w:fill="auto"/>
            <w:noWrap/>
            <w:vAlign w:val="bottom"/>
            <w:hideMark/>
          </w:tcPr>
          <w:p w14:paraId="7023C57B" w14:textId="514F1AE7"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 xml:space="preserve">             </w:t>
            </w:r>
            <w:r w:rsidR="00387869" w:rsidRPr="003A0AFF">
              <w:rPr>
                <w:rFonts w:ascii="Times New Roman" w:eastAsia="Times New Roman" w:hAnsi="Times New Roman" w:cs="Times New Roman"/>
                <w:b/>
                <w:bCs/>
                <w:color w:val="000000"/>
                <w:sz w:val="20"/>
                <w:szCs w:val="20"/>
                <w:lang w:eastAsia="zh-CN"/>
              </w:rPr>
              <w:t>340,070</w:t>
            </w:r>
            <w:r w:rsidRPr="003A0AFF">
              <w:rPr>
                <w:rFonts w:ascii="Times New Roman" w:eastAsia="Times New Roman" w:hAnsi="Times New Roman" w:cs="Times New Roman"/>
                <w:b/>
                <w:bCs/>
                <w:color w:val="000000"/>
                <w:sz w:val="20"/>
                <w:szCs w:val="20"/>
                <w:lang w:eastAsia="zh-CN"/>
              </w:rPr>
              <w:t xml:space="preserve"> </w:t>
            </w:r>
          </w:p>
        </w:tc>
        <w:tc>
          <w:tcPr>
            <w:tcW w:w="316" w:type="dxa"/>
            <w:tcBorders>
              <w:top w:val="nil"/>
              <w:left w:val="nil"/>
              <w:bottom w:val="nil"/>
              <w:right w:val="nil"/>
            </w:tcBorders>
            <w:shd w:val="clear" w:color="auto" w:fill="auto"/>
            <w:noWrap/>
            <w:vAlign w:val="bottom"/>
            <w:hideMark/>
          </w:tcPr>
          <w:p w14:paraId="275BEE21" w14:textId="77777777"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p>
        </w:tc>
        <w:tc>
          <w:tcPr>
            <w:tcW w:w="1811" w:type="dxa"/>
            <w:tcBorders>
              <w:top w:val="nil"/>
              <w:left w:val="nil"/>
              <w:bottom w:val="nil"/>
              <w:right w:val="nil"/>
            </w:tcBorders>
            <w:shd w:val="clear" w:color="auto" w:fill="auto"/>
            <w:noWrap/>
            <w:vAlign w:val="bottom"/>
            <w:hideMark/>
          </w:tcPr>
          <w:p w14:paraId="0CCB37F1" w14:textId="62C7E256" w:rsidR="001824A6" w:rsidRPr="003A0AFF" w:rsidRDefault="001824A6" w:rsidP="001824A6">
            <w:pPr>
              <w:spacing w:after="0" w:line="240" w:lineRule="auto"/>
              <w:jc w:val="right"/>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 xml:space="preserve">                </w:t>
            </w:r>
            <w:r w:rsidR="00216932" w:rsidRPr="003A0AFF">
              <w:rPr>
                <w:rFonts w:ascii="Times New Roman" w:eastAsia="Times New Roman" w:hAnsi="Times New Roman" w:cs="Times New Roman"/>
                <w:color w:val="000000"/>
                <w:sz w:val="20"/>
                <w:szCs w:val="20"/>
                <w:lang w:eastAsia="zh-CN"/>
              </w:rPr>
              <w:t>167,429</w:t>
            </w:r>
            <w:r w:rsidRPr="003A0AFF">
              <w:rPr>
                <w:rFonts w:ascii="Times New Roman" w:eastAsia="Times New Roman" w:hAnsi="Times New Roman" w:cs="Times New Roman"/>
                <w:color w:val="000000"/>
                <w:sz w:val="20"/>
                <w:szCs w:val="20"/>
                <w:lang w:eastAsia="zh-CN"/>
              </w:rPr>
              <w:t xml:space="preserve"> </w:t>
            </w:r>
          </w:p>
        </w:tc>
      </w:tr>
      <w:tr w:rsidR="001824A6" w:rsidRPr="001824A6" w14:paraId="507B8D30" w14:textId="77777777" w:rsidTr="001824A6">
        <w:trPr>
          <w:trHeight w:val="300"/>
        </w:trPr>
        <w:tc>
          <w:tcPr>
            <w:tcW w:w="2656" w:type="dxa"/>
            <w:tcBorders>
              <w:top w:val="nil"/>
              <w:left w:val="nil"/>
              <w:bottom w:val="nil"/>
              <w:right w:val="nil"/>
            </w:tcBorders>
            <w:shd w:val="clear" w:color="auto" w:fill="auto"/>
            <w:noWrap/>
            <w:vAlign w:val="bottom"/>
            <w:hideMark/>
          </w:tcPr>
          <w:p w14:paraId="55E226C2" w14:textId="77777777" w:rsidR="001824A6" w:rsidRPr="001824A6" w:rsidRDefault="001824A6" w:rsidP="001824A6">
            <w:pPr>
              <w:spacing w:after="0" w:line="240" w:lineRule="auto"/>
              <w:rPr>
                <w:rFonts w:ascii="Times New Roman" w:eastAsia="Times New Roman" w:hAnsi="Times New Roman" w:cs="Times New Roman"/>
                <w:color w:val="000000"/>
                <w:sz w:val="20"/>
                <w:szCs w:val="20"/>
                <w:lang w:eastAsia="zh-CN"/>
              </w:rPr>
            </w:pPr>
            <w:r w:rsidRPr="001824A6">
              <w:rPr>
                <w:rFonts w:ascii="Times New Roman" w:eastAsia="Times New Roman" w:hAnsi="Times New Roman" w:cs="Times New Roman"/>
                <w:color w:val="000000"/>
                <w:sz w:val="20"/>
                <w:szCs w:val="20"/>
                <w:lang w:eastAsia="zh-CN"/>
              </w:rPr>
              <w:t>Office</w:t>
            </w:r>
          </w:p>
        </w:tc>
        <w:tc>
          <w:tcPr>
            <w:tcW w:w="316" w:type="dxa"/>
            <w:tcBorders>
              <w:top w:val="nil"/>
              <w:left w:val="nil"/>
              <w:bottom w:val="nil"/>
              <w:right w:val="nil"/>
            </w:tcBorders>
            <w:shd w:val="clear" w:color="auto" w:fill="auto"/>
            <w:noWrap/>
            <w:vAlign w:val="bottom"/>
            <w:hideMark/>
          </w:tcPr>
          <w:p w14:paraId="5FF5CA0D" w14:textId="77777777" w:rsidR="001824A6" w:rsidRPr="003A0AFF" w:rsidRDefault="001824A6" w:rsidP="001824A6">
            <w:pPr>
              <w:spacing w:after="0" w:line="240" w:lineRule="auto"/>
              <w:rPr>
                <w:rFonts w:ascii="Times New Roman" w:eastAsia="Times New Roman" w:hAnsi="Times New Roman" w:cs="Times New Roman"/>
                <w:color w:val="000000"/>
                <w:sz w:val="20"/>
                <w:szCs w:val="20"/>
                <w:lang w:eastAsia="zh-CN"/>
              </w:rPr>
            </w:pPr>
          </w:p>
        </w:tc>
        <w:tc>
          <w:tcPr>
            <w:tcW w:w="1705" w:type="dxa"/>
            <w:tcBorders>
              <w:top w:val="nil"/>
              <w:left w:val="nil"/>
              <w:bottom w:val="nil"/>
              <w:right w:val="nil"/>
            </w:tcBorders>
            <w:shd w:val="clear" w:color="auto" w:fill="auto"/>
            <w:noWrap/>
            <w:vAlign w:val="bottom"/>
            <w:hideMark/>
          </w:tcPr>
          <w:p w14:paraId="73552BF0" w14:textId="2942F5F4" w:rsidR="001824A6" w:rsidRPr="003A0AFF" w:rsidRDefault="00387869"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61,780</w:t>
            </w:r>
          </w:p>
        </w:tc>
        <w:tc>
          <w:tcPr>
            <w:tcW w:w="316" w:type="dxa"/>
            <w:tcBorders>
              <w:top w:val="nil"/>
              <w:left w:val="nil"/>
              <w:bottom w:val="nil"/>
              <w:right w:val="nil"/>
            </w:tcBorders>
            <w:shd w:val="clear" w:color="auto" w:fill="auto"/>
            <w:noWrap/>
            <w:vAlign w:val="bottom"/>
            <w:hideMark/>
          </w:tcPr>
          <w:p w14:paraId="25838083" w14:textId="77777777"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p>
        </w:tc>
        <w:tc>
          <w:tcPr>
            <w:tcW w:w="1811" w:type="dxa"/>
            <w:tcBorders>
              <w:top w:val="nil"/>
              <w:left w:val="nil"/>
              <w:bottom w:val="nil"/>
              <w:right w:val="nil"/>
            </w:tcBorders>
            <w:shd w:val="clear" w:color="auto" w:fill="auto"/>
            <w:noWrap/>
            <w:vAlign w:val="bottom"/>
            <w:hideMark/>
          </w:tcPr>
          <w:p w14:paraId="40E5F1D7" w14:textId="08E25D06" w:rsidR="001824A6" w:rsidRPr="003A0AFF" w:rsidRDefault="001824A6" w:rsidP="001824A6">
            <w:pPr>
              <w:spacing w:after="0" w:line="240" w:lineRule="auto"/>
              <w:jc w:val="right"/>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 xml:space="preserve">                    </w:t>
            </w:r>
            <w:r w:rsidR="00216932" w:rsidRPr="003A0AFF">
              <w:rPr>
                <w:rFonts w:ascii="Times New Roman" w:eastAsia="Times New Roman" w:hAnsi="Times New Roman" w:cs="Times New Roman"/>
                <w:color w:val="000000"/>
                <w:sz w:val="20"/>
                <w:szCs w:val="20"/>
                <w:lang w:eastAsia="zh-CN"/>
              </w:rPr>
              <w:t>13,603</w:t>
            </w:r>
            <w:r w:rsidRPr="003A0AFF">
              <w:rPr>
                <w:rFonts w:ascii="Times New Roman" w:eastAsia="Times New Roman" w:hAnsi="Times New Roman" w:cs="Times New Roman"/>
                <w:color w:val="000000"/>
                <w:sz w:val="20"/>
                <w:szCs w:val="20"/>
                <w:lang w:eastAsia="zh-CN"/>
              </w:rPr>
              <w:t xml:space="preserve"> </w:t>
            </w:r>
          </w:p>
        </w:tc>
      </w:tr>
      <w:tr w:rsidR="001824A6" w:rsidRPr="001824A6" w14:paraId="728E4958" w14:textId="77777777" w:rsidTr="001824A6">
        <w:trPr>
          <w:trHeight w:val="300"/>
        </w:trPr>
        <w:tc>
          <w:tcPr>
            <w:tcW w:w="2656" w:type="dxa"/>
            <w:tcBorders>
              <w:top w:val="nil"/>
              <w:left w:val="nil"/>
              <w:bottom w:val="nil"/>
              <w:right w:val="nil"/>
            </w:tcBorders>
            <w:shd w:val="clear" w:color="auto" w:fill="auto"/>
            <w:noWrap/>
            <w:vAlign w:val="bottom"/>
            <w:hideMark/>
          </w:tcPr>
          <w:p w14:paraId="2EE43A3D" w14:textId="77777777" w:rsidR="001824A6" w:rsidRPr="001824A6" w:rsidRDefault="001824A6" w:rsidP="001824A6">
            <w:pPr>
              <w:spacing w:after="0" w:line="240" w:lineRule="auto"/>
              <w:rPr>
                <w:rFonts w:ascii="Times New Roman" w:eastAsia="Times New Roman" w:hAnsi="Times New Roman" w:cs="Times New Roman"/>
                <w:color w:val="000000"/>
                <w:sz w:val="20"/>
                <w:szCs w:val="20"/>
                <w:lang w:eastAsia="zh-CN"/>
              </w:rPr>
            </w:pPr>
            <w:r w:rsidRPr="001824A6">
              <w:rPr>
                <w:rFonts w:ascii="Times New Roman" w:eastAsia="Times New Roman" w:hAnsi="Times New Roman" w:cs="Times New Roman"/>
                <w:color w:val="000000"/>
                <w:sz w:val="20"/>
                <w:szCs w:val="20"/>
                <w:lang w:eastAsia="zh-CN"/>
              </w:rPr>
              <w:t>Filing and Transfer Fees</w:t>
            </w:r>
          </w:p>
        </w:tc>
        <w:tc>
          <w:tcPr>
            <w:tcW w:w="316" w:type="dxa"/>
            <w:tcBorders>
              <w:top w:val="nil"/>
              <w:left w:val="nil"/>
              <w:bottom w:val="nil"/>
              <w:right w:val="nil"/>
            </w:tcBorders>
            <w:shd w:val="clear" w:color="auto" w:fill="auto"/>
            <w:noWrap/>
            <w:vAlign w:val="bottom"/>
            <w:hideMark/>
          </w:tcPr>
          <w:p w14:paraId="049AFACC" w14:textId="77777777" w:rsidR="001824A6" w:rsidRPr="003A0AFF" w:rsidRDefault="001824A6" w:rsidP="001824A6">
            <w:pPr>
              <w:spacing w:after="0" w:line="240" w:lineRule="auto"/>
              <w:rPr>
                <w:rFonts w:ascii="Times New Roman" w:eastAsia="Times New Roman" w:hAnsi="Times New Roman" w:cs="Times New Roman"/>
                <w:color w:val="000000"/>
                <w:sz w:val="20"/>
                <w:szCs w:val="20"/>
                <w:lang w:eastAsia="zh-CN"/>
              </w:rPr>
            </w:pPr>
          </w:p>
        </w:tc>
        <w:tc>
          <w:tcPr>
            <w:tcW w:w="1705" w:type="dxa"/>
            <w:tcBorders>
              <w:top w:val="nil"/>
              <w:left w:val="nil"/>
              <w:bottom w:val="nil"/>
              <w:right w:val="nil"/>
            </w:tcBorders>
            <w:shd w:val="clear" w:color="auto" w:fill="auto"/>
            <w:noWrap/>
            <w:vAlign w:val="bottom"/>
            <w:hideMark/>
          </w:tcPr>
          <w:p w14:paraId="48942645" w14:textId="6F175850"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 xml:space="preserve">                </w:t>
            </w:r>
            <w:r w:rsidR="00387869" w:rsidRPr="003A0AFF">
              <w:rPr>
                <w:rFonts w:ascii="Times New Roman" w:eastAsia="Times New Roman" w:hAnsi="Times New Roman" w:cs="Times New Roman"/>
                <w:b/>
                <w:bCs/>
                <w:color w:val="000000"/>
                <w:sz w:val="20"/>
                <w:szCs w:val="20"/>
                <w:lang w:eastAsia="zh-CN"/>
              </w:rPr>
              <w:t>79,482</w:t>
            </w:r>
            <w:r w:rsidRPr="003A0AFF">
              <w:rPr>
                <w:rFonts w:ascii="Times New Roman" w:eastAsia="Times New Roman" w:hAnsi="Times New Roman" w:cs="Times New Roman"/>
                <w:b/>
                <w:bCs/>
                <w:color w:val="000000"/>
                <w:sz w:val="20"/>
                <w:szCs w:val="20"/>
                <w:lang w:eastAsia="zh-CN"/>
              </w:rPr>
              <w:t xml:space="preserve"> </w:t>
            </w:r>
          </w:p>
        </w:tc>
        <w:tc>
          <w:tcPr>
            <w:tcW w:w="316" w:type="dxa"/>
            <w:tcBorders>
              <w:top w:val="nil"/>
              <w:left w:val="nil"/>
              <w:bottom w:val="nil"/>
              <w:right w:val="nil"/>
            </w:tcBorders>
            <w:shd w:val="clear" w:color="auto" w:fill="auto"/>
            <w:noWrap/>
            <w:vAlign w:val="bottom"/>
            <w:hideMark/>
          </w:tcPr>
          <w:p w14:paraId="768D0DD0" w14:textId="77777777"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p>
        </w:tc>
        <w:tc>
          <w:tcPr>
            <w:tcW w:w="1811" w:type="dxa"/>
            <w:tcBorders>
              <w:top w:val="nil"/>
              <w:left w:val="nil"/>
              <w:bottom w:val="nil"/>
              <w:right w:val="nil"/>
            </w:tcBorders>
            <w:shd w:val="clear" w:color="auto" w:fill="auto"/>
            <w:noWrap/>
            <w:vAlign w:val="bottom"/>
            <w:hideMark/>
          </w:tcPr>
          <w:p w14:paraId="1C57E238" w14:textId="6DA3EA8C" w:rsidR="001824A6" w:rsidRPr="003A0AFF" w:rsidRDefault="00216932" w:rsidP="001824A6">
            <w:pPr>
              <w:spacing w:after="0" w:line="240" w:lineRule="auto"/>
              <w:jc w:val="right"/>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75,473</w:t>
            </w:r>
            <w:r w:rsidR="001824A6" w:rsidRPr="003A0AFF">
              <w:rPr>
                <w:rFonts w:ascii="Times New Roman" w:eastAsia="Times New Roman" w:hAnsi="Times New Roman" w:cs="Times New Roman"/>
                <w:color w:val="000000"/>
                <w:sz w:val="20"/>
                <w:szCs w:val="20"/>
                <w:lang w:eastAsia="zh-CN"/>
              </w:rPr>
              <w:t xml:space="preserve"> </w:t>
            </w:r>
          </w:p>
        </w:tc>
      </w:tr>
      <w:tr w:rsidR="001824A6" w:rsidRPr="001824A6" w14:paraId="15BE3641" w14:textId="77777777" w:rsidTr="001824A6">
        <w:trPr>
          <w:trHeight w:val="300"/>
        </w:trPr>
        <w:tc>
          <w:tcPr>
            <w:tcW w:w="2656" w:type="dxa"/>
            <w:tcBorders>
              <w:top w:val="nil"/>
              <w:left w:val="nil"/>
              <w:bottom w:val="nil"/>
              <w:right w:val="nil"/>
            </w:tcBorders>
            <w:shd w:val="clear" w:color="auto" w:fill="auto"/>
            <w:noWrap/>
            <w:vAlign w:val="bottom"/>
            <w:hideMark/>
          </w:tcPr>
          <w:p w14:paraId="57A0AE5A" w14:textId="77777777" w:rsidR="001824A6" w:rsidRPr="001824A6" w:rsidRDefault="001824A6" w:rsidP="001824A6">
            <w:pPr>
              <w:spacing w:after="0" w:line="240" w:lineRule="auto"/>
              <w:rPr>
                <w:rFonts w:ascii="Times New Roman" w:eastAsia="Times New Roman" w:hAnsi="Times New Roman" w:cs="Times New Roman"/>
                <w:color w:val="000000"/>
                <w:sz w:val="20"/>
                <w:szCs w:val="20"/>
                <w:lang w:eastAsia="zh-CN"/>
              </w:rPr>
            </w:pPr>
            <w:r w:rsidRPr="001824A6">
              <w:rPr>
                <w:rFonts w:ascii="Times New Roman" w:eastAsia="Times New Roman" w:hAnsi="Times New Roman" w:cs="Times New Roman"/>
                <w:color w:val="000000"/>
                <w:sz w:val="20"/>
                <w:szCs w:val="20"/>
                <w:lang w:eastAsia="zh-CN"/>
              </w:rPr>
              <w:t>Advertising</w:t>
            </w:r>
          </w:p>
        </w:tc>
        <w:tc>
          <w:tcPr>
            <w:tcW w:w="316" w:type="dxa"/>
            <w:tcBorders>
              <w:top w:val="nil"/>
              <w:left w:val="nil"/>
              <w:bottom w:val="nil"/>
              <w:right w:val="nil"/>
            </w:tcBorders>
            <w:shd w:val="clear" w:color="auto" w:fill="auto"/>
            <w:noWrap/>
            <w:vAlign w:val="bottom"/>
            <w:hideMark/>
          </w:tcPr>
          <w:p w14:paraId="4A4D966D" w14:textId="77777777" w:rsidR="001824A6" w:rsidRPr="003A0AFF" w:rsidRDefault="001824A6" w:rsidP="001824A6">
            <w:pPr>
              <w:spacing w:after="0" w:line="240" w:lineRule="auto"/>
              <w:rPr>
                <w:rFonts w:ascii="Times New Roman" w:eastAsia="Times New Roman" w:hAnsi="Times New Roman" w:cs="Times New Roman"/>
                <w:color w:val="000000"/>
                <w:sz w:val="20"/>
                <w:szCs w:val="20"/>
                <w:lang w:eastAsia="zh-CN"/>
              </w:rPr>
            </w:pPr>
          </w:p>
        </w:tc>
        <w:tc>
          <w:tcPr>
            <w:tcW w:w="1705" w:type="dxa"/>
            <w:tcBorders>
              <w:top w:val="nil"/>
              <w:left w:val="nil"/>
              <w:bottom w:val="nil"/>
              <w:right w:val="nil"/>
            </w:tcBorders>
            <w:shd w:val="clear" w:color="auto" w:fill="auto"/>
            <w:noWrap/>
            <w:vAlign w:val="bottom"/>
            <w:hideMark/>
          </w:tcPr>
          <w:p w14:paraId="1D90A45F" w14:textId="4469F5DE" w:rsidR="001824A6" w:rsidRPr="003A0AFF" w:rsidRDefault="002D7D91"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29</w:t>
            </w:r>
            <w:r w:rsidR="004C2420" w:rsidRPr="003A0AFF">
              <w:rPr>
                <w:rFonts w:ascii="Times New Roman" w:eastAsia="Times New Roman" w:hAnsi="Times New Roman" w:cs="Times New Roman"/>
                <w:b/>
                <w:bCs/>
                <w:color w:val="000000"/>
                <w:sz w:val="20"/>
                <w:szCs w:val="20"/>
                <w:lang w:eastAsia="zh-CN"/>
              </w:rPr>
              <w:t>6</w:t>
            </w:r>
            <w:r w:rsidRPr="003A0AFF">
              <w:rPr>
                <w:rFonts w:ascii="Times New Roman" w:eastAsia="Times New Roman" w:hAnsi="Times New Roman" w:cs="Times New Roman"/>
                <w:b/>
                <w:bCs/>
                <w:color w:val="000000"/>
                <w:sz w:val="20"/>
                <w:szCs w:val="20"/>
                <w:lang w:eastAsia="zh-CN"/>
              </w:rPr>
              <w:t>,</w:t>
            </w:r>
            <w:r w:rsidR="00387869" w:rsidRPr="003A0AFF">
              <w:rPr>
                <w:rFonts w:ascii="Times New Roman" w:eastAsia="Times New Roman" w:hAnsi="Times New Roman" w:cs="Times New Roman"/>
                <w:b/>
                <w:bCs/>
                <w:color w:val="000000"/>
                <w:sz w:val="20"/>
                <w:szCs w:val="20"/>
                <w:lang w:eastAsia="zh-CN"/>
              </w:rPr>
              <w:t>582</w:t>
            </w:r>
            <w:r w:rsidR="001824A6" w:rsidRPr="003A0AFF">
              <w:rPr>
                <w:rFonts w:ascii="Times New Roman" w:eastAsia="Times New Roman" w:hAnsi="Times New Roman" w:cs="Times New Roman"/>
                <w:b/>
                <w:bCs/>
                <w:color w:val="000000"/>
                <w:sz w:val="20"/>
                <w:szCs w:val="20"/>
                <w:lang w:eastAsia="zh-CN"/>
              </w:rPr>
              <w:t xml:space="preserve"> </w:t>
            </w:r>
          </w:p>
        </w:tc>
        <w:tc>
          <w:tcPr>
            <w:tcW w:w="316" w:type="dxa"/>
            <w:tcBorders>
              <w:top w:val="nil"/>
              <w:left w:val="nil"/>
              <w:bottom w:val="nil"/>
              <w:right w:val="nil"/>
            </w:tcBorders>
            <w:shd w:val="clear" w:color="auto" w:fill="auto"/>
            <w:noWrap/>
            <w:vAlign w:val="bottom"/>
            <w:hideMark/>
          </w:tcPr>
          <w:p w14:paraId="50FEA302" w14:textId="77777777"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p>
        </w:tc>
        <w:tc>
          <w:tcPr>
            <w:tcW w:w="1811" w:type="dxa"/>
            <w:tcBorders>
              <w:top w:val="nil"/>
              <w:left w:val="nil"/>
              <w:bottom w:val="nil"/>
              <w:right w:val="nil"/>
            </w:tcBorders>
            <w:shd w:val="clear" w:color="auto" w:fill="auto"/>
            <w:noWrap/>
            <w:vAlign w:val="bottom"/>
            <w:hideMark/>
          </w:tcPr>
          <w:p w14:paraId="53C05D0A" w14:textId="77777777" w:rsidR="001824A6" w:rsidRPr="003A0AFF" w:rsidRDefault="001824A6" w:rsidP="001824A6">
            <w:pPr>
              <w:spacing w:after="0" w:line="240" w:lineRule="auto"/>
              <w:jc w:val="right"/>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 xml:space="preserve">                          -   </w:t>
            </w:r>
          </w:p>
        </w:tc>
      </w:tr>
      <w:tr w:rsidR="002D7D91" w:rsidRPr="001824A6" w14:paraId="73EF64ED" w14:textId="77777777" w:rsidTr="001824A6">
        <w:trPr>
          <w:trHeight w:val="300"/>
        </w:trPr>
        <w:tc>
          <w:tcPr>
            <w:tcW w:w="2656" w:type="dxa"/>
            <w:tcBorders>
              <w:top w:val="nil"/>
              <w:left w:val="nil"/>
              <w:bottom w:val="nil"/>
              <w:right w:val="nil"/>
            </w:tcBorders>
            <w:shd w:val="clear" w:color="auto" w:fill="auto"/>
            <w:noWrap/>
            <w:vAlign w:val="bottom"/>
          </w:tcPr>
          <w:p w14:paraId="60A82C65" w14:textId="4CAAC441" w:rsidR="002D7D91" w:rsidRPr="001824A6" w:rsidRDefault="002D7D91" w:rsidP="001824A6">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Travel</w:t>
            </w:r>
          </w:p>
        </w:tc>
        <w:tc>
          <w:tcPr>
            <w:tcW w:w="316" w:type="dxa"/>
            <w:tcBorders>
              <w:top w:val="nil"/>
              <w:left w:val="nil"/>
              <w:bottom w:val="nil"/>
              <w:right w:val="nil"/>
            </w:tcBorders>
            <w:shd w:val="clear" w:color="auto" w:fill="auto"/>
            <w:noWrap/>
            <w:vAlign w:val="bottom"/>
          </w:tcPr>
          <w:p w14:paraId="2EBC03FF" w14:textId="77777777" w:rsidR="002D7D91" w:rsidRPr="003A0AFF" w:rsidRDefault="002D7D91" w:rsidP="001824A6">
            <w:pPr>
              <w:spacing w:after="0" w:line="240" w:lineRule="auto"/>
              <w:rPr>
                <w:rFonts w:ascii="Times New Roman" w:eastAsia="Times New Roman" w:hAnsi="Times New Roman" w:cs="Times New Roman"/>
                <w:color w:val="000000"/>
                <w:sz w:val="20"/>
                <w:szCs w:val="20"/>
                <w:lang w:eastAsia="zh-CN"/>
              </w:rPr>
            </w:pPr>
          </w:p>
        </w:tc>
        <w:tc>
          <w:tcPr>
            <w:tcW w:w="1705" w:type="dxa"/>
            <w:tcBorders>
              <w:top w:val="nil"/>
              <w:left w:val="nil"/>
              <w:bottom w:val="nil"/>
              <w:right w:val="nil"/>
            </w:tcBorders>
            <w:shd w:val="clear" w:color="auto" w:fill="auto"/>
            <w:noWrap/>
            <w:vAlign w:val="bottom"/>
          </w:tcPr>
          <w:p w14:paraId="7DF2174A" w14:textId="618ACBA5" w:rsidR="002D7D91" w:rsidRPr="003A0AFF" w:rsidDel="002D7D91" w:rsidRDefault="004C2420"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15,121</w:t>
            </w:r>
          </w:p>
        </w:tc>
        <w:tc>
          <w:tcPr>
            <w:tcW w:w="316" w:type="dxa"/>
            <w:tcBorders>
              <w:top w:val="nil"/>
              <w:left w:val="nil"/>
              <w:bottom w:val="nil"/>
              <w:right w:val="nil"/>
            </w:tcBorders>
            <w:shd w:val="clear" w:color="auto" w:fill="auto"/>
            <w:noWrap/>
            <w:vAlign w:val="bottom"/>
          </w:tcPr>
          <w:p w14:paraId="4B7460ED" w14:textId="77777777" w:rsidR="002D7D91" w:rsidRPr="003A0AFF" w:rsidRDefault="002D7D91" w:rsidP="001824A6">
            <w:pPr>
              <w:spacing w:after="0" w:line="240" w:lineRule="auto"/>
              <w:jc w:val="right"/>
              <w:rPr>
                <w:rFonts w:ascii="Times New Roman" w:eastAsia="Times New Roman" w:hAnsi="Times New Roman" w:cs="Times New Roman"/>
                <w:b/>
                <w:bCs/>
                <w:color w:val="000000"/>
                <w:sz w:val="20"/>
                <w:szCs w:val="20"/>
                <w:lang w:eastAsia="zh-CN"/>
              </w:rPr>
            </w:pPr>
          </w:p>
        </w:tc>
        <w:tc>
          <w:tcPr>
            <w:tcW w:w="1811" w:type="dxa"/>
            <w:tcBorders>
              <w:top w:val="nil"/>
              <w:left w:val="nil"/>
              <w:bottom w:val="nil"/>
              <w:right w:val="nil"/>
            </w:tcBorders>
            <w:shd w:val="clear" w:color="auto" w:fill="auto"/>
            <w:noWrap/>
            <w:vAlign w:val="bottom"/>
          </w:tcPr>
          <w:p w14:paraId="4AB7456E" w14:textId="03E46A27" w:rsidR="002D7D91" w:rsidRPr="003A0AFF" w:rsidRDefault="002D7D91" w:rsidP="001824A6">
            <w:pPr>
              <w:spacing w:after="0" w:line="240" w:lineRule="auto"/>
              <w:jc w:val="right"/>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w:t>
            </w:r>
          </w:p>
        </w:tc>
      </w:tr>
      <w:tr w:rsidR="001824A6" w:rsidRPr="001824A6" w14:paraId="09A9DED8" w14:textId="77777777" w:rsidTr="001824A6">
        <w:trPr>
          <w:trHeight w:val="300"/>
        </w:trPr>
        <w:tc>
          <w:tcPr>
            <w:tcW w:w="2656" w:type="dxa"/>
            <w:tcBorders>
              <w:top w:val="nil"/>
              <w:left w:val="nil"/>
              <w:bottom w:val="single" w:sz="4" w:space="0" w:color="auto"/>
              <w:right w:val="nil"/>
            </w:tcBorders>
            <w:shd w:val="clear" w:color="auto" w:fill="auto"/>
            <w:noWrap/>
            <w:vAlign w:val="bottom"/>
            <w:hideMark/>
          </w:tcPr>
          <w:p w14:paraId="3D342B7D" w14:textId="77777777" w:rsidR="001824A6" w:rsidRPr="001824A6" w:rsidRDefault="001824A6" w:rsidP="001824A6">
            <w:pPr>
              <w:spacing w:after="0" w:line="240" w:lineRule="auto"/>
              <w:rPr>
                <w:rFonts w:ascii="Times New Roman" w:eastAsia="Times New Roman" w:hAnsi="Times New Roman" w:cs="Times New Roman"/>
                <w:color w:val="000000"/>
                <w:sz w:val="20"/>
                <w:szCs w:val="20"/>
                <w:lang w:eastAsia="zh-CN"/>
              </w:rPr>
            </w:pPr>
            <w:r w:rsidRPr="001824A6">
              <w:rPr>
                <w:rFonts w:ascii="Times New Roman" w:eastAsia="Times New Roman" w:hAnsi="Times New Roman" w:cs="Times New Roman"/>
                <w:color w:val="000000"/>
                <w:sz w:val="20"/>
                <w:szCs w:val="20"/>
                <w:lang w:eastAsia="zh-CN"/>
              </w:rPr>
              <w:t xml:space="preserve">Bank charges and other </w:t>
            </w:r>
          </w:p>
        </w:tc>
        <w:tc>
          <w:tcPr>
            <w:tcW w:w="316" w:type="dxa"/>
            <w:tcBorders>
              <w:top w:val="nil"/>
              <w:left w:val="nil"/>
              <w:bottom w:val="single" w:sz="4" w:space="0" w:color="auto"/>
              <w:right w:val="nil"/>
            </w:tcBorders>
            <w:shd w:val="clear" w:color="auto" w:fill="auto"/>
            <w:noWrap/>
            <w:vAlign w:val="bottom"/>
            <w:hideMark/>
          </w:tcPr>
          <w:p w14:paraId="15752604" w14:textId="45A902BF" w:rsidR="001824A6" w:rsidRPr="003A0AFF" w:rsidRDefault="001824A6" w:rsidP="001824A6">
            <w:pPr>
              <w:spacing w:after="0" w:line="240" w:lineRule="auto"/>
              <w:rPr>
                <w:rFonts w:ascii="Times New Roman" w:eastAsia="Times New Roman" w:hAnsi="Times New Roman" w:cs="Times New Roman"/>
                <w:b/>
                <w:bCs/>
                <w:color w:val="000000"/>
                <w:sz w:val="20"/>
                <w:szCs w:val="20"/>
                <w:lang w:eastAsia="zh-CN"/>
              </w:rPr>
            </w:pPr>
          </w:p>
        </w:tc>
        <w:tc>
          <w:tcPr>
            <w:tcW w:w="1705" w:type="dxa"/>
            <w:tcBorders>
              <w:top w:val="nil"/>
              <w:left w:val="nil"/>
              <w:bottom w:val="single" w:sz="4" w:space="0" w:color="auto"/>
              <w:right w:val="nil"/>
            </w:tcBorders>
            <w:shd w:val="clear" w:color="auto" w:fill="auto"/>
            <w:noWrap/>
            <w:vAlign w:val="bottom"/>
            <w:hideMark/>
          </w:tcPr>
          <w:p w14:paraId="4A40257E" w14:textId="300A2CFA" w:rsidR="001824A6" w:rsidRPr="003A0AFF" w:rsidRDefault="002D7D91"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9,</w:t>
            </w:r>
            <w:r w:rsidR="004C2420" w:rsidRPr="003A0AFF">
              <w:rPr>
                <w:rFonts w:ascii="Times New Roman" w:eastAsia="Times New Roman" w:hAnsi="Times New Roman" w:cs="Times New Roman"/>
                <w:b/>
                <w:bCs/>
                <w:color w:val="000000"/>
                <w:sz w:val="20"/>
                <w:szCs w:val="20"/>
                <w:lang w:eastAsia="zh-CN"/>
              </w:rPr>
              <w:t>9</w:t>
            </w:r>
            <w:r w:rsidR="00387869" w:rsidRPr="003A0AFF">
              <w:rPr>
                <w:rFonts w:ascii="Times New Roman" w:eastAsia="Times New Roman" w:hAnsi="Times New Roman" w:cs="Times New Roman"/>
                <w:b/>
                <w:bCs/>
                <w:color w:val="000000"/>
                <w:sz w:val="20"/>
                <w:szCs w:val="20"/>
                <w:lang w:eastAsia="zh-CN"/>
              </w:rPr>
              <w:t>73</w:t>
            </w:r>
            <w:r w:rsidR="001824A6" w:rsidRPr="003A0AFF">
              <w:rPr>
                <w:rFonts w:ascii="Times New Roman" w:eastAsia="Times New Roman" w:hAnsi="Times New Roman" w:cs="Times New Roman"/>
                <w:b/>
                <w:bCs/>
                <w:color w:val="000000"/>
                <w:sz w:val="20"/>
                <w:szCs w:val="20"/>
                <w:lang w:eastAsia="zh-CN"/>
              </w:rPr>
              <w:t xml:space="preserve"> </w:t>
            </w:r>
          </w:p>
        </w:tc>
        <w:tc>
          <w:tcPr>
            <w:tcW w:w="316" w:type="dxa"/>
            <w:tcBorders>
              <w:top w:val="nil"/>
              <w:left w:val="nil"/>
              <w:bottom w:val="single" w:sz="4" w:space="0" w:color="auto"/>
              <w:right w:val="nil"/>
            </w:tcBorders>
            <w:shd w:val="clear" w:color="auto" w:fill="auto"/>
            <w:noWrap/>
            <w:vAlign w:val="bottom"/>
            <w:hideMark/>
          </w:tcPr>
          <w:p w14:paraId="19EB3BE7" w14:textId="03D33AC1" w:rsidR="001824A6" w:rsidRPr="003A0AFF" w:rsidRDefault="001824A6" w:rsidP="001824A6">
            <w:pPr>
              <w:spacing w:after="0" w:line="240" w:lineRule="auto"/>
              <w:rPr>
                <w:rFonts w:ascii="Times New Roman" w:eastAsia="Times New Roman" w:hAnsi="Times New Roman" w:cs="Times New Roman"/>
                <w:color w:val="000000"/>
                <w:sz w:val="20"/>
                <w:szCs w:val="20"/>
                <w:lang w:eastAsia="zh-CN"/>
              </w:rPr>
            </w:pPr>
          </w:p>
        </w:tc>
        <w:tc>
          <w:tcPr>
            <w:tcW w:w="1811" w:type="dxa"/>
            <w:tcBorders>
              <w:top w:val="nil"/>
              <w:left w:val="nil"/>
              <w:bottom w:val="single" w:sz="4" w:space="0" w:color="auto"/>
              <w:right w:val="nil"/>
            </w:tcBorders>
            <w:shd w:val="clear" w:color="auto" w:fill="auto"/>
            <w:noWrap/>
            <w:vAlign w:val="bottom"/>
            <w:hideMark/>
          </w:tcPr>
          <w:p w14:paraId="7065BA52" w14:textId="116C38CE" w:rsidR="001824A6" w:rsidRPr="003A0AFF" w:rsidRDefault="001824A6" w:rsidP="001824A6">
            <w:pPr>
              <w:spacing w:after="0" w:line="240" w:lineRule="auto"/>
              <w:jc w:val="right"/>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 xml:space="preserve">                  </w:t>
            </w:r>
            <w:r w:rsidR="00216932" w:rsidRPr="003A0AFF">
              <w:rPr>
                <w:rFonts w:ascii="Times New Roman" w:eastAsia="Times New Roman" w:hAnsi="Times New Roman" w:cs="Times New Roman"/>
                <w:color w:val="000000"/>
                <w:sz w:val="20"/>
                <w:szCs w:val="20"/>
                <w:lang w:eastAsia="zh-CN"/>
              </w:rPr>
              <w:t>52,39</w:t>
            </w:r>
            <w:r w:rsidR="00B915DA" w:rsidRPr="003A0AFF">
              <w:rPr>
                <w:rFonts w:ascii="Times New Roman" w:eastAsia="Times New Roman" w:hAnsi="Times New Roman" w:cs="Times New Roman"/>
                <w:color w:val="000000"/>
                <w:sz w:val="20"/>
                <w:szCs w:val="20"/>
                <w:lang w:eastAsia="zh-CN"/>
              </w:rPr>
              <w:t>0</w:t>
            </w:r>
            <w:r w:rsidRPr="003A0AFF">
              <w:rPr>
                <w:rFonts w:ascii="Times New Roman" w:eastAsia="Times New Roman" w:hAnsi="Times New Roman" w:cs="Times New Roman"/>
                <w:color w:val="000000"/>
                <w:sz w:val="20"/>
                <w:szCs w:val="20"/>
                <w:lang w:eastAsia="zh-CN"/>
              </w:rPr>
              <w:t xml:space="preserve"> </w:t>
            </w:r>
          </w:p>
        </w:tc>
      </w:tr>
      <w:tr w:rsidR="001824A6" w:rsidRPr="001824A6" w14:paraId="6098ACD3" w14:textId="77777777" w:rsidTr="001824A6">
        <w:trPr>
          <w:trHeight w:val="315"/>
        </w:trPr>
        <w:tc>
          <w:tcPr>
            <w:tcW w:w="2656" w:type="dxa"/>
            <w:tcBorders>
              <w:top w:val="nil"/>
              <w:left w:val="nil"/>
              <w:bottom w:val="single" w:sz="8" w:space="0" w:color="auto"/>
              <w:right w:val="nil"/>
            </w:tcBorders>
            <w:shd w:val="clear" w:color="auto" w:fill="auto"/>
            <w:noWrap/>
            <w:vAlign w:val="bottom"/>
            <w:hideMark/>
          </w:tcPr>
          <w:p w14:paraId="54D6AC1B" w14:textId="77777777" w:rsidR="001824A6" w:rsidRPr="001824A6" w:rsidRDefault="001824A6" w:rsidP="001824A6">
            <w:pPr>
              <w:spacing w:after="0" w:line="240" w:lineRule="auto"/>
              <w:rPr>
                <w:rFonts w:ascii="Times New Roman" w:eastAsia="Times New Roman" w:hAnsi="Times New Roman" w:cs="Times New Roman"/>
                <w:color w:val="000000"/>
                <w:sz w:val="20"/>
                <w:szCs w:val="20"/>
                <w:lang w:eastAsia="zh-CN"/>
              </w:rPr>
            </w:pPr>
            <w:r w:rsidRPr="001824A6">
              <w:rPr>
                <w:rFonts w:ascii="Times New Roman" w:eastAsia="Times New Roman" w:hAnsi="Times New Roman" w:cs="Times New Roman"/>
                <w:color w:val="000000"/>
                <w:sz w:val="20"/>
                <w:szCs w:val="20"/>
                <w:lang w:eastAsia="zh-CN"/>
              </w:rPr>
              <w:t> </w:t>
            </w:r>
          </w:p>
        </w:tc>
        <w:tc>
          <w:tcPr>
            <w:tcW w:w="316" w:type="dxa"/>
            <w:tcBorders>
              <w:top w:val="nil"/>
              <w:left w:val="nil"/>
              <w:bottom w:val="single" w:sz="8" w:space="0" w:color="auto"/>
              <w:right w:val="nil"/>
            </w:tcBorders>
            <w:shd w:val="clear" w:color="auto" w:fill="auto"/>
            <w:noWrap/>
            <w:vAlign w:val="bottom"/>
            <w:hideMark/>
          </w:tcPr>
          <w:p w14:paraId="4A956505" w14:textId="77777777" w:rsidR="001824A6" w:rsidRPr="003A0AFF" w:rsidRDefault="001824A6" w:rsidP="001824A6">
            <w:pPr>
              <w:spacing w:after="0" w:line="240" w:lineRule="auto"/>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w:t>
            </w:r>
          </w:p>
        </w:tc>
        <w:tc>
          <w:tcPr>
            <w:tcW w:w="1705" w:type="dxa"/>
            <w:tcBorders>
              <w:top w:val="nil"/>
              <w:left w:val="nil"/>
              <w:bottom w:val="single" w:sz="8" w:space="0" w:color="auto"/>
              <w:right w:val="nil"/>
            </w:tcBorders>
            <w:shd w:val="clear" w:color="auto" w:fill="auto"/>
            <w:noWrap/>
            <w:vAlign w:val="bottom"/>
            <w:hideMark/>
          </w:tcPr>
          <w:p w14:paraId="60514928" w14:textId="7FCC0356" w:rsidR="001824A6" w:rsidRPr="003A0AFF" w:rsidRDefault="001824A6" w:rsidP="001824A6">
            <w:pPr>
              <w:spacing w:after="0" w:line="240" w:lineRule="auto"/>
              <w:jc w:val="right"/>
              <w:rPr>
                <w:rFonts w:ascii="Times New Roman" w:eastAsia="Times New Roman" w:hAnsi="Times New Roman" w:cs="Times New Roman"/>
                <w:b/>
                <w:bCs/>
                <w:color w:val="000000"/>
                <w:sz w:val="20"/>
                <w:szCs w:val="20"/>
                <w:lang w:eastAsia="zh-CN"/>
              </w:rPr>
            </w:pPr>
            <w:r w:rsidRPr="003A0AFF">
              <w:rPr>
                <w:rFonts w:ascii="Times New Roman" w:eastAsia="Times New Roman" w:hAnsi="Times New Roman" w:cs="Times New Roman"/>
                <w:b/>
                <w:bCs/>
                <w:color w:val="000000"/>
                <w:sz w:val="20"/>
                <w:szCs w:val="20"/>
                <w:lang w:eastAsia="zh-CN"/>
              </w:rPr>
              <w:t xml:space="preserve">          </w:t>
            </w:r>
            <w:r w:rsidR="002D7D91" w:rsidRPr="003A0AFF">
              <w:rPr>
                <w:rFonts w:ascii="Times New Roman" w:eastAsia="Times New Roman" w:hAnsi="Times New Roman" w:cs="Times New Roman"/>
                <w:b/>
                <w:bCs/>
                <w:color w:val="000000"/>
                <w:sz w:val="20"/>
                <w:szCs w:val="20"/>
                <w:lang w:eastAsia="zh-CN"/>
              </w:rPr>
              <w:t>2,</w:t>
            </w:r>
            <w:r w:rsidR="00387869" w:rsidRPr="003A0AFF">
              <w:rPr>
                <w:rFonts w:ascii="Times New Roman" w:eastAsia="Times New Roman" w:hAnsi="Times New Roman" w:cs="Times New Roman"/>
                <w:b/>
                <w:bCs/>
                <w:color w:val="000000"/>
                <w:sz w:val="20"/>
                <w:szCs w:val="20"/>
                <w:lang w:eastAsia="zh-CN"/>
              </w:rPr>
              <w:t>334,550</w:t>
            </w:r>
            <w:r w:rsidRPr="003A0AFF">
              <w:rPr>
                <w:rFonts w:ascii="Times New Roman" w:eastAsia="Times New Roman" w:hAnsi="Times New Roman" w:cs="Times New Roman"/>
                <w:b/>
                <w:bCs/>
                <w:color w:val="000000"/>
                <w:sz w:val="20"/>
                <w:szCs w:val="20"/>
                <w:lang w:eastAsia="zh-CN"/>
              </w:rPr>
              <w:t xml:space="preserve"> </w:t>
            </w:r>
          </w:p>
        </w:tc>
        <w:tc>
          <w:tcPr>
            <w:tcW w:w="316" w:type="dxa"/>
            <w:tcBorders>
              <w:top w:val="nil"/>
              <w:left w:val="nil"/>
              <w:bottom w:val="single" w:sz="8" w:space="0" w:color="auto"/>
              <w:right w:val="nil"/>
            </w:tcBorders>
            <w:shd w:val="clear" w:color="auto" w:fill="auto"/>
            <w:noWrap/>
            <w:vAlign w:val="bottom"/>
            <w:hideMark/>
          </w:tcPr>
          <w:p w14:paraId="2970634B" w14:textId="77777777" w:rsidR="001824A6" w:rsidRPr="003A0AFF" w:rsidRDefault="001824A6" w:rsidP="001824A6">
            <w:pPr>
              <w:spacing w:after="0" w:line="240" w:lineRule="auto"/>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w:t>
            </w:r>
          </w:p>
        </w:tc>
        <w:tc>
          <w:tcPr>
            <w:tcW w:w="1811" w:type="dxa"/>
            <w:tcBorders>
              <w:top w:val="nil"/>
              <w:left w:val="nil"/>
              <w:bottom w:val="single" w:sz="8" w:space="0" w:color="auto"/>
              <w:right w:val="nil"/>
            </w:tcBorders>
            <w:shd w:val="clear" w:color="auto" w:fill="auto"/>
            <w:noWrap/>
            <w:vAlign w:val="bottom"/>
            <w:hideMark/>
          </w:tcPr>
          <w:p w14:paraId="579DECF7" w14:textId="50A8E58A" w:rsidR="001824A6" w:rsidRPr="003A0AFF" w:rsidRDefault="00216932" w:rsidP="001824A6">
            <w:pPr>
              <w:spacing w:after="0" w:line="240" w:lineRule="auto"/>
              <w:jc w:val="right"/>
              <w:rPr>
                <w:rFonts w:ascii="Times New Roman" w:eastAsia="Times New Roman" w:hAnsi="Times New Roman" w:cs="Times New Roman"/>
                <w:color w:val="000000"/>
                <w:sz w:val="20"/>
                <w:szCs w:val="20"/>
                <w:lang w:eastAsia="zh-CN"/>
              </w:rPr>
            </w:pPr>
            <w:r w:rsidRPr="003A0AFF">
              <w:rPr>
                <w:rFonts w:ascii="Times New Roman" w:eastAsia="Times New Roman" w:hAnsi="Times New Roman" w:cs="Times New Roman"/>
                <w:color w:val="000000"/>
                <w:sz w:val="20"/>
                <w:szCs w:val="20"/>
                <w:lang w:eastAsia="zh-CN"/>
              </w:rPr>
              <w:t>1,030,80</w:t>
            </w:r>
            <w:r w:rsidR="00B915DA" w:rsidRPr="003A0AFF">
              <w:rPr>
                <w:rFonts w:ascii="Times New Roman" w:eastAsia="Times New Roman" w:hAnsi="Times New Roman" w:cs="Times New Roman"/>
                <w:color w:val="000000"/>
                <w:sz w:val="20"/>
                <w:szCs w:val="20"/>
                <w:lang w:eastAsia="zh-CN"/>
              </w:rPr>
              <w:t>3</w:t>
            </w:r>
            <w:r w:rsidR="001824A6" w:rsidRPr="003A0AFF">
              <w:rPr>
                <w:rFonts w:ascii="Times New Roman" w:eastAsia="Times New Roman" w:hAnsi="Times New Roman" w:cs="Times New Roman"/>
                <w:color w:val="000000"/>
                <w:sz w:val="20"/>
                <w:szCs w:val="20"/>
                <w:lang w:eastAsia="zh-CN"/>
              </w:rPr>
              <w:t xml:space="preserve"> </w:t>
            </w:r>
          </w:p>
        </w:tc>
      </w:tr>
      <w:bookmarkEnd w:id="12"/>
    </w:tbl>
    <w:p w14:paraId="05DCDDF0" w14:textId="44A75FAC" w:rsidR="00BA2D55" w:rsidRDefault="00BA2D55" w:rsidP="00D2099E">
      <w:pPr>
        <w:spacing w:after="0" w:line="240" w:lineRule="auto"/>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244DBA14" w14:textId="77777777" w:rsidTr="005C7D2D">
        <w:tc>
          <w:tcPr>
            <w:tcW w:w="360" w:type="dxa"/>
            <w:hideMark/>
          </w:tcPr>
          <w:p w14:paraId="053AFF81" w14:textId="0211BA86"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1</w:t>
            </w:r>
            <w:r w:rsidR="002B2500">
              <w:rPr>
                <w:rFonts w:ascii="Times New Roman" w:eastAsia="Times New Roman" w:hAnsi="Times New Roman" w:cs="Times New Roman"/>
                <w:b/>
                <w:bCs/>
                <w:sz w:val="20"/>
                <w:szCs w:val="20"/>
                <w:lang w:val="en-US"/>
              </w:rPr>
              <w:t>9</w:t>
            </w:r>
            <w:r w:rsidRPr="00CA4239">
              <w:rPr>
                <w:rFonts w:ascii="Times New Roman" w:eastAsia="Times New Roman" w:hAnsi="Times New Roman" w:cs="Times New Roman"/>
                <w:b/>
                <w:bCs/>
                <w:sz w:val="20"/>
                <w:szCs w:val="20"/>
                <w:lang w:val="en-US"/>
              </w:rPr>
              <w:t>.</w:t>
            </w:r>
          </w:p>
        </w:tc>
        <w:tc>
          <w:tcPr>
            <w:tcW w:w="0" w:type="auto"/>
            <w:hideMark/>
          </w:tcPr>
          <w:p w14:paraId="4368BDFF" w14:textId="42AC6BE9" w:rsidR="00D2099E" w:rsidRPr="00CA4239" w:rsidRDefault="00660142"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Geograph</w:t>
            </w:r>
            <w:r w:rsidR="00FB41EB">
              <w:rPr>
                <w:rFonts w:ascii="Times New Roman" w:eastAsia="Times New Roman" w:hAnsi="Times New Roman" w:cs="Times New Roman"/>
                <w:b/>
                <w:bCs/>
                <w:sz w:val="20"/>
                <w:szCs w:val="20"/>
                <w:lang w:val="en-US"/>
              </w:rPr>
              <w:t>ical Segment Information</w:t>
            </w:r>
          </w:p>
        </w:tc>
      </w:tr>
    </w:tbl>
    <w:p w14:paraId="54E84DF5" w14:textId="77777777" w:rsidR="00D2099E" w:rsidRPr="00D2099E" w:rsidRDefault="00D2099E" w:rsidP="00D2099E">
      <w:pPr>
        <w:spacing w:after="0" w:line="240" w:lineRule="auto"/>
        <w:ind w:left="360" w:hanging="360"/>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6F038EC9" w14:textId="300552C4" w:rsid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xml:space="preserve">During the </w:t>
      </w:r>
      <w:r w:rsidR="00E65849">
        <w:rPr>
          <w:rFonts w:ascii="Times New Roman" w:eastAsia="Times New Roman" w:hAnsi="Times New Roman" w:cs="Times New Roman"/>
          <w:sz w:val="20"/>
          <w:szCs w:val="20"/>
          <w:lang w:val="en-US"/>
        </w:rPr>
        <w:t>six</w:t>
      </w:r>
      <w:r w:rsidR="000F3E43">
        <w:rPr>
          <w:rFonts w:ascii="Times New Roman" w:eastAsia="Times New Roman" w:hAnsi="Times New Roman" w:cs="Times New Roman"/>
          <w:sz w:val="20"/>
          <w:szCs w:val="20"/>
          <w:lang w:val="en-US"/>
        </w:rPr>
        <w:t xml:space="preserve"> months ended </w:t>
      </w:r>
      <w:r w:rsidR="00E65849">
        <w:rPr>
          <w:rFonts w:ascii="Times New Roman" w:eastAsia="Times New Roman" w:hAnsi="Times New Roman" w:cs="Times New Roman"/>
          <w:sz w:val="20"/>
          <w:szCs w:val="20"/>
          <w:lang w:val="en-US"/>
        </w:rPr>
        <w:t>June 30</w:t>
      </w:r>
      <w:r w:rsidR="000F3E43">
        <w:rPr>
          <w:rFonts w:ascii="Times New Roman" w:eastAsia="Times New Roman" w:hAnsi="Times New Roman" w:cs="Times New Roman"/>
          <w:sz w:val="20"/>
          <w:szCs w:val="20"/>
          <w:lang w:val="en-US"/>
        </w:rPr>
        <w:t xml:space="preserve">, </w:t>
      </w:r>
      <w:proofErr w:type="gramStart"/>
      <w:r w:rsidR="000F3E43">
        <w:rPr>
          <w:rFonts w:ascii="Times New Roman" w:eastAsia="Times New Roman" w:hAnsi="Times New Roman" w:cs="Times New Roman"/>
          <w:sz w:val="20"/>
          <w:szCs w:val="20"/>
          <w:lang w:val="en-US"/>
        </w:rPr>
        <w:t>2022</w:t>
      </w:r>
      <w:proofErr w:type="gramEnd"/>
      <w:r w:rsidR="000F3E43">
        <w:rPr>
          <w:rFonts w:ascii="Times New Roman" w:eastAsia="Times New Roman" w:hAnsi="Times New Roman" w:cs="Times New Roman"/>
          <w:sz w:val="20"/>
          <w:szCs w:val="20"/>
          <w:lang w:val="en-US"/>
        </w:rPr>
        <w:t xml:space="preserve"> and </w:t>
      </w:r>
      <w:r w:rsidRPr="00D2099E">
        <w:rPr>
          <w:rFonts w:ascii="Times New Roman" w:eastAsia="Times New Roman" w:hAnsi="Times New Roman" w:cs="Times New Roman"/>
          <w:sz w:val="20"/>
          <w:szCs w:val="20"/>
          <w:lang w:val="en-US"/>
        </w:rPr>
        <w:t xml:space="preserve">2021, the Company’s operations were in the resource industry in Bulgaria, and Turkey with head offices in the United States and a satellite office in Sofia, Bulgaria. The Company’s operating segments </w:t>
      </w:r>
      <w:proofErr w:type="gramStart"/>
      <w:r w:rsidRPr="00D2099E">
        <w:rPr>
          <w:rFonts w:ascii="Times New Roman" w:eastAsia="Times New Roman" w:hAnsi="Times New Roman" w:cs="Times New Roman"/>
          <w:sz w:val="20"/>
          <w:szCs w:val="20"/>
          <w:lang w:val="en-US"/>
        </w:rPr>
        <w:t>included,</w:t>
      </w:r>
      <w:proofErr w:type="gramEnd"/>
      <w:r w:rsidRPr="00D2099E">
        <w:rPr>
          <w:rFonts w:ascii="Times New Roman" w:eastAsia="Times New Roman" w:hAnsi="Times New Roman" w:cs="Times New Roman"/>
          <w:sz w:val="20"/>
          <w:szCs w:val="20"/>
          <w:lang w:val="en-US"/>
        </w:rPr>
        <w:t xml:space="preserve"> a head office in Canada, oil and gas operations in Turkey and oil and gas properties located in Bulgaria.</w:t>
      </w:r>
    </w:p>
    <w:p w14:paraId="38244580" w14:textId="45D6FF45" w:rsidR="00C72748" w:rsidRDefault="00C72748" w:rsidP="00D2099E">
      <w:pPr>
        <w:spacing w:after="0" w:line="240" w:lineRule="auto"/>
        <w:jc w:val="both"/>
        <w:rPr>
          <w:rFonts w:ascii="Times New Roman" w:eastAsia="Times New Roman" w:hAnsi="Times New Roman" w:cs="Times New Roman"/>
          <w:sz w:val="20"/>
          <w:szCs w:val="20"/>
          <w:lang w:val="en-US"/>
        </w:rPr>
      </w:pPr>
    </w:p>
    <w:p w14:paraId="640BCBE3" w14:textId="04D7CBE5" w:rsidR="00C72748" w:rsidRDefault="00C72748" w:rsidP="00D2099E">
      <w:pPr>
        <w:spacing w:after="0" w:line="240" w:lineRule="auto"/>
        <w:jc w:val="both"/>
        <w:rPr>
          <w:rFonts w:ascii="Times New Roman" w:eastAsia="Times New Roman" w:hAnsi="Times New Roman" w:cs="Times New Roman"/>
          <w:sz w:val="20"/>
          <w:szCs w:val="20"/>
          <w:lang w:val="en-US"/>
        </w:rPr>
      </w:pPr>
    </w:p>
    <w:tbl>
      <w:tblPr>
        <w:tblW w:w="9639" w:type="dxa"/>
        <w:tblLook w:val="04A0" w:firstRow="1" w:lastRow="0" w:firstColumn="1" w:lastColumn="0" w:noHBand="0" w:noVBand="1"/>
      </w:tblPr>
      <w:tblGrid>
        <w:gridCol w:w="2127"/>
        <w:gridCol w:w="322"/>
        <w:gridCol w:w="1456"/>
        <w:gridCol w:w="322"/>
        <w:gridCol w:w="1105"/>
        <w:gridCol w:w="322"/>
        <w:gridCol w:w="1066"/>
        <w:gridCol w:w="322"/>
        <w:gridCol w:w="1105"/>
        <w:gridCol w:w="322"/>
        <w:gridCol w:w="1170"/>
      </w:tblGrid>
      <w:tr w:rsidR="00D95CAB" w:rsidRPr="00BA16C8" w14:paraId="16EAFE8C" w14:textId="77777777" w:rsidTr="00064A08">
        <w:trPr>
          <w:trHeight w:val="300"/>
        </w:trPr>
        <w:tc>
          <w:tcPr>
            <w:tcW w:w="2127" w:type="dxa"/>
            <w:tcBorders>
              <w:top w:val="single" w:sz="12" w:space="0" w:color="auto"/>
              <w:left w:val="nil"/>
              <w:bottom w:val="single" w:sz="12" w:space="0" w:color="auto"/>
              <w:right w:val="nil"/>
            </w:tcBorders>
            <w:shd w:val="clear" w:color="auto" w:fill="auto"/>
            <w:noWrap/>
            <w:vAlign w:val="bottom"/>
            <w:hideMark/>
          </w:tcPr>
          <w:p w14:paraId="4E4DF50F"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 </w:t>
            </w:r>
          </w:p>
        </w:tc>
        <w:tc>
          <w:tcPr>
            <w:tcW w:w="322" w:type="dxa"/>
            <w:tcBorders>
              <w:top w:val="single" w:sz="12" w:space="0" w:color="auto"/>
              <w:left w:val="nil"/>
              <w:bottom w:val="single" w:sz="12" w:space="0" w:color="auto"/>
              <w:right w:val="nil"/>
            </w:tcBorders>
            <w:shd w:val="clear" w:color="auto" w:fill="auto"/>
            <w:noWrap/>
            <w:vAlign w:val="bottom"/>
            <w:hideMark/>
          </w:tcPr>
          <w:p w14:paraId="1FBF2861"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 </w:t>
            </w:r>
          </w:p>
        </w:tc>
        <w:tc>
          <w:tcPr>
            <w:tcW w:w="1456" w:type="dxa"/>
            <w:tcBorders>
              <w:top w:val="single" w:sz="12" w:space="0" w:color="auto"/>
              <w:left w:val="nil"/>
              <w:bottom w:val="single" w:sz="12" w:space="0" w:color="auto"/>
              <w:right w:val="nil"/>
            </w:tcBorders>
            <w:shd w:val="clear" w:color="auto" w:fill="auto"/>
            <w:noWrap/>
            <w:vAlign w:val="bottom"/>
            <w:hideMark/>
          </w:tcPr>
          <w:p w14:paraId="037CC23F"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Canada</w:t>
            </w:r>
          </w:p>
        </w:tc>
        <w:tc>
          <w:tcPr>
            <w:tcW w:w="322" w:type="dxa"/>
            <w:tcBorders>
              <w:top w:val="single" w:sz="12" w:space="0" w:color="auto"/>
              <w:left w:val="nil"/>
              <w:bottom w:val="single" w:sz="12" w:space="0" w:color="auto"/>
              <w:right w:val="nil"/>
            </w:tcBorders>
            <w:shd w:val="clear" w:color="auto" w:fill="auto"/>
            <w:noWrap/>
            <w:vAlign w:val="bottom"/>
            <w:hideMark/>
          </w:tcPr>
          <w:p w14:paraId="6434966B"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w:t>
            </w:r>
          </w:p>
        </w:tc>
        <w:tc>
          <w:tcPr>
            <w:tcW w:w="1105" w:type="dxa"/>
            <w:tcBorders>
              <w:top w:val="single" w:sz="12" w:space="0" w:color="auto"/>
              <w:left w:val="nil"/>
              <w:bottom w:val="single" w:sz="12" w:space="0" w:color="auto"/>
              <w:right w:val="nil"/>
            </w:tcBorders>
            <w:shd w:val="clear" w:color="auto" w:fill="auto"/>
            <w:noWrap/>
            <w:vAlign w:val="bottom"/>
            <w:hideMark/>
          </w:tcPr>
          <w:p w14:paraId="507B752A"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xml:space="preserve">Turkey </w:t>
            </w:r>
          </w:p>
        </w:tc>
        <w:tc>
          <w:tcPr>
            <w:tcW w:w="322" w:type="dxa"/>
            <w:tcBorders>
              <w:top w:val="single" w:sz="12" w:space="0" w:color="auto"/>
              <w:left w:val="nil"/>
              <w:bottom w:val="single" w:sz="12" w:space="0" w:color="auto"/>
              <w:right w:val="nil"/>
            </w:tcBorders>
            <w:shd w:val="clear" w:color="auto" w:fill="auto"/>
            <w:noWrap/>
            <w:vAlign w:val="bottom"/>
            <w:hideMark/>
          </w:tcPr>
          <w:p w14:paraId="2B4AB47C"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w:t>
            </w:r>
          </w:p>
        </w:tc>
        <w:tc>
          <w:tcPr>
            <w:tcW w:w="1066" w:type="dxa"/>
            <w:tcBorders>
              <w:top w:val="single" w:sz="12" w:space="0" w:color="auto"/>
              <w:left w:val="nil"/>
              <w:bottom w:val="single" w:sz="12" w:space="0" w:color="auto"/>
              <w:right w:val="nil"/>
            </w:tcBorders>
            <w:shd w:val="clear" w:color="auto" w:fill="auto"/>
            <w:noWrap/>
            <w:vAlign w:val="bottom"/>
            <w:hideMark/>
          </w:tcPr>
          <w:p w14:paraId="6BFAC5EC"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xml:space="preserve">Bermuda </w:t>
            </w:r>
          </w:p>
        </w:tc>
        <w:tc>
          <w:tcPr>
            <w:tcW w:w="322" w:type="dxa"/>
            <w:tcBorders>
              <w:top w:val="single" w:sz="12" w:space="0" w:color="auto"/>
              <w:left w:val="nil"/>
              <w:bottom w:val="single" w:sz="12" w:space="0" w:color="auto"/>
              <w:right w:val="nil"/>
            </w:tcBorders>
            <w:shd w:val="clear" w:color="auto" w:fill="auto"/>
            <w:noWrap/>
            <w:vAlign w:val="bottom"/>
            <w:hideMark/>
          </w:tcPr>
          <w:p w14:paraId="0E87D683"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w:t>
            </w:r>
          </w:p>
        </w:tc>
        <w:tc>
          <w:tcPr>
            <w:tcW w:w="1105" w:type="dxa"/>
            <w:tcBorders>
              <w:top w:val="single" w:sz="12" w:space="0" w:color="auto"/>
              <w:left w:val="nil"/>
              <w:bottom w:val="single" w:sz="12" w:space="0" w:color="auto"/>
              <w:right w:val="nil"/>
            </w:tcBorders>
            <w:shd w:val="clear" w:color="auto" w:fill="auto"/>
            <w:noWrap/>
            <w:vAlign w:val="bottom"/>
            <w:hideMark/>
          </w:tcPr>
          <w:p w14:paraId="0C3D2919"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xml:space="preserve">Bulgaria </w:t>
            </w:r>
          </w:p>
        </w:tc>
        <w:tc>
          <w:tcPr>
            <w:tcW w:w="322" w:type="dxa"/>
            <w:tcBorders>
              <w:top w:val="single" w:sz="12" w:space="0" w:color="auto"/>
              <w:left w:val="nil"/>
              <w:bottom w:val="single" w:sz="12" w:space="0" w:color="auto"/>
              <w:right w:val="nil"/>
            </w:tcBorders>
            <w:shd w:val="clear" w:color="auto" w:fill="auto"/>
            <w:noWrap/>
            <w:vAlign w:val="bottom"/>
            <w:hideMark/>
          </w:tcPr>
          <w:p w14:paraId="215E5ED4"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w:t>
            </w:r>
          </w:p>
        </w:tc>
        <w:tc>
          <w:tcPr>
            <w:tcW w:w="1170" w:type="dxa"/>
            <w:tcBorders>
              <w:top w:val="single" w:sz="12" w:space="0" w:color="auto"/>
              <w:left w:val="nil"/>
              <w:bottom w:val="single" w:sz="12" w:space="0" w:color="auto"/>
              <w:right w:val="nil"/>
            </w:tcBorders>
            <w:shd w:val="clear" w:color="auto" w:fill="auto"/>
            <w:noWrap/>
            <w:vAlign w:val="bottom"/>
            <w:hideMark/>
          </w:tcPr>
          <w:p w14:paraId="3C68AE14" w14:textId="77777777" w:rsidR="00D95CAB" w:rsidRPr="00D33273" w:rsidRDefault="00D95CAB" w:rsidP="00D23D47">
            <w:pPr>
              <w:spacing w:after="0" w:line="240" w:lineRule="auto"/>
              <w:jc w:val="right"/>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xml:space="preserve">Total </w:t>
            </w:r>
          </w:p>
        </w:tc>
      </w:tr>
      <w:tr w:rsidR="00D95CAB" w:rsidRPr="00BA16C8" w14:paraId="306F8274" w14:textId="77777777" w:rsidTr="00064A08">
        <w:trPr>
          <w:trHeight w:val="300"/>
        </w:trPr>
        <w:tc>
          <w:tcPr>
            <w:tcW w:w="5332" w:type="dxa"/>
            <w:gridSpan w:val="5"/>
            <w:tcBorders>
              <w:top w:val="single" w:sz="12" w:space="0" w:color="auto"/>
              <w:left w:val="nil"/>
              <w:bottom w:val="nil"/>
              <w:right w:val="nil"/>
            </w:tcBorders>
            <w:shd w:val="clear" w:color="auto" w:fill="auto"/>
            <w:noWrap/>
            <w:vAlign w:val="bottom"/>
            <w:hideMark/>
          </w:tcPr>
          <w:p w14:paraId="50340D10" w14:textId="77777777" w:rsidR="00D95CAB" w:rsidRPr="00D33273" w:rsidRDefault="00D95CAB" w:rsidP="00D23D47">
            <w:pPr>
              <w:spacing w:after="0" w:line="240" w:lineRule="auto"/>
              <w:rPr>
                <w:rFonts w:ascii="Times New Roman" w:eastAsia="Times New Roman" w:hAnsi="Times New Roman" w:cs="Times New Roman"/>
                <w:b/>
                <w:bCs/>
                <w:color w:val="000000"/>
                <w:sz w:val="20"/>
                <w:szCs w:val="20"/>
                <w:lang w:eastAsia="zh-CN"/>
              </w:rPr>
            </w:pPr>
            <w:r w:rsidRPr="00D33273">
              <w:rPr>
                <w:rFonts w:ascii="Times New Roman" w:eastAsia="Times New Roman" w:hAnsi="Times New Roman" w:cs="Times New Roman"/>
                <w:b/>
                <w:bCs/>
                <w:color w:val="000000"/>
                <w:sz w:val="20"/>
                <w:szCs w:val="20"/>
                <w:lang w:eastAsia="zh-CN"/>
              </w:rPr>
              <w:t xml:space="preserve">Revenue for the </w:t>
            </w:r>
            <w:r>
              <w:rPr>
                <w:rFonts w:ascii="Times New Roman" w:eastAsia="Times New Roman" w:hAnsi="Times New Roman" w:cs="Times New Roman"/>
                <w:b/>
                <w:bCs/>
                <w:color w:val="000000"/>
                <w:sz w:val="20"/>
                <w:szCs w:val="20"/>
                <w:lang w:eastAsia="zh-CN"/>
              </w:rPr>
              <w:t>six</w:t>
            </w:r>
            <w:r w:rsidRPr="00D33273">
              <w:rPr>
                <w:rFonts w:ascii="Times New Roman" w:eastAsia="Times New Roman" w:hAnsi="Times New Roman" w:cs="Times New Roman"/>
                <w:b/>
                <w:bCs/>
                <w:color w:val="000000"/>
                <w:sz w:val="20"/>
                <w:szCs w:val="20"/>
                <w:lang w:eastAsia="zh-CN"/>
              </w:rPr>
              <w:t xml:space="preserve"> months ended </w:t>
            </w:r>
            <w:r>
              <w:rPr>
                <w:rFonts w:ascii="Times New Roman" w:eastAsia="Times New Roman" w:hAnsi="Times New Roman" w:cs="Times New Roman"/>
                <w:b/>
                <w:bCs/>
                <w:color w:val="000000"/>
                <w:sz w:val="20"/>
                <w:szCs w:val="20"/>
                <w:lang w:eastAsia="zh-CN"/>
              </w:rPr>
              <w:t>June 30</w:t>
            </w:r>
            <w:r w:rsidRPr="00D33273">
              <w:rPr>
                <w:rFonts w:ascii="Times New Roman" w:eastAsia="Times New Roman" w:hAnsi="Times New Roman" w:cs="Times New Roman"/>
                <w:b/>
                <w:bCs/>
                <w:color w:val="000000"/>
                <w:sz w:val="20"/>
                <w:szCs w:val="20"/>
                <w:lang w:eastAsia="zh-CN"/>
              </w:rPr>
              <w:t xml:space="preserve">, </w:t>
            </w:r>
          </w:p>
        </w:tc>
        <w:tc>
          <w:tcPr>
            <w:tcW w:w="322" w:type="dxa"/>
            <w:tcBorders>
              <w:top w:val="single" w:sz="12" w:space="0" w:color="auto"/>
              <w:left w:val="nil"/>
              <w:bottom w:val="nil"/>
              <w:right w:val="nil"/>
            </w:tcBorders>
            <w:shd w:val="clear" w:color="auto" w:fill="auto"/>
            <w:noWrap/>
            <w:vAlign w:val="bottom"/>
            <w:hideMark/>
          </w:tcPr>
          <w:p w14:paraId="77E5EE3C" w14:textId="77777777" w:rsidR="00D95CAB" w:rsidRPr="00D33273" w:rsidRDefault="00D95CAB" w:rsidP="00D23D47">
            <w:pPr>
              <w:spacing w:after="0" w:line="240" w:lineRule="auto"/>
              <w:rPr>
                <w:rFonts w:ascii="Times New Roman" w:eastAsia="Times New Roman" w:hAnsi="Times New Roman" w:cs="Times New Roman"/>
                <w:b/>
                <w:bCs/>
                <w:color w:val="000000"/>
                <w:sz w:val="20"/>
                <w:szCs w:val="20"/>
                <w:lang w:eastAsia="zh-CN"/>
              </w:rPr>
            </w:pPr>
          </w:p>
        </w:tc>
        <w:tc>
          <w:tcPr>
            <w:tcW w:w="1066" w:type="dxa"/>
            <w:tcBorders>
              <w:top w:val="single" w:sz="12" w:space="0" w:color="auto"/>
              <w:left w:val="nil"/>
              <w:bottom w:val="nil"/>
              <w:right w:val="nil"/>
            </w:tcBorders>
            <w:shd w:val="clear" w:color="auto" w:fill="auto"/>
            <w:noWrap/>
            <w:vAlign w:val="bottom"/>
            <w:hideMark/>
          </w:tcPr>
          <w:p w14:paraId="4AF16251" w14:textId="77777777" w:rsidR="00D95CAB" w:rsidRPr="00BA16C8" w:rsidRDefault="00D95CAB" w:rsidP="00D23D47">
            <w:pPr>
              <w:spacing w:after="0" w:line="240" w:lineRule="auto"/>
              <w:rPr>
                <w:rFonts w:ascii="Times New Roman" w:eastAsia="Times New Roman" w:hAnsi="Times New Roman" w:cs="Times New Roman"/>
                <w:sz w:val="20"/>
                <w:szCs w:val="20"/>
                <w:lang w:eastAsia="zh-CN"/>
              </w:rPr>
            </w:pPr>
          </w:p>
        </w:tc>
        <w:tc>
          <w:tcPr>
            <w:tcW w:w="322" w:type="dxa"/>
            <w:tcBorders>
              <w:top w:val="single" w:sz="12" w:space="0" w:color="auto"/>
              <w:left w:val="nil"/>
              <w:bottom w:val="nil"/>
              <w:right w:val="nil"/>
            </w:tcBorders>
            <w:shd w:val="clear" w:color="auto" w:fill="auto"/>
            <w:noWrap/>
            <w:vAlign w:val="bottom"/>
            <w:hideMark/>
          </w:tcPr>
          <w:p w14:paraId="29559445" w14:textId="77777777" w:rsidR="00D95CAB" w:rsidRPr="00BA16C8" w:rsidRDefault="00D95CAB" w:rsidP="00D23D47">
            <w:pPr>
              <w:spacing w:after="0" w:line="240" w:lineRule="auto"/>
              <w:rPr>
                <w:rFonts w:ascii="Times New Roman" w:eastAsia="Times New Roman" w:hAnsi="Times New Roman" w:cs="Times New Roman"/>
                <w:sz w:val="20"/>
                <w:szCs w:val="20"/>
                <w:lang w:eastAsia="zh-CN"/>
              </w:rPr>
            </w:pPr>
          </w:p>
        </w:tc>
        <w:tc>
          <w:tcPr>
            <w:tcW w:w="1105" w:type="dxa"/>
            <w:tcBorders>
              <w:top w:val="single" w:sz="12" w:space="0" w:color="auto"/>
              <w:left w:val="nil"/>
              <w:bottom w:val="nil"/>
              <w:right w:val="nil"/>
            </w:tcBorders>
            <w:shd w:val="clear" w:color="auto" w:fill="auto"/>
            <w:noWrap/>
            <w:vAlign w:val="bottom"/>
            <w:hideMark/>
          </w:tcPr>
          <w:p w14:paraId="5325E28C" w14:textId="77777777" w:rsidR="00D95CAB" w:rsidRPr="00BA16C8" w:rsidRDefault="00D95CAB" w:rsidP="00D23D47">
            <w:pPr>
              <w:spacing w:after="0" w:line="240" w:lineRule="auto"/>
              <w:rPr>
                <w:rFonts w:ascii="Times New Roman" w:eastAsia="Times New Roman" w:hAnsi="Times New Roman" w:cs="Times New Roman"/>
                <w:sz w:val="20"/>
                <w:szCs w:val="20"/>
                <w:lang w:eastAsia="zh-CN"/>
              </w:rPr>
            </w:pPr>
          </w:p>
        </w:tc>
        <w:tc>
          <w:tcPr>
            <w:tcW w:w="322" w:type="dxa"/>
            <w:tcBorders>
              <w:top w:val="single" w:sz="12" w:space="0" w:color="auto"/>
              <w:left w:val="nil"/>
              <w:bottom w:val="nil"/>
              <w:right w:val="nil"/>
            </w:tcBorders>
            <w:shd w:val="clear" w:color="auto" w:fill="auto"/>
            <w:noWrap/>
            <w:vAlign w:val="bottom"/>
            <w:hideMark/>
          </w:tcPr>
          <w:p w14:paraId="6F70F9A3" w14:textId="77777777" w:rsidR="00D95CAB" w:rsidRPr="00BA16C8" w:rsidRDefault="00D95CAB" w:rsidP="00D23D47">
            <w:pPr>
              <w:spacing w:after="0" w:line="240" w:lineRule="auto"/>
              <w:rPr>
                <w:rFonts w:ascii="Times New Roman" w:eastAsia="Times New Roman" w:hAnsi="Times New Roman" w:cs="Times New Roman"/>
                <w:sz w:val="20"/>
                <w:szCs w:val="20"/>
                <w:lang w:eastAsia="zh-CN"/>
              </w:rPr>
            </w:pPr>
          </w:p>
        </w:tc>
        <w:tc>
          <w:tcPr>
            <w:tcW w:w="1170" w:type="dxa"/>
            <w:tcBorders>
              <w:top w:val="single" w:sz="12" w:space="0" w:color="auto"/>
              <w:left w:val="nil"/>
              <w:bottom w:val="nil"/>
              <w:right w:val="nil"/>
            </w:tcBorders>
            <w:shd w:val="clear" w:color="auto" w:fill="auto"/>
            <w:noWrap/>
            <w:vAlign w:val="bottom"/>
            <w:hideMark/>
          </w:tcPr>
          <w:p w14:paraId="5C25C7D1" w14:textId="77777777" w:rsidR="00D95CAB" w:rsidRPr="00BA16C8" w:rsidRDefault="00D95CAB" w:rsidP="00D23D47">
            <w:pPr>
              <w:spacing w:after="0" w:line="240" w:lineRule="auto"/>
              <w:rPr>
                <w:rFonts w:ascii="Times New Roman" w:eastAsia="Times New Roman" w:hAnsi="Times New Roman" w:cs="Times New Roman"/>
                <w:sz w:val="20"/>
                <w:szCs w:val="20"/>
                <w:lang w:eastAsia="zh-CN"/>
              </w:rPr>
            </w:pPr>
          </w:p>
        </w:tc>
      </w:tr>
      <w:tr w:rsidR="00D95CAB" w:rsidRPr="00BA16C8" w14:paraId="5726418A" w14:textId="77777777" w:rsidTr="00064A08">
        <w:trPr>
          <w:trHeight w:val="300"/>
        </w:trPr>
        <w:tc>
          <w:tcPr>
            <w:tcW w:w="2127" w:type="dxa"/>
            <w:tcBorders>
              <w:top w:val="nil"/>
              <w:left w:val="nil"/>
              <w:bottom w:val="nil"/>
              <w:right w:val="nil"/>
            </w:tcBorders>
            <w:shd w:val="clear" w:color="auto" w:fill="auto"/>
            <w:noWrap/>
            <w:vAlign w:val="bottom"/>
            <w:hideMark/>
          </w:tcPr>
          <w:p w14:paraId="40EC7AB3"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2022</w:t>
            </w:r>
          </w:p>
        </w:tc>
        <w:tc>
          <w:tcPr>
            <w:tcW w:w="322" w:type="dxa"/>
            <w:tcBorders>
              <w:top w:val="nil"/>
              <w:left w:val="nil"/>
              <w:bottom w:val="nil"/>
              <w:right w:val="nil"/>
            </w:tcBorders>
            <w:shd w:val="clear" w:color="auto" w:fill="auto"/>
            <w:noWrap/>
            <w:vAlign w:val="bottom"/>
            <w:hideMark/>
          </w:tcPr>
          <w:p w14:paraId="4B2C07B5"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w:t>
            </w:r>
          </w:p>
        </w:tc>
        <w:tc>
          <w:tcPr>
            <w:tcW w:w="1456" w:type="dxa"/>
            <w:tcBorders>
              <w:top w:val="nil"/>
              <w:left w:val="nil"/>
              <w:bottom w:val="nil"/>
              <w:right w:val="nil"/>
            </w:tcBorders>
            <w:shd w:val="clear" w:color="auto" w:fill="auto"/>
            <w:noWrap/>
            <w:vAlign w:val="bottom"/>
            <w:hideMark/>
          </w:tcPr>
          <w:p w14:paraId="73308D0F" w14:textId="77777777" w:rsidR="00D95CAB" w:rsidRPr="0063366B"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63366B">
              <w:rPr>
                <w:rFonts w:ascii="Times New Roman" w:eastAsia="Times New Roman" w:hAnsi="Times New Roman" w:cs="Times New Roman"/>
                <w:color w:val="000000"/>
                <w:sz w:val="20"/>
                <w:szCs w:val="20"/>
                <w:lang w:eastAsia="zh-CN"/>
              </w:rPr>
              <w:t xml:space="preserve">                     -   </w:t>
            </w:r>
          </w:p>
        </w:tc>
        <w:tc>
          <w:tcPr>
            <w:tcW w:w="322" w:type="dxa"/>
            <w:tcBorders>
              <w:top w:val="nil"/>
              <w:left w:val="nil"/>
              <w:bottom w:val="nil"/>
              <w:right w:val="nil"/>
            </w:tcBorders>
            <w:shd w:val="clear" w:color="auto" w:fill="auto"/>
            <w:noWrap/>
            <w:vAlign w:val="bottom"/>
            <w:hideMark/>
          </w:tcPr>
          <w:p w14:paraId="28A05E47"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05" w:type="dxa"/>
            <w:tcBorders>
              <w:top w:val="nil"/>
              <w:left w:val="nil"/>
              <w:bottom w:val="nil"/>
              <w:right w:val="nil"/>
            </w:tcBorders>
            <w:shd w:val="clear" w:color="auto" w:fill="auto"/>
            <w:noWrap/>
            <w:vAlign w:val="bottom"/>
            <w:hideMark/>
          </w:tcPr>
          <w:p w14:paraId="2B4D9DF0" w14:textId="652EDC61"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2,511,598 </w:t>
            </w:r>
          </w:p>
        </w:tc>
        <w:tc>
          <w:tcPr>
            <w:tcW w:w="322" w:type="dxa"/>
            <w:tcBorders>
              <w:top w:val="nil"/>
              <w:left w:val="nil"/>
              <w:bottom w:val="nil"/>
              <w:right w:val="nil"/>
            </w:tcBorders>
            <w:shd w:val="clear" w:color="auto" w:fill="auto"/>
            <w:noWrap/>
            <w:vAlign w:val="bottom"/>
            <w:hideMark/>
          </w:tcPr>
          <w:p w14:paraId="5BB0D95A"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066" w:type="dxa"/>
            <w:tcBorders>
              <w:top w:val="nil"/>
              <w:left w:val="nil"/>
              <w:bottom w:val="nil"/>
              <w:right w:val="nil"/>
            </w:tcBorders>
            <w:shd w:val="clear" w:color="auto" w:fill="auto"/>
            <w:noWrap/>
            <w:vAlign w:val="bottom"/>
            <w:hideMark/>
          </w:tcPr>
          <w:p w14:paraId="2A8F3161" w14:textId="77777777"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             -   </w:t>
            </w:r>
          </w:p>
        </w:tc>
        <w:tc>
          <w:tcPr>
            <w:tcW w:w="322" w:type="dxa"/>
            <w:tcBorders>
              <w:top w:val="nil"/>
              <w:left w:val="nil"/>
              <w:bottom w:val="nil"/>
              <w:right w:val="nil"/>
            </w:tcBorders>
            <w:shd w:val="clear" w:color="auto" w:fill="auto"/>
            <w:noWrap/>
            <w:vAlign w:val="bottom"/>
            <w:hideMark/>
          </w:tcPr>
          <w:p w14:paraId="52662E5A"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05" w:type="dxa"/>
            <w:tcBorders>
              <w:top w:val="nil"/>
              <w:left w:val="nil"/>
              <w:bottom w:val="nil"/>
              <w:right w:val="nil"/>
            </w:tcBorders>
            <w:shd w:val="clear" w:color="auto" w:fill="auto"/>
            <w:noWrap/>
            <w:vAlign w:val="bottom"/>
            <w:hideMark/>
          </w:tcPr>
          <w:p w14:paraId="350D23EA" w14:textId="77777777"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              -   </w:t>
            </w:r>
          </w:p>
        </w:tc>
        <w:tc>
          <w:tcPr>
            <w:tcW w:w="322" w:type="dxa"/>
            <w:tcBorders>
              <w:top w:val="nil"/>
              <w:left w:val="nil"/>
              <w:bottom w:val="nil"/>
              <w:right w:val="nil"/>
            </w:tcBorders>
            <w:shd w:val="clear" w:color="auto" w:fill="auto"/>
            <w:noWrap/>
            <w:vAlign w:val="bottom"/>
            <w:hideMark/>
          </w:tcPr>
          <w:p w14:paraId="54278D17"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70" w:type="dxa"/>
            <w:tcBorders>
              <w:top w:val="nil"/>
              <w:left w:val="nil"/>
              <w:bottom w:val="nil"/>
              <w:right w:val="nil"/>
            </w:tcBorders>
            <w:shd w:val="clear" w:color="auto" w:fill="auto"/>
            <w:noWrap/>
            <w:vAlign w:val="bottom"/>
            <w:hideMark/>
          </w:tcPr>
          <w:p w14:paraId="0C5C9755" w14:textId="128DEF67"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2,511,598 </w:t>
            </w:r>
          </w:p>
        </w:tc>
      </w:tr>
      <w:tr w:rsidR="00D95CAB" w:rsidRPr="00BA16C8" w14:paraId="28041933" w14:textId="77777777" w:rsidTr="00064A08">
        <w:trPr>
          <w:trHeight w:val="300"/>
        </w:trPr>
        <w:tc>
          <w:tcPr>
            <w:tcW w:w="2127" w:type="dxa"/>
            <w:tcBorders>
              <w:top w:val="nil"/>
              <w:left w:val="nil"/>
              <w:bottom w:val="nil"/>
              <w:right w:val="nil"/>
            </w:tcBorders>
            <w:shd w:val="clear" w:color="auto" w:fill="auto"/>
            <w:noWrap/>
            <w:vAlign w:val="bottom"/>
            <w:hideMark/>
          </w:tcPr>
          <w:p w14:paraId="71AD24AB"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2021</w:t>
            </w:r>
          </w:p>
        </w:tc>
        <w:tc>
          <w:tcPr>
            <w:tcW w:w="322" w:type="dxa"/>
            <w:tcBorders>
              <w:top w:val="nil"/>
              <w:left w:val="nil"/>
              <w:bottom w:val="nil"/>
              <w:right w:val="nil"/>
            </w:tcBorders>
            <w:shd w:val="clear" w:color="auto" w:fill="auto"/>
            <w:noWrap/>
            <w:vAlign w:val="bottom"/>
            <w:hideMark/>
          </w:tcPr>
          <w:p w14:paraId="1A64B6A6"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w:t>
            </w:r>
          </w:p>
        </w:tc>
        <w:tc>
          <w:tcPr>
            <w:tcW w:w="1456" w:type="dxa"/>
            <w:tcBorders>
              <w:top w:val="nil"/>
              <w:left w:val="nil"/>
              <w:bottom w:val="nil"/>
              <w:right w:val="nil"/>
            </w:tcBorders>
            <w:shd w:val="clear" w:color="auto" w:fill="auto"/>
            <w:noWrap/>
            <w:vAlign w:val="bottom"/>
            <w:hideMark/>
          </w:tcPr>
          <w:p w14:paraId="24BFC1F8" w14:textId="77777777" w:rsidR="00D95CAB" w:rsidRPr="0063366B"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63366B">
              <w:rPr>
                <w:rFonts w:ascii="Times New Roman" w:eastAsia="Times New Roman" w:hAnsi="Times New Roman" w:cs="Times New Roman"/>
                <w:color w:val="000000"/>
                <w:sz w:val="20"/>
                <w:szCs w:val="20"/>
                <w:lang w:eastAsia="zh-CN"/>
              </w:rPr>
              <w:t xml:space="preserve">                     -   </w:t>
            </w:r>
          </w:p>
        </w:tc>
        <w:tc>
          <w:tcPr>
            <w:tcW w:w="322" w:type="dxa"/>
            <w:tcBorders>
              <w:top w:val="nil"/>
              <w:left w:val="nil"/>
              <w:bottom w:val="nil"/>
              <w:right w:val="nil"/>
            </w:tcBorders>
            <w:shd w:val="clear" w:color="auto" w:fill="auto"/>
            <w:noWrap/>
            <w:vAlign w:val="bottom"/>
            <w:hideMark/>
          </w:tcPr>
          <w:p w14:paraId="6B80FB64"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05" w:type="dxa"/>
            <w:tcBorders>
              <w:top w:val="nil"/>
              <w:left w:val="nil"/>
              <w:bottom w:val="nil"/>
              <w:right w:val="nil"/>
            </w:tcBorders>
            <w:shd w:val="clear" w:color="auto" w:fill="auto"/>
            <w:noWrap/>
            <w:vAlign w:val="bottom"/>
            <w:hideMark/>
          </w:tcPr>
          <w:p w14:paraId="4E39234A" w14:textId="0E5BBAB5"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1,957,817 </w:t>
            </w:r>
          </w:p>
        </w:tc>
        <w:tc>
          <w:tcPr>
            <w:tcW w:w="322" w:type="dxa"/>
            <w:tcBorders>
              <w:top w:val="nil"/>
              <w:left w:val="nil"/>
              <w:bottom w:val="nil"/>
              <w:right w:val="nil"/>
            </w:tcBorders>
            <w:shd w:val="clear" w:color="auto" w:fill="auto"/>
            <w:noWrap/>
            <w:vAlign w:val="bottom"/>
            <w:hideMark/>
          </w:tcPr>
          <w:p w14:paraId="010BA062"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066" w:type="dxa"/>
            <w:tcBorders>
              <w:top w:val="nil"/>
              <w:left w:val="nil"/>
              <w:bottom w:val="nil"/>
              <w:right w:val="nil"/>
            </w:tcBorders>
            <w:shd w:val="clear" w:color="auto" w:fill="auto"/>
            <w:noWrap/>
            <w:vAlign w:val="bottom"/>
            <w:hideMark/>
          </w:tcPr>
          <w:p w14:paraId="3614828E" w14:textId="77777777"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             -   </w:t>
            </w:r>
          </w:p>
        </w:tc>
        <w:tc>
          <w:tcPr>
            <w:tcW w:w="322" w:type="dxa"/>
            <w:tcBorders>
              <w:top w:val="nil"/>
              <w:left w:val="nil"/>
              <w:bottom w:val="nil"/>
              <w:right w:val="nil"/>
            </w:tcBorders>
            <w:shd w:val="clear" w:color="auto" w:fill="auto"/>
            <w:noWrap/>
            <w:vAlign w:val="bottom"/>
            <w:hideMark/>
          </w:tcPr>
          <w:p w14:paraId="4BE148D8"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05" w:type="dxa"/>
            <w:tcBorders>
              <w:top w:val="nil"/>
              <w:left w:val="nil"/>
              <w:bottom w:val="nil"/>
              <w:right w:val="nil"/>
            </w:tcBorders>
            <w:shd w:val="clear" w:color="auto" w:fill="auto"/>
            <w:noWrap/>
            <w:vAlign w:val="bottom"/>
            <w:hideMark/>
          </w:tcPr>
          <w:p w14:paraId="1CB461CF" w14:textId="77777777"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              -   </w:t>
            </w:r>
          </w:p>
        </w:tc>
        <w:tc>
          <w:tcPr>
            <w:tcW w:w="322" w:type="dxa"/>
            <w:tcBorders>
              <w:top w:val="nil"/>
              <w:left w:val="nil"/>
              <w:bottom w:val="nil"/>
              <w:right w:val="nil"/>
            </w:tcBorders>
            <w:shd w:val="clear" w:color="auto" w:fill="auto"/>
            <w:noWrap/>
            <w:vAlign w:val="bottom"/>
            <w:hideMark/>
          </w:tcPr>
          <w:p w14:paraId="4F1905C9"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70" w:type="dxa"/>
            <w:tcBorders>
              <w:top w:val="nil"/>
              <w:left w:val="nil"/>
              <w:bottom w:val="nil"/>
              <w:right w:val="nil"/>
            </w:tcBorders>
            <w:shd w:val="clear" w:color="auto" w:fill="auto"/>
            <w:noWrap/>
            <w:vAlign w:val="bottom"/>
            <w:hideMark/>
          </w:tcPr>
          <w:p w14:paraId="0DFFC3B8" w14:textId="4EF047C1"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   1,957,817 </w:t>
            </w:r>
          </w:p>
        </w:tc>
      </w:tr>
      <w:tr w:rsidR="00D95CAB" w:rsidRPr="00BA16C8" w14:paraId="48D00835" w14:textId="77777777" w:rsidTr="00064A08">
        <w:trPr>
          <w:trHeight w:val="300"/>
        </w:trPr>
        <w:tc>
          <w:tcPr>
            <w:tcW w:w="3905" w:type="dxa"/>
            <w:gridSpan w:val="3"/>
            <w:tcBorders>
              <w:top w:val="nil"/>
              <w:left w:val="nil"/>
              <w:bottom w:val="nil"/>
              <w:right w:val="nil"/>
            </w:tcBorders>
            <w:shd w:val="clear" w:color="auto" w:fill="auto"/>
            <w:noWrap/>
            <w:vAlign w:val="bottom"/>
            <w:hideMark/>
          </w:tcPr>
          <w:p w14:paraId="40478B93" w14:textId="77777777" w:rsidR="00D95CAB" w:rsidRPr="0063366B" w:rsidRDefault="00D95CAB" w:rsidP="00D23D47">
            <w:pPr>
              <w:spacing w:after="0" w:line="240" w:lineRule="auto"/>
              <w:rPr>
                <w:rFonts w:ascii="Times New Roman" w:eastAsia="Times New Roman" w:hAnsi="Times New Roman" w:cs="Times New Roman"/>
                <w:b/>
                <w:bCs/>
                <w:color w:val="000000"/>
                <w:sz w:val="20"/>
                <w:szCs w:val="20"/>
                <w:lang w:eastAsia="zh-CN"/>
              </w:rPr>
            </w:pPr>
            <w:r w:rsidRPr="0063366B">
              <w:rPr>
                <w:rFonts w:ascii="Times New Roman" w:eastAsia="Times New Roman" w:hAnsi="Times New Roman" w:cs="Times New Roman"/>
                <w:b/>
                <w:bCs/>
                <w:color w:val="000000"/>
                <w:sz w:val="20"/>
                <w:szCs w:val="20"/>
                <w:lang w:eastAsia="zh-CN"/>
              </w:rPr>
              <w:t>Non-current assets as at</w:t>
            </w:r>
          </w:p>
        </w:tc>
        <w:tc>
          <w:tcPr>
            <w:tcW w:w="322" w:type="dxa"/>
            <w:tcBorders>
              <w:top w:val="nil"/>
              <w:left w:val="nil"/>
              <w:bottom w:val="nil"/>
              <w:right w:val="nil"/>
            </w:tcBorders>
            <w:shd w:val="clear" w:color="auto" w:fill="auto"/>
            <w:noWrap/>
            <w:vAlign w:val="bottom"/>
            <w:hideMark/>
          </w:tcPr>
          <w:p w14:paraId="13C25C46" w14:textId="77777777" w:rsidR="00D95CAB" w:rsidRPr="00064A08" w:rsidRDefault="00D95CAB" w:rsidP="00D23D47">
            <w:pPr>
              <w:spacing w:after="0" w:line="240" w:lineRule="auto"/>
              <w:rPr>
                <w:rFonts w:ascii="Times New Roman" w:eastAsia="Times New Roman" w:hAnsi="Times New Roman" w:cs="Times New Roman"/>
                <w:b/>
                <w:bCs/>
                <w:color w:val="000000"/>
                <w:sz w:val="20"/>
                <w:szCs w:val="20"/>
                <w:lang w:eastAsia="zh-CN"/>
              </w:rPr>
            </w:pPr>
          </w:p>
        </w:tc>
        <w:tc>
          <w:tcPr>
            <w:tcW w:w="1105" w:type="dxa"/>
            <w:tcBorders>
              <w:top w:val="nil"/>
              <w:left w:val="nil"/>
              <w:bottom w:val="nil"/>
              <w:right w:val="nil"/>
            </w:tcBorders>
            <w:shd w:val="clear" w:color="auto" w:fill="auto"/>
            <w:noWrap/>
            <w:vAlign w:val="bottom"/>
            <w:hideMark/>
          </w:tcPr>
          <w:p w14:paraId="225AA30D" w14:textId="77777777" w:rsidR="00D95CAB" w:rsidRPr="00064A08" w:rsidRDefault="00D95CAB" w:rsidP="00D23D47">
            <w:pPr>
              <w:spacing w:after="0" w:line="240" w:lineRule="auto"/>
              <w:jc w:val="right"/>
              <w:rPr>
                <w:rFonts w:ascii="Times New Roman" w:eastAsia="Times New Roman" w:hAnsi="Times New Roman" w:cs="Times New Roman"/>
                <w:sz w:val="20"/>
                <w:szCs w:val="20"/>
                <w:lang w:eastAsia="zh-CN"/>
              </w:rPr>
            </w:pPr>
          </w:p>
        </w:tc>
        <w:tc>
          <w:tcPr>
            <w:tcW w:w="322" w:type="dxa"/>
            <w:tcBorders>
              <w:top w:val="nil"/>
              <w:left w:val="nil"/>
              <w:bottom w:val="nil"/>
              <w:right w:val="nil"/>
            </w:tcBorders>
            <w:shd w:val="clear" w:color="auto" w:fill="auto"/>
            <w:noWrap/>
            <w:vAlign w:val="bottom"/>
            <w:hideMark/>
          </w:tcPr>
          <w:p w14:paraId="0A2DF75A" w14:textId="77777777" w:rsidR="00D95CAB" w:rsidRPr="00064A08" w:rsidRDefault="00D95CAB" w:rsidP="00D23D47">
            <w:pPr>
              <w:spacing w:after="0" w:line="240" w:lineRule="auto"/>
              <w:rPr>
                <w:rFonts w:ascii="Times New Roman" w:eastAsia="Times New Roman" w:hAnsi="Times New Roman" w:cs="Times New Roman"/>
                <w:sz w:val="20"/>
                <w:szCs w:val="20"/>
                <w:lang w:eastAsia="zh-CN"/>
              </w:rPr>
            </w:pPr>
          </w:p>
        </w:tc>
        <w:tc>
          <w:tcPr>
            <w:tcW w:w="1066" w:type="dxa"/>
            <w:tcBorders>
              <w:top w:val="nil"/>
              <w:left w:val="nil"/>
              <w:bottom w:val="nil"/>
              <w:right w:val="nil"/>
            </w:tcBorders>
            <w:shd w:val="clear" w:color="auto" w:fill="auto"/>
            <w:noWrap/>
            <w:vAlign w:val="bottom"/>
            <w:hideMark/>
          </w:tcPr>
          <w:p w14:paraId="2076F211" w14:textId="77777777" w:rsidR="00D95CAB" w:rsidRPr="00064A08" w:rsidRDefault="00D95CAB" w:rsidP="00D23D47">
            <w:pPr>
              <w:spacing w:after="0" w:line="240" w:lineRule="auto"/>
              <w:rPr>
                <w:rFonts w:ascii="Times New Roman" w:eastAsia="Times New Roman" w:hAnsi="Times New Roman" w:cs="Times New Roman"/>
                <w:sz w:val="20"/>
                <w:szCs w:val="20"/>
                <w:lang w:eastAsia="zh-CN"/>
              </w:rPr>
            </w:pPr>
          </w:p>
        </w:tc>
        <w:tc>
          <w:tcPr>
            <w:tcW w:w="322" w:type="dxa"/>
            <w:tcBorders>
              <w:top w:val="nil"/>
              <w:left w:val="nil"/>
              <w:bottom w:val="nil"/>
              <w:right w:val="nil"/>
            </w:tcBorders>
            <w:shd w:val="clear" w:color="auto" w:fill="auto"/>
            <w:noWrap/>
            <w:vAlign w:val="bottom"/>
            <w:hideMark/>
          </w:tcPr>
          <w:p w14:paraId="0E313CC3" w14:textId="77777777" w:rsidR="00D95CAB" w:rsidRPr="00064A08" w:rsidRDefault="00D95CAB" w:rsidP="00D23D47">
            <w:pPr>
              <w:spacing w:after="0" w:line="240" w:lineRule="auto"/>
              <w:rPr>
                <w:rFonts w:ascii="Times New Roman" w:eastAsia="Times New Roman" w:hAnsi="Times New Roman" w:cs="Times New Roman"/>
                <w:sz w:val="20"/>
                <w:szCs w:val="20"/>
                <w:lang w:eastAsia="zh-CN"/>
              </w:rPr>
            </w:pPr>
          </w:p>
        </w:tc>
        <w:tc>
          <w:tcPr>
            <w:tcW w:w="1105" w:type="dxa"/>
            <w:tcBorders>
              <w:top w:val="nil"/>
              <w:left w:val="nil"/>
              <w:bottom w:val="nil"/>
              <w:right w:val="nil"/>
            </w:tcBorders>
            <w:shd w:val="clear" w:color="auto" w:fill="auto"/>
            <w:noWrap/>
            <w:vAlign w:val="bottom"/>
            <w:hideMark/>
          </w:tcPr>
          <w:p w14:paraId="11F4BC5D" w14:textId="77777777" w:rsidR="00D95CAB" w:rsidRPr="00064A08" w:rsidRDefault="00D95CAB" w:rsidP="00D23D47">
            <w:pPr>
              <w:spacing w:after="0" w:line="240" w:lineRule="auto"/>
              <w:jc w:val="right"/>
              <w:rPr>
                <w:rFonts w:ascii="Times New Roman" w:eastAsia="Times New Roman" w:hAnsi="Times New Roman" w:cs="Times New Roman"/>
                <w:sz w:val="20"/>
                <w:szCs w:val="20"/>
                <w:lang w:eastAsia="zh-CN"/>
              </w:rPr>
            </w:pPr>
          </w:p>
        </w:tc>
        <w:tc>
          <w:tcPr>
            <w:tcW w:w="322" w:type="dxa"/>
            <w:tcBorders>
              <w:top w:val="nil"/>
              <w:left w:val="nil"/>
              <w:bottom w:val="nil"/>
              <w:right w:val="nil"/>
            </w:tcBorders>
            <w:shd w:val="clear" w:color="auto" w:fill="auto"/>
            <w:noWrap/>
            <w:vAlign w:val="bottom"/>
            <w:hideMark/>
          </w:tcPr>
          <w:p w14:paraId="74EB061C" w14:textId="77777777" w:rsidR="00D95CAB" w:rsidRPr="00064A08" w:rsidRDefault="00D95CAB" w:rsidP="00D23D47">
            <w:pPr>
              <w:spacing w:after="0" w:line="240" w:lineRule="auto"/>
              <w:rPr>
                <w:rFonts w:ascii="Times New Roman" w:eastAsia="Times New Roman" w:hAnsi="Times New Roman" w:cs="Times New Roman"/>
                <w:sz w:val="20"/>
                <w:szCs w:val="20"/>
                <w:lang w:eastAsia="zh-CN"/>
              </w:rPr>
            </w:pPr>
          </w:p>
        </w:tc>
        <w:tc>
          <w:tcPr>
            <w:tcW w:w="1170" w:type="dxa"/>
            <w:tcBorders>
              <w:top w:val="nil"/>
              <w:left w:val="nil"/>
              <w:bottom w:val="nil"/>
              <w:right w:val="nil"/>
            </w:tcBorders>
            <w:shd w:val="clear" w:color="auto" w:fill="auto"/>
            <w:noWrap/>
            <w:vAlign w:val="bottom"/>
            <w:hideMark/>
          </w:tcPr>
          <w:p w14:paraId="77566790" w14:textId="77777777" w:rsidR="00D95CAB" w:rsidRPr="00064A08" w:rsidRDefault="00D95CAB" w:rsidP="00D23D47">
            <w:pPr>
              <w:spacing w:after="0" w:line="240" w:lineRule="auto"/>
              <w:jc w:val="right"/>
              <w:rPr>
                <w:rFonts w:ascii="Times New Roman" w:eastAsia="Times New Roman" w:hAnsi="Times New Roman" w:cs="Times New Roman"/>
                <w:sz w:val="20"/>
                <w:szCs w:val="20"/>
                <w:lang w:eastAsia="zh-CN"/>
              </w:rPr>
            </w:pPr>
          </w:p>
        </w:tc>
      </w:tr>
      <w:tr w:rsidR="00D95CAB" w:rsidRPr="00BA16C8" w14:paraId="753D7BA9" w14:textId="77777777" w:rsidTr="00064A08">
        <w:trPr>
          <w:trHeight w:val="300"/>
        </w:trPr>
        <w:tc>
          <w:tcPr>
            <w:tcW w:w="2127" w:type="dxa"/>
            <w:tcBorders>
              <w:top w:val="nil"/>
              <w:left w:val="nil"/>
              <w:right w:val="nil"/>
            </w:tcBorders>
            <w:shd w:val="clear" w:color="auto" w:fill="auto"/>
            <w:noWrap/>
            <w:vAlign w:val="bottom"/>
            <w:hideMark/>
          </w:tcPr>
          <w:p w14:paraId="6FD7ADB2"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June 30</w:t>
            </w:r>
            <w:r w:rsidRPr="00D33273">
              <w:rPr>
                <w:rFonts w:ascii="Times New Roman" w:eastAsia="Times New Roman" w:hAnsi="Times New Roman" w:cs="Times New Roman"/>
                <w:color w:val="000000"/>
                <w:sz w:val="20"/>
                <w:szCs w:val="20"/>
                <w:lang w:eastAsia="zh-CN"/>
              </w:rPr>
              <w:t>, 2022</w:t>
            </w:r>
          </w:p>
        </w:tc>
        <w:tc>
          <w:tcPr>
            <w:tcW w:w="322" w:type="dxa"/>
            <w:tcBorders>
              <w:top w:val="nil"/>
              <w:left w:val="nil"/>
              <w:right w:val="nil"/>
            </w:tcBorders>
            <w:shd w:val="clear" w:color="auto" w:fill="auto"/>
            <w:noWrap/>
            <w:vAlign w:val="bottom"/>
            <w:hideMark/>
          </w:tcPr>
          <w:p w14:paraId="402F7AB4"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w:t>
            </w:r>
          </w:p>
        </w:tc>
        <w:tc>
          <w:tcPr>
            <w:tcW w:w="1456" w:type="dxa"/>
            <w:tcBorders>
              <w:top w:val="nil"/>
              <w:left w:val="nil"/>
              <w:right w:val="nil"/>
            </w:tcBorders>
            <w:shd w:val="clear" w:color="auto" w:fill="auto"/>
            <w:noWrap/>
            <w:vAlign w:val="bottom"/>
            <w:hideMark/>
          </w:tcPr>
          <w:p w14:paraId="78831ABD" w14:textId="19DB7FD5" w:rsidR="00D95CAB" w:rsidRPr="0063366B"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63366B">
              <w:rPr>
                <w:rFonts w:ascii="Times New Roman" w:eastAsia="Times New Roman" w:hAnsi="Times New Roman" w:cs="Times New Roman"/>
                <w:color w:val="000000"/>
                <w:sz w:val="20"/>
                <w:szCs w:val="20"/>
                <w:lang w:eastAsia="zh-CN"/>
              </w:rPr>
              <w:t xml:space="preserve">             </w:t>
            </w:r>
            <w:r w:rsidR="004A6902">
              <w:rPr>
                <w:rFonts w:ascii="Times New Roman" w:eastAsia="Times New Roman" w:hAnsi="Times New Roman" w:cs="Times New Roman"/>
                <w:color w:val="000000"/>
                <w:sz w:val="20"/>
                <w:szCs w:val="20"/>
                <w:lang w:eastAsia="zh-CN"/>
              </w:rPr>
              <w:t>24,7</w:t>
            </w:r>
            <w:r w:rsidR="001958E2">
              <w:rPr>
                <w:rFonts w:ascii="Times New Roman" w:eastAsia="Times New Roman" w:hAnsi="Times New Roman" w:cs="Times New Roman"/>
                <w:color w:val="000000"/>
                <w:sz w:val="20"/>
                <w:szCs w:val="20"/>
                <w:lang w:eastAsia="zh-CN"/>
              </w:rPr>
              <w:t>10</w:t>
            </w:r>
            <w:r w:rsidRPr="0063366B">
              <w:rPr>
                <w:rFonts w:ascii="Times New Roman" w:eastAsia="Times New Roman" w:hAnsi="Times New Roman" w:cs="Times New Roman"/>
                <w:color w:val="000000"/>
                <w:sz w:val="20"/>
                <w:szCs w:val="20"/>
                <w:lang w:eastAsia="zh-CN"/>
              </w:rPr>
              <w:t xml:space="preserve"> </w:t>
            </w:r>
          </w:p>
        </w:tc>
        <w:tc>
          <w:tcPr>
            <w:tcW w:w="322" w:type="dxa"/>
            <w:tcBorders>
              <w:top w:val="nil"/>
              <w:left w:val="nil"/>
              <w:right w:val="nil"/>
            </w:tcBorders>
            <w:shd w:val="clear" w:color="auto" w:fill="auto"/>
            <w:noWrap/>
            <w:vAlign w:val="bottom"/>
            <w:hideMark/>
          </w:tcPr>
          <w:p w14:paraId="58A5AC36"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05" w:type="dxa"/>
            <w:tcBorders>
              <w:top w:val="nil"/>
              <w:left w:val="nil"/>
              <w:right w:val="nil"/>
            </w:tcBorders>
            <w:shd w:val="clear" w:color="auto" w:fill="auto"/>
            <w:noWrap/>
            <w:vAlign w:val="bottom"/>
            <w:hideMark/>
          </w:tcPr>
          <w:p w14:paraId="66CC6EA7" w14:textId="699ACE45" w:rsidR="00D95CAB" w:rsidRPr="00064A08" w:rsidRDefault="004A6902" w:rsidP="00D23D47">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856,975</w:t>
            </w:r>
            <w:r w:rsidR="00D95CAB" w:rsidRPr="00064A08">
              <w:rPr>
                <w:rFonts w:ascii="Times New Roman" w:eastAsia="Times New Roman" w:hAnsi="Times New Roman" w:cs="Times New Roman"/>
                <w:color w:val="000000"/>
                <w:sz w:val="20"/>
                <w:szCs w:val="20"/>
                <w:lang w:eastAsia="zh-CN"/>
              </w:rPr>
              <w:t xml:space="preserve"> </w:t>
            </w:r>
          </w:p>
        </w:tc>
        <w:tc>
          <w:tcPr>
            <w:tcW w:w="322" w:type="dxa"/>
            <w:tcBorders>
              <w:top w:val="nil"/>
              <w:left w:val="nil"/>
              <w:right w:val="nil"/>
            </w:tcBorders>
            <w:shd w:val="clear" w:color="auto" w:fill="auto"/>
            <w:noWrap/>
            <w:vAlign w:val="bottom"/>
            <w:hideMark/>
          </w:tcPr>
          <w:p w14:paraId="4BBDF11B"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066" w:type="dxa"/>
            <w:tcBorders>
              <w:top w:val="nil"/>
              <w:left w:val="nil"/>
              <w:right w:val="nil"/>
            </w:tcBorders>
            <w:shd w:val="clear" w:color="auto" w:fill="auto"/>
            <w:noWrap/>
            <w:vAlign w:val="bottom"/>
            <w:hideMark/>
          </w:tcPr>
          <w:p w14:paraId="50D77CFD" w14:textId="77777777"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              -   </w:t>
            </w:r>
          </w:p>
        </w:tc>
        <w:tc>
          <w:tcPr>
            <w:tcW w:w="322" w:type="dxa"/>
            <w:tcBorders>
              <w:top w:val="nil"/>
              <w:left w:val="nil"/>
              <w:right w:val="nil"/>
            </w:tcBorders>
            <w:shd w:val="clear" w:color="auto" w:fill="auto"/>
            <w:noWrap/>
            <w:vAlign w:val="bottom"/>
            <w:hideMark/>
          </w:tcPr>
          <w:p w14:paraId="75E2CA20"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05" w:type="dxa"/>
            <w:tcBorders>
              <w:top w:val="nil"/>
              <w:left w:val="nil"/>
              <w:right w:val="nil"/>
            </w:tcBorders>
            <w:shd w:val="clear" w:color="auto" w:fill="auto"/>
            <w:noWrap/>
            <w:vAlign w:val="bottom"/>
            <w:hideMark/>
          </w:tcPr>
          <w:p w14:paraId="18713420" w14:textId="7EB60BF9" w:rsidR="00D95CAB" w:rsidRPr="00064A08"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 xml:space="preserve">3,111,590 </w:t>
            </w:r>
          </w:p>
        </w:tc>
        <w:tc>
          <w:tcPr>
            <w:tcW w:w="322" w:type="dxa"/>
            <w:tcBorders>
              <w:top w:val="nil"/>
              <w:left w:val="nil"/>
              <w:right w:val="nil"/>
            </w:tcBorders>
            <w:shd w:val="clear" w:color="auto" w:fill="auto"/>
            <w:noWrap/>
            <w:vAlign w:val="bottom"/>
            <w:hideMark/>
          </w:tcPr>
          <w:p w14:paraId="49E964E6" w14:textId="77777777" w:rsidR="00D95CAB" w:rsidRPr="00064A08" w:rsidRDefault="00D95CAB" w:rsidP="00D23D47">
            <w:pPr>
              <w:spacing w:after="0" w:line="240" w:lineRule="auto"/>
              <w:rPr>
                <w:rFonts w:ascii="Times New Roman" w:eastAsia="Times New Roman" w:hAnsi="Times New Roman" w:cs="Times New Roman"/>
                <w:color w:val="000000"/>
                <w:sz w:val="20"/>
                <w:szCs w:val="20"/>
                <w:lang w:eastAsia="zh-CN"/>
              </w:rPr>
            </w:pPr>
            <w:r w:rsidRPr="00064A08">
              <w:rPr>
                <w:rFonts w:ascii="Times New Roman" w:eastAsia="Times New Roman" w:hAnsi="Times New Roman" w:cs="Times New Roman"/>
                <w:color w:val="000000"/>
                <w:sz w:val="20"/>
                <w:szCs w:val="20"/>
                <w:lang w:eastAsia="zh-CN"/>
              </w:rPr>
              <w:t>$</w:t>
            </w:r>
          </w:p>
        </w:tc>
        <w:tc>
          <w:tcPr>
            <w:tcW w:w="1170" w:type="dxa"/>
            <w:tcBorders>
              <w:top w:val="nil"/>
              <w:left w:val="nil"/>
              <w:right w:val="nil"/>
            </w:tcBorders>
            <w:shd w:val="clear" w:color="auto" w:fill="auto"/>
            <w:noWrap/>
            <w:vAlign w:val="bottom"/>
            <w:hideMark/>
          </w:tcPr>
          <w:p w14:paraId="19D0AB04" w14:textId="14802D65" w:rsidR="00D95CAB" w:rsidRPr="00064A08" w:rsidRDefault="00387869" w:rsidP="00D23D47">
            <w:pPr>
              <w:spacing w:after="0" w:line="240" w:lineRule="auto"/>
              <w:jc w:val="right"/>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3,993,275</w:t>
            </w:r>
            <w:r w:rsidR="00D95CAB" w:rsidRPr="00064A08">
              <w:rPr>
                <w:rFonts w:ascii="Times New Roman" w:eastAsia="Times New Roman" w:hAnsi="Times New Roman" w:cs="Times New Roman"/>
                <w:color w:val="000000"/>
                <w:sz w:val="20"/>
                <w:szCs w:val="20"/>
                <w:lang w:eastAsia="zh-CN"/>
              </w:rPr>
              <w:t xml:space="preserve"> </w:t>
            </w:r>
          </w:p>
        </w:tc>
      </w:tr>
      <w:tr w:rsidR="00D95CAB" w:rsidRPr="00BA16C8" w14:paraId="4A90C9B7" w14:textId="77777777" w:rsidTr="00064A08">
        <w:trPr>
          <w:trHeight w:val="300"/>
        </w:trPr>
        <w:tc>
          <w:tcPr>
            <w:tcW w:w="2127" w:type="dxa"/>
            <w:tcBorders>
              <w:top w:val="nil"/>
              <w:left w:val="nil"/>
              <w:bottom w:val="single" w:sz="12" w:space="0" w:color="auto"/>
              <w:right w:val="nil"/>
            </w:tcBorders>
            <w:shd w:val="clear" w:color="auto" w:fill="auto"/>
            <w:noWrap/>
            <w:vAlign w:val="bottom"/>
            <w:hideMark/>
          </w:tcPr>
          <w:p w14:paraId="52BDFFF9"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December 31, 2021</w:t>
            </w:r>
          </w:p>
        </w:tc>
        <w:tc>
          <w:tcPr>
            <w:tcW w:w="322" w:type="dxa"/>
            <w:tcBorders>
              <w:top w:val="nil"/>
              <w:left w:val="nil"/>
              <w:bottom w:val="single" w:sz="12" w:space="0" w:color="auto"/>
              <w:right w:val="nil"/>
            </w:tcBorders>
            <w:shd w:val="clear" w:color="auto" w:fill="auto"/>
            <w:noWrap/>
            <w:vAlign w:val="bottom"/>
            <w:hideMark/>
          </w:tcPr>
          <w:p w14:paraId="5E11DDC7"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w:t>
            </w:r>
          </w:p>
        </w:tc>
        <w:tc>
          <w:tcPr>
            <w:tcW w:w="1456" w:type="dxa"/>
            <w:tcBorders>
              <w:top w:val="nil"/>
              <w:left w:val="nil"/>
              <w:bottom w:val="single" w:sz="12" w:space="0" w:color="auto"/>
              <w:right w:val="nil"/>
            </w:tcBorders>
            <w:shd w:val="clear" w:color="auto" w:fill="auto"/>
            <w:noWrap/>
            <w:vAlign w:val="bottom"/>
            <w:hideMark/>
          </w:tcPr>
          <w:p w14:paraId="6E7611D4" w14:textId="77777777" w:rsidR="00D95CAB" w:rsidRPr="00D33273"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 xml:space="preserve">             </w:t>
            </w:r>
            <w:r>
              <w:rPr>
                <w:rFonts w:ascii="Times New Roman" w:eastAsia="Times New Roman" w:hAnsi="Times New Roman" w:cs="Times New Roman"/>
                <w:color w:val="000000"/>
                <w:sz w:val="20"/>
                <w:szCs w:val="20"/>
                <w:lang w:eastAsia="zh-CN"/>
              </w:rPr>
              <w:t>-</w:t>
            </w:r>
            <w:r w:rsidRPr="00D33273">
              <w:rPr>
                <w:rFonts w:ascii="Times New Roman" w:eastAsia="Times New Roman" w:hAnsi="Times New Roman" w:cs="Times New Roman"/>
                <w:color w:val="000000"/>
                <w:sz w:val="20"/>
                <w:szCs w:val="20"/>
                <w:lang w:eastAsia="zh-CN"/>
              </w:rPr>
              <w:t xml:space="preserve"> </w:t>
            </w:r>
          </w:p>
        </w:tc>
        <w:tc>
          <w:tcPr>
            <w:tcW w:w="322" w:type="dxa"/>
            <w:tcBorders>
              <w:top w:val="nil"/>
              <w:left w:val="nil"/>
              <w:bottom w:val="single" w:sz="12" w:space="0" w:color="auto"/>
              <w:right w:val="nil"/>
            </w:tcBorders>
            <w:shd w:val="clear" w:color="auto" w:fill="auto"/>
            <w:noWrap/>
            <w:vAlign w:val="bottom"/>
            <w:hideMark/>
          </w:tcPr>
          <w:p w14:paraId="4296D97E"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w:t>
            </w:r>
          </w:p>
        </w:tc>
        <w:tc>
          <w:tcPr>
            <w:tcW w:w="1105" w:type="dxa"/>
            <w:tcBorders>
              <w:top w:val="nil"/>
              <w:left w:val="nil"/>
              <w:bottom w:val="single" w:sz="12" w:space="0" w:color="auto"/>
              <w:right w:val="nil"/>
            </w:tcBorders>
            <w:shd w:val="clear" w:color="auto" w:fill="auto"/>
            <w:noWrap/>
            <w:vAlign w:val="bottom"/>
            <w:hideMark/>
          </w:tcPr>
          <w:p w14:paraId="30228AC5" w14:textId="77777777" w:rsidR="00D95CAB" w:rsidRPr="00D33273"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1,5</w:t>
            </w:r>
            <w:r>
              <w:rPr>
                <w:rFonts w:ascii="Times New Roman" w:eastAsia="Times New Roman" w:hAnsi="Times New Roman" w:cs="Times New Roman"/>
                <w:color w:val="000000"/>
                <w:sz w:val="20"/>
                <w:szCs w:val="20"/>
                <w:lang w:eastAsia="zh-CN"/>
              </w:rPr>
              <w:t>73</w:t>
            </w:r>
            <w:r w:rsidRPr="00D33273">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185</w:t>
            </w:r>
          </w:p>
        </w:tc>
        <w:tc>
          <w:tcPr>
            <w:tcW w:w="322" w:type="dxa"/>
            <w:tcBorders>
              <w:top w:val="nil"/>
              <w:left w:val="nil"/>
              <w:bottom w:val="single" w:sz="12" w:space="0" w:color="auto"/>
              <w:right w:val="nil"/>
            </w:tcBorders>
            <w:shd w:val="clear" w:color="auto" w:fill="auto"/>
            <w:noWrap/>
            <w:vAlign w:val="bottom"/>
            <w:hideMark/>
          </w:tcPr>
          <w:p w14:paraId="383272CC"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w:t>
            </w:r>
          </w:p>
        </w:tc>
        <w:tc>
          <w:tcPr>
            <w:tcW w:w="1066" w:type="dxa"/>
            <w:tcBorders>
              <w:top w:val="nil"/>
              <w:left w:val="nil"/>
              <w:bottom w:val="single" w:sz="12" w:space="0" w:color="auto"/>
              <w:right w:val="nil"/>
            </w:tcBorders>
            <w:shd w:val="clear" w:color="auto" w:fill="auto"/>
            <w:noWrap/>
            <w:vAlign w:val="bottom"/>
            <w:hideMark/>
          </w:tcPr>
          <w:p w14:paraId="026ABDAD" w14:textId="77777777" w:rsidR="00D95CAB" w:rsidRPr="00D33273"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 xml:space="preserve">             -   </w:t>
            </w:r>
          </w:p>
        </w:tc>
        <w:tc>
          <w:tcPr>
            <w:tcW w:w="322" w:type="dxa"/>
            <w:tcBorders>
              <w:top w:val="nil"/>
              <w:left w:val="nil"/>
              <w:bottom w:val="single" w:sz="12" w:space="0" w:color="auto"/>
              <w:right w:val="nil"/>
            </w:tcBorders>
            <w:shd w:val="clear" w:color="auto" w:fill="auto"/>
            <w:noWrap/>
            <w:vAlign w:val="bottom"/>
            <w:hideMark/>
          </w:tcPr>
          <w:p w14:paraId="53FB46DA"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w:t>
            </w:r>
          </w:p>
        </w:tc>
        <w:tc>
          <w:tcPr>
            <w:tcW w:w="1105" w:type="dxa"/>
            <w:tcBorders>
              <w:top w:val="nil"/>
              <w:left w:val="nil"/>
              <w:bottom w:val="single" w:sz="12" w:space="0" w:color="auto"/>
              <w:right w:val="nil"/>
            </w:tcBorders>
            <w:shd w:val="clear" w:color="auto" w:fill="auto"/>
            <w:noWrap/>
            <w:vAlign w:val="bottom"/>
            <w:hideMark/>
          </w:tcPr>
          <w:p w14:paraId="69D9EB18" w14:textId="77777777" w:rsidR="00D95CAB" w:rsidRPr="00D33273"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 xml:space="preserve">3,116,146 </w:t>
            </w:r>
          </w:p>
        </w:tc>
        <w:tc>
          <w:tcPr>
            <w:tcW w:w="322" w:type="dxa"/>
            <w:tcBorders>
              <w:top w:val="nil"/>
              <w:left w:val="nil"/>
              <w:bottom w:val="single" w:sz="12" w:space="0" w:color="auto"/>
              <w:right w:val="nil"/>
            </w:tcBorders>
            <w:shd w:val="clear" w:color="auto" w:fill="auto"/>
            <w:noWrap/>
            <w:vAlign w:val="bottom"/>
            <w:hideMark/>
          </w:tcPr>
          <w:p w14:paraId="681CD6A7" w14:textId="77777777" w:rsidR="00D95CAB" w:rsidRPr="00D33273" w:rsidRDefault="00D95CAB" w:rsidP="00D23D47">
            <w:pPr>
              <w:spacing w:after="0" w:line="240" w:lineRule="auto"/>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w:t>
            </w:r>
          </w:p>
        </w:tc>
        <w:tc>
          <w:tcPr>
            <w:tcW w:w="1170" w:type="dxa"/>
            <w:tcBorders>
              <w:top w:val="nil"/>
              <w:left w:val="nil"/>
              <w:bottom w:val="single" w:sz="12" w:space="0" w:color="auto"/>
              <w:right w:val="nil"/>
            </w:tcBorders>
            <w:shd w:val="clear" w:color="auto" w:fill="auto"/>
            <w:noWrap/>
            <w:vAlign w:val="bottom"/>
            <w:hideMark/>
          </w:tcPr>
          <w:p w14:paraId="3563A3D4" w14:textId="77777777" w:rsidR="00D95CAB" w:rsidRPr="00D33273" w:rsidRDefault="00D95CAB" w:rsidP="00D23D47">
            <w:pPr>
              <w:spacing w:after="0" w:line="240" w:lineRule="auto"/>
              <w:jc w:val="right"/>
              <w:rPr>
                <w:rFonts w:ascii="Times New Roman" w:eastAsia="Times New Roman" w:hAnsi="Times New Roman" w:cs="Times New Roman"/>
                <w:color w:val="000000"/>
                <w:sz w:val="20"/>
                <w:szCs w:val="20"/>
                <w:lang w:eastAsia="zh-CN"/>
              </w:rPr>
            </w:pPr>
            <w:r w:rsidRPr="00D33273">
              <w:rPr>
                <w:rFonts w:ascii="Times New Roman" w:eastAsia="Times New Roman" w:hAnsi="Times New Roman" w:cs="Times New Roman"/>
                <w:color w:val="000000"/>
                <w:sz w:val="20"/>
                <w:szCs w:val="20"/>
                <w:lang w:eastAsia="zh-CN"/>
              </w:rPr>
              <w:t>4</w:t>
            </w:r>
            <w:r>
              <w:rPr>
                <w:rFonts w:ascii="Times New Roman" w:eastAsia="Times New Roman" w:hAnsi="Times New Roman" w:cs="Times New Roman"/>
                <w:color w:val="000000"/>
                <w:sz w:val="20"/>
                <w:szCs w:val="20"/>
                <w:lang w:eastAsia="zh-CN"/>
              </w:rPr>
              <w:t>,689,331</w:t>
            </w:r>
            <w:r w:rsidRPr="00D33273">
              <w:rPr>
                <w:rFonts w:ascii="Times New Roman" w:eastAsia="Times New Roman" w:hAnsi="Times New Roman" w:cs="Times New Roman"/>
                <w:color w:val="000000"/>
                <w:sz w:val="20"/>
                <w:szCs w:val="20"/>
                <w:lang w:eastAsia="zh-CN"/>
              </w:rPr>
              <w:t xml:space="preserve"> </w:t>
            </w:r>
          </w:p>
        </w:tc>
      </w:tr>
    </w:tbl>
    <w:p w14:paraId="65B5D580" w14:textId="77777777" w:rsidR="00D95CAB" w:rsidRDefault="00D95CAB" w:rsidP="00D2099E">
      <w:pPr>
        <w:spacing w:after="0" w:line="240" w:lineRule="auto"/>
        <w:jc w:val="both"/>
        <w:rPr>
          <w:rFonts w:ascii="Times New Roman" w:eastAsia="Times New Roman" w:hAnsi="Times New Roman" w:cs="Times New Roman"/>
          <w:sz w:val="20"/>
          <w:szCs w:val="20"/>
          <w:lang w:val="en-US"/>
        </w:rPr>
      </w:pPr>
    </w:p>
    <w:p w14:paraId="7C0BDE55" w14:textId="77777777" w:rsidR="00D4079A" w:rsidRDefault="00D4079A" w:rsidP="002D63D9">
      <w:pPr>
        <w:spacing w:after="0" w:line="240" w:lineRule="auto"/>
        <w:jc w:val="both"/>
        <w:rPr>
          <w:rFonts w:ascii="Times New Roman" w:eastAsia="Times New Roman" w:hAnsi="Times New Roman" w:cs="Times New Roman"/>
          <w:sz w:val="20"/>
          <w:szCs w:val="20"/>
          <w:lang w:val="en-US"/>
        </w:rPr>
      </w:pPr>
    </w:p>
    <w:tbl>
      <w:tblPr>
        <w:tblW w:w="5000" w:type="pct"/>
        <w:tblCellMar>
          <w:left w:w="0" w:type="dxa"/>
          <w:right w:w="0" w:type="dxa"/>
        </w:tblCellMar>
        <w:tblLook w:val="04A0" w:firstRow="1" w:lastRow="0" w:firstColumn="1" w:lastColumn="0" w:noHBand="0" w:noVBand="1"/>
      </w:tblPr>
      <w:tblGrid>
        <w:gridCol w:w="360"/>
        <w:gridCol w:w="9000"/>
      </w:tblGrid>
      <w:tr w:rsidR="00DA1444" w:rsidRPr="00CA4239" w14:paraId="1BEBDF70" w14:textId="77777777" w:rsidTr="00AE52B2">
        <w:tc>
          <w:tcPr>
            <w:tcW w:w="360" w:type="dxa"/>
            <w:hideMark/>
          </w:tcPr>
          <w:p w14:paraId="677BB1FB" w14:textId="27B14A04" w:rsidR="00DA1444" w:rsidRPr="00CA4239" w:rsidRDefault="00DA1444"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20</w:t>
            </w:r>
            <w:r w:rsidRPr="00CA4239">
              <w:rPr>
                <w:rFonts w:ascii="Times New Roman" w:eastAsia="Times New Roman" w:hAnsi="Times New Roman" w:cs="Times New Roman"/>
                <w:b/>
                <w:bCs/>
                <w:sz w:val="20"/>
                <w:szCs w:val="20"/>
                <w:lang w:val="en-US"/>
              </w:rPr>
              <w:t>.</w:t>
            </w:r>
          </w:p>
        </w:tc>
        <w:tc>
          <w:tcPr>
            <w:tcW w:w="0" w:type="auto"/>
            <w:hideMark/>
          </w:tcPr>
          <w:p w14:paraId="0F67CB38" w14:textId="4E90796A" w:rsidR="00DA1444" w:rsidRPr="00CA4239" w:rsidRDefault="00DA1444"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Capital Management</w:t>
            </w:r>
          </w:p>
        </w:tc>
      </w:tr>
    </w:tbl>
    <w:p w14:paraId="19527EA6" w14:textId="7D2D5A60" w:rsidR="004B4D7F" w:rsidRDefault="004B4D7F" w:rsidP="0008506C">
      <w:pPr>
        <w:spacing w:after="0" w:line="240" w:lineRule="auto"/>
        <w:ind w:left="360" w:hanging="360"/>
        <w:jc w:val="both"/>
      </w:pPr>
    </w:p>
    <w:p w14:paraId="127EC0D2" w14:textId="77777777" w:rsidR="008F1506" w:rsidRPr="008F1506" w:rsidRDefault="008F1506" w:rsidP="008F1506">
      <w:pPr>
        <w:jc w:val="both"/>
        <w:rPr>
          <w:rFonts w:ascii="Times New Roman" w:eastAsia="Times New Roman" w:hAnsi="Times New Roman" w:cs="Times New Roman"/>
          <w:sz w:val="20"/>
          <w:szCs w:val="20"/>
          <w:lang w:val="en-GB"/>
        </w:rPr>
      </w:pPr>
      <w:r w:rsidRPr="008F1506">
        <w:rPr>
          <w:rFonts w:ascii="Times New Roman" w:eastAsia="Times New Roman" w:hAnsi="Times New Roman" w:cs="Times New Roman"/>
          <w:sz w:val="20"/>
          <w:szCs w:val="20"/>
          <w:lang w:val="en-GB"/>
        </w:rPr>
        <w:t xml:space="preserve">The Company’s objectives when managing capital are to safeguard the Company’s ability to continue as a going concern to support its business plan, as well as to ensure that the Company </w:t>
      </w:r>
      <w:proofErr w:type="gramStart"/>
      <w:r w:rsidRPr="008F1506">
        <w:rPr>
          <w:rFonts w:ascii="Times New Roman" w:eastAsia="Times New Roman" w:hAnsi="Times New Roman" w:cs="Times New Roman"/>
          <w:sz w:val="20"/>
          <w:szCs w:val="20"/>
          <w:lang w:val="en-GB"/>
        </w:rPr>
        <w:t>is able to</w:t>
      </w:r>
      <w:proofErr w:type="gramEnd"/>
      <w:r w:rsidRPr="008F1506">
        <w:rPr>
          <w:rFonts w:ascii="Times New Roman" w:eastAsia="Times New Roman" w:hAnsi="Times New Roman" w:cs="Times New Roman"/>
          <w:sz w:val="20"/>
          <w:szCs w:val="20"/>
          <w:lang w:val="en-GB"/>
        </w:rPr>
        <w:t xml:space="preserve"> meet its financial obligations as they become due. </w:t>
      </w:r>
    </w:p>
    <w:p w14:paraId="616C74EB" w14:textId="77777777" w:rsidR="008F1506" w:rsidRPr="008F1506" w:rsidRDefault="008F1506" w:rsidP="008F1506">
      <w:pPr>
        <w:jc w:val="both"/>
        <w:rPr>
          <w:rFonts w:ascii="Times New Roman" w:eastAsia="Times New Roman" w:hAnsi="Times New Roman" w:cs="Times New Roman"/>
          <w:sz w:val="20"/>
          <w:szCs w:val="20"/>
          <w:lang w:val="en-GB"/>
        </w:rPr>
      </w:pPr>
      <w:r w:rsidRPr="008F1506">
        <w:rPr>
          <w:rFonts w:ascii="Times New Roman" w:eastAsia="Times New Roman" w:hAnsi="Times New Roman" w:cs="Times New Roman"/>
          <w:sz w:val="20"/>
          <w:szCs w:val="20"/>
          <w:lang w:val="en-GB"/>
        </w:rPr>
        <w:t xml:space="preserve">The basis for the Company’s capital structure is dependent on the Company’s expected business growth and changes in business environment. To maintain or adjust the capital structure, the Company may issue new shares through private placement, incur </w:t>
      </w:r>
      <w:proofErr w:type="gramStart"/>
      <w:r w:rsidRPr="008F1506">
        <w:rPr>
          <w:rFonts w:ascii="Times New Roman" w:eastAsia="Times New Roman" w:hAnsi="Times New Roman" w:cs="Times New Roman"/>
          <w:sz w:val="20"/>
          <w:szCs w:val="20"/>
          <w:lang w:val="en-GB"/>
        </w:rPr>
        <w:t>debt</w:t>
      </w:r>
      <w:proofErr w:type="gramEnd"/>
      <w:r w:rsidRPr="008F1506">
        <w:rPr>
          <w:rFonts w:ascii="Times New Roman" w:eastAsia="Times New Roman" w:hAnsi="Times New Roman" w:cs="Times New Roman"/>
          <w:sz w:val="20"/>
          <w:szCs w:val="20"/>
          <w:lang w:val="en-GB"/>
        </w:rPr>
        <w:t xml:space="preserve"> or return capital to members.</w:t>
      </w:r>
    </w:p>
    <w:p w14:paraId="1C8F8505" w14:textId="167405E5" w:rsidR="006665BD" w:rsidRDefault="008F1506" w:rsidP="008F1506">
      <w:pPr>
        <w:jc w:val="both"/>
        <w:rPr>
          <w:rFonts w:ascii="Times New Roman" w:hAnsi="Times New Roman" w:cs="Times New Roman"/>
          <w:sz w:val="20"/>
          <w:lang w:val="en-GB"/>
        </w:rPr>
      </w:pPr>
      <w:r w:rsidRPr="008F1506">
        <w:rPr>
          <w:rFonts w:ascii="Times New Roman" w:eastAsia="Times New Roman" w:hAnsi="Times New Roman" w:cs="Times New Roman"/>
          <w:sz w:val="20"/>
          <w:szCs w:val="20"/>
          <w:lang w:val="en-GB"/>
        </w:rPr>
        <w:t xml:space="preserve">The Company is dependent upon external financings to fund activities. </w:t>
      </w:r>
      <w:proofErr w:type="gramStart"/>
      <w:r w:rsidRPr="008F1506">
        <w:rPr>
          <w:rFonts w:ascii="Times New Roman" w:eastAsia="Times New Roman" w:hAnsi="Times New Roman" w:cs="Times New Roman"/>
          <w:sz w:val="20"/>
          <w:szCs w:val="20"/>
          <w:lang w:val="en-GB"/>
        </w:rPr>
        <w:t>In order to</w:t>
      </w:r>
      <w:proofErr w:type="gramEnd"/>
      <w:r w:rsidRPr="008F1506">
        <w:rPr>
          <w:rFonts w:ascii="Times New Roman" w:eastAsia="Times New Roman" w:hAnsi="Times New Roman" w:cs="Times New Roman"/>
          <w:sz w:val="20"/>
          <w:szCs w:val="20"/>
          <w:lang w:val="en-GB"/>
        </w:rPr>
        <w:t xml:space="preserve"> carry future projects and pay administrative costs, the Company will utilize its existing working capital and raise additional funds as needed. Management reviews its capital management approach on an ongoing basis and believes that this approach, given the relative size of the Company, is reasonable. The Company is not subject to externally imposed capital requirements</w:t>
      </w:r>
      <w:r w:rsidR="00CC5F02" w:rsidRPr="00D33273">
        <w:rPr>
          <w:rFonts w:ascii="Times New Roman" w:hAnsi="Times New Roman" w:cs="Times New Roman"/>
          <w:sz w:val="20"/>
          <w:lang w:val="en-GB"/>
        </w:rPr>
        <w:t xml:space="preserve">. </w:t>
      </w:r>
    </w:p>
    <w:p w14:paraId="7C12D2F7" w14:textId="77777777" w:rsidR="006665BD" w:rsidRDefault="006665BD">
      <w:pPr>
        <w:rPr>
          <w:rFonts w:ascii="Times New Roman" w:hAnsi="Times New Roman" w:cs="Times New Roman"/>
          <w:sz w:val="20"/>
          <w:lang w:val="en-GB"/>
        </w:rPr>
      </w:pPr>
      <w:r>
        <w:rPr>
          <w:rFonts w:ascii="Times New Roman" w:hAnsi="Times New Roman" w:cs="Times New Roman"/>
          <w:sz w:val="20"/>
          <w:lang w:val="en-GB"/>
        </w:rPr>
        <w:br w:type="page"/>
      </w:r>
    </w:p>
    <w:p w14:paraId="20271597" w14:textId="77777777" w:rsidR="00CC5F02" w:rsidRPr="00D33273" w:rsidRDefault="00CC5F02" w:rsidP="008F1506">
      <w:pPr>
        <w:jc w:val="both"/>
        <w:rPr>
          <w:rFonts w:ascii="Times New Roman" w:hAnsi="Times New Roman" w:cs="Times New Roman"/>
          <w:sz w:val="20"/>
        </w:rPr>
      </w:pPr>
    </w:p>
    <w:tbl>
      <w:tblPr>
        <w:tblW w:w="5000" w:type="pct"/>
        <w:tblCellMar>
          <w:left w:w="0" w:type="dxa"/>
          <w:right w:w="0" w:type="dxa"/>
        </w:tblCellMar>
        <w:tblLook w:val="04A0" w:firstRow="1" w:lastRow="0" w:firstColumn="1" w:lastColumn="0" w:noHBand="0" w:noVBand="1"/>
      </w:tblPr>
      <w:tblGrid>
        <w:gridCol w:w="360"/>
        <w:gridCol w:w="9000"/>
      </w:tblGrid>
      <w:tr w:rsidR="00593286" w:rsidRPr="00CA4239" w14:paraId="3FC32902" w14:textId="77777777" w:rsidTr="00AE52B2">
        <w:tc>
          <w:tcPr>
            <w:tcW w:w="360" w:type="dxa"/>
            <w:hideMark/>
          </w:tcPr>
          <w:p w14:paraId="4FC69290" w14:textId="2742B386" w:rsidR="00593286" w:rsidRPr="00CA4239" w:rsidRDefault="00593286"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00A87D87">
              <w:rPr>
                <w:rFonts w:ascii="Times New Roman" w:eastAsia="Times New Roman" w:hAnsi="Times New Roman" w:cs="Times New Roman"/>
                <w:b/>
                <w:bCs/>
                <w:sz w:val="20"/>
                <w:szCs w:val="20"/>
                <w:lang w:val="en-US"/>
              </w:rPr>
              <w:t>1</w:t>
            </w:r>
            <w:r w:rsidRPr="00CA4239">
              <w:rPr>
                <w:rFonts w:ascii="Times New Roman" w:eastAsia="Times New Roman" w:hAnsi="Times New Roman" w:cs="Times New Roman"/>
                <w:b/>
                <w:bCs/>
                <w:sz w:val="20"/>
                <w:szCs w:val="20"/>
                <w:lang w:val="en-US"/>
              </w:rPr>
              <w:t>.</w:t>
            </w:r>
          </w:p>
        </w:tc>
        <w:tc>
          <w:tcPr>
            <w:tcW w:w="0" w:type="auto"/>
            <w:hideMark/>
          </w:tcPr>
          <w:p w14:paraId="0FF1868A" w14:textId="3502D506" w:rsidR="00593286" w:rsidRPr="00CA4239" w:rsidRDefault="00593286"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Financial Instruments and Risk Management</w:t>
            </w:r>
          </w:p>
        </w:tc>
      </w:tr>
    </w:tbl>
    <w:p w14:paraId="65E167BC" w14:textId="77777777" w:rsidR="00DA693A" w:rsidRPr="00D33273" w:rsidRDefault="00DA693A" w:rsidP="00D33273">
      <w:pPr>
        <w:pStyle w:val="ListParagraph"/>
        <w:ind w:left="426"/>
        <w:contextualSpacing/>
        <w:rPr>
          <w:b/>
          <w:bCs/>
          <w:sz w:val="20"/>
        </w:rPr>
      </w:pPr>
    </w:p>
    <w:p w14:paraId="0C15559A" w14:textId="77777777" w:rsidR="00CC5F02" w:rsidRPr="00D33273" w:rsidRDefault="00CC5F02" w:rsidP="00CC5F02">
      <w:pPr>
        <w:jc w:val="both"/>
        <w:rPr>
          <w:rFonts w:ascii="Times New Roman" w:hAnsi="Times New Roman" w:cs="Times New Roman"/>
          <w:sz w:val="20"/>
        </w:rPr>
      </w:pPr>
      <w:r w:rsidRPr="00D33273">
        <w:rPr>
          <w:rFonts w:ascii="Times New Roman" w:hAnsi="Times New Roman" w:cs="Times New Roman"/>
          <w:sz w:val="20"/>
        </w:rPr>
        <w:t>The Company is exposed, through its operations, to the following financial risks:</w:t>
      </w:r>
    </w:p>
    <w:p w14:paraId="2981A580" w14:textId="77777777" w:rsidR="00CC5F02" w:rsidRPr="00D33273" w:rsidRDefault="00CC5F02" w:rsidP="00CC5F02">
      <w:pPr>
        <w:pStyle w:val="ListParagraph"/>
        <w:numPr>
          <w:ilvl w:val="0"/>
          <w:numId w:val="7"/>
        </w:numPr>
        <w:tabs>
          <w:tab w:val="left" w:pos="1440"/>
        </w:tabs>
        <w:ind w:left="0" w:firstLine="0"/>
        <w:contextualSpacing/>
        <w:rPr>
          <w:sz w:val="20"/>
        </w:rPr>
      </w:pPr>
      <w:r w:rsidRPr="00D33273">
        <w:rPr>
          <w:sz w:val="20"/>
        </w:rPr>
        <w:t>Market risk</w:t>
      </w:r>
    </w:p>
    <w:p w14:paraId="6DB6EDF3" w14:textId="77777777" w:rsidR="00CC5F02" w:rsidRPr="00D33273" w:rsidRDefault="00CC5F02" w:rsidP="00CC5F02">
      <w:pPr>
        <w:pStyle w:val="ListParagraph"/>
        <w:numPr>
          <w:ilvl w:val="0"/>
          <w:numId w:val="7"/>
        </w:numPr>
        <w:tabs>
          <w:tab w:val="left" w:pos="1440"/>
        </w:tabs>
        <w:ind w:left="0" w:firstLine="0"/>
        <w:contextualSpacing/>
        <w:rPr>
          <w:sz w:val="20"/>
        </w:rPr>
      </w:pPr>
      <w:r w:rsidRPr="00D33273">
        <w:rPr>
          <w:sz w:val="20"/>
        </w:rPr>
        <w:t>Credit risk</w:t>
      </w:r>
    </w:p>
    <w:p w14:paraId="1DD363F0" w14:textId="77777777" w:rsidR="00CC5F02" w:rsidRPr="00D33273" w:rsidRDefault="00CC5F02" w:rsidP="00CC5F02">
      <w:pPr>
        <w:pStyle w:val="ListParagraph"/>
        <w:numPr>
          <w:ilvl w:val="0"/>
          <w:numId w:val="7"/>
        </w:numPr>
        <w:tabs>
          <w:tab w:val="left" w:pos="1440"/>
        </w:tabs>
        <w:ind w:left="0" w:firstLine="0"/>
        <w:contextualSpacing/>
        <w:rPr>
          <w:sz w:val="20"/>
        </w:rPr>
      </w:pPr>
      <w:r w:rsidRPr="00D33273">
        <w:rPr>
          <w:sz w:val="20"/>
        </w:rPr>
        <w:t>Liquidity risk</w:t>
      </w:r>
    </w:p>
    <w:p w14:paraId="51ADADF3" w14:textId="77777777" w:rsidR="00CC5F02" w:rsidRPr="00D33273" w:rsidRDefault="00CC5F02" w:rsidP="00CC5F02">
      <w:pPr>
        <w:pStyle w:val="ListParagraph"/>
        <w:tabs>
          <w:tab w:val="left" w:pos="1440"/>
        </w:tabs>
        <w:ind w:left="0"/>
        <w:rPr>
          <w:sz w:val="20"/>
        </w:rPr>
      </w:pPr>
    </w:p>
    <w:p w14:paraId="0EF73339" w14:textId="77777777" w:rsidR="00CC5F02" w:rsidRPr="00D33273" w:rsidRDefault="00CC5F02" w:rsidP="00CC5F02">
      <w:pPr>
        <w:jc w:val="both"/>
        <w:rPr>
          <w:rFonts w:ascii="Times New Roman" w:hAnsi="Times New Roman" w:cs="Times New Roman"/>
          <w:sz w:val="20"/>
        </w:rPr>
      </w:pPr>
      <w:r w:rsidRPr="00D33273">
        <w:rPr>
          <w:rFonts w:ascii="Times New Roman" w:hAnsi="Times New Roman" w:cs="Times New Roman"/>
          <w:sz w:val="20"/>
        </w:rPr>
        <w:t>The Company is exposed to risks that arise from its use of financial instruments. This note describes the Company’s objectives, policies, and processes for managing those risks and the methods used to measure them. Further quantitative information in respect of these risks is presented throughout these Statements.</w:t>
      </w:r>
    </w:p>
    <w:p w14:paraId="318E3395" w14:textId="77777777" w:rsidR="00AA133D" w:rsidRPr="00D33273" w:rsidRDefault="00AA133D" w:rsidP="00AA133D">
      <w:pPr>
        <w:jc w:val="both"/>
        <w:rPr>
          <w:rFonts w:ascii="Times New Roman" w:hAnsi="Times New Roman" w:cs="Times New Roman"/>
          <w:sz w:val="20"/>
        </w:rPr>
      </w:pPr>
      <w:r w:rsidRPr="00D33273">
        <w:rPr>
          <w:rFonts w:ascii="Times New Roman" w:hAnsi="Times New Roman" w:cs="Times New Roman"/>
          <w:sz w:val="20"/>
        </w:rPr>
        <w:t>There have been no substantive changes in the Company’s exposure to financial instrument risks, its objectives, polices and processes for managing those risks or the methods used to measure them from previous reported periods unless otherwise stated in the note. The overall objective of management is to set policies that seek to reduce risk as far as possible without unduly affecting the Company’s competitiveness and flexibility. Further details regarding these policies are set out below.</w:t>
      </w:r>
    </w:p>
    <w:p w14:paraId="375D9D97" w14:textId="77777777" w:rsidR="00AA133D" w:rsidRPr="00D33273" w:rsidRDefault="00AA133D" w:rsidP="00AA133D">
      <w:pPr>
        <w:pStyle w:val="ListParagraph"/>
        <w:numPr>
          <w:ilvl w:val="0"/>
          <w:numId w:val="9"/>
        </w:numPr>
        <w:tabs>
          <w:tab w:val="left" w:pos="720"/>
        </w:tabs>
        <w:ind w:left="0" w:firstLine="567"/>
        <w:contextualSpacing/>
        <w:jc w:val="left"/>
        <w:rPr>
          <w:b/>
          <w:sz w:val="20"/>
        </w:rPr>
      </w:pPr>
      <w:r w:rsidRPr="00D33273">
        <w:rPr>
          <w:sz w:val="20"/>
        </w:rPr>
        <w:t>Market risk</w:t>
      </w:r>
    </w:p>
    <w:p w14:paraId="1D73881E" w14:textId="77777777" w:rsidR="00AA133D" w:rsidRPr="00D33273" w:rsidRDefault="00AA133D" w:rsidP="00AA133D">
      <w:pPr>
        <w:pStyle w:val="ListParagraph"/>
        <w:tabs>
          <w:tab w:val="left" w:pos="720"/>
        </w:tabs>
        <w:ind w:left="0"/>
        <w:rPr>
          <w:b/>
          <w:sz w:val="20"/>
        </w:rPr>
      </w:pPr>
    </w:p>
    <w:p w14:paraId="7439ADB4" w14:textId="77777777" w:rsidR="00AA133D" w:rsidRPr="00D33273" w:rsidRDefault="00AA133D" w:rsidP="00AA133D">
      <w:pPr>
        <w:ind w:left="567"/>
        <w:jc w:val="both"/>
        <w:rPr>
          <w:rFonts w:ascii="Times New Roman" w:hAnsi="Times New Roman" w:cs="Times New Roman"/>
          <w:sz w:val="20"/>
        </w:rPr>
      </w:pPr>
      <w:r w:rsidRPr="00D33273">
        <w:rPr>
          <w:rFonts w:ascii="Times New Roman" w:hAnsi="Times New Roman" w:cs="Times New Roman"/>
          <w:sz w:val="20"/>
        </w:rPr>
        <w:t>Market risk is the risk of loss that may arise from changes in market factors such as foreign currency exchange, interest rates and equity price risk.</w:t>
      </w:r>
    </w:p>
    <w:p w14:paraId="63C9C52E" w14:textId="77777777" w:rsidR="00AA133D" w:rsidRPr="00D33273" w:rsidRDefault="00AA133D" w:rsidP="00AA133D">
      <w:pPr>
        <w:numPr>
          <w:ilvl w:val="0"/>
          <w:numId w:val="10"/>
        </w:numPr>
        <w:tabs>
          <w:tab w:val="left" w:pos="1080"/>
        </w:tabs>
        <w:spacing w:after="0" w:line="240" w:lineRule="auto"/>
        <w:ind w:left="993" w:firstLine="0"/>
        <w:jc w:val="both"/>
        <w:rPr>
          <w:rFonts w:ascii="Times New Roman" w:hAnsi="Times New Roman" w:cs="Times New Roman"/>
          <w:sz w:val="20"/>
        </w:rPr>
      </w:pPr>
      <w:r w:rsidRPr="00D33273">
        <w:rPr>
          <w:rFonts w:ascii="Times New Roman" w:hAnsi="Times New Roman" w:cs="Times New Roman"/>
          <w:sz w:val="20"/>
        </w:rPr>
        <w:t>Foreign currency risk:</w:t>
      </w:r>
    </w:p>
    <w:p w14:paraId="4E9E5A0A" w14:textId="77777777" w:rsidR="00AA133D" w:rsidRPr="00D33273" w:rsidRDefault="00AA133D" w:rsidP="00AA133D">
      <w:pPr>
        <w:tabs>
          <w:tab w:val="left" w:pos="1080"/>
        </w:tabs>
        <w:spacing w:after="0" w:line="240" w:lineRule="auto"/>
        <w:jc w:val="both"/>
        <w:rPr>
          <w:rFonts w:ascii="Times New Roman" w:hAnsi="Times New Roman" w:cs="Times New Roman"/>
          <w:sz w:val="20"/>
        </w:rPr>
      </w:pPr>
    </w:p>
    <w:p w14:paraId="4EFD71B5" w14:textId="22DE8401" w:rsidR="00633285" w:rsidRDefault="00F2217F" w:rsidP="00F2217F">
      <w:pPr>
        <w:tabs>
          <w:tab w:val="left" w:pos="1080"/>
        </w:tabs>
        <w:spacing w:after="0" w:line="240" w:lineRule="auto"/>
        <w:ind w:left="993"/>
        <w:jc w:val="both"/>
        <w:rPr>
          <w:rFonts w:ascii="Times New Roman" w:hAnsi="Times New Roman" w:cs="Times New Roman"/>
          <w:sz w:val="20"/>
        </w:rPr>
      </w:pPr>
      <w:r w:rsidRPr="00F2217F">
        <w:rPr>
          <w:rFonts w:ascii="Times New Roman" w:hAnsi="Times New Roman" w:cs="Times New Roman"/>
          <w:sz w:val="20"/>
        </w:rPr>
        <w:t>Foreign currency risk is the risk that the fair values of future cash flows of a financial instrument will fluctuate because they are denominated in currencies that differ from the respective functional currency. The Company and its subsidiaries are exposed to currency risk as it has transactions denominated in currencies that are different from their functional currencies. The Company does not hedge its exposure to fluctuations in foreign exchange rates.</w:t>
      </w:r>
    </w:p>
    <w:p w14:paraId="4D7AD495" w14:textId="7737E5D1" w:rsidR="003D6BF1" w:rsidRDefault="003D6BF1" w:rsidP="00F2217F">
      <w:pPr>
        <w:tabs>
          <w:tab w:val="left" w:pos="1080"/>
        </w:tabs>
        <w:spacing w:after="0" w:line="240" w:lineRule="auto"/>
        <w:ind w:left="993"/>
        <w:jc w:val="both"/>
        <w:rPr>
          <w:rFonts w:ascii="Times New Roman" w:hAnsi="Times New Roman" w:cs="Times New Roman"/>
          <w:sz w:val="20"/>
        </w:rPr>
      </w:pPr>
    </w:p>
    <w:p w14:paraId="6C53E285" w14:textId="5744FFD2" w:rsidR="00496D32" w:rsidRDefault="00496D32" w:rsidP="00496D32">
      <w:pPr>
        <w:tabs>
          <w:tab w:val="left" w:pos="1080"/>
        </w:tabs>
        <w:spacing w:after="0" w:line="240" w:lineRule="auto"/>
        <w:ind w:left="993"/>
        <w:jc w:val="both"/>
        <w:rPr>
          <w:rFonts w:ascii="Times New Roman" w:hAnsi="Times New Roman" w:cs="Times New Roman"/>
          <w:sz w:val="20"/>
        </w:rPr>
      </w:pPr>
      <w:r w:rsidRPr="003D6BF1">
        <w:rPr>
          <w:rFonts w:ascii="Times New Roman" w:hAnsi="Times New Roman" w:cs="Times New Roman"/>
          <w:sz w:val="20"/>
        </w:rPr>
        <w:t xml:space="preserve">As </w:t>
      </w:r>
      <w:proofErr w:type="gramStart"/>
      <w:r w:rsidRPr="003D6BF1">
        <w:rPr>
          <w:rFonts w:ascii="Times New Roman" w:hAnsi="Times New Roman" w:cs="Times New Roman"/>
          <w:sz w:val="20"/>
        </w:rPr>
        <w:t>at</w:t>
      </w:r>
      <w:proofErr w:type="gramEnd"/>
      <w:r w:rsidRPr="003D6BF1">
        <w:rPr>
          <w:rFonts w:ascii="Times New Roman" w:hAnsi="Times New Roman" w:cs="Times New Roman"/>
          <w:sz w:val="20"/>
        </w:rPr>
        <w:t xml:space="preserve"> </w:t>
      </w:r>
      <w:r w:rsidR="0063366B">
        <w:rPr>
          <w:rFonts w:ascii="Times New Roman" w:hAnsi="Times New Roman" w:cs="Times New Roman"/>
          <w:sz w:val="20"/>
        </w:rPr>
        <w:t>June 30</w:t>
      </w:r>
      <w:r w:rsidRPr="003D6BF1">
        <w:rPr>
          <w:rFonts w:ascii="Times New Roman" w:hAnsi="Times New Roman" w:cs="Times New Roman"/>
          <w:sz w:val="20"/>
        </w:rPr>
        <w:t xml:space="preserve">, 2022, the Company’s significant foreign exchange currency exposure on its financial instruments, expressed in </w:t>
      </w:r>
      <w:r>
        <w:rPr>
          <w:rFonts w:ascii="Times New Roman" w:hAnsi="Times New Roman" w:cs="Times New Roman"/>
          <w:sz w:val="20"/>
        </w:rPr>
        <w:t>USD</w:t>
      </w:r>
      <w:r w:rsidRPr="003D6BF1">
        <w:rPr>
          <w:rFonts w:ascii="Times New Roman" w:hAnsi="Times New Roman" w:cs="Times New Roman"/>
          <w:sz w:val="20"/>
        </w:rPr>
        <w:t xml:space="preserve"> was as follows:</w:t>
      </w:r>
    </w:p>
    <w:p w14:paraId="5A92EDFD" w14:textId="38DEC87B" w:rsidR="00496D32" w:rsidRDefault="00496D32" w:rsidP="00F2217F">
      <w:pPr>
        <w:tabs>
          <w:tab w:val="left" w:pos="1080"/>
        </w:tabs>
        <w:spacing w:after="0" w:line="240" w:lineRule="auto"/>
        <w:ind w:left="993"/>
        <w:jc w:val="both"/>
        <w:rPr>
          <w:rFonts w:ascii="Times New Roman" w:hAnsi="Times New Roman" w:cs="Times New Roman"/>
          <w:sz w:val="20"/>
        </w:rPr>
      </w:pPr>
    </w:p>
    <w:p w14:paraId="55BDE8F4" w14:textId="75C10ACF" w:rsidR="007B5338" w:rsidRDefault="007B5338" w:rsidP="00F2217F">
      <w:pPr>
        <w:tabs>
          <w:tab w:val="left" w:pos="1080"/>
        </w:tabs>
        <w:spacing w:after="0" w:line="240" w:lineRule="auto"/>
        <w:ind w:left="993"/>
        <w:jc w:val="both"/>
        <w:rPr>
          <w:rFonts w:ascii="Times New Roman" w:hAnsi="Times New Roman" w:cs="Times New Roman"/>
          <w:sz w:val="20"/>
        </w:rPr>
      </w:pPr>
      <w:r w:rsidRPr="007B5338">
        <w:rPr>
          <w:rFonts w:ascii="Times New Roman" w:hAnsi="Times New Roman" w:cs="Times New Roman"/>
          <w:sz w:val="20"/>
        </w:rPr>
        <w:t>If the CAD strengthened or weakened against the USD by 10% the exchange rate fluctuation would impact net loss by $</w:t>
      </w:r>
      <w:r w:rsidR="00075F05">
        <w:rPr>
          <w:rFonts w:ascii="Times New Roman" w:hAnsi="Times New Roman" w:cs="Times New Roman"/>
          <w:sz w:val="20"/>
        </w:rPr>
        <w:t>24</w:t>
      </w:r>
      <w:r w:rsidR="001D1841">
        <w:rPr>
          <w:rFonts w:ascii="Times New Roman" w:hAnsi="Times New Roman" w:cs="Times New Roman"/>
          <w:sz w:val="20"/>
        </w:rPr>
        <w:t>,</w:t>
      </w:r>
      <w:r w:rsidR="00387869">
        <w:rPr>
          <w:rFonts w:ascii="Times New Roman" w:hAnsi="Times New Roman" w:cs="Times New Roman"/>
          <w:sz w:val="20"/>
        </w:rPr>
        <w:t>290</w:t>
      </w:r>
      <w:r w:rsidRPr="007B5338">
        <w:rPr>
          <w:rFonts w:ascii="Times New Roman" w:hAnsi="Times New Roman" w:cs="Times New Roman"/>
          <w:sz w:val="20"/>
        </w:rPr>
        <w:t xml:space="preserve"> </w:t>
      </w:r>
      <w:proofErr w:type="gramStart"/>
      <w:r w:rsidRPr="007B5338">
        <w:rPr>
          <w:rFonts w:ascii="Times New Roman" w:hAnsi="Times New Roman" w:cs="Times New Roman"/>
          <w:sz w:val="20"/>
        </w:rPr>
        <w:t>at</w:t>
      </w:r>
      <w:proofErr w:type="gramEnd"/>
      <w:r w:rsidRPr="007B5338">
        <w:rPr>
          <w:rFonts w:ascii="Times New Roman" w:hAnsi="Times New Roman" w:cs="Times New Roman"/>
          <w:sz w:val="20"/>
        </w:rPr>
        <w:t xml:space="preserve"> </w:t>
      </w:r>
      <w:r w:rsidR="0063366B">
        <w:rPr>
          <w:rFonts w:ascii="Times New Roman" w:hAnsi="Times New Roman" w:cs="Times New Roman"/>
          <w:sz w:val="20"/>
        </w:rPr>
        <w:t>June 30</w:t>
      </w:r>
      <w:r w:rsidRPr="007B5338">
        <w:rPr>
          <w:rFonts w:ascii="Times New Roman" w:hAnsi="Times New Roman" w:cs="Times New Roman"/>
          <w:sz w:val="20"/>
        </w:rPr>
        <w:t>, 202</w:t>
      </w:r>
      <w:r w:rsidR="00D56DDD">
        <w:rPr>
          <w:rFonts w:ascii="Times New Roman" w:hAnsi="Times New Roman" w:cs="Times New Roman"/>
          <w:sz w:val="20"/>
        </w:rPr>
        <w:t>2</w:t>
      </w:r>
      <w:r w:rsidRPr="007B5338">
        <w:rPr>
          <w:rFonts w:ascii="Times New Roman" w:hAnsi="Times New Roman" w:cs="Times New Roman"/>
          <w:sz w:val="20"/>
        </w:rPr>
        <w:t xml:space="preserve"> (</w:t>
      </w:r>
      <w:r w:rsidR="00D7344B">
        <w:rPr>
          <w:rFonts w:ascii="Times New Roman" w:hAnsi="Times New Roman" w:cs="Times New Roman"/>
          <w:sz w:val="20"/>
        </w:rPr>
        <w:t>December 31, 2021</w:t>
      </w:r>
      <w:r w:rsidRPr="007B5338">
        <w:rPr>
          <w:rFonts w:ascii="Times New Roman" w:hAnsi="Times New Roman" w:cs="Times New Roman"/>
          <w:sz w:val="20"/>
        </w:rPr>
        <w:t xml:space="preserve"> - $</w:t>
      </w:r>
      <w:r w:rsidR="00C007DC">
        <w:rPr>
          <w:rFonts w:ascii="Times New Roman" w:hAnsi="Times New Roman" w:cs="Times New Roman"/>
          <w:sz w:val="20"/>
        </w:rPr>
        <w:t>201,206</w:t>
      </w:r>
      <w:r w:rsidRPr="007B5338">
        <w:rPr>
          <w:rFonts w:ascii="Times New Roman" w:hAnsi="Times New Roman" w:cs="Times New Roman"/>
          <w:sz w:val="20"/>
        </w:rPr>
        <w:t xml:space="preserve">). </w:t>
      </w:r>
    </w:p>
    <w:p w14:paraId="4A582BAF" w14:textId="409F293D" w:rsidR="003D6BF1" w:rsidRDefault="003D6BF1" w:rsidP="00F2217F">
      <w:pPr>
        <w:tabs>
          <w:tab w:val="left" w:pos="1080"/>
        </w:tabs>
        <w:spacing w:after="0" w:line="240" w:lineRule="auto"/>
        <w:ind w:left="993"/>
        <w:jc w:val="both"/>
        <w:rPr>
          <w:rFonts w:ascii="Times New Roman" w:hAnsi="Times New Roman" w:cs="Times New Roman"/>
          <w:sz w:val="20"/>
        </w:rPr>
      </w:pPr>
    </w:p>
    <w:p w14:paraId="3C827CBB" w14:textId="77777777" w:rsidR="00B11A6E" w:rsidRPr="0007712C" w:rsidRDefault="00B11A6E" w:rsidP="00B11A6E">
      <w:pPr>
        <w:pStyle w:val="ListParagraph"/>
        <w:numPr>
          <w:ilvl w:val="0"/>
          <w:numId w:val="10"/>
        </w:numPr>
        <w:ind w:left="1418" w:hanging="425"/>
        <w:rPr>
          <w:sz w:val="20"/>
        </w:rPr>
      </w:pPr>
      <w:r w:rsidRPr="0007712C">
        <w:rPr>
          <w:sz w:val="20"/>
        </w:rPr>
        <w:t>Interest rate risk:</w:t>
      </w:r>
    </w:p>
    <w:p w14:paraId="74F7EE78" w14:textId="77777777" w:rsidR="00B11A6E" w:rsidRPr="00D33273" w:rsidRDefault="00B11A6E" w:rsidP="00B11A6E">
      <w:pPr>
        <w:tabs>
          <w:tab w:val="left" w:pos="1080"/>
        </w:tabs>
        <w:spacing w:after="0" w:line="240" w:lineRule="auto"/>
        <w:jc w:val="both"/>
        <w:rPr>
          <w:rFonts w:ascii="Times New Roman" w:hAnsi="Times New Roman" w:cs="Times New Roman"/>
          <w:sz w:val="20"/>
        </w:rPr>
      </w:pPr>
    </w:p>
    <w:p w14:paraId="668457F2" w14:textId="77777777" w:rsidR="00B11A6E" w:rsidRPr="00D33273" w:rsidRDefault="00B11A6E" w:rsidP="00B11A6E">
      <w:pPr>
        <w:tabs>
          <w:tab w:val="left" w:pos="1080"/>
        </w:tabs>
        <w:ind w:left="993"/>
        <w:jc w:val="both"/>
        <w:rPr>
          <w:rFonts w:ascii="Times New Roman" w:hAnsi="Times New Roman" w:cs="Times New Roman"/>
          <w:sz w:val="20"/>
        </w:rPr>
      </w:pPr>
      <w:r w:rsidRPr="00D33273">
        <w:rPr>
          <w:rFonts w:ascii="Times New Roman" w:hAnsi="Times New Roman" w:cs="Times New Roman"/>
          <w:sz w:val="20"/>
        </w:rPr>
        <w:t xml:space="preserve">Interest rate risk is the risk that future cash flows will fluctuate because of changes in market interest rates. The interest earned on cash is insignificant and the Company does not rely on interest income to fund its operations. The Company has significant debt facilities, including convertible debt and promissory notes and loans payable. As the debt facilities are incurring a fixed rate of interest, the Company is not significantly exposed to interest rate risk. </w:t>
      </w:r>
    </w:p>
    <w:p w14:paraId="7E2EBD8C" w14:textId="77777777" w:rsidR="00B11A6E" w:rsidRPr="00D33273" w:rsidRDefault="00B11A6E" w:rsidP="00B11A6E">
      <w:pPr>
        <w:numPr>
          <w:ilvl w:val="0"/>
          <w:numId w:val="10"/>
        </w:numPr>
        <w:tabs>
          <w:tab w:val="left" w:pos="1080"/>
        </w:tabs>
        <w:spacing w:after="0" w:line="240" w:lineRule="auto"/>
        <w:ind w:left="0" w:firstLine="993"/>
        <w:jc w:val="both"/>
        <w:rPr>
          <w:rFonts w:ascii="Times New Roman" w:hAnsi="Times New Roman" w:cs="Times New Roman"/>
          <w:sz w:val="20"/>
        </w:rPr>
      </w:pPr>
      <w:r w:rsidRPr="00D33273">
        <w:rPr>
          <w:rFonts w:ascii="Times New Roman" w:hAnsi="Times New Roman" w:cs="Times New Roman"/>
          <w:sz w:val="20"/>
        </w:rPr>
        <w:t>Other price risk:</w:t>
      </w:r>
    </w:p>
    <w:p w14:paraId="622A8D82" w14:textId="77777777" w:rsidR="00B11A6E" w:rsidRPr="00D33273" w:rsidRDefault="00B11A6E" w:rsidP="00B11A6E">
      <w:pPr>
        <w:tabs>
          <w:tab w:val="left" w:pos="993"/>
        </w:tabs>
        <w:spacing w:after="0" w:line="240" w:lineRule="auto"/>
        <w:jc w:val="both"/>
        <w:rPr>
          <w:rFonts w:ascii="Times New Roman" w:hAnsi="Times New Roman" w:cs="Times New Roman"/>
          <w:sz w:val="20"/>
        </w:rPr>
      </w:pPr>
    </w:p>
    <w:p w14:paraId="15839290" w14:textId="77777777" w:rsidR="00B11A6E" w:rsidRPr="00D33273" w:rsidRDefault="00B11A6E" w:rsidP="00B11A6E">
      <w:pPr>
        <w:spacing w:after="200" w:line="276" w:lineRule="auto"/>
        <w:ind w:left="1134"/>
        <w:jc w:val="both"/>
        <w:rPr>
          <w:rFonts w:ascii="Times New Roman" w:hAnsi="Times New Roman" w:cs="Times New Roman"/>
          <w:sz w:val="20"/>
        </w:rPr>
      </w:pPr>
      <w:r w:rsidRPr="00D33273">
        <w:rPr>
          <w:rFonts w:ascii="Times New Roman" w:hAnsi="Times New Roman" w:cs="Times New Roman"/>
          <w:sz w:val="20"/>
        </w:rPr>
        <w:t>Other price risk is the risk that the fair value or future cash flows of a financial instrument will fluctuate because of changes in market prices. The Company does not hold equity investments in other entities and therefore is not exposed to a significant risk.</w:t>
      </w:r>
    </w:p>
    <w:p w14:paraId="746CEAEF" w14:textId="77777777" w:rsidR="003D2006" w:rsidRDefault="003D2006" w:rsidP="00117DB6">
      <w:pPr>
        <w:jc w:val="both"/>
        <w:rPr>
          <w:rFonts w:ascii="Times New Roman" w:hAnsi="Times New Roman" w:cs="Times New Roman"/>
          <w:sz w:val="20"/>
        </w:rPr>
      </w:pPr>
      <w:r>
        <w:rPr>
          <w:rFonts w:ascii="Times New Roman" w:hAnsi="Times New Roman" w:cs="Times New Roman"/>
          <w:sz w:val="20"/>
        </w:rPr>
        <w:br w:type="page"/>
      </w:r>
    </w:p>
    <w:p w14:paraId="76C663E9" w14:textId="77777777" w:rsidR="003D2006" w:rsidRDefault="003D2006" w:rsidP="00F2217F">
      <w:pPr>
        <w:tabs>
          <w:tab w:val="left" w:pos="1080"/>
        </w:tabs>
        <w:spacing w:after="0" w:line="240" w:lineRule="auto"/>
        <w:ind w:left="993"/>
        <w:jc w:val="both"/>
        <w:rPr>
          <w:rFonts w:ascii="Times New Roman" w:hAnsi="Times New Roman" w:cs="Times New Roman"/>
          <w:sz w:val="20"/>
        </w:rPr>
      </w:pPr>
    </w:p>
    <w:tbl>
      <w:tblPr>
        <w:tblW w:w="5000" w:type="pct"/>
        <w:tblCellMar>
          <w:left w:w="0" w:type="dxa"/>
          <w:right w:w="0" w:type="dxa"/>
        </w:tblCellMar>
        <w:tblLook w:val="04A0" w:firstRow="1" w:lastRow="0" w:firstColumn="1" w:lastColumn="0" w:noHBand="0" w:noVBand="1"/>
      </w:tblPr>
      <w:tblGrid>
        <w:gridCol w:w="360"/>
        <w:gridCol w:w="9000"/>
      </w:tblGrid>
      <w:tr w:rsidR="003D2006" w:rsidRPr="00CA4239" w14:paraId="62F82776" w14:textId="77777777" w:rsidTr="00AE52B2">
        <w:tc>
          <w:tcPr>
            <w:tcW w:w="360" w:type="dxa"/>
            <w:hideMark/>
          </w:tcPr>
          <w:p w14:paraId="00F5A1EE" w14:textId="35F990A0" w:rsidR="003D2006" w:rsidRPr="00CA4239" w:rsidRDefault="003D2006" w:rsidP="00AE52B2">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21</w:t>
            </w:r>
            <w:r w:rsidRPr="00CA4239">
              <w:rPr>
                <w:rFonts w:ascii="Times New Roman" w:eastAsia="Times New Roman" w:hAnsi="Times New Roman" w:cs="Times New Roman"/>
                <w:b/>
                <w:bCs/>
                <w:sz w:val="20"/>
                <w:szCs w:val="20"/>
                <w:lang w:val="en-US"/>
              </w:rPr>
              <w:t>.</w:t>
            </w:r>
          </w:p>
        </w:tc>
        <w:tc>
          <w:tcPr>
            <w:tcW w:w="0" w:type="auto"/>
            <w:hideMark/>
          </w:tcPr>
          <w:p w14:paraId="6A51E62C" w14:textId="77777777" w:rsidR="003D2006" w:rsidRPr="00CA4239" w:rsidRDefault="003D2006" w:rsidP="00AE52B2">
            <w:pPr>
              <w:spacing w:after="0" w:line="240" w:lineRule="auto"/>
              <w:jc w:val="both"/>
              <w:rPr>
                <w:rFonts w:ascii="Times New Roman" w:eastAsia="Times New Roman" w:hAnsi="Times New Roman" w:cs="Times New Roman"/>
                <w:b/>
                <w:bCs/>
                <w:sz w:val="20"/>
                <w:szCs w:val="20"/>
                <w:lang w:val="en-US"/>
              </w:rPr>
            </w:pPr>
            <w:r w:rsidRPr="00FF4603">
              <w:rPr>
                <w:rFonts w:ascii="Times New Roman" w:eastAsia="Times New Roman" w:hAnsi="Times New Roman" w:cs="Times New Roman"/>
                <w:b/>
                <w:bCs/>
                <w:sz w:val="20"/>
                <w:szCs w:val="20"/>
                <w:lang w:val="en-US"/>
              </w:rPr>
              <w:t>Financial Instruments and Risk Management</w:t>
            </w:r>
            <w:r>
              <w:rPr>
                <w:rFonts w:ascii="Times New Roman" w:eastAsia="Times New Roman" w:hAnsi="Times New Roman" w:cs="Times New Roman"/>
                <w:b/>
                <w:bCs/>
                <w:sz w:val="20"/>
                <w:szCs w:val="20"/>
                <w:lang w:val="en-US"/>
              </w:rPr>
              <w:t xml:space="preserve"> (continued)</w:t>
            </w:r>
          </w:p>
        </w:tc>
      </w:tr>
    </w:tbl>
    <w:p w14:paraId="201457FC" w14:textId="77777777" w:rsidR="003D2006" w:rsidRPr="0008506C" w:rsidRDefault="003D2006" w:rsidP="00F2217F">
      <w:pPr>
        <w:tabs>
          <w:tab w:val="left" w:pos="1080"/>
        </w:tabs>
        <w:spacing w:after="0" w:line="240" w:lineRule="auto"/>
        <w:ind w:left="993"/>
        <w:jc w:val="both"/>
        <w:rPr>
          <w:rFonts w:ascii="Times New Roman" w:hAnsi="Times New Roman" w:cs="Times New Roman"/>
          <w:sz w:val="20"/>
          <w:lang w:val="en-US"/>
        </w:rPr>
      </w:pPr>
    </w:p>
    <w:p w14:paraId="7762F6E1" w14:textId="77777777" w:rsidR="00AA133D" w:rsidRPr="00D33273" w:rsidRDefault="00AA133D" w:rsidP="00AA133D">
      <w:pPr>
        <w:pStyle w:val="ListParagraph"/>
        <w:numPr>
          <w:ilvl w:val="0"/>
          <w:numId w:val="9"/>
        </w:numPr>
        <w:tabs>
          <w:tab w:val="left" w:pos="720"/>
          <w:tab w:val="left" w:pos="1080"/>
        </w:tabs>
        <w:spacing w:after="120"/>
        <w:ind w:hanging="873"/>
        <w:contextualSpacing/>
        <w:rPr>
          <w:sz w:val="20"/>
        </w:rPr>
      </w:pPr>
      <w:r w:rsidRPr="00D33273">
        <w:rPr>
          <w:sz w:val="20"/>
        </w:rPr>
        <w:t>Credit risk</w:t>
      </w:r>
    </w:p>
    <w:p w14:paraId="2AA6047C" w14:textId="77777777" w:rsidR="00AA133D" w:rsidRPr="00D33273" w:rsidRDefault="00AA133D" w:rsidP="00AA133D">
      <w:pPr>
        <w:ind w:left="567"/>
        <w:jc w:val="both"/>
        <w:rPr>
          <w:rFonts w:ascii="Times New Roman" w:hAnsi="Times New Roman" w:cs="Times New Roman"/>
          <w:sz w:val="20"/>
        </w:rPr>
      </w:pPr>
      <w:r w:rsidRPr="00D33273">
        <w:rPr>
          <w:rFonts w:ascii="Times New Roman" w:hAnsi="Times New Roman" w:cs="Times New Roman"/>
          <w:sz w:val="20"/>
        </w:rPr>
        <w:t xml:space="preserve">Credit risk is the risk of an unexpected loss if a customer or third party to a financial instrument fails to meet its contractual obligations.  </w:t>
      </w:r>
    </w:p>
    <w:p w14:paraId="3E06CE81" w14:textId="55CAEAE2" w:rsidR="00C46AB5" w:rsidRDefault="00AA133D" w:rsidP="00AA133D">
      <w:pPr>
        <w:ind w:left="567"/>
        <w:jc w:val="both"/>
        <w:rPr>
          <w:rFonts w:ascii="Times New Roman" w:hAnsi="Times New Roman" w:cs="Times New Roman"/>
          <w:sz w:val="20"/>
        </w:rPr>
      </w:pPr>
      <w:r w:rsidRPr="00D33273">
        <w:rPr>
          <w:rFonts w:ascii="Times New Roman" w:hAnsi="Times New Roman" w:cs="Times New Roman"/>
          <w:sz w:val="20"/>
        </w:rPr>
        <w:t xml:space="preserve">The Company is subject to credit risk on its cash. The Company limits its exposure to credit loss on cash by placing its cash with a high-quality financial institution. </w:t>
      </w:r>
    </w:p>
    <w:p w14:paraId="262D1351" w14:textId="77777777" w:rsidR="00AA133D" w:rsidRPr="00D33273" w:rsidRDefault="00AA133D" w:rsidP="00AA133D">
      <w:pPr>
        <w:pStyle w:val="ListParagraph"/>
        <w:numPr>
          <w:ilvl w:val="0"/>
          <w:numId w:val="9"/>
        </w:numPr>
        <w:tabs>
          <w:tab w:val="left" w:pos="720"/>
          <w:tab w:val="left" w:pos="1080"/>
        </w:tabs>
        <w:ind w:left="0" w:firstLine="567"/>
        <w:contextualSpacing/>
        <w:rPr>
          <w:sz w:val="20"/>
        </w:rPr>
      </w:pPr>
      <w:r w:rsidRPr="00D33273">
        <w:rPr>
          <w:sz w:val="20"/>
        </w:rPr>
        <w:t>Liquidity risk</w:t>
      </w:r>
    </w:p>
    <w:p w14:paraId="2A4AC5D8" w14:textId="77777777" w:rsidR="00AA133D" w:rsidRPr="00D33273" w:rsidRDefault="00AA133D" w:rsidP="00AA133D">
      <w:pPr>
        <w:pStyle w:val="ListParagraph"/>
        <w:tabs>
          <w:tab w:val="left" w:pos="720"/>
          <w:tab w:val="left" w:pos="1080"/>
        </w:tabs>
        <w:ind w:left="0"/>
        <w:rPr>
          <w:sz w:val="20"/>
        </w:rPr>
      </w:pPr>
    </w:p>
    <w:p w14:paraId="1194CAE2" w14:textId="77777777" w:rsidR="00AA133D" w:rsidRPr="00D33273" w:rsidRDefault="00AA133D" w:rsidP="00AA133D">
      <w:pPr>
        <w:tabs>
          <w:tab w:val="left" w:pos="1080"/>
        </w:tabs>
        <w:ind w:left="567"/>
        <w:jc w:val="both"/>
        <w:rPr>
          <w:rFonts w:ascii="Times New Roman" w:hAnsi="Times New Roman" w:cs="Times New Roman"/>
          <w:sz w:val="20"/>
        </w:rPr>
      </w:pPr>
      <w:r w:rsidRPr="00D33273">
        <w:rPr>
          <w:rFonts w:ascii="Times New Roman" w:hAnsi="Times New Roman" w:cs="Times New Roman"/>
          <w:sz w:val="20"/>
        </w:rPr>
        <w:t xml:space="preserve">Liquidity risk arises from the Company’s general and capital financing needs. The Company continuously monitors and reviews both actual and forecasted cash flows, </w:t>
      </w:r>
      <w:proofErr w:type="gramStart"/>
      <w:r w:rsidRPr="00D33273">
        <w:rPr>
          <w:rFonts w:ascii="Times New Roman" w:hAnsi="Times New Roman" w:cs="Times New Roman"/>
          <w:sz w:val="20"/>
        </w:rPr>
        <w:t>and also</w:t>
      </w:r>
      <w:proofErr w:type="gramEnd"/>
      <w:r w:rsidRPr="00D33273">
        <w:rPr>
          <w:rFonts w:ascii="Times New Roman" w:hAnsi="Times New Roman" w:cs="Times New Roman"/>
          <w:sz w:val="20"/>
        </w:rPr>
        <w:t xml:space="preserve"> matches the maturity profile of financial assets and liabilities, when feasible. </w:t>
      </w:r>
    </w:p>
    <w:p w14:paraId="491DD45D" w14:textId="0AEFEC33" w:rsidR="00AA133D" w:rsidRDefault="00AA133D" w:rsidP="00AA133D">
      <w:pPr>
        <w:tabs>
          <w:tab w:val="left" w:pos="1080"/>
        </w:tabs>
        <w:ind w:left="426"/>
        <w:jc w:val="both"/>
        <w:rPr>
          <w:rFonts w:ascii="Times New Roman" w:hAnsi="Times New Roman" w:cs="Times New Roman"/>
          <w:sz w:val="20"/>
        </w:rPr>
      </w:pPr>
      <w:r w:rsidRPr="00D33273">
        <w:rPr>
          <w:rFonts w:ascii="Times New Roman" w:hAnsi="Times New Roman" w:cs="Times New Roman"/>
          <w:sz w:val="20"/>
        </w:rPr>
        <w:t xml:space="preserve">The table below summarizes the maturity profile of the Company’s contractual cashflows. </w:t>
      </w:r>
    </w:p>
    <w:tbl>
      <w:tblPr>
        <w:tblW w:w="9072" w:type="dxa"/>
        <w:tblLook w:val="04A0" w:firstRow="1" w:lastRow="0" w:firstColumn="1" w:lastColumn="0" w:noHBand="0" w:noVBand="1"/>
      </w:tblPr>
      <w:tblGrid>
        <w:gridCol w:w="2486"/>
        <w:gridCol w:w="326"/>
        <w:gridCol w:w="1816"/>
        <w:gridCol w:w="326"/>
        <w:gridCol w:w="1029"/>
        <w:gridCol w:w="326"/>
        <w:gridCol w:w="1277"/>
        <w:gridCol w:w="326"/>
        <w:gridCol w:w="1160"/>
      </w:tblGrid>
      <w:tr w:rsidR="0044087E" w:rsidRPr="00AA133D" w14:paraId="43C6969B" w14:textId="77777777" w:rsidTr="0044087E">
        <w:trPr>
          <w:trHeight w:val="525"/>
        </w:trPr>
        <w:tc>
          <w:tcPr>
            <w:tcW w:w="2486" w:type="dxa"/>
            <w:tcBorders>
              <w:top w:val="single" w:sz="12" w:space="0" w:color="auto"/>
              <w:left w:val="nil"/>
              <w:bottom w:val="single" w:sz="8" w:space="0" w:color="auto"/>
              <w:right w:val="nil"/>
            </w:tcBorders>
            <w:shd w:val="clear" w:color="auto" w:fill="auto"/>
            <w:vAlign w:val="bottom"/>
            <w:hideMark/>
          </w:tcPr>
          <w:p w14:paraId="79BE09CC" w14:textId="77777777" w:rsidR="0044087E" w:rsidRPr="00D33273" w:rsidRDefault="0044087E" w:rsidP="00D23D47">
            <w:pPr>
              <w:spacing w:after="0" w:line="240" w:lineRule="auto"/>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xml:space="preserve">As </w:t>
            </w:r>
            <w:proofErr w:type="gramStart"/>
            <w:r w:rsidRPr="00D33273">
              <w:rPr>
                <w:rFonts w:ascii="Times New Roman" w:eastAsia="Times New Roman" w:hAnsi="Times New Roman" w:cs="Times New Roman"/>
                <w:b/>
                <w:bCs/>
                <w:color w:val="000000"/>
                <w:sz w:val="20"/>
                <w:szCs w:val="20"/>
                <w:lang w:eastAsia="en-CA"/>
              </w:rPr>
              <w:t>at</w:t>
            </w:r>
            <w:proofErr w:type="gramEnd"/>
            <w:r w:rsidRPr="00D33273">
              <w:rPr>
                <w:rFonts w:ascii="Times New Roman" w:eastAsia="Times New Roman" w:hAnsi="Times New Roman" w:cs="Times New Roman"/>
                <w:b/>
                <w:bCs/>
                <w:color w:val="000000"/>
                <w:sz w:val="20"/>
                <w:szCs w:val="20"/>
                <w:lang w:eastAsia="en-CA"/>
              </w:rPr>
              <w:t xml:space="preserve"> </w:t>
            </w:r>
            <w:r>
              <w:rPr>
                <w:rFonts w:ascii="Times New Roman" w:eastAsia="Times New Roman" w:hAnsi="Times New Roman" w:cs="Times New Roman"/>
                <w:b/>
                <w:bCs/>
                <w:color w:val="000000"/>
                <w:sz w:val="20"/>
                <w:szCs w:val="20"/>
                <w:lang w:eastAsia="en-CA"/>
              </w:rPr>
              <w:t>June 30</w:t>
            </w:r>
            <w:r w:rsidRPr="00D33273">
              <w:rPr>
                <w:rFonts w:ascii="Times New Roman" w:eastAsia="Times New Roman" w:hAnsi="Times New Roman" w:cs="Times New Roman"/>
                <w:b/>
                <w:bCs/>
                <w:color w:val="000000"/>
                <w:sz w:val="20"/>
                <w:szCs w:val="20"/>
                <w:lang w:eastAsia="en-CA"/>
              </w:rPr>
              <w:t>, 202</w:t>
            </w:r>
            <w:r>
              <w:rPr>
                <w:rFonts w:ascii="Times New Roman" w:eastAsia="Times New Roman" w:hAnsi="Times New Roman" w:cs="Times New Roman"/>
                <w:b/>
                <w:bCs/>
                <w:color w:val="000000"/>
                <w:sz w:val="20"/>
                <w:szCs w:val="20"/>
                <w:lang w:eastAsia="en-CA"/>
              </w:rPr>
              <w:t>2</w:t>
            </w:r>
          </w:p>
        </w:tc>
        <w:tc>
          <w:tcPr>
            <w:tcW w:w="326" w:type="dxa"/>
            <w:tcBorders>
              <w:top w:val="single" w:sz="12" w:space="0" w:color="auto"/>
              <w:left w:val="nil"/>
              <w:bottom w:val="single" w:sz="8" w:space="0" w:color="auto"/>
              <w:right w:val="nil"/>
            </w:tcBorders>
            <w:shd w:val="clear" w:color="auto" w:fill="auto"/>
            <w:vAlign w:val="bottom"/>
            <w:hideMark/>
          </w:tcPr>
          <w:p w14:paraId="0A8AD12C" w14:textId="77777777" w:rsidR="0044087E" w:rsidRPr="00D33273" w:rsidRDefault="0044087E" w:rsidP="00D23D47">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w:t>
            </w:r>
          </w:p>
        </w:tc>
        <w:tc>
          <w:tcPr>
            <w:tcW w:w="1816" w:type="dxa"/>
            <w:tcBorders>
              <w:top w:val="single" w:sz="12" w:space="0" w:color="auto"/>
              <w:left w:val="nil"/>
              <w:bottom w:val="single" w:sz="8" w:space="0" w:color="auto"/>
              <w:right w:val="nil"/>
            </w:tcBorders>
            <w:shd w:val="clear" w:color="auto" w:fill="auto"/>
            <w:vAlign w:val="bottom"/>
            <w:hideMark/>
          </w:tcPr>
          <w:p w14:paraId="0A87346B" w14:textId="77777777" w:rsidR="0044087E" w:rsidRPr="00D33273" w:rsidRDefault="0044087E" w:rsidP="00D23D47">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Less than 1 year</w:t>
            </w:r>
          </w:p>
        </w:tc>
        <w:tc>
          <w:tcPr>
            <w:tcW w:w="326" w:type="dxa"/>
            <w:tcBorders>
              <w:top w:val="single" w:sz="12" w:space="0" w:color="auto"/>
              <w:left w:val="nil"/>
              <w:bottom w:val="single" w:sz="8" w:space="0" w:color="auto"/>
              <w:right w:val="nil"/>
            </w:tcBorders>
            <w:shd w:val="clear" w:color="auto" w:fill="auto"/>
            <w:vAlign w:val="bottom"/>
            <w:hideMark/>
          </w:tcPr>
          <w:p w14:paraId="7FF29F85" w14:textId="77777777" w:rsidR="0044087E" w:rsidRPr="00D33273" w:rsidRDefault="0044087E" w:rsidP="00D23D47">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w:t>
            </w:r>
          </w:p>
        </w:tc>
        <w:tc>
          <w:tcPr>
            <w:tcW w:w="1029" w:type="dxa"/>
            <w:tcBorders>
              <w:top w:val="single" w:sz="12" w:space="0" w:color="auto"/>
              <w:left w:val="nil"/>
              <w:bottom w:val="single" w:sz="8" w:space="0" w:color="auto"/>
              <w:right w:val="nil"/>
            </w:tcBorders>
            <w:shd w:val="clear" w:color="auto" w:fill="auto"/>
            <w:vAlign w:val="bottom"/>
            <w:hideMark/>
          </w:tcPr>
          <w:p w14:paraId="19DEA96E" w14:textId="77777777" w:rsidR="0044087E" w:rsidRPr="00D33273" w:rsidRDefault="0044087E" w:rsidP="00D23D47">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1 - 2 years</w:t>
            </w:r>
          </w:p>
        </w:tc>
        <w:tc>
          <w:tcPr>
            <w:tcW w:w="326" w:type="dxa"/>
            <w:tcBorders>
              <w:top w:val="single" w:sz="12" w:space="0" w:color="auto"/>
              <w:left w:val="nil"/>
              <w:bottom w:val="single" w:sz="8" w:space="0" w:color="auto"/>
              <w:right w:val="nil"/>
            </w:tcBorders>
            <w:shd w:val="clear" w:color="auto" w:fill="auto"/>
            <w:vAlign w:val="bottom"/>
            <w:hideMark/>
          </w:tcPr>
          <w:p w14:paraId="0E169B09" w14:textId="77777777" w:rsidR="0044087E" w:rsidRPr="00D33273" w:rsidRDefault="0044087E" w:rsidP="00D23D47">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w:t>
            </w:r>
          </w:p>
        </w:tc>
        <w:tc>
          <w:tcPr>
            <w:tcW w:w="1277" w:type="dxa"/>
            <w:tcBorders>
              <w:top w:val="single" w:sz="12" w:space="0" w:color="auto"/>
              <w:left w:val="nil"/>
              <w:bottom w:val="single" w:sz="8" w:space="0" w:color="auto"/>
              <w:right w:val="nil"/>
            </w:tcBorders>
            <w:shd w:val="clear" w:color="auto" w:fill="auto"/>
            <w:vAlign w:val="bottom"/>
            <w:hideMark/>
          </w:tcPr>
          <w:p w14:paraId="144652FB" w14:textId="77777777" w:rsidR="0044087E" w:rsidRPr="00D33273" w:rsidRDefault="0044087E" w:rsidP="00D23D47">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Later than 2 years</w:t>
            </w:r>
          </w:p>
        </w:tc>
        <w:tc>
          <w:tcPr>
            <w:tcW w:w="326" w:type="dxa"/>
            <w:tcBorders>
              <w:top w:val="single" w:sz="12" w:space="0" w:color="auto"/>
              <w:left w:val="nil"/>
              <w:bottom w:val="single" w:sz="8" w:space="0" w:color="auto"/>
              <w:right w:val="nil"/>
            </w:tcBorders>
            <w:shd w:val="clear" w:color="auto" w:fill="auto"/>
            <w:vAlign w:val="bottom"/>
            <w:hideMark/>
          </w:tcPr>
          <w:p w14:paraId="68EA2F30" w14:textId="77777777" w:rsidR="0044087E" w:rsidRPr="00D33273" w:rsidRDefault="0044087E" w:rsidP="00D23D47">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w:t>
            </w:r>
          </w:p>
        </w:tc>
        <w:tc>
          <w:tcPr>
            <w:tcW w:w="1160" w:type="dxa"/>
            <w:tcBorders>
              <w:top w:val="single" w:sz="12" w:space="0" w:color="auto"/>
              <w:left w:val="nil"/>
              <w:bottom w:val="single" w:sz="8" w:space="0" w:color="auto"/>
              <w:right w:val="nil"/>
            </w:tcBorders>
            <w:shd w:val="clear" w:color="auto" w:fill="auto"/>
            <w:vAlign w:val="bottom"/>
            <w:hideMark/>
          </w:tcPr>
          <w:p w14:paraId="7B2133A1" w14:textId="77777777" w:rsidR="0044087E" w:rsidRPr="00D33273" w:rsidRDefault="0044087E" w:rsidP="00D23D47">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Total</w:t>
            </w:r>
          </w:p>
        </w:tc>
      </w:tr>
      <w:tr w:rsidR="0044087E" w:rsidRPr="00AA133D" w14:paraId="131C3CFE" w14:textId="77777777" w:rsidTr="0044087E">
        <w:trPr>
          <w:trHeight w:val="255"/>
        </w:trPr>
        <w:tc>
          <w:tcPr>
            <w:tcW w:w="2486" w:type="dxa"/>
            <w:tcBorders>
              <w:top w:val="nil"/>
              <w:left w:val="nil"/>
              <w:bottom w:val="nil"/>
              <w:right w:val="nil"/>
            </w:tcBorders>
            <w:shd w:val="clear" w:color="auto" w:fill="auto"/>
            <w:vAlign w:val="center"/>
            <w:hideMark/>
          </w:tcPr>
          <w:p w14:paraId="348CA089"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p>
        </w:tc>
        <w:tc>
          <w:tcPr>
            <w:tcW w:w="326" w:type="dxa"/>
            <w:tcBorders>
              <w:top w:val="nil"/>
              <w:left w:val="nil"/>
              <w:bottom w:val="nil"/>
              <w:right w:val="nil"/>
            </w:tcBorders>
            <w:shd w:val="clear" w:color="auto" w:fill="auto"/>
            <w:vAlign w:val="center"/>
            <w:hideMark/>
          </w:tcPr>
          <w:p w14:paraId="11F774A6" w14:textId="77777777" w:rsidR="0044087E" w:rsidRPr="00AA133D" w:rsidRDefault="0044087E" w:rsidP="00D23D47">
            <w:pPr>
              <w:spacing w:after="0" w:line="240" w:lineRule="auto"/>
              <w:jc w:val="right"/>
              <w:rPr>
                <w:rFonts w:ascii="Times New Roman" w:eastAsia="Times New Roman" w:hAnsi="Times New Roman" w:cs="Times New Roman"/>
                <w:sz w:val="20"/>
                <w:szCs w:val="20"/>
                <w:lang w:eastAsia="en-CA"/>
              </w:rPr>
            </w:pPr>
          </w:p>
        </w:tc>
        <w:tc>
          <w:tcPr>
            <w:tcW w:w="1816" w:type="dxa"/>
            <w:tcBorders>
              <w:top w:val="nil"/>
              <w:left w:val="nil"/>
              <w:bottom w:val="nil"/>
              <w:right w:val="nil"/>
            </w:tcBorders>
            <w:shd w:val="clear" w:color="auto" w:fill="auto"/>
            <w:vAlign w:val="center"/>
            <w:hideMark/>
          </w:tcPr>
          <w:p w14:paraId="5D42C5B7" w14:textId="77777777" w:rsidR="0044087E" w:rsidRPr="00AA133D" w:rsidRDefault="0044087E" w:rsidP="00D23D47">
            <w:pPr>
              <w:spacing w:after="0" w:line="240" w:lineRule="auto"/>
              <w:jc w:val="right"/>
              <w:rPr>
                <w:rFonts w:ascii="Times New Roman" w:eastAsia="Times New Roman" w:hAnsi="Times New Roman" w:cs="Times New Roman"/>
                <w:sz w:val="20"/>
                <w:szCs w:val="20"/>
                <w:lang w:eastAsia="en-CA"/>
              </w:rPr>
            </w:pPr>
          </w:p>
        </w:tc>
        <w:tc>
          <w:tcPr>
            <w:tcW w:w="326" w:type="dxa"/>
            <w:tcBorders>
              <w:top w:val="nil"/>
              <w:left w:val="nil"/>
              <w:bottom w:val="nil"/>
              <w:right w:val="nil"/>
            </w:tcBorders>
            <w:shd w:val="clear" w:color="auto" w:fill="auto"/>
            <w:vAlign w:val="center"/>
            <w:hideMark/>
          </w:tcPr>
          <w:p w14:paraId="65A7ED46" w14:textId="77777777" w:rsidR="0044087E" w:rsidRPr="00AA133D" w:rsidRDefault="0044087E" w:rsidP="00D23D47">
            <w:pPr>
              <w:spacing w:after="0" w:line="240" w:lineRule="auto"/>
              <w:jc w:val="right"/>
              <w:rPr>
                <w:rFonts w:ascii="Times New Roman" w:eastAsia="Times New Roman" w:hAnsi="Times New Roman" w:cs="Times New Roman"/>
                <w:sz w:val="20"/>
                <w:szCs w:val="20"/>
                <w:lang w:eastAsia="en-CA"/>
              </w:rPr>
            </w:pPr>
          </w:p>
        </w:tc>
        <w:tc>
          <w:tcPr>
            <w:tcW w:w="1029" w:type="dxa"/>
            <w:tcBorders>
              <w:top w:val="nil"/>
              <w:left w:val="nil"/>
              <w:bottom w:val="nil"/>
              <w:right w:val="nil"/>
            </w:tcBorders>
            <w:shd w:val="clear" w:color="auto" w:fill="auto"/>
            <w:vAlign w:val="center"/>
            <w:hideMark/>
          </w:tcPr>
          <w:p w14:paraId="76467091" w14:textId="77777777" w:rsidR="0044087E" w:rsidRPr="00AA133D" w:rsidRDefault="0044087E" w:rsidP="00D23D47">
            <w:pPr>
              <w:spacing w:after="0" w:line="240" w:lineRule="auto"/>
              <w:jc w:val="right"/>
              <w:rPr>
                <w:rFonts w:ascii="Times New Roman" w:eastAsia="Times New Roman" w:hAnsi="Times New Roman" w:cs="Times New Roman"/>
                <w:sz w:val="20"/>
                <w:szCs w:val="20"/>
                <w:lang w:eastAsia="en-CA"/>
              </w:rPr>
            </w:pPr>
          </w:p>
        </w:tc>
        <w:tc>
          <w:tcPr>
            <w:tcW w:w="326" w:type="dxa"/>
            <w:tcBorders>
              <w:top w:val="nil"/>
              <w:left w:val="nil"/>
              <w:bottom w:val="nil"/>
              <w:right w:val="nil"/>
            </w:tcBorders>
            <w:shd w:val="clear" w:color="auto" w:fill="auto"/>
            <w:vAlign w:val="center"/>
            <w:hideMark/>
          </w:tcPr>
          <w:p w14:paraId="0759583A" w14:textId="77777777" w:rsidR="0044087E" w:rsidRPr="00AA133D" w:rsidRDefault="0044087E" w:rsidP="00D23D47">
            <w:pPr>
              <w:spacing w:after="0" w:line="240" w:lineRule="auto"/>
              <w:jc w:val="right"/>
              <w:rPr>
                <w:rFonts w:ascii="Times New Roman" w:eastAsia="Times New Roman" w:hAnsi="Times New Roman" w:cs="Times New Roman"/>
                <w:sz w:val="20"/>
                <w:szCs w:val="20"/>
                <w:lang w:eastAsia="en-CA"/>
              </w:rPr>
            </w:pPr>
          </w:p>
        </w:tc>
        <w:tc>
          <w:tcPr>
            <w:tcW w:w="1277" w:type="dxa"/>
            <w:tcBorders>
              <w:top w:val="nil"/>
              <w:left w:val="nil"/>
              <w:bottom w:val="nil"/>
              <w:right w:val="nil"/>
            </w:tcBorders>
            <w:shd w:val="clear" w:color="auto" w:fill="auto"/>
            <w:vAlign w:val="center"/>
            <w:hideMark/>
          </w:tcPr>
          <w:p w14:paraId="099A4BC4" w14:textId="77777777" w:rsidR="0044087E" w:rsidRPr="00AA133D" w:rsidRDefault="0044087E" w:rsidP="00D23D47">
            <w:pPr>
              <w:spacing w:after="0" w:line="240" w:lineRule="auto"/>
              <w:jc w:val="right"/>
              <w:rPr>
                <w:rFonts w:ascii="Times New Roman" w:eastAsia="Times New Roman" w:hAnsi="Times New Roman" w:cs="Times New Roman"/>
                <w:sz w:val="20"/>
                <w:szCs w:val="20"/>
                <w:lang w:eastAsia="en-CA"/>
              </w:rPr>
            </w:pPr>
          </w:p>
        </w:tc>
        <w:tc>
          <w:tcPr>
            <w:tcW w:w="326" w:type="dxa"/>
            <w:tcBorders>
              <w:top w:val="nil"/>
              <w:left w:val="nil"/>
              <w:bottom w:val="nil"/>
              <w:right w:val="nil"/>
            </w:tcBorders>
            <w:shd w:val="clear" w:color="auto" w:fill="auto"/>
            <w:vAlign w:val="center"/>
            <w:hideMark/>
          </w:tcPr>
          <w:p w14:paraId="7F59557F" w14:textId="77777777" w:rsidR="0044087E" w:rsidRPr="00AA133D" w:rsidRDefault="0044087E" w:rsidP="00D23D47">
            <w:pPr>
              <w:spacing w:after="0" w:line="240" w:lineRule="auto"/>
              <w:jc w:val="right"/>
              <w:rPr>
                <w:rFonts w:ascii="Times New Roman" w:eastAsia="Times New Roman" w:hAnsi="Times New Roman" w:cs="Times New Roman"/>
                <w:sz w:val="20"/>
                <w:szCs w:val="20"/>
                <w:lang w:eastAsia="en-CA"/>
              </w:rPr>
            </w:pPr>
          </w:p>
        </w:tc>
        <w:tc>
          <w:tcPr>
            <w:tcW w:w="1160" w:type="dxa"/>
            <w:tcBorders>
              <w:top w:val="nil"/>
              <w:left w:val="nil"/>
              <w:bottom w:val="nil"/>
              <w:right w:val="nil"/>
            </w:tcBorders>
            <w:shd w:val="clear" w:color="auto" w:fill="auto"/>
            <w:vAlign w:val="center"/>
            <w:hideMark/>
          </w:tcPr>
          <w:p w14:paraId="2131EB4A" w14:textId="77777777" w:rsidR="0044087E" w:rsidRPr="00AA133D" w:rsidRDefault="0044087E" w:rsidP="00D23D47">
            <w:pPr>
              <w:spacing w:after="0" w:line="240" w:lineRule="auto"/>
              <w:jc w:val="right"/>
              <w:rPr>
                <w:rFonts w:ascii="Times New Roman" w:eastAsia="Times New Roman" w:hAnsi="Times New Roman" w:cs="Times New Roman"/>
                <w:sz w:val="20"/>
                <w:szCs w:val="20"/>
                <w:lang w:eastAsia="en-CA"/>
              </w:rPr>
            </w:pPr>
          </w:p>
        </w:tc>
      </w:tr>
      <w:tr w:rsidR="0044087E" w:rsidRPr="00AA133D" w14:paraId="2805F017" w14:textId="77777777" w:rsidTr="0044087E">
        <w:trPr>
          <w:trHeight w:val="255"/>
        </w:trPr>
        <w:tc>
          <w:tcPr>
            <w:tcW w:w="2486" w:type="dxa"/>
            <w:tcBorders>
              <w:top w:val="nil"/>
              <w:left w:val="nil"/>
              <w:bottom w:val="nil"/>
              <w:right w:val="nil"/>
            </w:tcBorders>
            <w:shd w:val="clear" w:color="auto" w:fill="auto"/>
            <w:vAlign w:val="center"/>
            <w:hideMark/>
          </w:tcPr>
          <w:p w14:paraId="3D5C9E36" w14:textId="77777777" w:rsidR="0044087E" w:rsidRPr="00D33273" w:rsidRDefault="0044087E" w:rsidP="00D23D47">
            <w:pPr>
              <w:spacing w:after="0" w:line="240" w:lineRule="auto"/>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Accounts payable</w:t>
            </w:r>
          </w:p>
        </w:tc>
        <w:tc>
          <w:tcPr>
            <w:tcW w:w="326" w:type="dxa"/>
            <w:tcBorders>
              <w:top w:val="nil"/>
              <w:left w:val="nil"/>
              <w:bottom w:val="nil"/>
              <w:right w:val="nil"/>
            </w:tcBorders>
            <w:shd w:val="clear" w:color="auto" w:fill="auto"/>
            <w:vAlign w:val="center"/>
            <w:hideMark/>
          </w:tcPr>
          <w:p w14:paraId="252E5177"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816" w:type="dxa"/>
            <w:tcBorders>
              <w:top w:val="nil"/>
              <w:left w:val="nil"/>
              <w:bottom w:val="nil"/>
              <w:right w:val="nil"/>
            </w:tcBorders>
            <w:shd w:val="clear" w:color="auto" w:fill="auto"/>
            <w:vAlign w:val="center"/>
            <w:hideMark/>
          </w:tcPr>
          <w:p w14:paraId="7CF7FF85" w14:textId="3CEB21E8"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1,437,</w:t>
            </w:r>
            <w:r w:rsidR="00C110B9">
              <w:rPr>
                <w:rFonts w:ascii="Times New Roman" w:eastAsia="Times New Roman" w:hAnsi="Times New Roman" w:cs="Times New Roman"/>
                <w:color w:val="000000"/>
                <w:sz w:val="20"/>
                <w:szCs w:val="20"/>
                <w:lang w:eastAsia="en-CA"/>
              </w:rPr>
              <w:t>097</w:t>
            </w:r>
          </w:p>
        </w:tc>
        <w:tc>
          <w:tcPr>
            <w:tcW w:w="326" w:type="dxa"/>
            <w:tcBorders>
              <w:top w:val="nil"/>
              <w:left w:val="nil"/>
              <w:bottom w:val="nil"/>
              <w:right w:val="nil"/>
            </w:tcBorders>
            <w:shd w:val="clear" w:color="auto" w:fill="auto"/>
            <w:vAlign w:val="center"/>
            <w:hideMark/>
          </w:tcPr>
          <w:p w14:paraId="5112817C"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029" w:type="dxa"/>
            <w:tcBorders>
              <w:top w:val="nil"/>
              <w:left w:val="nil"/>
              <w:bottom w:val="nil"/>
              <w:right w:val="nil"/>
            </w:tcBorders>
            <w:shd w:val="clear" w:color="auto" w:fill="auto"/>
            <w:vAlign w:val="center"/>
            <w:hideMark/>
          </w:tcPr>
          <w:p w14:paraId="4DFE48BD"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326" w:type="dxa"/>
            <w:tcBorders>
              <w:top w:val="nil"/>
              <w:left w:val="nil"/>
              <w:bottom w:val="nil"/>
              <w:right w:val="nil"/>
            </w:tcBorders>
            <w:shd w:val="clear" w:color="auto" w:fill="auto"/>
            <w:vAlign w:val="center"/>
            <w:hideMark/>
          </w:tcPr>
          <w:p w14:paraId="2F395A92"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277" w:type="dxa"/>
            <w:tcBorders>
              <w:top w:val="nil"/>
              <w:left w:val="nil"/>
              <w:bottom w:val="nil"/>
              <w:right w:val="nil"/>
            </w:tcBorders>
            <w:shd w:val="clear" w:color="auto" w:fill="auto"/>
            <w:vAlign w:val="center"/>
            <w:hideMark/>
          </w:tcPr>
          <w:p w14:paraId="465459B2"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326" w:type="dxa"/>
            <w:tcBorders>
              <w:top w:val="nil"/>
              <w:left w:val="nil"/>
              <w:bottom w:val="nil"/>
              <w:right w:val="nil"/>
            </w:tcBorders>
            <w:shd w:val="clear" w:color="auto" w:fill="auto"/>
            <w:vAlign w:val="center"/>
            <w:hideMark/>
          </w:tcPr>
          <w:p w14:paraId="2D01E685"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160" w:type="dxa"/>
            <w:tcBorders>
              <w:top w:val="nil"/>
              <w:left w:val="nil"/>
              <w:bottom w:val="nil"/>
              <w:right w:val="nil"/>
            </w:tcBorders>
            <w:shd w:val="clear" w:color="auto" w:fill="auto"/>
            <w:vAlign w:val="center"/>
            <w:hideMark/>
          </w:tcPr>
          <w:p w14:paraId="3CF54286" w14:textId="0CFA811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w:t>
            </w:r>
            <w:r w:rsidR="00F567EB">
              <w:rPr>
                <w:rFonts w:ascii="Times New Roman" w:eastAsia="Times New Roman" w:hAnsi="Times New Roman" w:cs="Times New Roman"/>
                <w:color w:val="000000"/>
                <w:sz w:val="20"/>
                <w:szCs w:val="20"/>
                <w:lang w:eastAsia="en-CA"/>
              </w:rPr>
              <w:t>437,</w:t>
            </w:r>
            <w:r w:rsidR="00C110B9">
              <w:rPr>
                <w:rFonts w:ascii="Times New Roman" w:eastAsia="Times New Roman" w:hAnsi="Times New Roman" w:cs="Times New Roman"/>
                <w:color w:val="000000"/>
                <w:sz w:val="20"/>
                <w:szCs w:val="20"/>
                <w:lang w:eastAsia="en-CA"/>
              </w:rPr>
              <w:t>097</w:t>
            </w:r>
          </w:p>
        </w:tc>
      </w:tr>
      <w:tr w:rsidR="0044087E" w:rsidRPr="00AA133D" w14:paraId="7C000601" w14:textId="77777777" w:rsidTr="0044087E">
        <w:trPr>
          <w:trHeight w:val="255"/>
        </w:trPr>
        <w:tc>
          <w:tcPr>
            <w:tcW w:w="2486" w:type="dxa"/>
            <w:tcBorders>
              <w:top w:val="nil"/>
              <w:left w:val="nil"/>
              <w:bottom w:val="nil"/>
              <w:right w:val="nil"/>
            </w:tcBorders>
            <w:shd w:val="clear" w:color="auto" w:fill="auto"/>
            <w:vAlign w:val="center"/>
          </w:tcPr>
          <w:p w14:paraId="06D85AEE" w14:textId="77777777" w:rsidR="0044087E" w:rsidRPr="00D33273" w:rsidRDefault="0044087E" w:rsidP="00D23D47">
            <w:pPr>
              <w:spacing w:after="0" w:line="240" w:lineRule="auto"/>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Loans payable</w:t>
            </w:r>
          </w:p>
        </w:tc>
        <w:tc>
          <w:tcPr>
            <w:tcW w:w="326" w:type="dxa"/>
            <w:tcBorders>
              <w:top w:val="nil"/>
              <w:left w:val="nil"/>
              <w:bottom w:val="nil"/>
              <w:right w:val="nil"/>
            </w:tcBorders>
            <w:shd w:val="clear" w:color="auto" w:fill="auto"/>
            <w:vAlign w:val="center"/>
          </w:tcPr>
          <w:p w14:paraId="35251542"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p>
        </w:tc>
        <w:tc>
          <w:tcPr>
            <w:tcW w:w="1816" w:type="dxa"/>
            <w:tcBorders>
              <w:top w:val="nil"/>
              <w:left w:val="nil"/>
              <w:bottom w:val="nil"/>
              <w:right w:val="nil"/>
            </w:tcBorders>
            <w:shd w:val="clear" w:color="auto" w:fill="auto"/>
            <w:vAlign w:val="center"/>
          </w:tcPr>
          <w:p w14:paraId="6AAD52AD"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53,706</w:t>
            </w:r>
            <w:r w:rsidRPr="00D33273">
              <w:rPr>
                <w:rFonts w:ascii="Times New Roman" w:eastAsia="Times New Roman" w:hAnsi="Times New Roman" w:cs="Times New Roman"/>
                <w:color w:val="000000"/>
                <w:sz w:val="20"/>
                <w:szCs w:val="20"/>
                <w:lang w:eastAsia="en-CA"/>
              </w:rPr>
              <w:t xml:space="preserve"> </w:t>
            </w:r>
          </w:p>
        </w:tc>
        <w:tc>
          <w:tcPr>
            <w:tcW w:w="326" w:type="dxa"/>
            <w:tcBorders>
              <w:top w:val="nil"/>
              <w:left w:val="nil"/>
              <w:bottom w:val="nil"/>
              <w:right w:val="nil"/>
            </w:tcBorders>
            <w:shd w:val="clear" w:color="auto" w:fill="auto"/>
            <w:vAlign w:val="center"/>
          </w:tcPr>
          <w:p w14:paraId="16499E8D"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p>
        </w:tc>
        <w:tc>
          <w:tcPr>
            <w:tcW w:w="1029" w:type="dxa"/>
            <w:tcBorders>
              <w:top w:val="nil"/>
              <w:left w:val="nil"/>
              <w:bottom w:val="nil"/>
              <w:right w:val="nil"/>
            </w:tcBorders>
            <w:shd w:val="clear" w:color="auto" w:fill="auto"/>
            <w:vAlign w:val="center"/>
          </w:tcPr>
          <w:p w14:paraId="215449B0" w14:textId="1686B9BB"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63,444</w:t>
            </w:r>
            <w:r w:rsidRPr="00D33273">
              <w:rPr>
                <w:rFonts w:ascii="Times New Roman" w:eastAsia="Times New Roman" w:hAnsi="Times New Roman" w:cs="Times New Roman"/>
                <w:color w:val="000000"/>
                <w:sz w:val="20"/>
                <w:szCs w:val="20"/>
                <w:lang w:eastAsia="en-CA"/>
              </w:rPr>
              <w:t xml:space="preserve"> </w:t>
            </w:r>
          </w:p>
        </w:tc>
        <w:tc>
          <w:tcPr>
            <w:tcW w:w="326" w:type="dxa"/>
            <w:tcBorders>
              <w:top w:val="nil"/>
              <w:left w:val="nil"/>
              <w:bottom w:val="nil"/>
              <w:right w:val="nil"/>
            </w:tcBorders>
            <w:shd w:val="clear" w:color="auto" w:fill="auto"/>
            <w:vAlign w:val="center"/>
          </w:tcPr>
          <w:p w14:paraId="399B9CD6"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p>
        </w:tc>
        <w:tc>
          <w:tcPr>
            <w:tcW w:w="1277" w:type="dxa"/>
            <w:tcBorders>
              <w:top w:val="nil"/>
              <w:left w:val="nil"/>
              <w:bottom w:val="nil"/>
              <w:right w:val="nil"/>
            </w:tcBorders>
            <w:shd w:val="clear" w:color="auto" w:fill="auto"/>
            <w:vAlign w:val="center"/>
          </w:tcPr>
          <w:p w14:paraId="21DC848D"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326" w:type="dxa"/>
            <w:tcBorders>
              <w:top w:val="nil"/>
              <w:left w:val="nil"/>
              <w:bottom w:val="nil"/>
              <w:right w:val="nil"/>
            </w:tcBorders>
            <w:shd w:val="clear" w:color="auto" w:fill="auto"/>
            <w:vAlign w:val="center"/>
          </w:tcPr>
          <w:p w14:paraId="23D5E1A7"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p>
        </w:tc>
        <w:tc>
          <w:tcPr>
            <w:tcW w:w="1160" w:type="dxa"/>
            <w:tcBorders>
              <w:top w:val="nil"/>
              <w:left w:val="nil"/>
              <w:bottom w:val="nil"/>
              <w:right w:val="nil"/>
            </w:tcBorders>
            <w:shd w:val="clear" w:color="auto" w:fill="auto"/>
            <w:vAlign w:val="center"/>
          </w:tcPr>
          <w:p w14:paraId="5F3E81A2" w14:textId="6C41923E" w:rsidR="0044087E" w:rsidRPr="00D33273" w:rsidRDefault="00F567EB"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117,150</w:t>
            </w:r>
          </w:p>
        </w:tc>
      </w:tr>
      <w:tr w:rsidR="0044087E" w:rsidRPr="00AA133D" w14:paraId="7976291D" w14:textId="77777777" w:rsidTr="0044087E">
        <w:trPr>
          <w:trHeight w:val="270"/>
        </w:trPr>
        <w:tc>
          <w:tcPr>
            <w:tcW w:w="2486" w:type="dxa"/>
            <w:tcBorders>
              <w:top w:val="nil"/>
              <w:left w:val="nil"/>
              <w:bottom w:val="single" w:sz="8" w:space="0" w:color="auto"/>
              <w:right w:val="nil"/>
            </w:tcBorders>
            <w:shd w:val="clear" w:color="auto" w:fill="auto"/>
            <w:vAlign w:val="center"/>
          </w:tcPr>
          <w:p w14:paraId="27F3529F" w14:textId="77777777" w:rsidR="0044087E" w:rsidRPr="00D33273" w:rsidRDefault="0044087E" w:rsidP="00D23D47">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Lease liability</w:t>
            </w:r>
            <w:r w:rsidRPr="00D33273">
              <w:rPr>
                <w:rFonts w:ascii="Times New Roman" w:eastAsia="Times New Roman" w:hAnsi="Times New Roman" w:cs="Times New Roman"/>
                <w:color w:val="000000"/>
                <w:sz w:val="20"/>
                <w:szCs w:val="20"/>
                <w:lang w:eastAsia="en-CA"/>
              </w:rPr>
              <w:t xml:space="preserve"> </w:t>
            </w:r>
          </w:p>
        </w:tc>
        <w:tc>
          <w:tcPr>
            <w:tcW w:w="326" w:type="dxa"/>
            <w:tcBorders>
              <w:top w:val="nil"/>
              <w:left w:val="nil"/>
              <w:bottom w:val="single" w:sz="8" w:space="0" w:color="auto"/>
              <w:right w:val="nil"/>
            </w:tcBorders>
            <w:shd w:val="clear" w:color="auto" w:fill="auto"/>
            <w:vAlign w:val="center"/>
          </w:tcPr>
          <w:p w14:paraId="3CB553C9" w14:textId="77777777" w:rsidR="0044087E" w:rsidRPr="00D33273" w:rsidRDefault="0044087E" w:rsidP="00D23D47">
            <w:pPr>
              <w:spacing w:after="0" w:line="240" w:lineRule="auto"/>
              <w:rPr>
                <w:rFonts w:ascii="Times New Roman" w:eastAsia="Times New Roman" w:hAnsi="Times New Roman" w:cs="Times New Roman"/>
                <w:color w:val="000000"/>
                <w:sz w:val="20"/>
                <w:szCs w:val="20"/>
                <w:lang w:eastAsia="en-CA"/>
              </w:rPr>
            </w:pPr>
          </w:p>
        </w:tc>
        <w:tc>
          <w:tcPr>
            <w:tcW w:w="1816" w:type="dxa"/>
            <w:tcBorders>
              <w:top w:val="nil"/>
              <w:left w:val="nil"/>
              <w:bottom w:val="single" w:sz="8" w:space="0" w:color="auto"/>
              <w:right w:val="nil"/>
            </w:tcBorders>
            <w:shd w:val="clear" w:color="auto" w:fill="auto"/>
            <w:vAlign w:val="center"/>
          </w:tcPr>
          <w:p w14:paraId="135C1E70" w14:textId="0740C31D" w:rsidR="0044087E" w:rsidRPr="00D33273" w:rsidRDefault="00387869"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4,312</w:t>
            </w:r>
          </w:p>
        </w:tc>
        <w:tc>
          <w:tcPr>
            <w:tcW w:w="326" w:type="dxa"/>
            <w:tcBorders>
              <w:top w:val="nil"/>
              <w:left w:val="nil"/>
              <w:bottom w:val="single" w:sz="8" w:space="0" w:color="auto"/>
              <w:right w:val="nil"/>
            </w:tcBorders>
            <w:shd w:val="clear" w:color="auto" w:fill="auto"/>
            <w:vAlign w:val="center"/>
          </w:tcPr>
          <w:p w14:paraId="50086F0D"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p>
        </w:tc>
        <w:tc>
          <w:tcPr>
            <w:tcW w:w="1029" w:type="dxa"/>
            <w:tcBorders>
              <w:top w:val="nil"/>
              <w:left w:val="nil"/>
              <w:bottom w:val="single" w:sz="8" w:space="0" w:color="auto"/>
              <w:right w:val="nil"/>
            </w:tcBorders>
            <w:shd w:val="clear" w:color="auto" w:fill="auto"/>
            <w:vAlign w:val="center"/>
          </w:tcPr>
          <w:p w14:paraId="6E9920AF" w14:textId="66785DA2"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7,413</w:t>
            </w:r>
          </w:p>
        </w:tc>
        <w:tc>
          <w:tcPr>
            <w:tcW w:w="326" w:type="dxa"/>
            <w:tcBorders>
              <w:top w:val="nil"/>
              <w:left w:val="nil"/>
              <w:bottom w:val="single" w:sz="8" w:space="0" w:color="auto"/>
              <w:right w:val="nil"/>
            </w:tcBorders>
            <w:shd w:val="clear" w:color="auto" w:fill="auto"/>
            <w:vAlign w:val="center"/>
          </w:tcPr>
          <w:p w14:paraId="0387C70C"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p>
        </w:tc>
        <w:tc>
          <w:tcPr>
            <w:tcW w:w="1277" w:type="dxa"/>
            <w:tcBorders>
              <w:top w:val="nil"/>
              <w:left w:val="nil"/>
              <w:bottom w:val="single" w:sz="8" w:space="0" w:color="auto"/>
              <w:right w:val="nil"/>
            </w:tcBorders>
            <w:shd w:val="clear" w:color="auto" w:fill="auto"/>
            <w:vAlign w:val="center"/>
          </w:tcPr>
          <w:p w14:paraId="0AEBD960" w14:textId="0F000084" w:rsidR="0044087E" w:rsidRPr="00D33273" w:rsidRDefault="00387869"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t>
            </w:r>
          </w:p>
        </w:tc>
        <w:tc>
          <w:tcPr>
            <w:tcW w:w="326" w:type="dxa"/>
            <w:tcBorders>
              <w:top w:val="nil"/>
              <w:left w:val="nil"/>
              <w:bottom w:val="single" w:sz="8" w:space="0" w:color="auto"/>
              <w:right w:val="nil"/>
            </w:tcBorders>
            <w:shd w:val="clear" w:color="auto" w:fill="auto"/>
            <w:vAlign w:val="center"/>
          </w:tcPr>
          <w:p w14:paraId="14FEEC54"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p>
        </w:tc>
        <w:tc>
          <w:tcPr>
            <w:tcW w:w="1160" w:type="dxa"/>
            <w:tcBorders>
              <w:top w:val="nil"/>
              <w:left w:val="nil"/>
              <w:bottom w:val="single" w:sz="8" w:space="0" w:color="auto"/>
              <w:right w:val="nil"/>
            </w:tcBorders>
            <w:shd w:val="clear" w:color="auto" w:fill="auto"/>
            <w:vAlign w:val="center"/>
          </w:tcPr>
          <w:p w14:paraId="12BD0BB0" w14:textId="286D3FAC" w:rsidR="0044087E" w:rsidRPr="00D33273" w:rsidRDefault="00387869"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11,725</w:t>
            </w:r>
          </w:p>
        </w:tc>
      </w:tr>
      <w:tr w:rsidR="0044087E" w:rsidRPr="00AA133D" w14:paraId="05077B9E" w14:textId="77777777" w:rsidTr="0044087E">
        <w:trPr>
          <w:trHeight w:val="270"/>
        </w:trPr>
        <w:tc>
          <w:tcPr>
            <w:tcW w:w="2486" w:type="dxa"/>
            <w:tcBorders>
              <w:top w:val="single" w:sz="8" w:space="0" w:color="auto"/>
              <w:left w:val="nil"/>
              <w:bottom w:val="single" w:sz="12" w:space="0" w:color="auto"/>
              <w:right w:val="nil"/>
            </w:tcBorders>
            <w:shd w:val="clear" w:color="auto" w:fill="auto"/>
            <w:vAlign w:val="center"/>
            <w:hideMark/>
          </w:tcPr>
          <w:p w14:paraId="451436FE" w14:textId="77777777" w:rsidR="0044087E" w:rsidRPr="00D33273" w:rsidRDefault="0044087E" w:rsidP="00D23D47">
            <w:pPr>
              <w:spacing w:after="0" w:line="240" w:lineRule="auto"/>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Total liabilities</w:t>
            </w:r>
          </w:p>
        </w:tc>
        <w:tc>
          <w:tcPr>
            <w:tcW w:w="326" w:type="dxa"/>
            <w:tcBorders>
              <w:top w:val="single" w:sz="8" w:space="0" w:color="auto"/>
              <w:left w:val="nil"/>
              <w:bottom w:val="single" w:sz="12" w:space="0" w:color="auto"/>
              <w:right w:val="nil"/>
            </w:tcBorders>
            <w:shd w:val="clear" w:color="auto" w:fill="auto"/>
            <w:vAlign w:val="center"/>
            <w:hideMark/>
          </w:tcPr>
          <w:p w14:paraId="338E990C"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816" w:type="dxa"/>
            <w:tcBorders>
              <w:top w:val="single" w:sz="8" w:space="0" w:color="auto"/>
              <w:left w:val="nil"/>
              <w:bottom w:val="single" w:sz="12" w:space="0" w:color="auto"/>
              <w:right w:val="nil"/>
            </w:tcBorders>
            <w:shd w:val="clear" w:color="auto" w:fill="auto"/>
            <w:vAlign w:val="center"/>
            <w:hideMark/>
          </w:tcPr>
          <w:p w14:paraId="009234FC" w14:textId="09DEE64C"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w:t>
            </w:r>
            <w:r w:rsidR="00387869">
              <w:rPr>
                <w:rFonts w:ascii="Times New Roman" w:eastAsia="Times New Roman" w:hAnsi="Times New Roman" w:cs="Times New Roman"/>
                <w:color w:val="000000"/>
                <w:sz w:val="20"/>
                <w:szCs w:val="20"/>
                <w:lang w:eastAsia="en-CA"/>
              </w:rPr>
              <w:t>495</w:t>
            </w:r>
            <w:r>
              <w:rPr>
                <w:rFonts w:ascii="Times New Roman" w:eastAsia="Times New Roman" w:hAnsi="Times New Roman" w:cs="Times New Roman"/>
                <w:color w:val="000000"/>
                <w:sz w:val="20"/>
                <w:szCs w:val="20"/>
                <w:lang w:eastAsia="en-CA"/>
              </w:rPr>
              <w:t>,</w:t>
            </w:r>
            <w:r w:rsidR="00C110B9">
              <w:rPr>
                <w:rFonts w:ascii="Times New Roman" w:eastAsia="Times New Roman" w:hAnsi="Times New Roman" w:cs="Times New Roman"/>
                <w:color w:val="000000"/>
                <w:sz w:val="20"/>
                <w:szCs w:val="20"/>
                <w:lang w:eastAsia="en-CA"/>
              </w:rPr>
              <w:t>115</w:t>
            </w:r>
          </w:p>
        </w:tc>
        <w:tc>
          <w:tcPr>
            <w:tcW w:w="326" w:type="dxa"/>
            <w:tcBorders>
              <w:top w:val="single" w:sz="8" w:space="0" w:color="auto"/>
              <w:left w:val="nil"/>
              <w:bottom w:val="single" w:sz="12" w:space="0" w:color="auto"/>
              <w:right w:val="nil"/>
            </w:tcBorders>
            <w:shd w:val="clear" w:color="auto" w:fill="auto"/>
            <w:vAlign w:val="center"/>
            <w:hideMark/>
          </w:tcPr>
          <w:p w14:paraId="04074FF0"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029" w:type="dxa"/>
            <w:tcBorders>
              <w:top w:val="single" w:sz="8" w:space="0" w:color="auto"/>
              <w:left w:val="nil"/>
              <w:bottom w:val="single" w:sz="12" w:space="0" w:color="auto"/>
              <w:right w:val="nil"/>
            </w:tcBorders>
            <w:shd w:val="clear" w:color="auto" w:fill="auto"/>
            <w:vAlign w:val="center"/>
            <w:hideMark/>
          </w:tcPr>
          <w:p w14:paraId="279259FF" w14:textId="3B33FB94"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70,857</w:t>
            </w:r>
          </w:p>
        </w:tc>
        <w:tc>
          <w:tcPr>
            <w:tcW w:w="326" w:type="dxa"/>
            <w:tcBorders>
              <w:top w:val="single" w:sz="8" w:space="0" w:color="auto"/>
              <w:left w:val="nil"/>
              <w:bottom w:val="single" w:sz="12" w:space="0" w:color="auto"/>
              <w:right w:val="nil"/>
            </w:tcBorders>
            <w:shd w:val="clear" w:color="auto" w:fill="auto"/>
            <w:vAlign w:val="center"/>
            <w:hideMark/>
          </w:tcPr>
          <w:p w14:paraId="34934644"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277" w:type="dxa"/>
            <w:tcBorders>
              <w:top w:val="single" w:sz="8" w:space="0" w:color="auto"/>
              <w:left w:val="nil"/>
              <w:bottom w:val="single" w:sz="12" w:space="0" w:color="auto"/>
              <w:right w:val="nil"/>
            </w:tcBorders>
            <w:shd w:val="clear" w:color="auto" w:fill="auto"/>
            <w:vAlign w:val="center"/>
            <w:hideMark/>
          </w:tcPr>
          <w:p w14:paraId="10FB62DB" w14:textId="6EE9F280" w:rsidR="0044087E" w:rsidRPr="00D33273" w:rsidRDefault="00387869" w:rsidP="004C2420">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t>
            </w:r>
          </w:p>
        </w:tc>
        <w:tc>
          <w:tcPr>
            <w:tcW w:w="326" w:type="dxa"/>
            <w:tcBorders>
              <w:top w:val="single" w:sz="8" w:space="0" w:color="auto"/>
              <w:left w:val="nil"/>
              <w:bottom w:val="single" w:sz="12" w:space="0" w:color="auto"/>
              <w:right w:val="nil"/>
            </w:tcBorders>
            <w:shd w:val="clear" w:color="auto" w:fill="auto"/>
            <w:vAlign w:val="center"/>
            <w:hideMark/>
          </w:tcPr>
          <w:p w14:paraId="170C139C" w14:textId="77777777"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160" w:type="dxa"/>
            <w:tcBorders>
              <w:top w:val="single" w:sz="8" w:space="0" w:color="auto"/>
              <w:left w:val="nil"/>
              <w:bottom w:val="single" w:sz="12" w:space="0" w:color="auto"/>
              <w:right w:val="nil"/>
            </w:tcBorders>
            <w:shd w:val="clear" w:color="auto" w:fill="auto"/>
            <w:vAlign w:val="center"/>
            <w:hideMark/>
          </w:tcPr>
          <w:p w14:paraId="455911AA" w14:textId="3DA7833D" w:rsidR="0044087E" w:rsidRPr="00D33273" w:rsidRDefault="0044087E" w:rsidP="00D23D47">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w:t>
            </w:r>
            <w:r w:rsidR="00387869">
              <w:rPr>
                <w:rFonts w:ascii="Times New Roman" w:eastAsia="Times New Roman" w:hAnsi="Times New Roman" w:cs="Times New Roman"/>
                <w:color w:val="000000"/>
                <w:sz w:val="20"/>
                <w:szCs w:val="20"/>
                <w:lang w:eastAsia="en-CA"/>
              </w:rPr>
              <w:t>56</w:t>
            </w:r>
            <w:r w:rsidR="00C110B9">
              <w:rPr>
                <w:rFonts w:ascii="Times New Roman" w:eastAsia="Times New Roman" w:hAnsi="Times New Roman" w:cs="Times New Roman"/>
                <w:color w:val="000000"/>
                <w:sz w:val="20"/>
                <w:szCs w:val="20"/>
                <w:lang w:eastAsia="en-CA"/>
              </w:rPr>
              <w:t>5</w:t>
            </w:r>
            <w:r w:rsidR="00387869">
              <w:rPr>
                <w:rFonts w:ascii="Times New Roman" w:eastAsia="Times New Roman" w:hAnsi="Times New Roman" w:cs="Times New Roman"/>
                <w:color w:val="000000"/>
                <w:sz w:val="20"/>
                <w:szCs w:val="20"/>
                <w:lang w:eastAsia="en-CA"/>
              </w:rPr>
              <w:t>,</w:t>
            </w:r>
            <w:r w:rsidR="00C110B9">
              <w:rPr>
                <w:rFonts w:ascii="Times New Roman" w:eastAsia="Times New Roman" w:hAnsi="Times New Roman" w:cs="Times New Roman"/>
                <w:color w:val="000000"/>
                <w:sz w:val="20"/>
                <w:szCs w:val="20"/>
                <w:lang w:eastAsia="en-CA"/>
              </w:rPr>
              <w:t>97</w:t>
            </w:r>
            <w:r w:rsidR="00387869">
              <w:rPr>
                <w:rFonts w:ascii="Times New Roman" w:eastAsia="Times New Roman" w:hAnsi="Times New Roman" w:cs="Times New Roman"/>
                <w:color w:val="000000"/>
                <w:sz w:val="20"/>
                <w:szCs w:val="20"/>
                <w:lang w:eastAsia="en-CA"/>
              </w:rPr>
              <w:t>2</w:t>
            </w:r>
          </w:p>
        </w:tc>
      </w:tr>
    </w:tbl>
    <w:p w14:paraId="0E6CDB94" w14:textId="5D0659A5" w:rsidR="0044087E" w:rsidRPr="00D33273" w:rsidRDefault="0044087E" w:rsidP="00AA133D">
      <w:pPr>
        <w:rPr>
          <w:rFonts w:ascii="Times New Roman" w:hAnsi="Times New Roman" w:cs="Times New Roman"/>
          <w:sz w:val="20"/>
          <w:highlight w:val="green"/>
        </w:rPr>
      </w:pPr>
    </w:p>
    <w:tbl>
      <w:tblPr>
        <w:tblW w:w="9072" w:type="dxa"/>
        <w:tblLook w:val="04A0" w:firstRow="1" w:lastRow="0" w:firstColumn="1" w:lastColumn="0" w:noHBand="0" w:noVBand="1"/>
      </w:tblPr>
      <w:tblGrid>
        <w:gridCol w:w="2694"/>
        <w:gridCol w:w="328"/>
        <w:gridCol w:w="1373"/>
        <w:gridCol w:w="328"/>
        <w:gridCol w:w="1111"/>
        <w:gridCol w:w="328"/>
        <w:gridCol w:w="1351"/>
        <w:gridCol w:w="328"/>
        <w:gridCol w:w="1231"/>
      </w:tblGrid>
      <w:tr w:rsidR="00AA133D" w:rsidRPr="00AA133D" w14:paraId="62929284" w14:textId="77777777" w:rsidTr="00AE52B2">
        <w:trPr>
          <w:trHeight w:val="525"/>
        </w:trPr>
        <w:tc>
          <w:tcPr>
            <w:tcW w:w="2694" w:type="dxa"/>
            <w:tcBorders>
              <w:top w:val="single" w:sz="12" w:space="0" w:color="auto"/>
              <w:left w:val="nil"/>
              <w:bottom w:val="single" w:sz="8" w:space="0" w:color="auto"/>
              <w:right w:val="nil"/>
            </w:tcBorders>
            <w:shd w:val="clear" w:color="auto" w:fill="auto"/>
            <w:vAlign w:val="bottom"/>
            <w:hideMark/>
          </w:tcPr>
          <w:p w14:paraId="5CC2CD26" w14:textId="57FE3E38" w:rsidR="00AA133D" w:rsidRPr="00D33273" w:rsidRDefault="00AA133D" w:rsidP="00AE52B2">
            <w:pPr>
              <w:spacing w:after="0" w:line="240" w:lineRule="auto"/>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xml:space="preserve">As </w:t>
            </w:r>
            <w:proofErr w:type="gramStart"/>
            <w:r w:rsidRPr="00D33273">
              <w:rPr>
                <w:rFonts w:ascii="Times New Roman" w:eastAsia="Times New Roman" w:hAnsi="Times New Roman" w:cs="Times New Roman"/>
                <w:b/>
                <w:bCs/>
                <w:color w:val="000000"/>
                <w:sz w:val="20"/>
                <w:szCs w:val="20"/>
                <w:lang w:eastAsia="en-CA"/>
              </w:rPr>
              <w:t>at</w:t>
            </w:r>
            <w:proofErr w:type="gramEnd"/>
            <w:r w:rsidRPr="00D33273">
              <w:rPr>
                <w:rFonts w:ascii="Times New Roman" w:eastAsia="Times New Roman" w:hAnsi="Times New Roman" w:cs="Times New Roman"/>
                <w:b/>
                <w:bCs/>
                <w:color w:val="000000"/>
                <w:sz w:val="20"/>
                <w:szCs w:val="20"/>
                <w:lang w:eastAsia="en-CA"/>
              </w:rPr>
              <w:t xml:space="preserve"> December 31, 202</w:t>
            </w:r>
            <w:r w:rsidR="00BB78EA">
              <w:rPr>
                <w:rFonts w:ascii="Times New Roman" w:eastAsia="Times New Roman" w:hAnsi="Times New Roman" w:cs="Times New Roman"/>
                <w:b/>
                <w:bCs/>
                <w:color w:val="000000"/>
                <w:sz w:val="20"/>
                <w:szCs w:val="20"/>
                <w:lang w:eastAsia="en-CA"/>
              </w:rPr>
              <w:t>1</w:t>
            </w:r>
          </w:p>
        </w:tc>
        <w:tc>
          <w:tcPr>
            <w:tcW w:w="328" w:type="dxa"/>
            <w:tcBorders>
              <w:top w:val="single" w:sz="12" w:space="0" w:color="auto"/>
              <w:left w:val="nil"/>
              <w:bottom w:val="single" w:sz="8" w:space="0" w:color="auto"/>
              <w:right w:val="nil"/>
            </w:tcBorders>
            <w:shd w:val="clear" w:color="auto" w:fill="auto"/>
            <w:vAlign w:val="bottom"/>
            <w:hideMark/>
          </w:tcPr>
          <w:p w14:paraId="38451E6B"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w:t>
            </w:r>
          </w:p>
        </w:tc>
        <w:tc>
          <w:tcPr>
            <w:tcW w:w="1373" w:type="dxa"/>
            <w:tcBorders>
              <w:top w:val="single" w:sz="12" w:space="0" w:color="auto"/>
              <w:left w:val="nil"/>
              <w:bottom w:val="single" w:sz="8" w:space="0" w:color="auto"/>
              <w:right w:val="nil"/>
            </w:tcBorders>
            <w:shd w:val="clear" w:color="auto" w:fill="auto"/>
            <w:vAlign w:val="bottom"/>
            <w:hideMark/>
          </w:tcPr>
          <w:p w14:paraId="4EACD320"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Less than 1 year</w:t>
            </w:r>
          </w:p>
        </w:tc>
        <w:tc>
          <w:tcPr>
            <w:tcW w:w="328" w:type="dxa"/>
            <w:tcBorders>
              <w:top w:val="single" w:sz="12" w:space="0" w:color="auto"/>
              <w:left w:val="nil"/>
              <w:bottom w:val="single" w:sz="8" w:space="0" w:color="auto"/>
              <w:right w:val="nil"/>
            </w:tcBorders>
            <w:shd w:val="clear" w:color="auto" w:fill="auto"/>
            <w:vAlign w:val="bottom"/>
            <w:hideMark/>
          </w:tcPr>
          <w:p w14:paraId="572C4DD0"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w:t>
            </w:r>
          </w:p>
        </w:tc>
        <w:tc>
          <w:tcPr>
            <w:tcW w:w="1111" w:type="dxa"/>
            <w:tcBorders>
              <w:top w:val="single" w:sz="12" w:space="0" w:color="auto"/>
              <w:left w:val="nil"/>
              <w:bottom w:val="single" w:sz="8" w:space="0" w:color="auto"/>
              <w:right w:val="nil"/>
            </w:tcBorders>
            <w:shd w:val="clear" w:color="auto" w:fill="auto"/>
            <w:vAlign w:val="bottom"/>
            <w:hideMark/>
          </w:tcPr>
          <w:p w14:paraId="59B20093"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1 - 2 years</w:t>
            </w:r>
          </w:p>
        </w:tc>
        <w:tc>
          <w:tcPr>
            <w:tcW w:w="328" w:type="dxa"/>
            <w:tcBorders>
              <w:top w:val="single" w:sz="12" w:space="0" w:color="auto"/>
              <w:left w:val="nil"/>
              <w:bottom w:val="single" w:sz="8" w:space="0" w:color="auto"/>
              <w:right w:val="nil"/>
            </w:tcBorders>
            <w:shd w:val="clear" w:color="auto" w:fill="auto"/>
            <w:vAlign w:val="bottom"/>
            <w:hideMark/>
          </w:tcPr>
          <w:p w14:paraId="1CCCE358"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w:t>
            </w:r>
          </w:p>
        </w:tc>
        <w:tc>
          <w:tcPr>
            <w:tcW w:w="1351" w:type="dxa"/>
            <w:tcBorders>
              <w:top w:val="single" w:sz="12" w:space="0" w:color="auto"/>
              <w:left w:val="nil"/>
              <w:bottom w:val="single" w:sz="8" w:space="0" w:color="auto"/>
              <w:right w:val="nil"/>
            </w:tcBorders>
            <w:shd w:val="clear" w:color="auto" w:fill="auto"/>
            <w:vAlign w:val="bottom"/>
            <w:hideMark/>
          </w:tcPr>
          <w:p w14:paraId="7B3A5592"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Later than 2 years</w:t>
            </w:r>
          </w:p>
        </w:tc>
        <w:tc>
          <w:tcPr>
            <w:tcW w:w="328" w:type="dxa"/>
            <w:tcBorders>
              <w:top w:val="single" w:sz="12" w:space="0" w:color="auto"/>
              <w:left w:val="nil"/>
              <w:bottom w:val="single" w:sz="8" w:space="0" w:color="auto"/>
              <w:right w:val="nil"/>
            </w:tcBorders>
            <w:shd w:val="clear" w:color="auto" w:fill="auto"/>
            <w:vAlign w:val="bottom"/>
            <w:hideMark/>
          </w:tcPr>
          <w:p w14:paraId="07F1C17F"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 </w:t>
            </w:r>
          </w:p>
        </w:tc>
        <w:tc>
          <w:tcPr>
            <w:tcW w:w="1231" w:type="dxa"/>
            <w:tcBorders>
              <w:top w:val="single" w:sz="12" w:space="0" w:color="auto"/>
              <w:left w:val="nil"/>
              <w:bottom w:val="single" w:sz="8" w:space="0" w:color="auto"/>
              <w:right w:val="nil"/>
            </w:tcBorders>
            <w:shd w:val="clear" w:color="auto" w:fill="auto"/>
            <w:vAlign w:val="bottom"/>
            <w:hideMark/>
          </w:tcPr>
          <w:p w14:paraId="6098D790"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r w:rsidRPr="00D33273">
              <w:rPr>
                <w:rFonts w:ascii="Times New Roman" w:eastAsia="Times New Roman" w:hAnsi="Times New Roman" w:cs="Times New Roman"/>
                <w:b/>
                <w:bCs/>
                <w:color w:val="000000"/>
                <w:sz w:val="20"/>
                <w:szCs w:val="20"/>
                <w:lang w:eastAsia="en-CA"/>
              </w:rPr>
              <w:t>Total</w:t>
            </w:r>
          </w:p>
        </w:tc>
      </w:tr>
      <w:tr w:rsidR="00AA133D" w:rsidRPr="00AA133D" w14:paraId="57280699" w14:textId="77777777" w:rsidTr="00AE52B2">
        <w:trPr>
          <w:trHeight w:val="255"/>
        </w:trPr>
        <w:tc>
          <w:tcPr>
            <w:tcW w:w="2694" w:type="dxa"/>
            <w:tcBorders>
              <w:top w:val="nil"/>
              <w:left w:val="nil"/>
              <w:bottom w:val="nil"/>
              <w:right w:val="nil"/>
            </w:tcBorders>
            <w:shd w:val="clear" w:color="auto" w:fill="auto"/>
            <w:vAlign w:val="center"/>
            <w:hideMark/>
          </w:tcPr>
          <w:p w14:paraId="2C0BBEAD" w14:textId="77777777" w:rsidR="00AA133D" w:rsidRPr="00D33273" w:rsidRDefault="00AA133D" w:rsidP="00AE52B2">
            <w:pPr>
              <w:spacing w:after="0" w:line="240" w:lineRule="auto"/>
              <w:jc w:val="right"/>
              <w:rPr>
                <w:rFonts w:ascii="Times New Roman" w:eastAsia="Times New Roman" w:hAnsi="Times New Roman" w:cs="Times New Roman"/>
                <w:b/>
                <w:bCs/>
                <w:color w:val="000000"/>
                <w:sz w:val="20"/>
                <w:szCs w:val="20"/>
                <w:lang w:eastAsia="en-CA"/>
              </w:rPr>
            </w:pPr>
          </w:p>
        </w:tc>
        <w:tc>
          <w:tcPr>
            <w:tcW w:w="328" w:type="dxa"/>
            <w:tcBorders>
              <w:top w:val="nil"/>
              <w:left w:val="nil"/>
              <w:bottom w:val="nil"/>
              <w:right w:val="nil"/>
            </w:tcBorders>
            <w:shd w:val="clear" w:color="auto" w:fill="auto"/>
            <w:vAlign w:val="center"/>
            <w:hideMark/>
          </w:tcPr>
          <w:p w14:paraId="599EBBD4" w14:textId="77777777" w:rsidR="00AA133D" w:rsidRPr="00AA133D" w:rsidRDefault="00AA133D" w:rsidP="00AE52B2">
            <w:pPr>
              <w:spacing w:after="0" w:line="240" w:lineRule="auto"/>
              <w:jc w:val="right"/>
              <w:rPr>
                <w:rFonts w:ascii="Times New Roman" w:eastAsia="Times New Roman" w:hAnsi="Times New Roman" w:cs="Times New Roman"/>
                <w:sz w:val="20"/>
                <w:szCs w:val="20"/>
                <w:lang w:eastAsia="en-CA"/>
              </w:rPr>
            </w:pPr>
          </w:p>
        </w:tc>
        <w:tc>
          <w:tcPr>
            <w:tcW w:w="1373" w:type="dxa"/>
            <w:tcBorders>
              <w:top w:val="nil"/>
              <w:left w:val="nil"/>
              <w:bottom w:val="nil"/>
              <w:right w:val="nil"/>
            </w:tcBorders>
            <w:shd w:val="clear" w:color="auto" w:fill="auto"/>
            <w:vAlign w:val="center"/>
            <w:hideMark/>
          </w:tcPr>
          <w:p w14:paraId="39988AB5" w14:textId="77777777" w:rsidR="00AA133D" w:rsidRPr="00AA133D" w:rsidRDefault="00AA133D" w:rsidP="00AE52B2">
            <w:pPr>
              <w:spacing w:after="0" w:line="240" w:lineRule="auto"/>
              <w:jc w:val="right"/>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vAlign w:val="center"/>
            <w:hideMark/>
          </w:tcPr>
          <w:p w14:paraId="2C0E21AA" w14:textId="77777777" w:rsidR="00AA133D" w:rsidRPr="00AA133D" w:rsidRDefault="00AA133D" w:rsidP="00AE52B2">
            <w:pPr>
              <w:spacing w:after="0" w:line="240" w:lineRule="auto"/>
              <w:jc w:val="right"/>
              <w:rPr>
                <w:rFonts w:ascii="Times New Roman" w:eastAsia="Times New Roman" w:hAnsi="Times New Roman" w:cs="Times New Roman"/>
                <w:sz w:val="20"/>
                <w:szCs w:val="20"/>
                <w:lang w:eastAsia="en-CA"/>
              </w:rPr>
            </w:pPr>
          </w:p>
        </w:tc>
        <w:tc>
          <w:tcPr>
            <w:tcW w:w="1111" w:type="dxa"/>
            <w:tcBorders>
              <w:top w:val="nil"/>
              <w:left w:val="nil"/>
              <w:bottom w:val="nil"/>
              <w:right w:val="nil"/>
            </w:tcBorders>
            <w:shd w:val="clear" w:color="auto" w:fill="auto"/>
            <w:vAlign w:val="center"/>
            <w:hideMark/>
          </w:tcPr>
          <w:p w14:paraId="352E3D6B" w14:textId="77777777" w:rsidR="00AA133D" w:rsidRPr="00AA133D" w:rsidRDefault="00AA133D" w:rsidP="00AE52B2">
            <w:pPr>
              <w:spacing w:after="0" w:line="240" w:lineRule="auto"/>
              <w:jc w:val="right"/>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vAlign w:val="center"/>
            <w:hideMark/>
          </w:tcPr>
          <w:p w14:paraId="49F6F05C" w14:textId="77777777" w:rsidR="00AA133D" w:rsidRPr="00AA133D" w:rsidRDefault="00AA133D" w:rsidP="00AE52B2">
            <w:pPr>
              <w:spacing w:after="0" w:line="240" w:lineRule="auto"/>
              <w:jc w:val="right"/>
              <w:rPr>
                <w:rFonts w:ascii="Times New Roman" w:eastAsia="Times New Roman" w:hAnsi="Times New Roman" w:cs="Times New Roman"/>
                <w:sz w:val="20"/>
                <w:szCs w:val="20"/>
                <w:lang w:eastAsia="en-CA"/>
              </w:rPr>
            </w:pPr>
          </w:p>
        </w:tc>
        <w:tc>
          <w:tcPr>
            <w:tcW w:w="1351" w:type="dxa"/>
            <w:tcBorders>
              <w:top w:val="nil"/>
              <w:left w:val="nil"/>
              <w:bottom w:val="nil"/>
              <w:right w:val="nil"/>
            </w:tcBorders>
            <w:shd w:val="clear" w:color="auto" w:fill="auto"/>
            <w:vAlign w:val="center"/>
            <w:hideMark/>
          </w:tcPr>
          <w:p w14:paraId="216FE5FF" w14:textId="77777777" w:rsidR="00AA133D" w:rsidRPr="00AA133D" w:rsidRDefault="00AA133D" w:rsidP="00AE52B2">
            <w:pPr>
              <w:spacing w:after="0" w:line="240" w:lineRule="auto"/>
              <w:jc w:val="right"/>
              <w:rPr>
                <w:rFonts w:ascii="Times New Roman" w:eastAsia="Times New Roman" w:hAnsi="Times New Roman" w:cs="Times New Roman"/>
                <w:sz w:val="20"/>
                <w:szCs w:val="20"/>
                <w:lang w:eastAsia="en-CA"/>
              </w:rPr>
            </w:pPr>
          </w:p>
        </w:tc>
        <w:tc>
          <w:tcPr>
            <w:tcW w:w="328" w:type="dxa"/>
            <w:tcBorders>
              <w:top w:val="nil"/>
              <w:left w:val="nil"/>
              <w:bottom w:val="nil"/>
              <w:right w:val="nil"/>
            </w:tcBorders>
            <w:shd w:val="clear" w:color="auto" w:fill="auto"/>
            <w:vAlign w:val="center"/>
            <w:hideMark/>
          </w:tcPr>
          <w:p w14:paraId="5CD722AE" w14:textId="77777777" w:rsidR="00AA133D" w:rsidRPr="00AA133D" w:rsidRDefault="00AA133D" w:rsidP="00AE52B2">
            <w:pPr>
              <w:spacing w:after="0" w:line="240" w:lineRule="auto"/>
              <w:jc w:val="right"/>
              <w:rPr>
                <w:rFonts w:ascii="Times New Roman" w:eastAsia="Times New Roman" w:hAnsi="Times New Roman" w:cs="Times New Roman"/>
                <w:sz w:val="20"/>
                <w:szCs w:val="20"/>
                <w:lang w:eastAsia="en-CA"/>
              </w:rPr>
            </w:pPr>
          </w:p>
        </w:tc>
        <w:tc>
          <w:tcPr>
            <w:tcW w:w="1231" w:type="dxa"/>
            <w:tcBorders>
              <w:top w:val="nil"/>
              <w:left w:val="nil"/>
              <w:bottom w:val="nil"/>
              <w:right w:val="nil"/>
            </w:tcBorders>
            <w:shd w:val="clear" w:color="auto" w:fill="auto"/>
            <w:vAlign w:val="center"/>
            <w:hideMark/>
          </w:tcPr>
          <w:p w14:paraId="445A4C25" w14:textId="77777777" w:rsidR="00AA133D" w:rsidRPr="00AA133D" w:rsidRDefault="00AA133D" w:rsidP="00AE52B2">
            <w:pPr>
              <w:spacing w:after="0" w:line="240" w:lineRule="auto"/>
              <w:jc w:val="right"/>
              <w:rPr>
                <w:rFonts w:ascii="Times New Roman" w:eastAsia="Times New Roman" w:hAnsi="Times New Roman" w:cs="Times New Roman"/>
                <w:sz w:val="20"/>
                <w:szCs w:val="20"/>
                <w:lang w:eastAsia="en-CA"/>
              </w:rPr>
            </w:pPr>
          </w:p>
        </w:tc>
      </w:tr>
      <w:tr w:rsidR="00AA133D" w:rsidRPr="00AA133D" w14:paraId="2F40D8E1" w14:textId="77777777" w:rsidTr="00AE52B2">
        <w:trPr>
          <w:trHeight w:val="255"/>
        </w:trPr>
        <w:tc>
          <w:tcPr>
            <w:tcW w:w="2694" w:type="dxa"/>
            <w:tcBorders>
              <w:top w:val="nil"/>
              <w:left w:val="nil"/>
              <w:bottom w:val="nil"/>
              <w:right w:val="nil"/>
            </w:tcBorders>
            <w:shd w:val="clear" w:color="auto" w:fill="auto"/>
            <w:vAlign w:val="center"/>
            <w:hideMark/>
          </w:tcPr>
          <w:p w14:paraId="35920FA6" w14:textId="77777777" w:rsidR="00AA133D" w:rsidRPr="00D33273" w:rsidRDefault="00AA133D" w:rsidP="00AE52B2">
            <w:pPr>
              <w:spacing w:after="0" w:line="240" w:lineRule="auto"/>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Accounts payable</w:t>
            </w:r>
          </w:p>
        </w:tc>
        <w:tc>
          <w:tcPr>
            <w:tcW w:w="328" w:type="dxa"/>
            <w:tcBorders>
              <w:top w:val="nil"/>
              <w:left w:val="nil"/>
              <w:bottom w:val="nil"/>
              <w:right w:val="nil"/>
            </w:tcBorders>
            <w:shd w:val="clear" w:color="auto" w:fill="auto"/>
            <w:vAlign w:val="center"/>
            <w:hideMark/>
          </w:tcPr>
          <w:p w14:paraId="3F6F14A4"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373" w:type="dxa"/>
            <w:tcBorders>
              <w:top w:val="nil"/>
              <w:left w:val="nil"/>
              <w:bottom w:val="nil"/>
              <w:right w:val="nil"/>
            </w:tcBorders>
            <w:shd w:val="clear" w:color="auto" w:fill="auto"/>
            <w:vAlign w:val="center"/>
            <w:hideMark/>
          </w:tcPr>
          <w:p w14:paraId="2377C068" w14:textId="53EC63C7" w:rsidR="00AA133D" w:rsidRPr="00D33273" w:rsidRDefault="000F4B3E"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790,607</w:t>
            </w:r>
          </w:p>
        </w:tc>
        <w:tc>
          <w:tcPr>
            <w:tcW w:w="328" w:type="dxa"/>
            <w:tcBorders>
              <w:top w:val="nil"/>
              <w:left w:val="nil"/>
              <w:bottom w:val="nil"/>
              <w:right w:val="nil"/>
            </w:tcBorders>
            <w:shd w:val="clear" w:color="auto" w:fill="auto"/>
            <w:vAlign w:val="center"/>
            <w:hideMark/>
          </w:tcPr>
          <w:p w14:paraId="441D0DAE"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111" w:type="dxa"/>
            <w:tcBorders>
              <w:top w:val="nil"/>
              <w:left w:val="nil"/>
              <w:bottom w:val="nil"/>
              <w:right w:val="nil"/>
            </w:tcBorders>
            <w:shd w:val="clear" w:color="auto" w:fill="auto"/>
            <w:vAlign w:val="center"/>
            <w:hideMark/>
          </w:tcPr>
          <w:p w14:paraId="29A29305"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328" w:type="dxa"/>
            <w:tcBorders>
              <w:top w:val="nil"/>
              <w:left w:val="nil"/>
              <w:bottom w:val="nil"/>
              <w:right w:val="nil"/>
            </w:tcBorders>
            <w:shd w:val="clear" w:color="auto" w:fill="auto"/>
            <w:vAlign w:val="center"/>
            <w:hideMark/>
          </w:tcPr>
          <w:p w14:paraId="5CEEF33E"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351" w:type="dxa"/>
            <w:tcBorders>
              <w:top w:val="nil"/>
              <w:left w:val="nil"/>
              <w:bottom w:val="nil"/>
              <w:right w:val="nil"/>
            </w:tcBorders>
            <w:shd w:val="clear" w:color="auto" w:fill="auto"/>
            <w:vAlign w:val="center"/>
            <w:hideMark/>
          </w:tcPr>
          <w:p w14:paraId="55F675DA"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328" w:type="dxa"/>
            <w:tcBorders>
              <w:top w:val="nil"/>
              <w:left w:val="nil"/>
              <w:bottom w:val="nil"/>
              <w:right w:val="nil"/>
            </w:tcBorders>
            <w:shd w:val="clear" w:color="auto" w:fill="auto"/>
            <w:vAlign w:val="center"/>
            <w:hideMark/>
          </w:tcPr>
          <w:p w14:paraId="6B140E59"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231" w:type="dxa"/>
            <w:tcBorders>
              <w:top w:val="nil"/>
              <w:left w:val="nil"/>
              <w:bottom w:val="nil"/>
              <w:right w:val="nil"/>
            </w:tcBorders>
            <w:shd w:val="clear" w:color="auto" w:fill="auto"/>
            <w:vAlign w:val="center"/>
            <w:hideMark/>
          </w:tcPr>
          <w:p w14:paraId="7B776A95" w14:textId="7C99340B" w:rsidR="00AA133D" w:rsidRPr="00D33273" w:rsidRDefault="000F4B3E"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790,607</w:t>
            </w:r>
          </w:p>
        </w:tc>
      </w:tr>
      <w:tr w:rsidR="00AA133D" w:rsidRPr="00AA133D" w14:paraId="2FAE8000" w14:textId="77777777" w:rsidTr="00AE52B2">
        <w:trPr>
          <w:trHeight w:val="255"/>
        </w:trPr>
        <w:tc>
          <w:tcPr>
            <w:tcW w:w="2694" w:type="dxa"/>
            <w:tcBorders>
              <w:top w:val="nil"/>
              <w:left w:val="nil"/>
              <w:bottom w:val="nil"/>
              <w:right w:val="nil"/>
            </w:tcBorders>
            <w:shd w:val="clear" w:color="auto" w:fill="auto"/>
            <w:vAlign w:val="center"/>
          </w:tcPr>
          <w:p w14:paraId="6E40F2BC" w14:textId="67B60FE3" w:rsidR="00AA133D" w:rsidRPr="00D33273" w:rsidRDefault="00AA133D" w:rsidP="00AE52B2">
            <w:pPr>
              <w:spacing w:after="0" w:line="240" w:lineRule="auto"/>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Loans payable</w:t>
            </w:r>
          </w:p>
        </w:tc>
        <w:tc>
          <w:tcPr>
            <w:tcW w:w="328" w:type="dxa"/>
            <w:tcBorders>
              <w:top w:val="nil"/>
              <w:left w:val="nil"/>
              <w:bottom w:val="nil"/>
              <w:right w:val="nil"/>
            </w:tcBorders>
            <w:shd w:val="clear" w:color="auto" w:fill="auto"/>
            <w:vAlign w:val="center"/>
          </w:tcPr>
          <w:p w14:paraId="4CAD13E0" w14:textId="77777777" w:rsidR="00AA133D" w:rsidRPr="00D33273" w:rsidRDefault="00AA133D" w:rsidP="00AE52B2">
            <w:pPr>
              <w:spacing w:after="0" w:line="240" w:lineRule="auto"/>
              <w:rPr>
                <w:rFonts w:ascii="Times New Roman" w:eastAsia="Times New Roman" w:hAnsi="Times New Roman" w:cs="Times New Roman"/>
                <w:color w:val="000000"/>
                <w:sz w:val="20"/>
                <w:szCs w:val="20"/>
                <w:lang w:eastAsia="en-CA"/>
              </w:rPr>
            </w:pPr>
          </w:p>
        </w:tc>
        <w:tc>
          <w:tcPr>
            <w:tcW w:w="1373" w:type="dxa"/>
            <w:tcBorders>
              <w:top w:val="nil"/>
              <w:left w:val="nil"/>
              <w:bottom w:val="nil"/>
              <w:right w:val="nil"/>
            </w:tcBorders>
            <w:shd w:val="clear" w:color="auto" w:fill="auto"/>
            <w:vAlign w:val="center"/>
          </w:tcPr>
          <w:p w14:paraId="26E062B3" w14:textId="076606D7" w:rsidR="00AA133D" w:rsidRPr="00D33273" w:rsidRDefault="005D196D"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630,534</w:t>
            </w:r>
            <w:r w:rsidR="00AA133D" w:rsidRPr="00D33273">
              <w:rPr>
                <w:rFonts w:ascii="Times New Roman" w:eastAsia="Times New Roman" w:hAnsi="Times New Roman" w:cs="Times New Roman"/>
                <w:color w:val="000000"/>
                <w:sz w:val="20"/>
                <w:szCs w:val="20"/>
                <w:lang w:eastAsia="en-CA"/>
              </w:rPr>
              <w:t xml:space="preserve"> </w:t>
            </w:r>
          </w:p>
        </w:tc>
        <w:tc>
          <w:tcPr>
            <w:tcW w:w="328" w:type="dxa"/>
            <w:tcBorders>
              <w:top w:val="nil"/>
              <w:left w:val="nil"/>
              <w:bottom w:val="nil"/>
              <w:right w:val="nil"/>
            </w:tcBorders>
            <w:shd w:val="clear" w:color="auto" w:fill="auto"/>
            <w:vAlign w:val="center"/>
          </w:tcPr>
          <w:p w14:paraId="09373D34"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p>
        </w:tc>
        <w:tc>
          <w:tcPr>
            <w:tcW w:w="1111" w:type="dxa"/>
            <w:tcBorders>
              <w:top w:val="nil"/>
              <w:left w:val="nil"/>
              <w:bottom w:val="nil"/>
              <w:right w:val="nil"/>
            </w:tcBorders>
            <w:shd w:val="clear" w:color="auto" w:fill="auto"/>
            <w:vAlign w:val="center"/>
          </w:tcPr>
          <w:p w14:paraId="2733B501" w14:textId="5CC9426A" w:rsidR="00AA133D" w:rsidRPr="00D33273" w:rsidRDefault="005D196D"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18,513</w:t>
            </w:r>
          </w:p>
        </w:tc>
        <w:tc>
          <w:tcPr>
            <w:tcW w:w="328" w:type="dxa"/>
            <w:tcBorders>
              <w:top w:val="nil"/>
              <w:left w:val="nil"/>
              <w:bottom w:val="nil"/>
              <w:right w:val="nil"/>
            </w:tcBorders>
            <w:shd w:val="clear" w:color="auto" w:fill="auto"/>
            <w:vAlign w:val="center"/>
          </w:tcPr>
          <w:p w14:paraId="05B3BB49"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p>
        </w:tc>
        <w:tc>
          <w:tcPr>
            <w:tcW w:w="1351" w:type="dxa"/>
            <w:tcBorders>
              <w:top w:val="nil"/>
              <w:left w:val="nil"/>
              <w:bottom w:val="nil"/>
              <w:right w:val="nil"/>
            </w:tcBorders>
            <w:shd w:val="clear" w:color="auto" w:fill="auto"/>
            <w:vAlign w:val="center"/>
          </w:tcPr>
          <w:p w14:paraId="5B24A3C7" w14:textId="23B57BBD" w:rsidR="00AA133D" w:rsidRPr="00D33273" w:rsidRDefault="005D196D"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t>
            </w:r>
          </w:p>
        </w:tc>
        <w:tc>
          <w:tcPr>
            <w:tcW w:w="328" w:type="dxa"/>
            <w:tcBorders>
              <w:top w:val="nil"/>
              <w:left w:val="nil"/>
              <w:bottom w:val="nil"/>
              <w:right w:val="nil"/>
            </w:tcBorders>
            <w:shd w:val="clear" w:color="auto" w:fill="auto"/>
            <w:vAlign w:val="center"/>
          </w:tcPr>
          <w:p w14:paraId="27ABF557"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p>
        </w:tc>
        <w:tc>
          <w:tcPr>
            <w:tcW w:w="1231" w:type="dxa"/>
            <w:tcBorders>
              <w:top w:val="nil"/>
              <w:left w:val="nil"/>
              <w:bottom w:val="nil"/>
              <w:right w:val="nil"/>
            </w:tcBorders>
            <w:shd w:val="clear" w:color="auto" w:fill="auto"/>
            <w:vAlign w:val="center"/>
          </w:tcPr>
          <w:p w14:paraId="0AEFE19A" w14:textId="76B19649" w:rsidR="00AA133D" w:rsidRPr="00D33273" w:rsidRDefault="005D196D"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649,047</w:t>
            </w:r>
          </w:p>
        </w:tc>
      </w:tr>
      <w:tr w:rsidR="00BD0F5E" w:rsidRPr="00AA133D" w14:paraId="5E349BC5" w14:textId="77777777" w:rsidTr="00AE52B2">
        <w:trPr>
          <w:trHeight w:val="270"/>
        </w:trPr>
        <w:tc>
          <w:tcPr>
            <w:tcW w:w="2694" w:type="dxa"/>
            <w:tcBorders>
              <w:top w:val="nil"/>
              <w:left w:val="nil"/>
              <w:bottom w:val="single" w:sz="8" w:space="0" w:color="auto"/>
              <w:right w:val="nil"/>
            </w:tcBorders>
            <w:shd w:val="clear" w:color="auto" w:fill="auto"/>
            <w:vAlign w:val="center"/>
          </w:tcPr>
          <w:p w14:paraId="54715C89" w14:textId="610FA010" w:rsidR="00BD0F5E" w:rsidRPr="00D33273" w:rsidRDefault="00BD0F5E" w:rsidP="00BD0F5E">
            <w:pPr>
              <w:spacing w:after="0" w:line="240" w:lineRule="auto"/>
              <w:rPr>
                <w:rFonts w:ascii="Times New Roman" w:eastAsia="Times New Roman" w:hAnsi="Times New Roman" w:cs="Times New Roman"/>
                <w:color w:val="000000"/>
                <w:sz w:val="20"/>
                <w:szCs w:val="20"/>
                <w:lang w:eastAsia="en-CA"/>
              </w:rPr>
            </w:pPr>
            <w:r w:rsidRPr="00AE52B2">
              <w:rPr>
                <w:rFonts w:ascii="Times New Roman" w:eastAsia="Times New Roman" w:hAnsi="Times New Roman" w:cs="Times New Roman"/>
                <w:color w:val="000000"/>
                <w:sz w:val="20"/>
                <w:szCs w:val="20"/>
                <w:lang w:eastAsia="en-CA"/>
              </w:rPr>
              <w:t>Lease liability</w:t>
            </w:r>
          </w:p>
        </w:tc>
        <w:tc>
          <w:tcPr>
            <w:tcW w:w="328" w:type="dxa"/>
            <w:tcBorders>
              <w:top w:val="nil"/>
              <w:left w:val="nil"/>
              <w:bottom w:val="single" w:sz="8" w:space="0" w:color="auto"/>
              <w:right w:val="nil"/>
            </w:tcBorders>
            <w:shd w:val="clear" w:color="auto" w:fill="auto"/>
            <w:vAlign w:val="center"/>
          </w:tcPr>
          <w:p w14:paraId="1BF7DA20" w14:textId="77777777" w:rsidR="00BD0F5E" w:rsidRPr="00D33273" w:rsidRDefault="00BD0F5E" w:rsidP="00BD0F5E">
            <w:pPr>
              <w:spacing w:after="0" w:line="240" w:lineRule="auto"/>
              <w:rPr>
                <w:rFonts w:ascii="Times New Roman" w:eastAsia="Times New Roman" w:hAnsi="Times New Roman" w:cs="Times New Roman"/>
                <w:color w:val="000000"/>
                <w:sz w:val="20"/>
                <w:szCs w:val="20"/>
                <w:lang w:eastAsia="en-CA"/>
              </w:rPr>
            </w:pPr>
          </w:p>
        </w:tc>
        <w:tc>
          <w:tcPr>
            <w:tcW w:w="1373" w:type="dxa"/>
            <w:tcBorders>
              <w:top w:val="nil"/>
              <w:left w:val="nil"/>
              <w:bottom w:val="single" w:sz="8" w:space="0" w:color="auto"/>
              <w:right w:val="nil"/>
            </w:tcBorders>
            <w:shd w:val="clear" w:color="auto" w:fill="auto"/>
            <w:vAlign w:val="center"/>
          </w:tcPr>
          <w:p w14:paraId="0E77B5C0" w14:textId="569E5F97" w:rsidR="00BD0F5E" w:rsidRPr="00D33273" w:rsidRDefault="00BD0F5E" w:rsidP="00BD0F5E">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6,732</w:t>
            </w:r>
          </w:p>
        </w:tc>
        <w:tc>
          <w:tcPr>
            <w:tcW w:w="328" w:type="dxa"/>
            <w:tcBorders>
              <w:top w:val="nil"/>
              <w:left w:val="nil"/>
              <w:bottom w:val="single" w:sz="8" w:space="0" w:color="auto"/>
              <w:right w:val="nil"/>
            </w:tcBorders>
            <w:shd w:val="clear" w:color="auto" w:fill="auto"/>
            <w:vAlign w:val="center"/>
          </w:tcPr>
          <w:p w14:paraId="21843C1A" w14:textId="77777777" w:rsidR="00BD0F5E" w:rsidRPr="00D33273" w:rsidRDefault="00BD0F5E" w:rsidP="00BD0F5E">
            <w:pPr>
              <w:spacing w:after="0" w:line="240" w:lineRule="auto"/>
              <w:jc w:val="right"/>
              <w:rPr>
                <w:rFonts w:ascii="Times New Roman" w:eastAsia="Times New Roman" w:hAnsi="Times New Roman" w:cs="Times New Roman"/>
                <w:color w:val="000000"/>
                <w:sz w:val="20"/>
                <w:szCs w:val="20"/>
                <w:lang w:eastAsia="en-CA"/>
              </w:rPr>
            </w:pPr>
          </w:p>
        </w:tc>
        <w:tc>
          <w:tcPr>
            <w:tcW w:w="1111" w:type="dxa"/>
            <w:tcBorders>
              <w:top w:val="nil"/>
              <w:left w:val="nil"/>
              <w:bottom w:val="single" w:sz="8" w:space="0" w:color="auto"/>
              <w:right w:val="nil"/>
            </w:tcBorders>
            <w:shd w:val="clear" w:color="auto" w:fill="auto"/>
            <w:vAlign w:val="center"/>
          </w:tcPr>
          <w:p w14:paraId="69027182" w14:textId="0CB34F8B" w:rsidR="00BD0F5E" w:rsidRPr="00D33273" w:rsidRDefault="00BD0F5E" w:rsidP="00BD0F5E">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8,592</w:t>
            </w:r>
          </w:p>
        </w:tc>
        <w:tc>
          <w:tcPr>
            <w:tcW w:w="328" w:type="dxa"/>
            <w:tcBorders>
              <w:top w:val="nil"/>
              <w:left w:val="nil"/>
              <w:bottom w:val="single" w:sz="8" w:space="0" w:color="auto"/>
              <w:right w:val="nil"/>
            </w:tcBorders>
            <w:shd w:val="clear" w:color="auto" w:fill="auto"/>
            <w:vAlign w:val="center"/>
          </w:tcPr>
          <w:p w14:paraId="1DC96DAF" w14:textId="77777777" w:rsidR="00BD0F5E" w:rsidRPr="00D33273" w:rsidRDefault="00BD0F5E" w:rsidP="00BD0F5E">
            <w:pPr>
              <w:spacing w:after="0" w:line="240" w:lineRule="auto"/>
              <w:jc w:val="right"/>
              <w:rPr>
                <w:rFonts w:ascii="Times New Roman" w:eastAsia="Times New Roman" w:hAnsi="Times New Roman" w:cs="Times New Roman"/>
                <w:color w:val="000000"/>
                <w:sz w:val="20"/>
                <w:szCs w:val="20"/>
                <w:lang w:eastAsia="en-CA"/>
              </w:rPr>
            </w:pPr>
          </w:p>
        </w:tc>
        <w:tc>
          <w:tcPr>
            <w:tcW w:w="1351" w:type="dxa"/>
            <w:tcBorders>
              <w:top w:val="nil"/>
              <w:left w:val="nil"/>
              <w:bottom w:val="single" w:sz="8" w:space="0" w:color="auto"/>
              <w:right w:val="nil"/>
            </w:tcBorders>
            <w:shd w:val="clear" w:color="auto" w:fill="auto"/>
            <w:vAlign w:val="center"/>
          </w:tcPr>
          <w:p w14:paraId="538183CD" w14:textId="3CCDE563" w:rsidR="00BD0F5E" w:rsidRPr="00D33273" w:rsidRDefault="00BD0F5E" w:rsidP="00BD0F5E">
            <w:pPr>
              <w:spacing w:after="0" w:line="240" w:lineRule="auto"/>
              <w:jc w:val="right"/>
              <w:rPr>
                <w:rFonts w:ascii="Times New Roman" w:eastAsia="Times New Roman" w:hAnsi="Times New Roman" w:cs="Times New Roman"/>
                <w:color w:val="000000"/>
                <w:sz w:val="20"/>
                <w:szCs w:val="20"/>
                <w:lang w:eastAsia="en-CA"/>
              </w:rPr>
            </w:pPr>
            <w:r w:rsidRPr="00AE52B2">
              <w:rPr>
                <w:rFonts w:ascii="Times New Roman" w:eastAsia="Times New Roman" w:hAnsi="Times New Roman" w:cs="Times New Roman"/>
                <w:color w:val="000000"/>
                <w:sz w:val="20"/>
                <w:szCs w:val="20"/>
                <w:lang w:eastAsia="en-CA"/>
              </w:rPr>
              <w:t>-</w:t>
            </w:r>
          </w:p>
        </w:tc>
        <w:tc>
          <w:tcPr>
            <w:tcW w:w="328" w:type="dxa"/>
            <w:tcBorders>
              <w:top w:val="nil"/>
              <w:left w:val="nil"/>
              <w:bottom w:val="single" w:sz="8" w:space="0" w:color="auto"/>
              <w:right w:val="nil"/>
            </w:tcBorders>
            <w:shd w:val="clear" w:color="auto" w:fill="auto"/>
            <w:vAlign w:val="center"/>
          </w:tcPr>
          <w:p w14:paraId="2AAA3647" w14:textId="77777777" w:rsidR="00BD0F5E" w:rsidRPr="00D33273" w:rsidRDefault="00BD0F5E" w:rsidP="00BD0F5E">
            <w:pPr>
              <w:spacing w:after="0" w:line="240" w:lineRule="auto"/>
              <w:jc w:val="right"/>
              <w:rPr>
                <w:rFonts w:ascii="Times New Roman" w:eastAsia="Times New Roman" w:hAnsi="Times New Roman" w:cs="Times New Roman"/>
                <w:color w:val="000000"/>
                <w:sz w:val="20"/>
                <w:szCs w:val="20"/>
                <w:lang w:eastAsia="en-CA"/>
              </w:rPr>
            </w:pPr>
          </w:p>
        </w:tc>
        <w:tc>
          <w:tcPr>
            <w:tcW w:w="1231" w:type="dxa"/>
            <w:tcBorders>
              <w:top w:val="nil"/>
              <w:left w:val="nil"/>
              <w:bottom w:val="single" w:sz="8" w:space="0" w:color="auto"/>
              <w:right w:val="nil"/>
            </w:tcBorders>
            <w:shd w:val="clear" w:color="auto" w:fill="auto"/>
            <w:vAlign w:val="center"/>
          </w:tcPr>
          <w:p w14:paraId="5EF0FD5C" w14:textId="2972A195" w:rsidR="00BD0F5E" w:rsidRPr="00D33273" w:rsidRDefault="00BD0F5E" w:rsidP="00BD0F5E">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15,324</w:t>
            </w:r>
          </w:p>
        </w:tc>
      </w:tr>
      <w:tr w:rsidR="00AA133D" w:rsidRPr="00AA133D" w14:paraId="47423AF5" w14:textId="77777777" w:rsidTr="00AE52B2">
        <w:trPr>
          <w:trHeight w:val="270"/>
        </w:trPr>
        <w:tc>
          <w:tcPr>
            <w:tcW w:w="2694" w:type="dxa"/>
            <w:tcBorders>
              <w:top w:val="single" w:sz="8" w:space="0" w:color="auto"/>
              <w:left w:val="nil"/>
              <w:bottom w:val="single" w:sz="12" w:space="0" w:color="auto"/>
              <w:right w:val="nil"/>
            </w:tcBorders>
            <w:shd w:val="clear" w:color="auto" w:fill="auto"/>
            <w:vAlign w:val="center"/>
            <w:hideMark/>
          </w:tcPr>
          <w:p w14:paraId="2348BD3E" w14:textId="77777777" w:rsidR="00AA133D" w:rsidRPr="00D33273" w:rsidRDefault="00AA133D" w:rsidP="00AE52B2">
            <w:pPr>
              <w:spacing w:after="0" w:line="240" w:lineRule="auto"/>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Total liabilities</w:t>
            </w:r>
          </w:p>
        </w:tc>
        <w:tc>
          <w:tcPr>
            <w:tcW w:w="328" w:type="dxa"/>
            <w:tcBorders>
              <w:top w:val="single" w:sz="8" w:space="0" w:color="auto"/>
              <w:left w:val="nil"/>
              <w:bottom w:val="single" w:sz="12" w:space="0" w:color="auto"/>
              <w:right w:val="nil"/>
            </w:tcBorders>
            <w:shd w:val="clear" w:color="auto" w:fill="auto"/>
            <w:vAlign w:val="center"/>
            <w:hideMark/>
          </w:tcPr>
          <w:p w14:paraId="3890C3D9"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373" w:type="dxa"/>
            <w:tcBorders>
              <w:top w:val="single" w:sz="8" w:space="0" w:color="auto"/>
              <w:left w:val="nil"/>
              <w:bottom w:val="single" w:sz="12" w:space="0" w:color="auto"/>
              <w:right w:val="nil"/>
            </w:tcBorders>
            <w:shd w:val="clear" w:color="auto" w:fill="auto"/>
            <w:vAlign w:val="center"/>
            <w:hideMark/>
          </w:tcPr>
          <w:p w14:paraId="24B62AE2" w14:textId="02E18D6E" w:rsidR="00AA133D" w:rsidRPr="00D33273" w:rsidRDefault="00F60F31"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1,427,873</w:t>
            </w:r>
          </w:p>
        </w:tc>
        <w:tc>
          <w:tcPr>
            <w:tcW w:w="328" w:type="dxa"/>
            <w:tcBorders>
              <w:top w:val="single" w:sz="8" w:space="0" w:color="auto"/>
              <w:left w:val="nil"/>
              <w:bottom w:val="single" w:sz="12" w:space="0" w:color="auto"/>
              <w:right w:val="nil"/>
            </w:tcBorders>
            <w:shd w:val="clear" w:color="auto" w:fill="auto"/>
            <w:vAlign w:val="center"/>
            <w:hideMark/>
          </w:tcPr>
          <w:p w14:paraId="7B97EBC7"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111" w:type="dxa"/>
            <w:tcBorders>
              <w:top w:val="single" w:sz="8" w:space="0" w:color="auto"/>
              <w:left w:val="nil"/>
              <w:bottom w:val="single" w:sz="12" w:space="0" w:color="auto"/>
              <w:right w:val="nil"/>
            </w:tcBorders>
            <w:shd w:val="clear" w:color="auto" w:fill="auto"/>
            <w:vAlign w:val="center"/>
            <w:hideMark/>
          </w:tcPr>
          <w:p w14:paraId="0E3D1CAB" w14:textId="5CED5EB4" w:rsidR="00AA133D" w:rsidRPr="00D33273" w:rsidRDefault="00A26298"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27,105</w:t>
            </w:r>
          </w:p>
        </w:tc>
        <w:tc>
          <w:tcPr>
            <w:tcW w:w="328" w:type="dxa"/>
            <w:tcBorders>
              <w:top w:val="single" w:sz="8" w:space="0" w:color="auto"/>
              <w:left w:val="nil"/>
              <w:bottom w:val="single" w:sz="12" w:space="0" w:color="auto"/>
              <w:right w:val="nil"/>
            </w:tcBorders>
            <w:shd w:val="clear" w:color="auto" w:fill="auto"/>
            <w:vAlign w:val="center"/>
            <w:hideMark/>
          </w:tcPr>
          <w:p w14:paraId="59818AD6"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351" w:type="dxa"/>
            <w:tcBorders>
              <w:top w:val="single" w:sz="8" w:space="0" w:color="auto"/>
              <w:left w:val="nil"/>
              <w:bottom w:val="single" w:sz="12" w:space="0" w:color="auto"/>
              <w:right w:val="nil"/>
            </w:tcBorders>
            <w:shd w:val="clear" w:color="auto" w:fill="auto"/>
            <w:vAlign w:val="center"/>
            <w:hideMark/>
          </w:tcPr>
          <w:p w14:paraId="59B80EDB" w14:textId="67C1F38C" w:rsidR="00AA133D" w:rsidRPr="00D33273" w:rsidRDefault="00A26298"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w:t>
            </w:r>
            <w:r w:rsidR="00AA133D" w:rsidRPr="00D33273">
              <w:rPr>
                <w:rFonts w:ascii="Times New Roman" w:eastAsia="Times New Roman" w:hAnsi="Times New Roman" w:cs="Times New Roman"/>
                <w:color w:val="000000"/>
                <w:sz w:val="20"/>
                <w:szCs w:val="20"/>
                <w:lang w:eastAsia="en-CA"/>
              </w:rPr>
              <w:t xml:space="preserve"> </w:t>
            </w:r>
          </w:p>
        </w:tc>
        <w:tc>
          <w:tcPr>
            <w:tcW w:w="328" w:type="dxa"/>
            <w:tcBorders>
              <w:top w:val="single" w:sz="8" w:space="0" w:color="auto"/>
              <w:left w:val="nil"/>
              <w:bottom w:val="single" w:sz="12" w:space="0" w:color="auto"/>
              <w:right w:val="nil"/>
            </w:tcBorders>
            <w:shd w:val="clear" w:color="auto" w:fill="auto"/>
            <w:vAlign w:val="center"/>
            <w:hideMark/>
          </w:tcPr>
          <w:p w14:paraId="051EBC9B" w14:textId="77777777" w:rsidR="00AA133D" w:rsidRPr="00D33273" w:rsidRDefault="00AA133D" w:rsidP="00AE52B2">
            <w:pPr>
              <w:spacing w:after="0" w:line="240" w:lineRule="auto"/>
              <w:jc w:val="right"/>
              <w:rPr>
                <w:rFonts w:ascii="Times New Roman" w:eastAsia="Times New Roman" w:hAnsi="Times New Roman" w:cs="Times New Roman"/>
                <w:color w:val="000000"/>
                <w:sz w:val="20"/>
                <w:szCs w:val="20"/>
                <w:lang w:eastAsia="en-CA"/>
              </w:rPr>
            </w:pPr>
            <w:r w:rsidRPr="00D33273">
              <w:rPr>
                <w:rFonts w:ascii="Times New Roman" w:eastAsia="Times New Roman" w:hAnsi="Times New Roman" w:cs="Times New Roman"/>
                <w:color w:val="000000"/>
                <w:sz w:val="20"/>
                <w:szCs w:val="20"/>
                <w:lang w:eastAsia="en-CA"/>
              </w:rPr>
              <w:t>$</w:t>
            </w:r>
          </w:p>
        </w:tc>
        <w:tc>
          <w:tcPr>
            <w:tcW w:w="1231" w:type="dxa"/>
            <w:tcBorders>
              <w:top w:val="single" w:sz="8" w:space="0" w:color="auto"/>
              <w:left w:val="nil"/>
              <w:bottom w:val="single" w:sz="12" w:space="0" w:color="auto"/>
              <w:right w:val="nil"/>
            </w:tcBorders>
            <w:shd w:val="clear" w:color="auto" w:fill="auto"/>
            <w:vAlign w:val="center"/>
            <w:hideMark/>
          </w:tcPr>
          <w:p w14:paraId="07364002" w14:textId="1C50DAA4" w:rsidR="00AA133D" w:rsidRPr="00D33273" w:rsidRDefault="00A26298" w:rsidP="00AE52B2">
            <w:pPr>
              <w:spacing w:after="0" w:line="240" w:lineRule="auto"/>
              <w:jc w:val="right"/>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1,454,978</w:t>
            </w:r>
          </w:p>
        </w:tc>
      </w:tr>
    </w:tbl>
    <w:p w14:paraId="4DEC9AF8" w14:textId="3C12023F" w:rsidR="00ED299A" w:rsidRDefault="00ED299A" w:rsidP="00D2099E">
      <w:pPr>
        <w:spacing w:after="0" w:line="240" w:lineRule="auto"/>
        <w:jc w:val="both"/>
        <w:rPr>
          <w:rFonts w:ascii="Times New Roman" w:eastAsia="Times New Roman" w:hAnsi="Times New Roman" w:cs="Times New Roman"/>
          <w:sz w:val="20"/>
          <w:szCs w:val="20"/>
          <w:lang w:val="en-US"/>
        </w:rPr>
      </w:pPr>
    </w:p>
    <w:p w14:paraId="765E47D6" w14:textId="77777777" w:rsidR="00D2099E" w:rsidRPr="00D2099E" w:rsidRDefault="00D2099E" w:rsidP="00D2099E">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tbl>
      <w:tblPr>
        <w:tblW w:w="5000" w:type="pct"/>
        <w:tblCellMar>
          <w:left w:w="0" w:type="dxa"/>
          <w:right w:w="0" w:type="dxa"/>
        </w:tblCellMar>
        <w:tblLook w:val="04A0" w:firstRow="1" w:lastRow="0" w:firstColumn="1" w:lastColumn="0" w:noHBand="0" w:noVBand="1"/>
      </w:tblPr>
      <w:tblGrid>
        <w:gridCol w:w="360"/>
        <w:gridCol w:w="9000"/>
      </w:tblGrid>
      <w:tr w:rsidR="00D2099E" w:rsidRPr="00D2099E" w14:paraId="12AAAE5A" w14:textId="77777777" w:rsidTr="005C7D2D">
        <w:tc>
          <w:tcPr>
            <w:tcW w:w="360" w:type="dxa"/>
            <w:hideMark/>
          </w:tcPr>
          <w:p w14:paraId="19F6CCB0" w14:textId="7D57C138" w:rsidR="00D2099E" w:rsidRPr="00CA4239" w:rsidRDefault="00E9257F" w:rsidP="00D2099E">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r w:rsidR="00A31162">
              <w:rPr>
                <w:rFonts w:ascii="Times New Roman" w:eastAsia="Times New Roman" w:hAnsi="Times New Roman" w:cs="Times New Roman"/>
                <w:b/>
                <w:bCs/>
                <w:sz w:val="20"/>
                <w:szCs w:val="20"/>
                <w:lang w:val="en-US"/>
              </w:rPr>
              <w:t>2</w:t>
            </w:r>
            <w:r w:rsidR="00D2099E" w:rsidRPr="00CA4239">
              <w:rPr>
                <w:rFonts w:ascii="Times New Roman" w:eastAsia="Times New Roman" w:hAnsi="Times New Roman" w:cs="Times New Roman"/>
                <w:b/>
                <w:bCs/>
                <w:sz w:val="20"/>
                <w:szCs w:val="20"/>
                <w:lang w:val="en-US"/>
              </w:rPr>
              <w:t>.</w:t>
            </w:r>
          </w:p>
        </w:tc>
        <w:tc>
          <w:tcPr>
            <w:tcW w:w="0" w:type="auto"/>
            <w:hideMark/>
          </w:tcPr>
          <w:p w14:paraId="2C173DCD" w14:textId="77777777" w:rsidR="00D2099E" w:rsidRPr="00CA4239" w:rsidRDefault="00D2099E" w:rsidP="00D2099E">
            <w:pPr>
              <w:spacing w:after="0" w:line="240" w:lineRule="auto"/>
              <w:jc w:val="both"/>
              <w:rPr>
                <w:rFonts w:ascii="Times New Roman" w:eastAsia="Times New Roman" w:hAnsi="Times New Roman" w:cs="Times New Roman"/>
                <w:b/>
                <w:bCs/>
                <w:sz w:val="20"/>
                <w:szCs w:val="20"/>
                <w:lang w:val="en-US"/>
              </w:rPr>
            </w:pPr>
            <w:r w:rsidRPr="00CA4239">
              <w:rPr>
                <w:rFonts w:ascii="Times New Roman" w:eastAsia="Times New Roman" w:hAnsi="Times New Roman" w:cs="Times New Roman"/>
                <w:b/>
                <w:bCs/>
                <w:sz w:val="20"/>
                <w:szCs w:val="20"/>
                <w:lang w:val="en-US"/>
              </w:rPr>
              <w:t>Subsequent Events</w:t>
            </w:r>
          </w:p>
        </w:tc>
      </w:tr>
    </w:tbl>
    <w:p w14:paraId="0B6DC841" w14:textId="6B316FF1" w:rsidR="008F58B9" w:rsidRPr="00CA4239" w:rsidRDefault="00D2099E" w:rsidP="00064A08">
      <w:pPr>
        <w:spacing w:after="0" w:line="240" w:lineRule="auto"/>
        <w:jc w:val="both"/>
        <w:rPr>
          <w:rFonts w:ascii="Times New Roman" w:eastAsia="Times New Roman" w:hAnsi="Times New Roman" w:cs="Times New Roman"/>
          <w:sz w:val="20"/>
          <w:szCs w:val="20"/>
          <w:lang w:val="en-US"/>
        </w:rPr>
      </w:pPr>
      <w:r w:rsidRPr="00D2099E">
        <w:rPr>
          <w:rFonts w:ascii="Times New Roman" w:eastAsia="Times New Roman" w:hAnsi="Times New Roman" w:cs="Times New Roman"/>
          <w:sz w:val="20"/>
          <w:szCs w:val="20"/>
          <w:lang w:val="en-US"/>
        </w:rPr>
        <w:t> </w:t>
      </w:r>
    </w:p>
    <w:p w14:paraId="3866589D" w14:textId="3EDCD518" w:rsidR="008F58B9" w:rsidRPr="00CA4239" w:rsidRDefault="008F58B9" w:rsidP="00312992">
      <w:pPr>
        <w:spacing w:after="0" w:line="240" w:lineRule="auto"/>
        <w:ind w:left="360"/>
        <w:jc w:val="both"/>
        <w:rPr>
          <w:rFonts w:ascii="Times New Roman" w:eastAsia="Times New Roman" w:hAnsi="Times New Roman" w:cs="Times New Roman"/>
          <w:sz w:val="20"/>
          <w:szCs w:val="20"/>
          <w:lang w:val="en-US"/>
        </w:rPr>
      </w:pPr>
      <w:bookmarkStart w:id="13" w:name="_Hlk111029335"/>
      <w:bookmarkStart w:id="14" w:name="_Hlk111119411"/>
      <w:proofErr w:type="gramStart"/>
      <w:r w:rsidRPr="007B547D">
        <w:rPr>
          <w:rFonts w:ascii="Times New Roman" w:eastAsia="Times New Roman" w:hAnsi="Times New Roman" w:cs="Times New Roman"/>
          <w:sz w:val="20"/>
          <w:szCs w:val="20"/>
          <w:lang w:val="en-US"/>
        </w:rPr>
        <w:t>Subsequent to</w:t>
      </w:r>
      <w:proofErr w:type="gramEnd"/>
      <w:r w:rsidRPr="007B547D">
        <w:rPr>
          <w:rFonts w:ascii="Times New Roman" w:eastAsia="Times New Roman" w:hAnsi="Times New Roman" w:cs="Times New Roman"/>
          <w:sz w:val="20"/>
          <w:szCs w:val="20"/>
          <w:lang w:val="en-US"/>
        </w:rPr>
        <w:t xml:space="preserve"> </w:t>
      </w:r>
      <w:r w:rsidR="00FE4BD5" w:rsidRPr="007B547D">
        <w:rPr>
          <w:rFonts w:ascii="Times New Roman" w:eastAsia="Times New Roman" w:hAnsi="Times New Roman" w:cs="Times New Roman"/>
          <w:sz w:val="20"/>
          <w:szCs w:val="20"/>
          <w:lang w:val="en-US"/>
        </w:rPr>
        <w:t>June 30</w:t>
      </w:r>
      <w:r w:rsidRPr="007B547D">
        <w:rPr>
          <w:rFonts w:ascii="Times New Roman" w:eastAsia="Times New Roman" w:hAnsi="Times New Roman" w:cs="Times New Roman"/>
          <w:sz w:val="20"/>
          <w:szCs w:val="20"/>
          <w:lang w:val="en-US"/>
        </w:rPr>
        <w:t xml:space="preserve">, 2022, the Company issued </w:t>
      </w:r>
      <w:r w:rsidR="00FE4BD5" w:rsidRPr="007B547D">
        <w:rPr>
          <w:rFonts w:ascii="Times New Roman" w:eastAsia="Times New Roman" w:hAnsi="Times New Roman" w:cs="Times New Roman"/>
          <w:sz w:val="20"/>
          <w:szCs w:val="20"/>
          <w:lang w:val="en-US"/>
        </w:rPr>
        <w:t>1,2</w:t>
      </w:r>
      <w:r w:rsidR="00E24930" w:rsidRPr="00064A08">
        <w:rPr>
          <w:rFonts w:ascii="Times New Roman" w:eastAsia="Times New Roman" w:hAnsi="Times New Roman" w:cs="Times New Roman"/>
          <w:sz w:val="20"/>
          <w:szCs w:val="20"/>
          <w:lang w:val="en-US"/>
        </w:rPr>
        <w:t>50</w:t>
      </w:r>
      <w:r w:rsidR="00FE4BD5" w:rsidRPr="007B547D">
        <w:rPr>
          <w:rFonts w:ascii="Times New Roman" w:eastAsia="Times New Roman" w:hAnsi="Times New Roman" w:cs="Times New Roman"/>
          <w:sz w:val="20"/>
          <w:szCs w:val="20"/>
          <w:lang w:val="en-US"/>
        </w:rPr>
        <w:t>,000</w:t>
      </w:r>
      <w:r w:rsidRPr="007B547D">
        <w:rPr>
          <w:rFonts w:ascii="Times New Roman" w:eastAsia="Times New Roman" w:hAnsi="Times New Roman" w:cs="Times New Roman"/>
          <w:sz w:val="20"/>
          <w:szCs w:val="20"/>
          <w:lang w:val="en-US"/>
        </w:rPr>
        <w:t xml:space="preserve"> shares pursuant to the exercise of </w:t>
      </w:r>
      <w:r w:rsidR="00FE4BD5" w:rsidRPr="007B547D">
        <w:rPr>
          <w:rFonts w:ascii="Times New Roman" w:eastAsia="Times New Roman" w:hAnsi="Times New Roman" w:cs="Times New Roman"/>
          <w:sz w:val="20"/>
          <w:szCs w:val="20"/>
          <w:lang w:val="en-US"/>
        </w:rPr>
        <w:t>1,2</w:t>
      </w:r>
      <w:r w:rsidR="00E24930" w:rsidRPr="00064A08">
        <w:rPr>
          <w:rFonts w:ascii="Times New Roman" w:eastAsia="Times New Roman" w:hAnsi="Times New Roman" w:cs="Times New Roman"/>
          <w:sz w:val="20"/>
          <w:szCs w:val="20"/>
          <w:lang w:val="en-US"/>
        </w:rPr>
        <w:t>50</w:t>
      </w:r>
      <w:r w:rsidR="00FE4BD5" w:rsidRPr="007B547D">
        <w:rPr>
          <w:rFonts w:ascii="Times New Roman" w:eastAsia="Times New Roman" w:hAnsi="Times New Roman" w:cs="Times New Roman"/>
          <w:sz w:val="20"/>
          <w:szCs w:val="20"/>
          <w:lang w:val="en-US"/>
        </w:rPr>
        <w:t>,000</w:t>
      </w:r>
      <w:r w:rsidRPr="007B547D">
        <w:rPr>
          <w:rFonts w:ascii="Times New Roman" w:eastAsia="Times New Roman" w:hAnsi="Times New Roman" w:cs="Times New Roman"/>
          <w:sz w:val="20"/>
          <w:szCs w:val="20"/>
          <w:lang w:val="en-US"/>
        </w:rPr>
        <w:t xml:space="preserve"> warrants at $0.08 </w:t>
      </w:r>
      <w:r w:rsidR="00FE4BD5" w:rsidRPr="007B547D">
        <w:rPr>
          <w:rFonts w:ascii="Times New Roman" w:eastAsia="Times New Roman" w:hAnsi="Times New Roman" w:cs="Times New Roman"/>
          <w:sz w:val="20"/>
          <w:szCs w:val="20"/>
          <w:lang w:val="en-US"/>
        </w:rPr>
        <w:t xml:space="preserve">($0.10 CAD) </w:t>
      </w:r>
      <w:r w:rsidRPr="007B547D">
        <w:rPr>
          <w:rFonts w:ascii="Times New Roman" w:eastAsia="Times New Roman" w:hAnsi="Times New Roman" w:cs="Times New Roman"/>
          <w:sz w:val="20"/>
          <w:szCs w:val="20"/>
          <w:lang w:val="en-US"/>
        </w:rPr>
        <w:t xml:space="preserve">for proceeds of </w:t>
      </w:r>
      <w:r w:rsidR="0055734F" w:rsidRPr="007B547D">
        <w:rPr>
          <w:rFonts w:ascii="Times New Roman" w:eastAsia="Times New Roman" w:hAnsi="Times New Roman" w:cs="Times New Roman"/>
          <w:sz w:val="20"/>
          <w:szCs w:val="20"/>
          <w:lang w:val="en-US"/>
        </w:rPr>
        <w:t>$</w:t>
      </w:r>
      <w:r w:rsidR="00E24930" w:rsidRPr="00064A08">
        <w:rPr>
          <w:rFonts w:ascii="Times New Roman" w:eastAsia="Times New Roman" w:hAnsi="Times New Roman" w:cs="Times New Roman"/>
          <w:sz w:val="20"/>
          <w:szCs w:val="20"/>
          <w:lang w:val="en-US"/>
        </w:rPr>
        <w:t>100</w:t>
      </w:r>
      <w:r w:rsidR="0055734F" w:rsidRPr="007B547D">
        <w:rPr>
          <w:rFonts w:ascii="Times New Roman" w:eastAsia="Times New Roman" w:hAnsi="Times New Roman" w:cs="Times New Roman"/>
          <w:sz w:val="20"/>
          <w:szCs w:val="20"/>
          <w:lang w:val="en-US"/>
        </w:rPr>
        <w:t>,000</w:t>
      </w:r>
      <w:r w:rsidR="00FE4BD5" w:rsidRPr="007B547D">
        <w:rPr>
          <w:rFonts w:ascii="Times New Roman" w:eastAsia="Times New Roman" w:hAnsi="Times New Roman" w:cs="Times New Roman"/>
          <w:sz w:val="20"/>
          <w:szCs w:val="20"/>
          <w:lang w:val="en-US"/>
        </w:rPr>
        <w:t xml:space="preserve"> ($</w:t>
      </w:r>
      <w:r w:rsidR="007B547D" w:rsidRPr="00064A08">
        <w:rPr>
          <w:rFonts w:ascii="Times New Roman" w:eastAsia="Times New Roman" w:hAnsi="Times New Roman" w:cs="Times New Roman"/>
          <w:sz w:val="20"/>
          <w:szCs w:val="20"/>
          <w:lang w:val="en-US"/>
        </w:rPr>
        <w:t>128,913</w:t>
      </w:r>
      <w:r w:rsidR="00FE4BD5" w:rsidRPr="007B547D">
        <w:rPr>
          <w:rFonts w:ascii="Times New Roman" w:eastAsia="Times New Roman" w:hAnsi="Times New Roman" w:cs="Times New Roman"/>
          <w:sz w:val="20"/>
          <w:szCs w:val="20"/>
          <w:lang w:val="en-US"/>
        </w:rPr>
        <w:t xml:space="preserve"> CAD)</w:t>
      </w:r>
      <w:r w:rsidR="0055734F" w:rsidRPr="007B547D">
        <w:rPr>
          <w:rFonts w:ascii="Times New Roman" w:eastAsia="Times New Roman" w:hAnsi="Times New Roman" w:cs="Times New Roman"/>
          <w:sz w:val="20"/>
          <w:szCs w:val="20"/>
          <w:lang w:val="en-US"/>
        </w:rPr>
        <w:t>.</w:t>
      </w:r>
    </w:p>
    <w:p w14:paraId="024FB680" w14:textId="77777777" w:rsidR="00430C62" w:rsidRPr="00057C8E" w:rsidRDefault="00430C62" w:rsidP="00312992">
      <w:pPr>
        <w:spacing w:after="0" w:line="240" w:lineRule="auto"/>
        <w:ind w:left="360"/>
        <w:jc w:val="both"/>
        <w:rPr>
          <w:rFonts w:ascii="Times New Roman" w:eastAsia="Times New Roman" w:hAnsi="Times New Roman" w:cs="Times New Roman"/>
          <w:sz w:val="20"/>
          <w:szCs w:val="20"/>
          <w:lang w:val="en-US"/>
        </w:rPr>
      </w:pPr>
    </w:p>
    <w:p w14:paraId="42B472CB" w14:textId="2C4ED40F" w:rsidR="009004B0" w:rsidRDefault="009004B0" w:rsidP="009004B0">
      <w:pPr>
        <w:spacing w:after="0" w:line="240" w:lineRule="auto"/>
        <w:ind w:left="360"/>
        <w:jc w:val="both"/>
        <w:rPr>
          <w:rFonts w:ascii="Times New Roman" w:eastAsia="Times New Roman" w:hAnsi="Times New Roman" w:cs="Times New Roman"/>
          <w:sz w:val="20"/>
          <w:szCs w:val="20"/>
          <w:lang w:val="en-US"/>
        </w:rPr>
      </w:pPr>
      <w:proofErr w:type="gramStart"/>
      <w:r w:rsidRPr="00057C8E">
        <w:rPr>
          <w:rFonts w:ascii="Times New Roman" w:eastAsia="Times New Roman" w:hAnsi="Times New Roman" w:cs="Times New Roman"/>
          <w:sz w:val="20"/>
          <w:szCs w:val="20"/>
          <w:lang w:val="en-US"/>
        </w:rPr>
        <w:t>Subsequent to</w:t>
      </w:r>
      <w:proofErr w:type="gramEnd"/>
      <w:r w:rsidRPr="00057C8E">
        <w:rPr>
          <w:rFonts w:ascii="Times New Roman" w:eastAsia="Times New Roman" w:hAnsi="Times New Roman" w:cs="Times New Roman"/>
          <w:sz w:val="20"/>
          <w:szCs w:val="20"/>
          <w:lang w:val="en-US"/>
        </w:rPr>
        <w:t xml:space="preserve"> </w:t>
      </w:r>
      <w:r w:rsidR="001E5601">
        <w:rPr>
          <w:rFonts w:ascii="Times New Roman" w:eastAsia="Times New Roman" w:hAnsi="Times New Roman" w:cs="Times New Roman"/>
          <w:sz w:val="20"/>
          <w:szCs w:val="20"/>
          <w:lang w:val="en-US"/>
        </w:rPr>
        <w:t>June 30</w:t>
      </w:r>
      <w:r w:rsidRPr="00057C8E">
        <w:rPr>
          <w:rFonts w:ascii="Times New Roman" w:eastAsia="Times New Roman" w:hAnsi="Times New Roman" w:cs="Times New Roman"/>
          <w:sz w:val="20"/>
          <w:szCs w:val="20"/>
          <w:lang w:val="en-US"/>
        </w:rPr>
        <w:t xml:space="preserve">, 2022, the Company issued </w:t>
      </w:r>
      <w:r w:rsidR="001E5601">
        <w:rPr>
          <w:rFonts w:ascii="Times New Roman" w:eastAsia="Times New Roman" w:hAnsi="Times New Roman" w:cs="Times New Roman"/>
          <w:sz w:val="20"/>
          <w:szCs w:val="20"/>
          <w:lang w:val="en-US"/>
        </w:rPr>
        <w:t>4</w:t>
      </w:r>
      <w:r w:rsidR="00E24930">
        <w:rPr>
          <w:rFonts w:ascii="Times New Roman" w:eastAsia="Times New Roman" w:hAnsi="Times New Roman" w:cs="Times New Roman"/>
          <w:sz w:val="20"/>
          <w:szCs w:val="20"/>
          <w:lang w:val="en-US"/>
        </w:rPr>
        <w:t>75</w:t>
      </w:r>
      <w:r w:rsidRPr="00057C8E">
        <w:rPr>
          <w:rFonts w:ascii="Times New Roman" w:eastAsia="Times New Roman" w:hAnsi="Times New Roman" w:cs="Times New Roman"/>
          <w:sz w:val="20"/>
          <w:szCs w:val="20"/>
          <w:lang w:val="en-US"/>
        </w:rPr>
        <w:t xml:space="preserve">,000 shares pursuant to the exercise of </w:t>
      </w:r>
      <w:r w:rsidR="001E5601">
        <w:rPr>
          <w:rFonts w:ascii="Times New Roman" w:eastAsia="Times New Roman" w:hAnsi="Times New Roman" w:cs="Times New Roman"/>
          <w:sz w:val="20"/>
          <w:szCs w:val="20"/>
          <w:lang w:val="en-US"/>
        </w:rPr>
        <w:t>4</w:t>
      </w:r>
      <w:r w:rsidR="00E24930">
        <w:rPr>
          <w:rFonts w:ascii="Times New Roman" w:eastAsia="Times New Roman" w:hAnsi="Times New Roman" w:cs="Times New Roman"/>
          <w:sz w:val="20"/>
          <w:szCs w:val="20"/>
          <w:lang w:val="en-US"/>
        </w:rPr>
        <w:t>75</w:t>
      </w:r>
      <w:r w:rsidRPr="00057C8E">
        <w:rPr>
          <w:rFonts w:ascii="Times New Roman" w:eastAsia="Times New Roman" w:hAnsi="Times New Roman" w:cs="Times New Roman"/>
          <w:sz w:val="20"/>
          <w:szCs w:val="20"/>
          <w:lang w:val="en-US"/>
        </w:rPr>
        <w:t xml:space="preserve">,000 options </w:t>
      </w:r>
      <w:r w:rsidR="001E5601">
        <w:rPr>
          <w:rFonts w:ascii="Times New Roman" w:eastAsia="Times New Roman" w:hAnsi="Times New Roman" w:cs="Times New Roman"/>
          <w:sz w:val="20"/>
          <w:szCs w:val="20"/>
          <w:lang w:val="en-US"/>
        </w:rPr>
        <w:t xml:space="preserve">with exercise prices ranging </w:t>
      </w:r>
      <w:r w:rsidR="001E5601" w:rsidRPr="007B547D">
        <w:rPr>
          <w:rFonts w:ascii="Times New Roman" w:eastAsia="Times New Roman" w:hAnsi="Times New Roman" w:cs="Times New Roman"/>
          <w:sz w:val="20"/>
          <w:szCs w:val="20"/>
          <w:lang w:val="en-US"/>
        </w:rPr>
        <w:t xml:space="preserve">from </w:t>
      </w:r>
      <w:r w:rsidRPr="007B547D">
        <w:rPr>
          <w:rFonts w:ascii="Times New Roman" w:eastAsia="Times New Roman" w:hAnsi="Times New Roman" w:cs="Times New Roman"/>
          <w:sz w:val="20"/>
          <w:szCs w:val="20"/>
          <w:lang w:val="en-US"/>
        </w:rPr>
        <w:t>$0.08</w:t>
      </w:r>
      <w:r w:rsidR="001E5601" w:rsidRPr="007B547D">
        <w:rPr>
          <w:rFonts w:ascii="Times New Roman" w:eastAsia="Times New Roman" w:hAnsi="Times New Roman" w:cs="Times New Roman"/>
          <w:sz w:val="20"/>
          <w:szCs w:val="20"/>
          <w:lang w:val="en-US"/>
        </w:rPr>
        <w:t xml:space="preserve"> - $0.12</w:t>
      </w:r>
      <w:r w:rsidRPr="007B547D">
        <w:rPr>
          <w:rFonts w:ascii="Times New Roman" w:eastAsia="Times New Roman" w:hAnsi="Times New Roman" w:cs="Times New Roman"/>
          <w:sz w:val="20"/>
          <w:szCs w:val="20"/>
          <w:lang w:val="en-US"/>
        </w:rPr>
        <w:t xml:space="preserve"> for proceeds of </w:t>
      </w:r>
      <w:r w:rsidR="00E24930" w:rsidRPr="00064A08">
        <w:rPr>
          <w:rFonts w:ascii="Times New Roman" w:eastAsia="Times New Roman" w:hAnsi="Times New Roman" w:cs="Times New Roman"/>
          <w:sz w:val="20"/>
          <w:szCs w:val="20"/>
          <w:lang w:val="en-US"/>
        </w:rPr>
        <w:t xml:space="preserve">approximately </w:t>
      </w:r>
      <w:r w:rsidRPr="007B547D">
        <w:rPr>
          <w:rFonts w:ascii="Times New Roman" w:eastAsia="Times New Roman" w:hAnsi="Times New Roman" w:cs="Times New Roman"/>
          <w:sz w:val="20"/>
          <w:szCs w:val="20"/>
          <w:lang w:val="en-US"/>
        </w:rPr>
        <w:t>$</w:t>
      </w:r>
      <w:r w:rsidR="00E24930" w:rsidRPr="007B547D">
        <w:rPr>
          <w:rFonts w:ascii="Times New Roman" w:eastAsia="Times New Roman" w:hAnsi="Times New Roman" w:cs="Times New Roman"/>
          <w:sz w:val="20"/>
          <w:szCs w:val="20"/>
          <w:lang w:val="en-US"/>
        </w:rPr>
        <w:t>4</w:t>
      </w:r>
      <w:r w:rsidR="007B547D" w:rsidRPr="007B547D">
        <w:rPr>
          <w:rFonts w:ascii="Times New Roman" w:eastAsia="Times New Roman" w:hAnsi="Times New Roman" w:cs="Times New Roman"/>
          <w:sz w:val="20"/>
          <w:szCs w:val="20"/>
          <w:lang w:val="en-US"/>
        </w:rPr>
        <w:t>5</w:t>
      </w:r>
      <w:r w:rsidR="00E24930" w:rsidRPr="007B547D">
        <w:rPr>
          <w:rFonts w:ascii="Times New Roman" w:eastAsia="Times New Roman" w:hAnsi="Times New Roman" w:cs="Times New Roman"/>
          <w:sz w:val="20"/>
          <w:szCs w:val="20"/>
          <w:lang w:val="en-US"/>
        </w:rPr>
        <w:t>,</w:t>
      </w:r>
      <w:r w:rsidR="007B547D" w:rsidRPr="007B547D">
        <w:rPr>
          <w:rFonts w:ascii="Times New Roman" w:eastAsia="Times New Roman" w:hAnsi="Times New Roman" w:cs="Times New Roman"/>
          <w:sz w:val="20"/>
          <w:szCs w:val="20"/>
          <w:lang w:val="en-US"/>
        </w:rPr>
        <w:t>332</w:t>
      </w:r>
      <w:r w:rsidR="007B547D">
        <w:rPr>
          <w:rFonts w:ascii="Times New Roman" w:eastAsia="Times New Roman" w:hAnsi="Times New Roman" w:cs="Times New Roman"/>
          <w:sz w:val="20"/>
          <w:szCs w:val="20"/>
          <w:lang w:val="en-US"/>
        </w:rPr>
        <w:t xml:space="preserve"> </w:t>
      </w:r>
      <w:r w:rsidR="007B547D" w:rsidRPr="007B547D">
        <w:rPr>
          <w:rFonts w:ascii="Times New Roman" w:eastAsia="Times New Roman" w:hAnsi="Times New Roman" w:cs="Times New Roman"/>
          <w:sz w:val="20"/>
          <w:szCs w:val="20"/>
          <w:lang w:val="en-US"/>
        </w:rPr>
        <w:t>($</w:t>
      </w:r>
      <w:r w:rsidR="007B547D">
        <w:rPr>
          <w:rFonts w:ascii="Times New Roman" w:eastAsia="Times New Roman" w:hAnsi="Times New Roman" w:cs="Times New Roman"/>
          <w:sz w:val="20"/>
          <w:szCs w:val="20"/>
          <w:lang w:val="en-US"/>
        </w:rPr>
        <w:t>58,439</w:t>
      </w:r>
      <w:r w:rsidR="007B547D" w:rsidRPr="007B547D">
        <w:rPr>
          <w:rFonts w:ascii="Times New Roman" w:eastAsia="Times New Roman" w:hAnsi="Times New Roman" w:cs="Times New Roman"/>
          <w:sz w:val="20"/>
          <w:szCs w:val="20"/>
          <w:lang w:val="en-US"/>
        </w:rPr>
        <w:t xml:space="preserve"> CAD).</w:t>
      </w:r>
    </w:p>
    <w:p w14:paraId="345CBB69" w14:textId="72B022DB" w:rsidR="00B972E0" w:rsidRDefault="00B972E0" w:rsidP="009004B0">
      <w:pPr>
        <w:spacing w:after="0" w:line="240" w:lineRule="auto"/>
        <w:ind w:left="360"/>
        <w:jc w:val="both"/>
        <w:rPr>
          <w:rFonts w:ascii="Times New Roman" w:eastAsia="Times New Roman" w:hAnsi="Times New Roman" w:cs="Times New Roman"/>
          <w:sz w:val="20"/>
          <w:szCs w:val="20"/>
          <w:lang w:val="en-US"/>
        </w:rPr>
      </w:pPr>
    </w:p>
    <w:p w14:paraId="6A361FEC" w14:textId="715B8B9A" w:rsidR="00B972E0" w:rsidRDefault="00B972E0" w:rsidP="009004B0">
      <w:pPr>
        <w:spacing w:after="0" w:line="240" w:lineRule="auto"/>
        <w:ind w:left="360"/>
        <w:jc w:val="both"/>
        <w:rPr>
          <w:rFonts w:ascii="Times New Roman" w:eastAsia="Times New Roman" w:hAnsi="Times New Roman" w:cs="Times New Roman"/>
          <w:sz w:val="20"/>
          <w:szCs w:val="20"/>
          <w:lang w:val="en-US"/>
        </w:rPr>
      </w:pPr>
      <w:proofErr w:type="gramStart"/>
      <w:r>
        <w:rPr>
          <w:rFonts w:ascii="Times New Roman" w:eastAsia="Times New Roman" w:hAnsi="Times New Roman" w:cs="Times New Roman"/>
          <w:sz w:val="20"/>
          <w:szCs w:val="20"/>
          <w:lang w:val="en-US"/>
        </w:rPr>
        <w:t>Subsequent to</w:t>
      </w:r>
      <w:proofErr w:type="gramEnd"/>
      <w:r>
        <w:rPr>
          <w:rFonts w:ascii="Times New Roman" w:eastAsia="Times New Roman" w:hAnsi="Times New Roman" w:cs="Times New Roman"/>
          <w:sz w:val="20"/>
          <w:szCs w:val="20"/>
          <w:lang w:val="en-US"/>
        </w:rPr>
        <w:t xml:space="preserve"> June 30, 2022, the Company granted 2,560,000 stock options to various employees of the Company. Each stock option can be exercised at $0.30 CAD (USD$0.23) for three years from the date of grant.</w:t>
      </w:r>
    </w:p>
    <w:bookmarkEnd w:id="13"/>
    <w:p w14:paraId="569479D8" w14:textId="77777777" w:rsidR="001D2674" w:rsidRDefault="001D2674" w:rsidP="001D2674">
      <w:pPr>
        <w:spacing w:after="0" w:line="240" w:lineRule="auto"/>
        <w:ind w:left="360"/>
        <w:jc w:val="both"/>
        <w:rPr>
          <w:rFonts w:ascii="Times New Roman" w:eastAsia="Times New Roman" w:hAnsi="Times New Roman" w:cs="Times New Roman"/>
          <w:sz w:val="20"/>
          <w:szCs w:val="20"/>
          <w:lang w:val="en-US"/>
        </w:rPr>
      </w:pPr>
    </w:p>
    <w:p w14:paraId="7FDC1B14" w14:textId="0C457A6E" w:rsidR="001D2674" w:rsidRDefault="001D2674" w:rsidP="001D2674">
      <w:pPr>
        <w:spacing w:after="0" w:line="240" w:lineRule="auto"/>
        <w:ind w:left="360"/>
        <w:jc w:val="both"/>
        <w:rPr>
          <w:rFonts w:ascii="Times New Roman" w:eastAsia="Times New Roman" w:hAnsi="Times New Roman" w:cs="Times New Roman"/>
          <w:sz w:val="20"/>
          <w:szCs w:val="20"/>
          <w:lang w:val="en-US"/>
        </w:rPr>
      </w:pPr>
      <w:proofErr w:type="gramStart"/>
      <w:r>
        <w:rPr>
          <w:rFonts w:ascii="Times New Roman" w:eastAsia="Times New Roman" w:hAnsi="Times New Roman" w:cs="Times New Roman"/>
          <w:sz w:val="20"/>
          <w:szCs w:val="20"/>
          <w:lang w:val="en-US"/>
        </w:rPr>
        <w:t>Subsequent to</w:t>
      </w:r>
      <w:proofErr w:type="gramEnd"/>
      <w:r>
        <w:rPr>
          <w:rFonts w:ascii="Times New Roman" w:eastAsia="Times New Roman" w:hAnsi="Times New Roman" w:cs="Times New Roman"/>
          <w:sz w:val="20"/>
          <w:szCs w:val="20"/>
          <w:lang w:val="en-US"/>
        </w:rPr>
        <w:t xml:space="preserve"> June 30, 2022, the Company issued 750,000 RSUs to an officer of the Company which vests immediately.</w:t>
      </w:r>
    </w:p>
    <w:bookmarkEnd w:id="14"/>
    <w:p w14:paraId="4FC13573" w14:textId="77777777" w:rsidR="009004B0" w:rsidRPr="00057C8E" w:rsidRDefault="009004B0" w:rsidP="00057C8E">
      <w:pPr>
        <w:spacing w:after="0" w:line="240" w:lineRule="auto"/>
        <w:ind w:left="360"/>
        <w:jc w:val="both"/>
        <w:rPr>
          <w:rFonts w:ascii="Times New Roman" w:eastAsia="Times New Roman" w:hAnsi="Times New Roman" w:cs="Times New Roman"/>
          <w:sz w:val="20"/>
          <w:szCs w:val="20"/>
          <w:lang w:val="en-US"/>
        </w:rPr>
      </w:pPr>
    </w:p>
    <w:p w14:paraId="6E2B5887" w14:textId="5298F1DF" w:rsidR="00D2099E" w:rsidRPr="006A2A5E" w:rsidRDefault="00D2099E" w:rsidP="00312992">
      <w:pPr>
        <w:rPr>
          <w:lang w:val="en-US"/>
        </w:rPr>
      </w:pPr>
    </w:p>
    <w:sectPr w:rsidR="00D2099E" w:rsidRPr="006A2A5E">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3902" w14:textId="77777777" w:rsidR="00551D39" w:rsidRDefault="00551D39" w:rsidP="006A2A5E">
      <w:pPr>
        <w:spacing w:after="0" w:line="240" w:lineRule="auto"/>
      </w:pPr>
      <w:r>
        <w:separator/>
      </w:r>
    </w:p>
  </w:endnote>
  <w:endnote w:type="continuationSeparator" w:id="0">
    <w:p w14:paraId="1E34BBE2" w14:textId="77777777" w:rsidR="00551D39" w:rsidRDefault="00551D39" w:rsidP="006A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8F80" w14:textId="55FFFC71" w:rsidR="0074447E" w:rsidRDefault="0074447E" w:rsidP="00C41705">
    <w:pPr>
      <w:pStyle w:val="Footer"/>
    </w:pPr>
  </w:p>
  <w:p w14:paraId="55058049" w14:textId="77777777" w:rsidR="0074447E" w:rsidRDefault="00744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1EE3" w14:textId="7539857B" w:rsidR="00C43030" w:rsidRDefault="00C43030">
    <w:pPr>
      <w:pStyle w:val="Footer"/>
      <w:jc w:val="center"/>
    </w:pPr>
  </w:p>
  <w:p w14:paraId="678DAF52" w14:textId="77777777" w:rsidR="00C43030" w:rsidRDefault="00C43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21220"/>
      <w:docPartObj>
        <w:docPartGallery w:val="Page Numbers (Bottom of Page)"/>
        <w:docPartUnique/>
      </w:docPartObj>
    </w:sdtPr>
    <w:sdtEndPr>
      <w:rPr>
        <w:noProof/>
      </w:rPr>
    </w:sdtEndPr>
    <w:sdtContent>
      <w:p w14:paraId="61C0A8F6" w14:textId="77777777" w:rsidR="00CC7A75" w:rsidRDefault="00CC7A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EDA1B" w14:textId="77777777" w:rsidR="00CC7A75" w:rsidRDefault="00CC7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CF54" w14:textId="77777777" w:rsidR="00551D39" w:rsidRDefault="00551D39" w:rsidP="006A2A5E">
      <w:pPr>
        <w:spacing w:after="0" w:line="240" w:lineRule="auto"/>
      </w:pPr>
      <w:r>
        <w:separator/>
      </w:r>
    </w:p>
  </w:footnote>
  <w:footnote w:type="continuationSeparator" w:id="0">
    <w:p w14:paraId="65019D30" w14:textId="77777777" w:rsidR="00551D39" w:rsidRDefault="00551D39" w:rsidP="006A2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2E4B" w14:textId="77777777" w:rsidR="00C43030" w:rsidRDefault="00C43030" w:rsidP="000A14E4">
    <w:pPr>
      <w:pStyle w:val="Header"/>
      <w:tabs>
        <w:tab w:val="left" w:pos="167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5A65" w14:textId="012248A2" w:rsidR="006A2A5E" w:rsidRDefault="006A2A5E" w:rsidP="006A2A5E">
    <w:pPr>
      <w:pStyle w:val="NormalWeb"/>
      <w:spacing w:before="0" w:beforeAutospacing="0" w:after="0" w:afterAutospacing="0"/>
      <w:jc w:val="both"/>
      <w:rPr>
        <w:sz w:val="20"/>
        <w:szCs w:val="20"/>
      </w:rPr>
    </w:pPr>
    <w:r>
      <w:rPr>
        <w:b/>
        <w:bCs/>
        <w:sz w:val="20"/>
        <w:szCs w:val="20"/>
      </w:rPr>
      <w:t>TRILLION ENERGY</w:t>
    </w:r>
    <w:r w:rsidR="00E60B0A">
      <w:rPr>
        <w:b/>
        <w:bCs/>
        <w:sz w:val="20"/>
        <w:szCs w:val="20"/>
      </w:rPr>
      <w:t xml:space="preserve"> INTERNATIONAL</w:t>
    </w:r>
    <w:r>
      <w:rPr>
        <w:b/>
        <w:bCs/>
        <w:sz w:val="20"/>
        <w:szCs w:val="20"/>
      </w:rPr>
      <w:t xml:space="preserve"> INC.</w:t>
    </w:r>
    <w:r w:rsidR="00290D25">
      <w:rPr>
        <w:b/>
        <w:bCs/>
        <w:sz w:val="20"/>
        <w:szCs w:val="20"/>
      </w:rPr>
      <w:t xml:space="preserve"> </w:t>
    </w:r>
  </w:p>
  <w:p w14:paraId="23ABCFF0" w14:textId="2FB099F1" w:rsidR="006A2A5E" w:rsidRDefault="00BE5436" w:rsidP="005328E1">
    <w:pPr>
      <w:pStyle w:val="NormalWeb"/>
      <w:spacing w:before="0" w:beforeAutospacing="0" w:after="0" w:afterAutospacing="0"/>
      <w:rPr>
        <w:sz w:val="20"/>
        <w:szCs w:val="20"/>
      </w:rPr>
    </w:pPr>
    <w:r w:rsidRPr="00BE5436">
      <w:rPr>
        <w:sz w:val="20"/>
        <w:szCs w:val="20"/>
      </w:rPr>
      <w:t>Consolidated Interim Statements of Financial Position</w:t>
    </w:r>
    <w:r>
      <w:rPr>
        <w:sz w:val="20"/>
        <w:szCs w:val="20"/>
      </w:rPr>
      <w:br/>
    </w:r>
    <w:r w:rsidR="006A2A5E">
      <w:rPr>
        <w:sz w:val="20"/>
        <w:szCs w:val="20"/>
      </w:rPr>
      <w:t>(Expressed in U.S. dollars)</w:t>
    </w:r>
    <w:r>
      <w:rPr>
        <w:sz w:val="20"/>
        <w:szCs w:val="20"/>
      </w:rPr>
      <w:br/>
    </w:r>
  </w:p>
  <w:p w14:paraId="4E502132" w14:textId="77777777" w:rsidR="006A2A5E" w:rsidRPr="006A2A5E" w:rsidRDefault="006A2A5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4047" w14:textId="35E87B39" w:rsidR="00290D25" w:rsidRDefault="00290D25" w:rsidP="00290D25">
    <w:pPr>
      <w:pStyle w:val="NormalWeb"/>
      <w:spacing w:before="0" w:beforeAutospacing="0" w:after="0" w:afterAutospacing="0"/>
      <w:jc w:val="both"/>
      <w:rPr>
        <w:sz w:val="20"/>
        <w:szCs w:val="20"/>
      </w:rPr>
    </w:pPr>
    <w:r>
      <w:rPr>
        <w:b/>
        <w:bCs/>
        <w:sz w:val="20"/>
        <w:szCs w:val="20"/>
      </w:rPr>
      <w:t xml:space="preserve">TRILLION ENERGY </w:t>
    </w:r>
    <w:r w:rsidR="00A05A49">
      <w:rPr>
        <w:b/>
        <w:bCs/>
        <w:sz w:val="20"/>
        <w:szCs w:val="20"/>
      </w:rPr>
      <w:t>INTERNATIONAL INC.</w:t>
    </w:r>
  </w:p>
  <w:p w14:paraId="2FDBB48C" w14:textId="5A76990C" w:rsidR="006A2A5E" w:rsidRDefault="006A2A5E" w:rsidP="006A2A5E">
    <w:pPr>
      <w:pStyle w:val="NormalWeb"/>
      <w:spacing w:before="0" w:beforeAutospacing="0" w:after="0" w:afterAutospacing="0"/>
      <w:jc w:val="both"/>
      <w:rPr>
        <w:sz w:val="20"/>
        <w:szCs w:val="20"/>
      </w:rPr>
    </w:pPr>
    <w:r>
      <w:rPr>
        <w:sz w:val="20"/>
        <w:szCs w:val="20"/>
      </w:rPr>
      <w:t xml:space="preserve">Consolidated </w:t>
    </w:r>
    <w:r w:rsidR="00432BC1">
      <w:rPr>
        <w:sz w:val="20"/>
        <w:szCs w:val="20"/>
      </w:rPr>
      <w:t xml:space="preserve">Interim </w:t>
    </w:r>
    <w:r>
      <w:rPr>
        <w:sz w:val="20"/>
        <w:szCs w:val="20"/>
      </w:rPr>
      <w:t xml:space="preserve">Statements of </w:t>
    </w:r>
    <w:r w:rsidR="006D7530">
      <w:rPr>
        <w:sz w:val="20"/>
        <w:szCs w:val="20"/>
      </w:rPr>
      <w:t>L</w:t>
    </w:r>
    <w:r>
      <w:rPr>
        <w:sz w:val="20"/>
        <w:szCs w:val="20"/>
      </w:rPr>
      <w:t xml:space="preserve">oss and </w:t>
    </w:r>
    <w:r w:rsidR="006D7530">
      <w:rPr>
        <w:sz w:val="20"/>
        <w:szCs w:val="20"/>
      </w:rPr>
      <w:t>C</w:t>
    </w:r>
    <w:r>
      <w:rPr>
        <w:sz w:val="20"/>
        <w:szCs w:val="20"/>
      </w:rPr>
      <w:t xml:space="preserve">omprehensive </w:t>
    </w:r>
    <w:r w:rsidR="006D7530">
      <w:rPr>
        <w:sz w:val="20"/>
        <w:szCs w:val="20"/>
      </w:rPr>
      <w:t>L</w:t>
    </w:r>
    <w:r>
      <w:rPr>
        <w:sz w:val="20"/>
        <w:szCs w:val="20"/>
      </w:rPr>
      <w:t>oss</w:t>
    </w:r>
    <w:r w:rsidR="00432BC1">
      <w:rPr>
        <w:sz w:val="20"/>
        <w:szCs w:val="20"/>
      </w:rPr>
      <w:t xml:space="preserve"> </w:t>
    </w:r>
  </w:p>
  <w:p w14:paraId="1AAA334E" w14:textId="274F4642" w:rsidR="006A2A5E" w:rsidRDefault="006A2A5E" w:rsidP="006A2A5E">
    <w:pPr>
      <w:pStyle w:val="NormalWeb"/>
      <w:spacing w:before="0" w:beforeAutospacing="0" w:after="0" w:afterAutospacing="0"/>
      <w:jc w:val="both"/>
      <w:rPr>
        <w:sz w:val="20"/>
        <w:szCs w:val="20"/>
      </w:rPr>
    </w:pPr>
    <w:r>
      <w:rPr>
        <w:sz w:val="20"/>
        <w:szCs w:val="20"/>
      </w:rPr>
      <w:t>(Expressed in U.S. dollars)</w:t>
    </w:r>
  </w:p>
  <w:p w14:paraId="0E7F0604" w14:textId="483F3AE7" w:rsidR="006A2A5E" w:rsidRPr="00E26E90" w:rsidRDefault="00432BC1" w:rsidP="00E26E90">
    <w:pPr>
      <w:pStyle w:val="NormalWeb"/>
      <w:spacing w:before="0" w:beforeAutospacing="0" w:after="0" w:afterAutospacing="0"/>
      <w:jc w:val="both"/>
      <w:rPr>
        <w:sz w:val="20"/>
        <w:szCs w:val="20"/>
      </w:rPr>
    </w:pPr>
    <w:r>
      <w:rPr>
        <w:sz w:val="20"/>
        <w:szCs w:val="20"/>
      </w:rPr>
      <w:t>(Unaudited)</w:t>
    </w:r>
    <w:r w:rsidDel="00432BC1">
      <w:rPr>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3EBD" w14:textId="25156A55" w:rsidR="00A11E13" w:rsidRDefault="00B862CB" w:rsidP="00290D25">
    <w:pPr>
      <w:pStyle w:val="NormalWeb"/>
      <w:spacing w:before="0" w:beforeAutospacing="0" w:after="0" w:afterAutospacing="0"/>
      <w:jc w:val="both"/>
      <w:rPr>
        <w:sz w:val="20"/>
        <w:szCs w:val="20"/>
      </w:rPr>
    </w:pPr>
    <w:r>
      <w:rPr>
        <w:b/>
        <w:bCs/>
        <w:sz w:val="20"/>
        <w:szCs w:val="20"/>
      </w:rPr>
      <w:t>TRILLION ENERGY INTERNATIONAL INC.</w:t>
    </w:r>
  </w:p>
  <w:p w14:paraId="0C4E713E" w14:textId="12DA4551" w:rsidR="006A2A5E" w:rsidRDefault="005270E9" w:rsidP="005328E1">
    <w:pPr>
      <w:pStyle w:val="NormalWeb"/>
      <w:spacing w:before="0" w:beforeAutospacing="0" w:after="0" w:afterAutospacing="0"/>
      <w:rPr>
        <w:sz w:val="20"/>
        <w:szCs w:val="20"/>
      </w:rPr>
    </w:pPr>
    <w:r w:rsidRPr="005270E9">
      <w:rPr>
        <w:sz w:val="20"/>
        <w:szCs w:val="20"/>
      </w:rPr>
      <w:t xml:space="preserve">Consolidated </w:t>
    </w:r>
    <w:r w:rsidR="00B862CB">
      <w:rPr>
        <w:sz w:val="20"/>
        <w:szCs w:val="20"/>
      </w:rPr>
      <w:t xml:space="preserve">Interim </w:t>
    </w:r>
    <w:r w:rsidRPr="005270E9">
      <w:rPr>
        <w:sz w:val="20"/>
        <w:szCs w:val="20"/>
      </w:rPr>
      <w:t xml:space="preserve">Statements of Stockholders’ </w:t>
    </w:r>
    <w:r w:rsidR="00B862CB">
      <w:rPr>
        <w:sz w:val="20"/>
        <w:szCs w:val="20"/>
      </w:rPr>
      <w:t>Deficiency</w:t>
    </w:r>
    <w:r w:rsidR="00432BC1">
      <w:rPr>
        <w:sz w:val="20"/>
        <w:szCs w:val="20"/>
      </w:rPr>
      <w:t xml:space="preserve"> </w:t>
    </w:r>
    <w:r>
      <w:rPr>
        <w:sz w:val="20"/>
        <w:szCs w:val="20"/>
      </w:rPr>
      <w:br/>
    </w:r>
    <w:r w:rsidR="006A2A5E">
      <w:rPr>
        <w:sz w:val="20"/>
        <w:szCs w:val="20"/>
      </w:rPr>
      <w:t>(Expressed in U.S. dollars)</w:t>
    </w:r>
  </w:p>
  <w:p w14:paraId="245E7261" w14:textId="4A64D43B" w:rsidR="00A11E13" w:rsidRDefault="00432BC1" w:rsidP="005328E1">
    <w:pPr>
      <w:pStyle w:val="NormalWeb"/>
      <w:spacing w:before="0" w:beforeAutospacing="0" w:after="0" w:afterAutospacing="0"/>
      <w:rPr>
        <w:sz w:val="20"/>
        <w:szCs w:val="20"/>
      </w:rPr>
    </w:pPr>
    <w:r>
      <w:rPr>
        <w:sz w:val="20"/>
        <w:szCs w:val="20"/>
      </w:rPr>
      <w:t>(Unaudited)</w:t>
    </w:r>
  </w:p>
  <w:p w14:paraId="385B1BB5" w14:textId="121D5BF3" w:rsidR="006A2A5E" w:rsidRPr="006A2A5E" w:rsidRDefault="006A2A5E">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49F" w14:textId="125802EE" w:rsidR="00290D25" w:rsidRDefault="00290D25" w:rsidP="00290D25">
    <w:pPr>
      <w:pStyle w:val="NormalWeb"/>
      <w:spacing w:before="0" w:beforeAutospacing="0" w:after="0" w:afterAutospacing="0"/>
      <w:jc w:val="both"/>
      <w:rPr>
        <w:sz w:val="20"/>
        <w:szCs w:val="20"/>
      </w:rPr>
    </w:pPr>
    <w:r>
      <w:rPr>
        <w:b/>
        <w:bCs/>
        <w:sz w:val="20"/>
        <w:szCs w:val="20"/>
      </w:rPr>
      <w:t xml:space="preserve">TRILLION ENERGY </w:t>
    </w:r>
    <w:r w:rsidR="00A05A49">
      <w:rPr>
        <w:b/>
        <w:bCs/>
        <w:sz w:val="20"/>
        <w:szCs w:val="20"/>
      </w:rPr>
      <w:t>INTERNATIONAL INC.</w:t>
    </w:r>
  </w:p>
  <w:p w14:paraId="1F2BB666" w14:textId="5AA1F3BD" w:rsidR="005270E9" w:rsidRDefault="005270E9" w:rsidP="006A2A5E">
    <w:pPr>
      <w:pStyle w:val="NormalWeb"/>
      <w:spacing w:before="0" w:beforeAutospacing="0" w:after="0" w:afterAutospacing="0"/>
      <w:jc w:val="both"/>
      <w:rPr>
        <w:sz w:val="20"/>
        <w:szCs w:val="20"/>
      </w:rPr>
    </w:pPr>
    <w:r w:rsidRPr="005270E9">
      <w:rPr>
        <w:sz w:val="20"/>
        <w:szCs w:val="20"/>
      </w:rPr>
      <w:t xml:space="preserve">Consolidated </w:t>
    </w:r>
    <w:r w:rsidR="00432BC1">
      <w:rPr>
        <w:sz w:val="20"/>
        <w:szCs w:val="20"/>
      </w:rPr>
      <w:t xml:space="preserve">Interim </w:t>
    </w:r>
    <w:r w:rsidRPr="005270E9">
      <w:rPr>
        <w:sz w:val="20"/>
        <w:szCs w:val="20"/>
      </w:rPr>
      <w:t>Statements of Cash Flows</w:t>
    </w:r>
    <w:r w:rsidR="00432BC1">
      <w:rPr>
        <w:sz w:val="20"/>
        <w:szCs w:val="20"/>
      </w:rPr>
      <w:t xml:space="preserve"> </w:t>
    </w:r>
  </w:p>
  <w:p w14:paraId="43A9728A" w14:textId="5D39B5C7" w:rsidR="006A2A5E" w:rsidRDefault="006A2A5E" w:rsidP="006A2A5E">
    <w:pPr>
      <w:pStyle w:val="NormalWeb"/>
      <w:spacing w:before="0" w:beforeAutospacing="0" w:after="0" w:afterAutospacing="0"/>
      <w:jc w:val="both"/>
      <w:rPr>
        <w:sz w:val="20"/>
        <w:szCs w:val="20"/>
      </w:rPr>
    </w:pPr>
    <w:r>
      <w:rPr>
        <w:sz w:val="20"/>
        <w:szCs w:val="20"/>
      </w:rPr>
      <w:t>(Expressed in U.S. dollars)</w:t>
    </w:r>
  </w:p>
  <w:p w14:paraId="6CC7B5D1" w14:textId="20249C51" w:rsidR="00177166" w:rsidRDefault="00432BC1" w:rsidP="00177166">
    <w:pPr>
      <w:pStyle w:val="Header"/>
      <w:pBdr>
        <w:bottom w:val="single" w:sz="4" w:space="1" w:color="auto"/>
      </w:pBdr>
      <w:rPr>
        <w:rFonts w:ascii="Times New Roman" w:hAnsi="Times New Roman"/>
        <w:u w:val="single"/>
      </w:rPr>
    </w:pPr>
    <w:r>
      <w:rPr>
        <w:sz w:val="20"/>
        <w:szCs w:val="20"/>
      </w:rPr>
      <w:t>(Unaudited)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BFE0" w14:textId="0A82A893" w:rsidR="00290D25" w:rsidRDefault="00290D25" w:rsidP="00290D25">
    <w:pPr>
      <w:pStyle w:val="NormalWeb"/>
      <w:spacing w:before="0" w:beforeAutospacing="0" w:after="0" w:afterAutospacing="0"/>
      <w:jc w:val="both"/>
      <w:rPr>
        <w:sz w:val="20"/>
        <w:szCs w:val="20"/>
      </w:rPr>
    </w:pPr>
    <w:r>
      <w:rPr>
        <w:b/>
        <w:bCs/>
        <w:sz w:val="20"/>
        <w:szCs w:val="20"/>
      </w:rPr>
      <w:t xml:space="preserve">TRILLION ENERGY </w:t>
    </w:r>
    <w:r w:rsidR="00A05A49">
      <w:rPr>
        <w:b/>
        <w:bCs/>
        <w:sz w:val="20"/>
        <w:szCs w:val="20"/>
      </w:rPr>
      <w:t>INTERNATIONAL INC.</w:t>
    </w:r>
  </w:p>
  <w:p w14:paraId="4358B548" w14:textId="12108629" w:rsidR="006405DF" w:rsidRDefault="006405DF" w:rsidP="006405DF">
    <w:pPr>
      <w:pStyle w:val="NormalWeb"/>
      <w:spacing w:before="0" w:beforeAutospacing="0" w:after="0" w:afterAutospacing="0"/>
      <w:jc w:val="both"/>
      <w:rPr>
        <w:sz w:val="20"/>
        <w:szCs w:val="20"/>
      </w:rPr>
    </w:pPr>
    <w:r w:rsidRPr="006405DF">
      <w:rPr>
        <w:sz w:val="20"/>
        <w:szCs w:val="20"/>
      </w:rPr>
      <w:t>Notes to the Consolidated Interim Financial Statements</w:t>
    </w:r>
  </w:p>
  <w:p w14:paraId="5E6F622E" w14:textId="5CADD588" w:rsidR="006405DF" w:rsidRDefault="006405DF" w:rsidP="006405DF">
    <w:pPr>
      <w:pStyle w:val="NormalWeb"/>
      <w:spacing w:before="0" w:beforeAutospacing="0" w:after="0" w:afterAutospacing="0"/>
      <w:jc w:val="both"/>
      <w:rPr>
        <w:sz w:val="20"/>
        <w:szCs w:val="20"/>
      </w:rPr>
    </w:pPr>
    <w:r w:rsidRPr="006405DF">
      <w:rPr>
        <w:sz w:val="20"/>
        <w:szCs w:val="20"/>
      </w:rPr>
      <w:t xml:space="preserve">For the </w:t>
    </w:r>
    <w:r w:rsidR="004210B9">
      <w:rPr>
        <w:sz w:val="20"/>
        <w:szCs w:val="20"/>
      </w:rPr>
      <w:t>six</w:t>
    </w:r>
    <w:r w:rsidRPr="006405DF">
      <w:rPr>
        <w:sz w:val="20"/>
        <w:szCs w:val="20"/>
      </w:rPr>
      <w:t xml:space="preserve"> months ended </w:t>
    </w:r>
    <w:r w:rsidR="004210B9">
      <w:rPr>
        <w:sz w:val="20"/>
        <w:szCs w:val="20"/>
      </w:rPr>
      <w:t>June</w:t>
    </w:r>
    <w:r w:rsidRPr="006405DF">
      <w:rPr>
        <w:sz w:val="20"/>
        <w:szCs w:val="20"/>
      </w:rPr>
      <w:t xml:space="preserve"> 3</w:t>
    </w:r>
    <w:r w:rsidR="004210B9">
      <w:rPr>
        <w:sz w:val="20"/>
        <w:szCs w:val="20"/>
      </w:rPr>
      <w:t>0</w:t>
    </w:r>
    <w:r w:rsidRPr="006405DF">
      <w:rPr>
        <w:sz w:val="20"/>
        <w:szCs w:val="20"/>
      </w:rPr>
      <w:t xml:space="preserve">, </w:t>
    </w:r>
    <w:proofErr w:type="gramStart"/>
    <w:r w:rsidRPr="006405DF">
      <w:rPr>
        <w:sz w:val="20"/>
        <w:szCs w:val="20"/>
      </w:rPr>
      <w:t>202</w:t>
    </w:r>
    <w:r w:rsidR="001F1CA0">
      <w:rPr>
        <w:sz w:val="20"/>
        <w:szCs w:val="20"/>
      </w:rPr>
      <w:t>2</w:t>
    </w:r>
    <w:proofErr w:type="gramEnd"/>
    <w:r w:rsidRPr="006405DF">
      <w:rPr>
        <w:sz w:val="20"/>
        <w:szCs w:val="20"/>
      </w:rPr>
      <w:t xml:space="preserve"> and 202</w:t>
    </w:r>
    <w:r w:rsidR="001F1CA0">
      <w:rPr>
        <w:sz w:val="20"/>
        <w:szCs w:val="20"/>
      </w:rPr>
      <w:t>1</w:t>
    </w:r>
  </w:p>
  <w:p w14:paraId="6E8C6AA5" w14:textId="05090469" w:rsidR="00177166" w:rsidRDefault="00177166" w:rsidP="006A2A5E">
    <w:pPr>
      <w:pStyle w:val="NormalWeb"/>
      <w:spacing w:before="0" w:beforeAutospacing="0" w:after="0" w:afterAutospacing="0"/>
      <w:jc w:val="both"/>
      <w:rPr>
        <w:sz w:val="20"/>
        <w:szCs w:val="20"/>
      </w:rPr>
    </w:pPr>
    <w:r>
      <w:rPr>
        <w:sz w:val="20"/>
        <w:szCs w:val="20"/>
      </w:rPr>
      <w:t>(Expressed in U.S. dollars)</w:t>
    </w:r>
  </w:p>
  <w:p w14:paraId="1BE4309B" w14:textId="1C6276AA" w:rsidR="00177166" w:rsidRDefault="001F1CA0" w:rsidP="005328E1">
    <w:pPr>
      <w:pStyle w:val="NormalWeb"/>
      <w:spacing w:before="0" w:beforeAutospacing="0" w:after="0" w:afterAutospacing="0"/>
      <w:jc w:val="both"/>
      <w:rPr>
        <w:u w:val="single"/>
      </w:rPr>
    </w:pPr>
    <w:r>
      <w:rPr>
        <w:sz w:val="20"/>
        <w:szCs w:val="20"/>
      </w:rPr>
      <w:t>(Unaudited)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271"/>
    <w:multiLevelType w:val="hybridMultilevel"/>
    <w:tmpl w:val="3754080A"/>
    <w:lvl w:ilvl="0" w:tplc="EB1AF742">
      <w:start w:val="19"/>
      <w:numFmt w:val="decimal"/>
      <w:lvlText w:val="%1."/>
      <w:lvlJc w:val="left"/>
      <w:pPr>
        <w:ind w:left="560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BF0EE2"/>
    <w:multiLevelType w:val="hybridMultilevel"/>
    <w:tmpl w:val="DDA20ABA"/>
    <w:lvl w:ilvl="0" w:tplc="CA06C2C6">
      <w:start w:val="1"/>
      <w:numFmt w:val="lowerLetter"/>
      <w:lvlText w:val="%1."/>
      <w:lvlJc w:val="left"/>
      <w:pPr>
        <w:ind w:left="1985" w:hanging="360"/>
      </w:pPr>
      <w:rPr>
        <w:rFonts w:hint="default"/>
        <w:i w:val="0"/>
      </w:rPr>
    </w:lvl>
    <w:lvl w:ilvl="1" w:tplc="10090019" w:tentative="1">
      <w:start w:val="1"/>
      <w:numFmt w:val="lowerLetter"/>
      <w:lvlText w:val="%2."/>
      <w:lvlJc w:val="left"/>
      <w:pPr>
        <w:ind w:left="2705" w:hanging="360"/>
      </w:pPr>
    </w:lvl>
    <w:lvl w:ilvl="2" w:tplc="1009001B" w:tentative="1">
      <w:start w:val="1"/>
      <w:numFmt w:val="lowerRoman"/>
      <w:lvlText w:val="%3."/>
      <w:lvlJc w:val="right"/>
      <w:pPr>
        <w:ind w:left="3425" w:hanging="180"/>
      </w:pPr>
    </w:lvl>
    <w:lvl w:ilvl="3" w:tplc="1009000F" w:tentative="1">
      <w:start w:val="1"/>
      <w:numFmt w:val="decimal"/>
      <w:lvlText w:val="%4."/>
      <w:lvlJc w:val="left"/>
      <w:pPr>
        <w:ind w:left="4145" w:hanging="360"/>
      </w:pPr>
    </w:lvl>
    <w:lvl w:ilvl="4" w:tplc="10090019" w:tentative="1">
      <w:start w:val="1"/>
      <w:numFmt w:val="lowerLetter"/>
      <w:lvlText w:val="%5."/>
      <w:lvlJc w:val="left"/>
      <w:pPr>
        <w:ind w:left="4865" w:hanging="360"/>
      </w:pPr>
    </w:lvl>
    <w:lvl w:ilvl="5" w:tplc="1009001B" w:tentative="1">
      <w:start w:val="1"/>
      <w:numFmt w:val="lowerRoman"/>
      <w:lvlText w:val="%6."/>
      <w:lvlJc w:val="right"/>
      <w:pPr>
        <w:ind w:left="5585" w:hanging="180"/>
      </w:pPr>
    </w:lvl>
    <w:lvl w:ilvl="6" w:tplc="1009000F" w:tentative="1">
      <w:start w:val="1"/>
      <w:numFmt w:val="decimal"/>
      <w:lvlText w:val="%7."/>
      <w:lvlJc w:val="left"/>
      <w:pPr>
        <w:ind w:left="6305" w:hanging="360"/>
      </w:pPr>
    </w:lvl>
    <w:lvl w:ilvl="7" w:tplc="10090019" w:tentative="1">
      <w:start w:val="1"/>
      <w:numFmt w:val="lowerLetter"/>
      <w:lvlText w:val="%8."/>
      <w:lvlJc w:val="left"/>
      <w:pPr>
        <w:ind w:left="7025" w:hanging="360"/>
      </w:pPr>
    </w:lvl>
    <w:lvl w:ilvl="8" w:tplc="1009001B" w:tentative="1">
      <w:start w:val="1"/>
      <w:numFmt w:val="lowerRoman"/>
      <w:lvlText w:val="%9."/>
      <w:lvlJc w:val="right"/>
      <w:pPr>
        <w:ind w:left="7745" w:hanging="180"/>
      </w:pPr>
    </w:lvl>
  </w:abstractNum>
  <w:abstractNum w:abstractNumId="2" w15:restartNumberingAfterBreak="0">
    <w:nsid w:val="132D6672"/>
    <w:multiLevelType w:val="hybridMultilevel"/>
    <w:tmpl w:val="2A0C94B0"/>
    <w:lvl w:ilvl="0" w:tplc="0302A1B8">
      <w:start w:val="1"/>
      <w:numFmt w:val="lowerLetter"/>
      <w:lvlText w:val="%1)"/>
      <w:lvlJc w:val="left"/>
      <w:pPr>
        <w:ind w:left="144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39B4748"/>
    <w:multiLevelType w:val="hybridMultilevel"/>
    <w:tmpl w:val="E5906FA6"/>
    <w:lvl w:ilvl="0" w:tplc="58063B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452AE9"/>
    <w:multiLevelType w:val="hybridMultilevel"/>
    <w:tmpl w:val="6308C53C"/>
    <w:lvl w:ilvl="0" w:tplc="97FE6EFE">
      <w:start w:val="18"/>
      <w:numFmt w:val="decimal"/>
      <w:lvlText w:val="%1."/>
      <w:lvlJc w:val="left"/>
      <w:pPr>
        <w:ind w:left="1495" w:hanging="360"/>
      </w:pPr>
      <w:rPr>
        <w:rFonts w:hint="default"/>
        <w:b/>
        <w:bCs w:val="0"/>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5" w15:restartNumberingAfterBreak="0">
    <w:nsid w:val="22E860CA"/>
    <w:multiLevelType w:val="hybridMultilevel"/>
    <w:tmpl w:val="E9F054A6"/>
    <w:lvl w:ilvl="0" w:tplc="18A4CC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4D4859"/>
    <w:multiLevelType w:val="hybridMultilevel"/>
    <w:tmpl w:val="8C3087BC"/>
    <w:lvl w:ilvl="0" w:tplc="6BF29A1A">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C322DE"/>
    <w:multiLevelType w:val="hybridMultilevel"/>
    <w:tmpl w:val="9DFC4A1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EB82F8B"/>
    <w:multiLevelType w:val="hybridMultilevel"/>
    <w:tmpl w:val="E202032E"/>
    <w:lvl w:ilvl="0" w:tplc="F0BACB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D16BAC"/>
    <w:multiLevelType w:val="hybridMultilevel"/>
    <w:tmpl w:val="E78A289A"/>
    <w:lvl w:ilvl="0" w:tplc="2AFA2A12">
      <w:start w:val="20"/>
      <w:numFmt w:val="decimal"/>
      <w:lvlText w:val="%1."/>
      <w:lvlJc w:val="left"/>
      <w:pPr>
        <w:ind w:left="1440" w:hanging="360"/>
      </w:pPr>
      <w:rPr>
        <w:rFonts w:ascii="Arial" w:hAnsi="Arial" w:cs="Arial"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FB7D2B"/>
    <w:multiLevelType w:val="hybridMultilevel"/>
    <w:tmpl w:val="7B76C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4373FEE"/>
    <w:multiLevelType w:val="hybridMultilevel"/>
    <w:tmpl w:val="15C0B4C0"/>
    <w:lvl w:ilvl="0" w:tplc="BA0A8C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60358053">
    <w:abstractNumId w:val="5"/>
  </w:num>
  <w:num w:numId="2" w16cid:durableId="46345088">
    <w:abstractNumId w:val="8"/>
  </w:num>
  <w:num w:numId="3" w16cid:durableId="1806503345">
    <w:abstractNumId w:val="1"/>
  </w:num>
  <w:num w:numId="4" w16cid:durableId="1870800522">
    <w:abstractNumId w:val="3"/>
  </w:num>
  <w:num w:numId="5" w16cid:durableId="1630938513">
    <w:abstractNumId w:val="11"/>
  </w:num>
  <w:num w:numId="6" w16cid:durableId="1649824577">
    <w:abstractNumId w:val="10"/>
  </w:num>
  <w:num w:numId="7" w16cid:durableId="1584686307">
    <w:abstractNumId w:val="7"/>
    <w:lvlOverride w:ilvl="0">
      <w:startOverride w:val="1"/>
    </w:lvlOverride>
    <w:lvlOverride w:ilvl="1"/>
    <w:lvlOverride w:ilvl="2"/>
    <w:lvlOverride w:ilvl="3"/>
    <w:lvlOverride w:ilvl="4"/>
    <w:lvlOverride w:ilvl="5"/>
    <w:lvlOverride w:ilvl="6"/>
    <w:lvlOverride w:ilvl="7"/>
    <w:lvlOverride w:ilvl="8"/>
  </w:num>
  <w:num w:numId="8" w16cid:durableId="109857101">
    <w:abstractNumId w:val="9"/>
  </w:num>
  <w:num w:numId="9" w16cid:durableId="1587767891">
    <w:abstractNumId w:val="2"/>
  </w:num>
  <w:num w:numId="10" w16cid:durableId="782455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7543874">
    <w:abstractNumId w:val="4"/>
  </w:num>
  <w:num w:numId="12" w16cid:durableId="2099861716">
    <w:abstractNumId w:val="7"/>
  </w:num>
  <w:num w:numId="13" w16cid:durableId="144068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5E"/>
    <w:rsid w:val="00001A67"/>
    <w:rsid w:val="00001C7F"/>
    <w:rsid w:val="00002D95"/>
    <w:rsid w:val="00003ADB"/>
    <w:rsid w:val="00003FA5"/>
    <w:rsid w:val="00004DF6"/>
    <w:rsid w:val="00005310"/>
    <w:rsid w:val="000066DC"/>
    <w:rsid w:val="000068A3"/>
    <w:rsid w:val="0000743F"/>
    <w:rsid w:val="00012BC7"/>
    <w:rsid w:val="00013F00"/>
    <w:rsid w:val="00015437"/>
    <w:rsid w:val="00015608"/>
    <w:rsid w:val="00015BBE"/>
    <w:rsid w:val="00015E02"/>
    <w:rsid w:val="00015F64"/>
    <w:rsid w:val="00016CBE"/>
    <w:rsid w:val="00016FC3"/>
    <w:rsid w:val="00017DE0"/>
    <w:rsid w:val="00021215"/>
    <w:rsid w:val="00022AA4"/>
    <w:rsid w:val="00023946"/>
    <w:rsid w:val="00023ADD"/>
    <w:rsid w:val="00025355"/>
    <w:rsid w:val="00025DF0"/>
    <w:rsid w:val="00026FD9"/>
    <w:rsid w:val="00031587"/>
    <w:rsid w:val="00031ED8"/>
    <w:rsid w:val="000326ED"/>
    <w:rsid w:val="00033B5A"/>
    <w:rsid w:val="00036278"/>
    <w:rsid w:val="00037C47"/>
    <w:rsid w:val="00041B89"/>
    <w:rsid w:val="00042096"/>
    <w:rsid w:val="00043DB7"/>
    <w:rsid w:val="0004412C"/>
    <w:rsid w:val="000475E2"/>
    <w:rsid w:val="00050C08"/>
    <w:rsid w:val="00050E65"/>
    <w:rsid w:val="00051D49"/>
    <w:rsid w:val="000526DB"/>
    <w:rsid w:val="0005417D"/>
    <w:rsid w:val="00054AE1"/>
    <w:rsid w:val="00055173"/>
    <w:rsid w:val="00057C8E"/>
    <w:rsid w:val="00057D2A"/>
    <w:rsid w:val="00060A9F"/>
    <w:rsid w:val="00062838"/>
    <w:rsid w:val="00063DEB"/>
    <w:rsid w:val="00064A08"/>
    <w:rsid w:val="000657E5"/>
    <w:rsid w:val="00071C58"/>
    <w:rsid w:val="00072AD1"/>
    <w:rsid w:val="0007355F"/>
    <w:rsid w:val="000748E8"/>
    <w:rsid w:val="00075123"/>
    <w:rsid w:val="000755E5"/>
    <w:rsid w:val="00075F05"/>
    <w:rsid w:val="0007712C"/>
    <w:rsid w:val="00077700"/>
    <w:rsid w:val="00080193"/>
    <w:rsid w:val="00080847"/>
    <w:rsid w:val="00081A33"/>
    <w:rsid w:val="00081FCA"/>
    <w:rsid w:val="00082532"/>
    <w:rsid w:val="0008297C"/>
    <w:rsid w:val="000829FD"/>
    <w:rsid w:val="000836C1"/>
    <w:rsid w:val="000844EC"/>
    <w:rsid w:val="0008506C"/>
    <w:rsid w:val="00087105"/>
    <w:rsid w:val="00087A95"/>
    <w:rsid w:val="00087AC1"/>
    <w:rsid w:val="0009137B"/>
    <w:rsid w:val="000948B8"/>
    <w:rsid w:val="00094E13"/>
    <w:rsid w:val="00095A7B"/>
    <w:rsid w:val="00095BD7"/>
    <w:rsid w:val="00095F94"/>
    <w:rsid w:val="0009678A"/>
    <w:rsid w:val="000968E2"/>
    <w:rsid w:val="00097A83"/>
    <w:rsid w:val="00097AE5"/>
    <w:rsid w:val="000A06FE"/>
    <w:rsid w:val="000A079E"/>
    <w:rsid w:val="000A282E"/>
    <w:rsid w:val="000A2E93"/>
    <w:rsid w:val="000A7407"/>
    <w:rsid w:val="000A741C"/>
    <w:rsid w:val="000B00C4"/>
    <w:rsid w:val="000B1C3A"/>
    <w:rsid w:val="000B258D"/>
    <w:rsid w:val="000B26C7"/>
    <w:rsid w:val="000B6D2F"/>
    <w:rsid w:val="000C0414"/>
    <w:rsid w:val="000C09DB"/>
    <w:rsid w:val="000C0E1A"/>
    <w:rsid w:val="000C23A3"/>
    <w:rsid w:val="000C3975"/>
    <w:rsid w:val="000C5A05"/>
    <w:rsid w:val="000C74AF"/>
    <w:rsid w:val="000C79B5"/>
    <w:rsid w:val="000D12D1"/>
    <w:rsid w:val="000D160F"/>
    <w:rsid w:val="000D1B63"/>
    <w:rsid w:val="000D1E6B"/>
    <w:rsid w:val="000D5948"/>
    <w:rsid w:val="000D5999"/>
    <w:rsid w:val="000D6132"/>
    <w:rsid w:val="000D78D8"/>
    <w:rsid w:val="000E0851"/>
    <w:rsid w:val="000E3449"/>
    <w:rsid w:val="000E35D6"/>
    <w:rsid w:val="000E3747"/>
    <w:rsid w:val="000E4433"/>
    <w:rsid w:val="000E4581"/>
    <w:rsid w:val="000E52FE"/>
    <w:rsid w:val="000E7B83"/>
    <w:rsid w:val="000E7F60"/>
    <w:rsid w:val="000F0E2F"/>
    <w:rsid w:val="000F2561"/>
    <w:rsid w:val="000F354B"/>
    <w:rsid w:val="000F3DF1"/>
    <w:rsid w:val="000F3E43"/>
    <w:rsid w:val="000F4262"/>
    <w:rsid w:val="000F481A"/>
    <w:rsid w:val="000F4B3E"/>
    <w:rsid w:val="000F4E2B"/>
    <w:rsid w:val="000F6D1F"/>
    <w:rsid w:val="000F6EB4"/>
    <w:rsid w:val="00102549"/>
    <w:rsid w:val="001138B0"/>
    <w:rsid w:val="0011452D"/>
    <w:rsid w:val="0011699B"/>
    <w:rsid w:val="00116C98"/>
    <w:rsid w:val="00116E61"/>
    <w:rsid w:val="00116EEB"/>
    <w:rsid w:val="00117B3E"/>
    <w:rsid w:val="00117DB6"/>
    <w:rsid w:val="001220D4"/>
    <w:rsid w:val="00122BE8"/>
    <w:rsid w:val="0012306F"/>
    <w:rsid w:val="0012367B"/>
    <w:rsid w:val="00124781"/>
    <w:rsid w:val="00125642"/>
    <w:rsid w:val="00125AF9"/>
    <w:rsid w:val="001265AE"/>
    <w:rsid w:val="001272F8"/>
    <w:rsid w:val="001273DC"/>
    <w:rsid w:val="001279B1"/>
    <w:rsid w:val="00127E93"/>
    <w:rsid w:val="00130F04"/>
    <w:rsid w:val="0013193D"/>
    <w:rsid w:val="001321CB"/>
    <w:rsid w:val="001355DA"/>
    <w:rsid w:val="00135798"/>
    <w:rsid w:val="00135F41"/>
    <w:rsid w:val="0013678C"/>
    <w:rsid w:val="00136C2E"/>
    <w:rsid w:val="00140BB1"/>
    <w:rsid w:val="00142F1D"/>
    <w:rsid w:val="0014605B"/>
    <w:rsid w:val="00146603"/>
    <w:rsid w:val="001468F9"/>
    <w:rsid w:val="001477C9"/>
    <w:rsid w:val="00152774"/>
    <w:rsid w:val="00153A6B"/>
    <w:rsid w:val="00155FA6"/>
    <w:rsid w:val="00156A7F"/>
    <w:rsid w:val="00160C2F"/>
    <w:rsid w:val="00163C9E"/>
    <w:rsid w:val="00164005"/>
    <w:rsid w:val="00164AD9"/>
    <w:rsid w:val="00170560"/>
    <w:rsid w:val="00171308"/>
    <w:rsid w:val="001713C3"/>
    <w:rsid w:val="00171F0F"/>
    <w:rsid w:val="00172210"/>
    <w:rsid w:val="00175159"/>
    <w:rsid w:val="001754CB"/>
    <w:rsid w:val="00177166"/>
    <w:rsid w:val="00180098"/>
    <w:rsid w:val="0018061B"/>
    <w:rsid w:val="00181478"/>
    <w:rsid w:val="00181BC9"/>
    <w:rsid w:val="001824A6"/>
    <w:rsid w:val="00182CE3"/>
    <w:rsid w:val="00183515"/>
    <w:rsid w:val="00183BE7"/>
    <w:rsid w:val="001840E8"/>
    <w:rsid w:val="001854C5"/>
    <w:rsid w:val="00187200"/>
    <w:rsid w:val="0019238F"/>
    <w:rsid w:val="00193202"/>
    <w:rsid w:val="00195440"/>
    <w:rsid w:val="001958E2"/>
    <w:rsid w:val="00196DF0"/>
    <w:rsid w:val="00197FFC"/>
    <w:rsid w:val="001A0A41"/>
    <w:rsid w:val="001A33A2"/>
    <w:rsid w:val="001A43F2"/>
    <w:rsid w:val="001A4765"/>
    <w:rsid w:val="001A593C"/>
    <w:rsid w:val="001A6058"/>
    <w:rsid w:val="001A63B4"/>
    <w:rsid w:val="001A6C72"/>
    <w:rsid w:val="001A6EA9"/>
    <w:rsid w:val="001B1B62"/>
    <w:rsid w:val="001B1FA6"/>
    <w:rsid w:val="001B2A82"/>
    <w:rsid w:val="001B2D33"/>
    <w:rsid w:val="001B2F65"/>
    <w:rsid w:val="001B31C0"/>
    <w:rsid w:val="001B5ACF"/>
    <w:rsid w:val="001B5CC2"/>
    <w:rsid w:val="001B5EC1"/>
    <w:rsid w:val="001B6FE5"/>
    <w:rsid w:val="001C1045"/>
    <w:rsid w:val="001C1E00"/>
    <w:rsid w:val="001C26F6"/>
    <w:rsid w:val="001C28E1"/>
    <w:rsid w:val="001C3A1E"/>
    <w:rsid w:val="001C41F9"/>
    <w:rsid w:val="001C5435"/>
    <w:rsid w:val="001C6257"/>
    <w:rsid w:val="001C6AF5"/>
    <w:rsid w:val="001D17C3"/>
    <w:rsid w:val="001D1841"/>
    <w:rsid w:val="001D1F49"/>
    <w:rsid w:val="001D23EB"/>
    <w:rsid w:val="001D2493"/>
    <w:rsid w:val="001D2674"/>
    <w:rsid w:val="001D2F82"/>
    <w:rsid w:val="001D4615"/>
    <w:rsid w:val="001D4F18"/>
    <w:rsid w:val="001D5266"/>
    <w:rsid w:val="001D5458"/>
    <w:rsid w:val="001D68D6"/>
    <w:rsid w:val="001D69EA"/>
    <w:rsid w:val="001E0834"/>
    <w:rsid w:val="001E2179"/>
    <w:rsid w:val="001E2D3D"/>
    <w:rsid w:val="001E3D41"/>
    <w:rsid w:val="001E4F85"/>
    <w:rsid w:val="001E5601"/>
    <w:rsid w:val="001E5C1A"/>
    <w:rsid w:val="001E7A31"/>
    <w:rsid w:val="001E7E01"/>
    <w:rsid w:val="001F1CA0"/>
    <w:rsid w:val="001F2635"/>
    <w:rsid w:val="0020161C"/>
    <w:rsid w:val="0020532A"/>
    <w:rsid w:val="00206E33"/>
    <w:rsid w:val="0021017F"/>
    <w:rsid w:val="0021095D"/>
    <w:rsid w:val="00210F9C"/>
    <w:rsid w:val="002117AD"/>
    <w:rsid w:val="00212B6F"/>
    <w:rsid w:val="00213C63"/>
    <w:rsid w:val="00215F4D"/>
    <w:rsid w:val="0021602D"/>
    <w:rsid w:val="002161C6"/>
    <w:rsid w:val="00216932"/>
    <w:rsid w:val="00216B72"/>
    <w:rsid w:val="00220499"/>
    <w:rsid w:val="00221489"/>
    <w:rsid w:val="00221C16"/>
    <w:rsid w:val="00222376"/>
    <w:rsid w:val="002223AE"/>
    <w:rsid w:val="00223AAE"/>
    <w:rsid w:val="00231B2A"/>
    <w:rsid w:val="00232E66"/>
    <w:rsid w:val="002338B4"/>
    <w:rsid w:val="002344C4"/>
    <w:rsid w:val="00240320"/>
    <w:rsid w:val="00242BB6"/>
    <w:rsid w:val="00242CA7"/>
    <w:rsid w:val="00243BC4"/>
    <w:rsid w:val="00244BDB"/>
    <w:rsid w:val="00244D9D"/>
    <w:rsid w:val="002465DE"/>
    <w:rsid w:val="002465F1"/>
    <w:rsid w:val="00247205"/>
    <w:rsid w:val="00247733"/>
    <w:rsid w:val="0025040D"/>
    <w:rsid w:val="00250E87"/>
    <w:rsid w:val="00251B86"/>
    <w:rsid w:val="00251CC3"/>
    <w:rsid w:val="002523FD"/>
    <w:rsid w:val="002527DF"/>
    <w:rsid w:val="00255CED"/>
    <w:rsid w:val="00255E0A"/>
    <w:rsid w:val="00256742"/>
    <w:rsid w:val="002574C6"/>
    <w:rsid w:val="00257B76"/>
    <w:rsid w:val="0026024A"/>
    <w:rsid w:val="0026169D"/>
    <w:rsid w:val="00261B01"/>
    <w:rsid w:val="002636D9"/>
    <w:rsid w:val="00265D1C"/>
    <w:rsid w:val="00270D09"/>
    <w:rsid w:val="00271B32"/>
    <w:rsid w:val="00272C6D"/>
    <w:rsid w:val="0027303F"/>
    <w:rsid w:val="00273951"/>
    <w:rsid w:val="00275709"/>
    <w:rsid w:val="00275C4A"/>
    <w:rsid w:val="00276FC5"/>
    <w:rsid w:val="0027714E"/>
    <w:rsid w:val="00277E91"/>
    <w:rsid w:val="00280C78"/>
    <w:rsid w:val="0028781C"/>
    <w:rsid w:val="00287A45"/>
    <w:rsid w:val="00287F82"/>
    <w:rsid w:val="002903DE"/>
    <w:rsid w:val="00290D25"/>
    <w:rsid w:val="00290DD2"/>
    <w:rsid w:val="00291031"/>
    <w:rsid w:val="0029189F"/>
    <w:rsid w:val="00292336"/>
    <w:rsid w:val="00295767"/>
    <w:rsid w:val="00295D8A"/>
    <w:rsid w:val="00296E8D"/>
    <w:rsid w:val="00297F6A"/>
    <w:rsid w:val="002A00D1"/>
    <w:rsid w:val="002A5155"/>
    <w:rsid w:val="002B0275"/>
    <w:rsid w:val="002B081D"/>
    <w:rsid w:val="002B2500"/>
    <w:rsid w:val="002B329F"/>
    <w:rsid w:val="002B4699"/>
    <w:rsid w:val="002B4CB6"/>
    <w:rsid w:val="002C0213"/>
    <w:rsid w:val="002C1072"/>
    <w:rsid w:val="002C16BF"/>
    <w:rsid w:val="002C2012"/>
    <w:rsid w:val="002C29F9"/>
    <w:rsid w:val="002C36AD"/>
    <w:rsid w:val="002C37BB"/>
    <w:rsid w:val="002C660D"/>
    <w:rsid w:val="002C7A70"/>
    <w:rsid w:val="002D1495"/>
    <w:rsid w:val="002D15BD"/>
    <w:rsid w:val="002D22DB"/>
    <w:rsid w:val="002D2717"/>
    <w:rsid w:val="002D3DAC"/>
    <w:rsid w:val="002D52BB"/>
    <w:rsid w:val="002D54CD"/>
    <w:rsid w:val="002D5644"/>
    <w:rsid w:val="002D60BE"/>
    <w:rsid w:val="002D63D9"/>
    <w:rsid w:val="002D7D91"/>
    <w:rsid w:val="002E0281"/>
    <w:rsid w:val="002E1130"/>
    <w:rsid w:val="002E2764"/>
    <w:rsid w:val="002E35E7"/>
    <w:rsid w:val="002E417F"/>
    <w:rsid w:val="002E488C"/>
    <w:rsid w:val="002E5930"/>
    <w:rsid w:val="002E5A90"/>
    <w:rsid w:val="002E6319"/>
    <w:rsid w:val="002F0169"/>
    <w:rsid w:val="002F07D4"/>
    <w:rsid w:val="002F2685"/>
    <w:rsid w:val="002F2795"/>
    <w:rsid w:val="002F2ACE"/>
    <w:rsid w:val="002F2C3A"/>
    <w:rsid w:val="002F3EE5"/>
    <w:rsid w:val="002F42A7"/>
    <w:rsid w:val="002F628D"/>
    <w:rsid w:val="002F63DD"/>
    <w:rsid w:val="002F71AF"/>
    <w:rsid w:val="0030020F"/>
    <w:rsid w:val="00300E37"/>
    <w:rsid w:val="00301F2C"/>
    <w:rsid w:val="0030362E"/>
    <w:rsid w:val="00303AC6"/>
    <w:rsid w:val="00306CAA"/>
    <w:rsid w:val="00310E9B"/>
    <w:rsid w:val="00310F4D"/>
    <w:rsid w:val="00312992"/>
    <w:rsid w:val="00314D88"/>
    <w:rsid w:val="003150E5"/>
    <w:rsid w:val="00317BEA"/>
    <w:rsid w:val="00317E87"/>
    <w:rsid w:val="00322C98"/>
    <w:rsid w:val="00323127"/>
    <w:rsid w:val="003241DC"/>
    <w:rsid w:val="003247C7"/>
    <w:rsid w:val="003261B8"/>
    <w:rsid w:val="00327A3F"/>
    <w:rsid w:val="003314FE"/>
    <w:rsid w:val="00331D7D"/>
    <w:rsid w:val="003332A3"/>
    <w:rsid w:val="003338A8"/>
    <w:rsid w:val="00334F19"/>
    <w:rsid w:val="0033599F"/>
    <w:rsid w:val="00336250"/>
    <w:rsid w:val="003415AF"/>
    <w:rsid w:val="00341EA6"/>
    <w:rsid w:val="00343F2A"/>
    <w:rsid w:val="0034497B"/>
    <w:rsid w:val="00344BBF"/>
    <w:rsid w:val="00346E76"/>
    <w:rsid w:val="00350EC9"/>
    <w:rsid w:val="00353271"/>
    <w:rsid w:val="0035409A"/>
    <w:rsid w:val="0035562D"/>
    <w:rsid w:val="00356EA7"/>
    <w:rsid w:val="003573FA"/>
    <w:rsid w:val="00357C83"/>
    <w:rsid w:val="00360A8D"/>
    <w:rsid w:val="00362766"/>
    <w:rsid w:val="0036392E"/>
    <w:rsid w:val="0036610B"/>
    <w:rsid w:val="00366EB4"/>
    <w:rsid w:val="00367F74"/>
    <w:rsid w:val="00370569"/>
    <w:rsid w:val="00370578"/>
    <w:rsid w:val="00372199"/>
    <w:rsid w:val="0037309A"/>
    <w:rsid w:val="00375AA4"/>
    <w:rsid w:val="00375E90"/>
    <w:rsid w:val="00377451"/>
    <w:rsid w:val="00380CCE"/>
    <w:rsid w:val="00382002"/>
    <w:rsid w:val="0038298D"/>
    <w:rsid w:val="00387550"/>
    <w:rsid w:val="00387869"/>
    <w:rsid w:val="00390774"/>
    <w:rsid w:val="003910C1"/>
    <w:rsid w:val="00391333"/>
    <w:rsid w:val="00392D0B"/>
    <w:rsid w:val="0039556E"/>
    <w:rsid w:val="003A0AFF"/>
    <w:rsid w:val="003A2C51"/>
    <w:rsid w:val="003A3031"/>
    <w:rsid w:val="003A3096"/>
    <w:rsid w:val="003A34A8"/>
    <w:rsid w:val="003A520E"/>
    <w:rsid w:val="003A5B85"/>
    <w:rsid w:val="003A5C89"/>
    <w:rsid w:val="003A5E26"/>
    <w:rsid w:val="003A7B19"/>
    <w:rsid w:val="003B0A7C"/>
    <w:rsid w:val="003B0F0D"/>
    <w:rsid w:val="003B32D3"/>
    <w:rsid w:val="003B7795"/>
    <w:rsid w:val="003C1AF2"/>
    <w:rsid w:val="003C347D"/>
    <w:rsid w:val="003C657E"/>
    <w:rsid w:val="003C6685"/>
    <w:rsid w:val="003C6E66"/>
    <w:rsid w:val="003C7A03"/>
    <w:rsid w:val="003D1220"/>
    <w:rsid w:val="003D189B"/>
    <w:rsid w:val="003D2006"/>
    <w:rsid w:val="003D2428"/>
    <w:rsid w:val="003D281F"/>
    <w:rsid w:val="003D4BA7"/>
    <w:rsid w:val="003D638F"/>
    <w:rsid w:val="003D6BF1"/>
    <w:rsid w:val="003D7C55"/>
    <w:rsid w:val="003E4205"/>
    <w:rsid w:val="003E43DE"/>
    <w:rsid w:val="003E4A63"/>
    <w:rsid w:val="003E707D"/>
    <w:rsid w:val="003F08BE"/>
    <w:rsid w:val="003F1F00"/>
    <w:rsid w:val="003F2645"/>
    <w:rsid w:val="003F4FFE"/>
    <w:rsid w:val="003F7D07"/>
    <w:rsid w:val="003F7F7F"/>
    <w:rsid w:val="00400802"/>
    <w:rsid w:val="00402116"/>
    <w:rsid w:val="00405A24"/>
    <w:rsid w:val="00405C0E"/>
    <w:rsid w:val="004079B8"/>
    <w:rsid w:val="00407DE6"/>
    <w:rsid w:val="004114B0"/>
    <w:rsid w:val="00412E39"/>
    <w:rsid w:val="00412E5B"/>
    <w:rsid w:val="00413ECF"/>
    <w:rsid w:val="0041429B"/>
    <w:rsid w:val="00415346"/>
    <w:rsid w:val="00420994"/>
    <w:rsid w:val="00420A09"/>
    <w:rsid w:val="004210B9"/>
    <w:rsid w:val="00424994"/>
    <w:rsid w:val="00425494"/>
    <w:rsid w:val="00427AE6"/>
    <w:rsid w:val="00427D71"/>
    <w:rsid w:val="00430C62"/>
    <w:rsid w:val="004325A1"/>
    <w:rsid w:val="00432BC1"/>
    <w:rsid w:val="00435B1B"/>
    <w:rsid w:val="00435F13"/>
    <w:rsid w:val="004370AA"/>
    <w:rsid w:val="004378EA"/>
    <w:rsid w:val="0044087E"/>
    <w:rsid w:val="00440F54"/>
    <w:rsid w:val="00443996"/>
    <w:rsid w:val="00445B5D"/>
    <w:rsid w:val="00446BB5"/>
    <w:rsid w:val="004504F6"/>
    <w:rsid w:val="004511DB"/>
    <w:rsid w:val="00452E76"/>
    <w:rsid w:val="00456758"/>
    <w:rsid w:val="004575CE"/>
    <w:rsid w:val="004576C5"/>
    <w:rsid w:val="00457750"/>
    <w:rsid w:val="0046011B"/>
    <w:rsid w:val="004614CF"/>
    <w:rsid w:val="004618F3"/>
    <w:rsid w:val="00462EC0"/>
    <w:rsid w:val="00463A74"/>
    <w:rsid w:val="004654FF"/>
    <w:rsid w:val="00466799"/>
    <w:rsid w:val="00466B67"/>
    <w:rsid w:val="00466FD6"/>
    <w:rsid w:val="0047225A"/>
    <w:rsid w:val="00472AC3"/>
    <w:rsid w:val="00472FE1"/>
    <w:rsid w:val="004747F6"/>
    <w:rsid w:val="004750C6"/>
    <w:rsid w:val="00480306"/>
    <w:rsid w:val="0048324E"/>
    <w:rsid w:val="00484228"/>
    <w:rsid w:val="0048566D"/>
    <w:rsid w:val="00487695"/>
    <w:rsid w:val="004903D1"/>
    <w:rsid w:val="004905BC"/>
    <w:rsid w:val="00490FCE"/>
    <w:rsid w:val="004945FF"/>
    <w:rsid w:val="0049479D"/>
    <w:rsid w:val="00494B44"/>
    <w:rsid w:val="004957F2"/>
    <w:rsid w:val="00496D32"/>
    <w:rsid w:val="004A0009"/>
    <w:rsid w:val="004A0328"/>
    <w:rsid w:val="004A0EE0"/>
    <w:rsid w:val="004A225D"/>
    <w:rsid w:val="004A3BC1"/>
    <w:rsid w:val="004A414E"/>
    <w:rsid w:val="004A4E51"/>
    <w:rsid w:val="004A52C7"/>
    <w:rsid w:val="004A67DE"/>
    <w:rsid w:val="004A6902"/>
    <w:rsid w:val="004A7811"/>
    <w:rsid w:val="004A7A22"/>
    <w:rsid w:val="004B23EE"/>
    <w:rsid w:val="004B3716"/>
    <w:rsid w:val="004B4D7F"/>
    <w:rsid w:val="004B4F37"/>
    <w:rsid w:val="004B56C0"/>
    <w:rsid w:val="004B599D"/>
    <w:rsid w:val="004B65C6"/>
    <w:rsid w:val="004B6A0B"/>
    <w:rsid w:val="004C0F23"/>
    <w:rsid w:val="004C15D4"/>
    <w:rsid w:val="004C2420"/>
    <w:rsid w:val="004C333B"/>
    <w:rsid w:val="004C42C1"/>
    <w:rsid w:val="004C5771"/>
    <w:rsid w:val="004C5EE6"/>
    <w:rsid w:val="004C67CD"/>
    <w:rsid w:val="004C77CA"/>
    <w:rsid w:val="004D15C7"/>
    <w:rsid w:val="004D3299"/>
    <w:rsid w:val="004E0847"/>
    <w:rsid w:val="004E1743"/>
    <w:rsid w:val="004E1B4E"/>
    <w:rsid w:val="004E2D3F"/>
    <w:rsid w:val="004E4900"/>
    <w:rsid w:val="004E4D76"/>
    <w:rsid w:val="004F0187"/>
    <w:rsid w:val="004F03D7"/>
    <w:rsid w:val="004F2281"/>
    <w:rsid w:val="004F22DB"/>
    <w:rsid w:val="004F5B47"/>
    <w:rsid w:val="004F6365"/>
    <w:rsid w:val="004F69DA"/>
    <w:rsid w:val="004F771A"/>
    <w:rsid w:val="0050597E"/>
    <w:rsid w:val="00505B65"/>
    <w:rsid w:val="00507E6F"/>
    <w:rsid w:val="00511654"/>
    <w:rsid w:val="00511BFE"/>
    <w:rsid w:val="00514B24"/>
    <w:rsid w:val="0051664C"/>
    <w:rsid w:val="0051727D"/>
    <w:rsid w:val="00517451"/>
    <w:rsid w:val="00517F19"/>
    <w:rsid w:val="005206AB"/>
    <w:rsid w:val="005227E3"/>
    <w:rsid w:val="00523B30"/>
    <w:rsid w:val="005243DF"/>
    <w:rsid w:val="00525198"/>
    <w:rsid w:val="00526937"/>
    <w:rsid w:val="00526F02"/>
    <w:rsid w:val="005270E9"/>
    <w:rsid w:val="00527513"/>
    <w:rsid w:val="005302F6"/>
    <w:rsid w:val="00530D5D"/>
    <w:rsid w:val="005311E3"/>
    <w:rsid w:val="005328E1"/>
    <w:rsid w:val="0053397A"/>
    <w:rsid w:val="00533E51"/>
    <w:rsid w:val="00533F93"/>
    <w:rsid w:val="00534032"/>
    <w:rsid w:val="00534931"/>
    <w:rsid w:val="00535764"/>
    <w:rsid w:val="00536EDC"/>
    <w:rsid w:val="0053749F"/>
    <w:rsid w:val="005379AD"/>
    <w:rsid w:val="00543241"/>
    <w:rsid w:val="00543ABE"/>
    <w:rsid w:val="00543FFD"/>
    <w:rsid w:val="005463E8"/>
    <w:rsid w:val="005476E5"/>
    <w:rsid w:val="00551B83"/>
    <w:rsid w:val="00551D39"/>
    <w:rsid w:val="005521FF"/>
    <w:rsid w:val="005531CB"/>
    <w:rsid w:val="005552F1"/>
    <w:rsid w:val="0055552A"/>
    <w:rsid w:val="0055668C"/>
    <w:rsid w:val="00556875"/>
    <w:rsid w:val="00557203"/>
    <w:rsid w:val="0055734F"/>
    <w:rsid w:val="00564BE4"/>
    <w:rsid w:val="005655F3"/>
    <w:rsid w:val="00566DE6"/>
    <w:rsid w:val="00567444"/>
    <w:rsid w:val="00567A1D"/>
    <w:rsid w:val="005702E4"/>
    <w:rsid w:val="0057049B"/>
    <w:rsid w:val="005708FB"/>
    <w:rsid w:val="00570D3D"/>
    <w:rsid w:val="00572896"/>
    <w:rsid w:val="0057300C"/>
    <w:rsid w:val="005734CC"/>
    <w:rsid w:val="00574D47"/>
    <w:rsid w:val="005766BB"/>
    <w:rsid w:val="005779F6"/>
    <w:rsid w:val="00580469"/>
    <w:rsid w:val="005816FD"/>
    <w:rsid w:val="00581985"/>
    <w:rsid w:val="00582967"/>
    <w:rsid w:val="0058430B"/>
    <w:rsid w:val="00584C27"/>
    <w:rsid w:val="0058743F"/>
    <w:rsid w:val="005917D1"/>
    <w:rsid w:val="005918EC"/>
    <w:rsid w:val="00592A3F"/>
    <w:rsid w:val="00593286"/>
    <w:rsid w:val="005956B1"/>
    <w:rsid w:val="00597A74"/>
    <w:rsid w:val="00597DE0"/>
    <w:rsid w:val="005A2ED9"/>
    <w:rsid w:val="005A2F14"/>
    <w:rsid w:val="005A76C6"/>
    <w:rsid w:val="005A7E96"/>
    <w:rsid w:val="005B10E5"/>
    <w:rsid w:val="005B3F35"/>
    <w:rsid w:val="005B55AB"/>
    <w:rsid w:val="005B7E13"/>
    <w:rsid w:val="005C3D39"/>
    <w:rsid w:val="005D102F"/>
    <w:rsid w:val="005D196D"/>
    <w:rsid w:val="005D2609"/>
    <w:rsid w:val="005D33B7"/>
    <w:rsid w:val="005D5872"/>
    <w:rsid w:val="005D702C"/>
    <w:rsid w:val="005D7702"/>
    <w:rsid w:val="005E0ABF"/>
    <w:rsid w:val="005E1D51"/>
    <w:rsid w:val="005E231C"/>
    <w:rsid w:val="005E32EC"/>
    <w:rsid w:val="005E4BAF"/>
    <w:rsid w:val="005E559B"/>
    <w:rsid w:val="005E6016"/>
    <w:rsid w:val="005E68B0"/>
    <w:rsid w:val="005E71B4"/>
    <w:rsid w:val="005F0271"/>
    <w:rsid w:val="005F02C9"/>
    <w:rsid w:val="005F0C98"/>
    <w:rsid w:val="005F4636"/>
    <w:rsid w:val="005F5833"/>
    <w:rsid w:val="005F794F"/>
    <w:rsid w:val="00600FCE"/>
    <w:rsid w:val="006016A1"/>
    <w:rsid w:val="006027A2"/>
    <w:rsid w:val="00603319"/>
    <w:rsid w:val="00603C04"/>
    <w:rsid w:val="0060585C"/>
    <w:rsid w:val="00607E8B"/>
    <w:rsid w:val="00607F36"/>
    <w:rsid w:val="00610118"/>
    <w:rsid w:val="00613586"/>
    <w:rsid w:val="0061539F"/>
    <w:rsid w:val="00617C5F"/>
    <w:rsid w:val="00621E6D"/>
    <w:rsid w:val="0062226E"/>
    <w:rsid w:val="006231AF"/>
    <w:rsid w:val="0062700B"/>
    <w:rsid w:val="00630FBE"/>
    <w:rsid w:val="00632C35"/>
    <w:rsid w:val="00633285"/>
    <w:rsid w:val="0063366B"/>
    <w:rsid w:val="00634753"/>
    <w:rsid w:val="00634DE2"/>
    <w:rsid w:val="00636953"/>
    <w:rsid w:val="00637C30"/>
    <w:rsid w:val="00637FDC"/>
    <w:rsid w:val="006400B1"/>
    <w:rsid w:val="006405DF"/>
    <w:rsid w:val="00641999"/>
    <w:rsid w:val="00641D40"/>
    <w:rsid w:val="00642A83"/>
    <w:rsid w:val="00642AE5"/>
    <w:rsid w:val="00643484"/>
    <w:rsid w:val="00645896"/>
    <w:rsid w:val="006467EA"/>
    <w:rsid w:val="00647DFE"/>
    <w:rsid w:val="00650655"/>
    <w:rsid w:val="00650FDC"/>
    <w:rsid w:val="00653CDA"/>
    <w:rsid w:val="00654B9C"/>
    <w:rsid w:val="00656717"/>
    <w:rsid w:val="00656A62"/>
    <w:rsid w:val="00657794"/>
    <w:rsid w:val="006579CA"/>
    <w:rsid w:val="00660142"/>
    <w:rsid w:val="00660D82"/>
    <w:rsid w:val="00660E2F"/>
    <w:rsid w:val="00661991"/>
    <w:rsid w:val="00661C12"/>
    <w:rsid w:val="00662B01"/>
    <w:rsid w:val="00662D91"/>
    <w:rsid w:val="00663243"/>
    <w:rsid w:val="00664435"/>
    <w:rsid w:val="00664EBB"/>
    <w:rsid w:val="006665BD"/>
    <w:rsid w:val="0066668B"/>
    <w:rsid w:val="006667B6"/>
    <w:rsid w:val="0066707D"/>
    <w:rsid w:val="00667427"/>
    <w:rsid w:val="00667474"/>
    <w:rsid w:val="00667A0B"/>
    <w:rsid w:val="006703D6"/>
    <w:rsid w:val="00670AF0"/>
    <w:rsid w:val="00672C30"/>
    <w:rsid w:val="00672DFB"/>
    <w:rsid w:val="00672E25"/>
    <w:rsid w:val="006745AB"/>
    <w:rsid w:val="00675DE4"/>
    <w:rsid w:val="006777D4"/>
    <w:rsid w:val="00677B73"/>
    <w:rsid w:val="006801CF"/>
    <w:rsid w:val="00680958"/>
    <w:rsid w:val="00681372"/>
    <w:rsid w:val="0068176B"/>
    <w:rsid w:val="0068471E"/>
    <w:rsid w:val="006851C4"/>
    <w:rsid w:val="00686E9C"/>
    <w:rsid w:val="00687E20"/>
    <w:rsid w:val="00687ED2"/>
    <w:rsid w:val="00690DD0"/>
    <w:rsid w:val="00692DF1"/>
    <w:rsid w:val="00694590"/>
    <w:rsid w:val="00694A3A"/>
    <w:rsid w:val="00695902"/>
    <w:rsid w:val="00695A80"/>
    <w:rsid w:val="00695EED"/>
    <w:rsid w:val="00697F10"/>
    <w:rsid w:val="00697FD7"/>
    <w:rsid w:val="006A0A85"/>
    <w:rsid w:val="006A10D0"/>
    <w:rsid w:val="006A118E"/>
    <w:rsid w:val="006A1652"/>
    <w:rsid w:val="006A22C0"/>
    <w:rsid w:val="006A2656"/>
    <w:rsid w:val="006A2A5E"/>
    <w:rsid w:val="006A418B"/>
    <w:rsid w:val="006A57D4"/>
    <w:rsid w:val="006A69AE"/>
    <w:rsid w:val="006A69D8"/>
    <w:rsid w:val="006B03F9"/>
    <w:rsid w:val="006B20FC"/>
    <w:rsid w:val="006B41E1"/>
    <w:rsid w:val="006B58C0"/>
    <w:rsid w:val="006B7089"/>
    <w:rsid w:val="006B71F6"/>
    <w:rsid w:val="006C140B"/>
    <w:rsid w:val="006C5BFD"/>
    <w:rsid w:val="006C6A41"/>
    <w:rsid w:val="006D03C1"/>
    <w:rsid w:val="006D0756"/>
    <w:rsid w:val="006D242B"/>
    <w:rsid w:val="006D41F7"/>
    <w:rsid w:val="006D4A89"/>
    <w:rsid w:val="006D5C5A"/>
    <w:rsid w:val="006D7530"/>
    <w:rsid w:val="006D7E83"/>
    <w:rsid w:val="006D7FF9"/>
    <w:rsid w:val="006E214F"/>
    <w:rsid w:val="006E48BD"/>
    <w:rsid w:val="006E48C8"/>
    <w:rsid w:val="006E4C70"/>
    <w:rsid w:val="006E5FBD"/>
    <w:rsid w:val="006E6855"/>
    <w:rsid w:val="006E716B"/>
    <w:rsid w:val="006E7339"/>
    <w:rsid w:val="006F0F8D"/>
    <w:rsid w:val="006F20E8"/>
    <w:rsid w:val="006F35C7"/>
    <w:rsid w:val="006F59B9"/>
    <w:rsid w:val="006F5B79"/>
    <w:rsid w:val="006F7BBF"/>
    <w:rsid w:val="00701234"/>
    <w:rsid w:val="00701CC1"/>
    <w:rsid w:val="007050E0"/>
    <w:rsid w:val="00707BF6"/>
    <w:rsid w:val="00707C34"/>
    <w:rsid w:val="007109FE"/>
    <w:rsid w:val="007113BF"/>
    <w:rsid w:val="00713D57"/>
    <w:rsid w:val="00715425"/>
    <w:rsid w:val="00716594"/>
    <w:rsid w:val="00717615"/>
    <w:rsid w:val="0072039D"/>
    <w:rsid w:val="00721C89"/>
    <w:rsid w:val="00722478"/>
    <w:rsid w:val="00722E5A"/>
    <w:rsid w:val="00723664"/>
    <w:rsid w:val="0072437C"/>
    <w:rsid w:val="0072468D"/>
    <w:rsid w:val="00724A52"/>
    <w:rsid w:val="00724F79"/>
    <w:rsid w:val="00727BAA"/>
    <w:rsid w:val="00730A46"/>
    <w:rsid w:val="00731D8D"/>
    <w:rsid w:val="00733437"/>
    <w:rsid w:val="00734328"/>
    <w:rsid w:val="007343DD"/>
    <w:rsid w:val="007361CC"/>
    <w:rsid w:val="00740FE1"/>
    <w:rsid w:val="0074114F"/>
    <w:rsid w:val="0074447E"/>
    <w:rsid w:val="007444C9"/>
    <w:rsid w:val="00744B78"/>
    <w:rsid w:val="00744CA4"/>
    <w:rsid w:val="00746138"/>
    <w:rsid w:val="007513CF"/>
    <w:rsid w:val="0075556F"/>
    <w:rsid w:val="00762931"/>
    <w:rsid w:val="00763A54"/>
    <w:rsid w:val="00763DF5"/>
    <w:rsid w:val="00765142"/>
    <w:rsid w:val="007654E9"/>
    <w:rsid w:val="0076739A"/>
    <w:rsid w:val="00767D6B"/>
    <w:rsid w:val="007700F0"/>
    <w:rsid w:val="0077176E"/>
    <w:rsid w:val="00771925"/>
    <w:rsid w:val="007720D8"/>
    <w:rsid w:val="007747E8"/>
    <w:rsid w:val="00777E41"/>
    <w:rsid w:val="00781547"/>
    <w:rsid w:val="007840BF"/>
    <w:rsid w:val="00785E2A"/>
    <w:rsid w:val="00786C86"/>
    <w:rsid w:val="007924C9"/>
    <w:rsid w:val="00795A83"/>
    <w:rsid w:val="007965ED"/>
    <w:rsid w:val="0079757A"/>
    <w:rsid w:val="007A0050"/>
    <w:rsid w:val="007A1335"/>
    <w:rsid w:val="007A28BA"/>
    <w:rsid w:val="007A298F"/>
    <w:rsid w:val="007A6AE2"/>
    <w:rsid w:val="007A705A"/>
    <w:rsid w:val="007B1AD6"/>
    <w:rsid w:val="007B20AB"/>
    <w:rsid w:val="007B5338"/>
    <w:rsid w:val="007B547D"/>
    <w:rsid w:val="007B5FA3"/>
    <w:rsid w:val="007B62FE"/>
    <w:rsid w:val="007B6F38"/>
    <w:rsid w:val="007B6FD1"/>
    <w:rsid w:val="007B7360"/>
    <w:rsid w:val="007B75E4"/>
    <w:rsid w:val="007B7F38"/>
    <w:rsid w:val="007C0548"/>
    <w:rsid w:val="007C2A18"/>
    <w:rsid w:val="007C34DE"/>
    <w:rsid w:val="007C357A"/>
    <w:rsid w:val="007C73E7"/>
    <w:rsid w:val="007C7A87"/>
    <w:rsid w:val="007D0859"/>
    <w:rsid w:val="007D0A87"/>
    <w:rsid w:val="007D1972"/>
    <w:rsid w:val="007D1C79"/>
    <w:rsid w:val="007D1F7D"/>
    <w:rsid w:val="007D2696"/>
    <w:rsid w:val="007D4517"/>
    <w:rsid w:val="007D47DB"/>
    <w:rsid w:val="007D56BB"/>
    <w:rsid w:val="007D65FD"/>
    <w:rsid w:val="007D69A4"/>
    <w:rsid w:val="007D72D9"/>
    <w:rsid w:val="007D7FB2"/>
    <w:rsid w:val="007E0135"/>
    <w:rsid w:val="007E365C"/>
    <w:rsid w:val="007E3BE0"/>
    <w:rsid w:val="007E3F49"/>
    <w:rsid w:val="007E4658"/>
    <w:rsid w:val="007E69B4"/>
    <w:rsid w:val="007F0ACA"/>
    <w:rsid w:val="007F1CDB"/>
    <w:rsid w:val="007F343D"/>
    <w:rsid w:val="007F3893"/>
    <w:rsid w:val="007F654A"/>
    <w:rsid w:val="007F6E5D"/>
    <w:rsid w:val="007F6FE1"/>
    <w:rsid w:val="007F73B3"/>
    <w:rsid w:val="00800E58"/>
    <w:rsid w:val="0080110C"/>
    <w:rsid w:val="00802268"/>
    <w:rsid w:val="00804462"/>
    <w:rsid w:val="00806371"/>
    <w:rsid w:val="008101B2"/>
    <w:rsid w:val="00810B01"/>
    <w:rsid w:val="00810B7C"/>
    <w:rsid w:val="008110D9"/>
    <w:rsid w:val="00812106"/>
    <w:rsid w:val="00812A03"/>
    <w:rsid w:val="0081361E"/>
    <w:rsid w:val="008144E1"/>
    <w:rsid w:val="008144EE"/>
    <w:rsid w:val="00815C23"/>
    <w:rsid w:val="00815EC6"/>
    <w:rsid w:val="008174F4"/>
    <w:rsid w:val="00817E46"/>
    <w:rsid w:val="00820242"/>
    <w:rsid w:val="00825849"/>
    <w:rsid w:val="00826879"/>
    <w:rsid w:val="0083079D"/>
    <w:rsid w:val="0083295B"/>
    <w:rsid w:val="0083412D"/>
    <w:rsid w:val="00835F28"/>
    <w:rsid w:val="0083644A"/>
    <w:rsid w:val="00840366"/>
    <w:rsid w:val="00840A7F"/>
    <w:rsid w:val="0084427D"/>
    <w:rsid w:val="00844AB2"/>
    <w:rsid w:val="008456FC"/>
    <w:rsid w:val="0085170E"/>
    <w:rsid w:val="008531EE"/>
    <w:rsid w:val="00853AF2"/>
    <w:rsid w:val="00853BD5"/>
    <w:rsid w:val="008540F5"/>
    <w:rsid w:val="00857171"/>
    <w:rsid w:val="00857567"/>
    <w:rsid w:val="00857CFA"/>
    <w:rsid w:val="00857D08"/>
    <w:rsid w:val="00864199"/>
    <w:rsid w:val="00866E49"/>
    <w:rsid w:val="0087051D"/>
    <w:rsid w:val="008707E3"/>
    <w:rsid w:val="00871D97"/>
    <w:rsid w:val="00872008"/>
    <w:rsid w:val="008722D5"/>
    <w:rsid w:val="008728B8"/>
    <w:rsid w:val="00872981"/>
    <w:rsid w:val="00872B51"/>
    <w:rsid w:val="00873267"/>
    <w:rsid w:val="00873273"/>
    <w:rsid w:val="008752AF"/>
    <w:rsid w:val="00875505"/>
    <w:rsid w:val="00876558"/>
    <w:rsid w:val="008770B3"/>
    <w:rsid w:val="008814A3"/>
    <w:rsid w:val="008836F3"/>
    <w:rsid w:val="00883854"/>
    <w:rsid w:val="008841F2"/>
    <w:rsid w:val="00885261"/>
    <w:rsid w:val="00886B7D"/>
    <w:rsid w:val="008903F7"/>
    <w:rsid w:val="00892ADA"/>
    <w:rsid w:val="00893B6A"/>
    <w:rsid w:val="0089601A"/>
    <w:rsid w:val="008A020B"/>
    <w:rsid w:val="008A09C5"/>
    <w:rsid w:val="008A0B03"/>
    <w:rsid w:val="008A3C2B"/>
    <w:rsid w:val="008A4725"/>
    <w:rsid w:val="008A55DC"/>
    <w:rsid w:val="008A55FB"/>
    <w:rsid w:val="008A60F0"/>
    <w:rsid w:val="008B059B"/>
    <w:rsid w:val="008B280E"/>
    <w:rsid w:val="008B30AA"/>
    <w:rsid w:val="008B4268"/>
    <w:rsid w:val="008C01B7"/>
    <w:rsid w:val="008C02F0"/>
    <w:rsid w:val="008C0ED6"/>
    <w:rsid w:val="008C224B"/>
    <w:rsid w:val="008C3340"/>
    <w:rsid w:val="008C3DE9"/>
    <w:rsid w:val="008C40F7"/>
    <w:rsid w:val="008C42E6"/>
    <w:rsid w:val="008C4722"/>
    <w:rsid w:val="008C48B3"/>
    <w:rsid w:val="008C4BAF"/>
    <w:rsid w:val="008C4E24"/>
    <w:rsid w:val="008D0343"/>
    <w:rsid w:val="008D1035"/>
    <w:rsid w:val="008D1835"/>
    <w:rsid w:val="008D2119"/>
    <w:rsid w:val="008D4DB0"/>
    <w:rsid w:val="008D5895"/>
    <w:rsid w:val="008D5AFE"/>
    <w:rsid w:val="008D6240"/>
    <w:rsid w:val="008E2745"/>
    <w:rsid w:val="008E41E0"/>
    <w:rsid w:val="008E4F62"/>
    <w:rsid w:val="008E63FF"/>
    <w:rsid w:val="008E74EF"/>
    <w:rsid w:val="008E78DF"/>
    <w:rsid w:val="008F03DE"/>
    <w:rsid w:val="008F1506"/>
    <w:rsid w:val="008F1E27"/>
    <w:rsid w:val="008F3965"/>
    <w:rsid w:val="008F3F88"/>
    <w:rsid w:val="008F43DE"/>
    <w:rsid w:val="008F5137"/>
    <w:rsid w:val="008F52A3"/>
    <w:rsid w:val="008F58B9"/>
    <w:rsid w:val="008F6D65"/>
    <w:rsid w:val="009004B0"/>
    <w:rsid w:val="0090159F"/>
    <w:rsid w:val="00901E3D"/>
    <w:rsid w:val="009041D3"/>
    <w:rsid w:val="0090515F"/>
    <w:rsid w:val="00905DE5"/>
    <w:rsid w:val="00905E4E"/>
    <w:rsid w:val="00906207"/>
    <w:rsid w:val="00911E40"/>
    <w:rsid w:val="00912E7F"/>
    <w:rsid w:val="00913A14"/>
    <w:rsid w:val="00914FC8"/>
    <w:rsid w:val="00917C21"/>
    <w:rsid w:val="0092008F"/>
    <w:rsid w:val="009208B2"/>
    <w:rsid w:val="00921604"/>
    <w:rsid w:val="00925F85"/>
    <w:rsid w:val="00926A3E"/>
    <w:rsid w:val="0093072D"/>
    <w:rsid w:val="00933AD2"/>
    <w:rsid w:val="00936DDE"/>
    <w:rsid w:val="00937517"/>
    <w:rsid w:val="0093777B"/>
    <w:rsid w:val="009377FF"/>
    <w:rsid w:val="00937EB8"/>
    <w:rsid w:val="0094047A"/>
    <w:rsid w:val="00941F58"/>
    <w:rsid w:val="00942A6F"/>
    <w:rsid w:val="00943EBF"/>
    <w:rsid w:val="0095250E"/>
    <w:rsid w:val="009529C5"/>
    <w:rsid w:val="00952E2E"/>
    <w:rsid w:val="00953077"/>
    <w:rsid w:val="009532E4"/>
    <w:rsid w:val="00956E20"/>
    <w:rsid w:val="0096021B"/>
    <w:rsid w:val="009614ED"/>
    <w:rsid w:val="00961D81"/>
    <w:rsid w:val="00961E85"/>
    <w:rsid w:val="00963F68"/>
    <w:rsid w:val="00964BE6"/>
    <w:rsid w:val="00965776"/>
    <w:rsid w:val="0096614F"/>
    <w:rsid w:val="009661BA"/>
    <w:rsid w:val="0096653C"/>
    <w:rsid w:val="009673BF"/>
    <w:rsid w:val="009709FC"/>
    <w:rsid w:val="0098186B"/>
    <w:rsid w:val="00983AC3"/>
    <w:rsid w:val="00984412"/>
    <w:rsid w:val="00985263"/>
    <w:rsid w:val="00990EC4"/>
    <w:rsid w:val="009919C8"/>
    <w:rsid w:val="009920CC"/>
    <w:rsid w:val="009922EF"/>
    <w:rsid w:val="00995C21"/>
    <w:rsid w:val="009961B9"/>
    <w:rsid w:val="009974F9"/>
    <w:rsid w:val="009A0D87"/>
    <w:rsid w:val="009A15ED"/>
    <w:rsid w:val="009A1665"/>
    <w:rsid w:val="009A2583"/>
    <w:rsid w:val="009A280C"/>
    <w:rsid w:val="009A4B66"/>
    <w:rsid w:val="009A509E"/>
    <w:rsid w:val="009A5B7E"/>
    <w:rsid w:val="009A5F69"/>
    <w:rsid w:val="009A6146"/>
    <w:rsid w:val="009B2398"/>
    <w:rsid w:val="009B25CF"/>
    <w:rsid w:val="009B3EB9"/>
    <w:rsid w:val="009B56CB"/>
    <w:rsid w:val="009B5DDF"/>
    <w:rsid w:val="009B5EEC"/>
    <w:rsid w:val="009C06A8"/>
    <w:rsid w:val="009C099E"/>
    <w:rsid w:val="009C0A50"/>
    <w:rsid w:val="009C1560"/>
    <w:rsid w:val="009C1EF5"/>
    <w:rsid w:val="009C4891"/>
    <w:rsid w:val="009C7186"/>
    <w:rsid w:val="009C7485"/>
    <w:rsid w:val="009D0EBB"/>
    <w:rsid w:val="009D1BDE"/>
    <w:rsid w:val="009D29DF"/>
    <w:rsid w:val="009D349B"/>
    <w:rsid w:val="009D3B3A"/>
    <w:rsid w:val="009D7B9C"/>
    <w:rsid w:val="009E15BD"/>
    <w:rsid w:val="009E1C5C"/>
    <w:rsid w:val="009E21F9"/>
    <w:rsid w:val="009E4566"/>
    <w:rsid w:val="009E5CC5"/>
    <w:rsid w:val="009E6599"/>
    <w:rsid w:val="009E6D72"/>
    <w:rsid w:val="009E7B04"/>
    <w:rsid w:val="009F086E"/>
    <w:rsid w:val="009F0ABA"/>
    <w:rsid w:val="009F136B"/>
    <w:rsid w:val="009F34C8"/>
    <w:rsid w:val="009F382F"/>
    <w:rsid w:val="009F64B4"/>
    <w:rsid w:val="009F7D28"/>
    <w:rsid w:val="009F7D51"/>
    <w:rsid w:val="00A02E84"/>
    <w:rsid w:val="00A03679"/>
    <w:rsid w:val="00A043CE"/>
    <w:rsid w:val="00A05474"/>
    <w:rsid w:val="00A05A49"/>
    <w:rsid w:val="00A06457"/>
    <w:rsid w:val="00A07893"/>
    <w:rsid w:val="00A07E1D"/>
    <w:rsid w:val="00A10316"/>
    <w:rsid w:val="00A10BBB"/>
    <w:rsid w:val="00A11E13"/>
    <w:rsid w:val="00A153B4"/>
    <w:rsid w:val="00A153F9"/>
    <w:rsid w:val="00A1560E"/>
    <w:rsid w:val="00A16A3B"/>
    <w:rsid w:val="00A20CEA"/>
    <w:rsid w:val="00A22441"/>
    <w:rsid w:val="00A22520"/>
    <w:rsid w:val="00A22C5D"/>
    <w:rsid w:val="00A235E4"/>
    <w:rsid w:val="00A24ACC"/>
    <w:rsid w:val="00A24F0F"/>
    <w:rsid w:val="00A25014"/>
    <w:rsid w:val="00A251AA"/>
    <w:rsid w:val="00A259BB"/>
    <w:rsid w:val="00A26298"/>
    <w:rsid w:val="00A27542"/>
    <w:rsid w:val="00A27620"/>
    <w:rsid w:val="00A31162"/>
    <w:rsid w:val="00A3472C"/>
    <w:rsid w:val="00A37621"/>
    <w:rsid w:val="00A37F12"/>
    <w:rsid w:val="00A405AB"/>
    <w:rsid w:val="00A40CEC"/>
    <w:rsid w:val="00A433A2"/>
    <w:rsid w:val="00A43FA9"/>
    <w:rsid w:val="00A44363"/>
    <w:rsid w:val="00A46F0C"/>
    <w:rsid w:val="00A5089B"/>
    <w:rsid w:val="00A50B5D"/>
    <w:rsid w:val="00A53A84"/>
    <w:rsid w:val="00A55CA6"/>
    <w:rsid w:val="00A57831"/>
    <w:rsid w:val="00A62E37"/>
    <w:rsid w:val="00A637D0"/>
    <w:rsid w:val="00A6389D"/>
    <w:rsid w:val="00A63BF4"/>
    <w:rsid w:val="00A65864"/>
    <w:rsid w:val="00A659B5"/>
    <w:rsid w:val="00A65EE3"/>
    <w:rsid w:val="00A66AC7"/>
    <w:rsid w:val="00A66DB3"/>
    <w:rsid w:val="00A7062F"/>
    <w:rsid w:val="00A70E02"/>
    <w:rsid w:val="00A70FE3"/>
    <w:rsid w:val="00A7361E"/>
    <w:rsid w:val="00A73791"/>
    <w:rsid w:val="00A73D47"/>
    <w:rsid w:val="00A74074"/>
    <w:rsid w:val="00A746A9"/>
    <w:rsid w:val="00A7513F"/>
    <w:rsid w:val="00A80E69"/>
    <w:rsid w:val="00A810FD"/>
    <w:rsid w:val="00A8334A"/>
    <w:rsid w:val="00A83417"/>
    <w:rsid w:val="00A867C8"/>
    <w:rsid w:val="00A87D87"/>
    <w:rsid w:val="00A904D6"/>
    <w:rsid w:val="00A9262F"/>
    <w:rsid w:val="00A931AF"/>
    <w:rsid w:val="00A968BA"/>
    <w:rsid w:val="00A97E91"/>
    <w:rsid w:val="00AA0B28"/>
    <w:rsid w:val="00AA0D46"/>
    <w:rsid w:val="00AA133D"/>
    <w:rsid w:val="00AA13F1"/>
    <w:rsid w:val="00AA1CBE"/>
    <w:rsid w:val="00AA4843"/>
    <w:rsid w:val="00AA49A5"/>
    <w:rsid w:val="00AA548F"/>
    <w:rsid w:val="00AA7346"/>
    <w:rsid w:val="00AB0B8B"/>
    <w:rsid w:val="00AB0D6B"/>
    <w:rsid w:val="00AB14E1"/>
    <w:rsid w:val="00AB22F8"/>
    <w:rsid w:val="00AB29F6"/>
    <w:rsid w:val="00AB79EA"/>
    <w:rsid w:val="00AB7DC2"/>
    <w:rsid w:val="00AC0ED3"/>
    <w:rsid w:val="00AC174E"/>
    <w:rsid w:val="00AC2794"/>
    <w:rsid w:val="00AC29D4"/>
    <w:rsid w:val="00AC51FE"/>
    <w:rsid w:val="00AC6051"/>
    <w:rsid w:val="00AC61B8"/>
    <w:rsid w:val="00AC7482"/>
    <w:rsid w:val="00AC760F"/>
    <w:rsid w:val="00AC7B08"/>
    <w:rsid w:val="00AC7F38"/>
    <w:rsid w:val="00AD08B6"/>
    <w:rsid w:val="00AD0E8A"/>
    <w:rsid w:val="00AD1E0E"/>
    <w:rsid w:val="00AD2AC5"/>
    <w:rsid w:val="00AD38C9"/>
    <w:rsid w:val="00AD3913"/>
    <w:rsid w:val="00AD3DCB"/>
    <w:rsid w:val="00AD3F5C"/>
    <w:rsid w:val="00AD5295"/>
    <w:rsid w:val="00AD6B01"/>
    <w:rsid w:val="00AD7D99"/>
    <w:rsid w:val="00AE256D"/>
    <w:rsid w:val="00AE2E40"/>
    <w:rsid w:val="00AE4ABB"/>
    <w:rsid w:val="00AE62B3"/>
    <w:rsid w:val="00AF28BB"/>
    <w:rsid w:val="00AF3783"/>
    <w:rsid w:val="00AF3804"/>
    <w:rsid w:val="00AF3E8E"/>
    <w:rsid w:val="00AF6EE1"/>
    <w:rsid w:val="00B01553"/>
    <w:rsid w:val="00B020B1"/>
    <w:rsid w:val="00B04639"/>
    <w:rsid w:val="00B06F0E"/>
    <w:rsid w:val="00B10E4E"/>
    <w:rsid w:val="00B118B4"/>
    <w:rsid w:val="00B11A6E"/>
    <w:rsid w:val="00B127F5"/>
    <w:rsid w:val="00B13432"/>
    <w:rsid w:val="00B14BA5"/>
    <w:rsid w:val="00B16D84"/>
    <w:rsid w:val="00B23B36"/>
    <w:rsid w:val="00B23DA3"/>
    <w:rsid w:val="00B24066"/>
    <w:rsid w:val="00B240DE"/>
    <w:rsid w:val="00B24A83"/>
    <w:rsid w:val="00B301A7"/>
    <w:rsid w:val="00B31351"/>
    <w:rsid w:val="00B36F6D"/>
    <w:rsid w:val="00B40FAC"/>
    <w:rsid w:val="00B42187"/>
    <w:rsid w:val="00B43A98"/>
    <w:rsid w:val="00B44BDC"/>
    <w:rsid w:val="00B45A95"/>
    <w:rsid w:val="00B4614B"/>
    <w:rsid w:val="00B46286"/>
    <w:rsid w:val="00B4786F"/>
    <w:rsid w:val="00B5192E"/>
    <w:rsid w:val="00B52114"/>
    <w:rsid w:val="00B52AE9"/>
    <w:rsid w:val="00B5481C"/>
    <w:rsid w:val="00B63700"/>
    <w:rsid w:val="00B647B1"/>
    <w:rsid w:val="00B64846"/>
    <w:rsid w:val="00B665A2"/>
    <w:rsid w:val="00B6753E"/>
    <w:rsid w:val="00B67AFF"/>
    <w:rsid w:val="00B67B22"/>
    <w:rsid w:val="00B67C85"/>
    <w:rsid w:val="00B70E8E"/>
    <w:rsid w:val="00B71328"/>
    <w:rsid w:val="00B71E85"/>
    <w:rsid w:val="00B73F68"/>
    <w:rsid w:val="00B7416C"/>
    <w:rsid w:val="00B74BDE"/>
    <w:rsid w:val="00B76DD7"/>
    <w:rsid w:val="00B77DFD"/>
    <w:rsid w:val="00B80FCD"/>
    <w:rsid w:val="00B82246"/>
    <w:rsid w:val="00B833BD"/>
    <w:rsid w:val="00B8347C"/>
    <w:rsid w:val="00B862CB"/>
    <w:rsid w:val="00B86A9C"/>
    <w:rsid w:val="00B87A71"/>
    <w:rsid w:val="00B87F94"/>
    <w:rsid w:val="00B910DA"/>
    <w:rsid w:val="00B911A0"/>
    <w:rsid w:val="00B915DA"/>
    <w:rsid w:val="00B91609"/>
    <w:rsid w:val="00B917BE"/>
    <w:rsid w:val="00B91F4D"/>
    <w:rsid w:val="00B95485"/>
    <w:rsid w:val="00B958EC"/>
    <w:rsid w:val="00B95F0E"/>
    <w:rsid w:val="00B971A0"/>
    <w:rsid w:val="00B972E0"/>
    <w:rsid w:val="00BA1277"/>
    <w:rsid w:val="00BA16C8"/>
    <w:rsid w:val="00BA17E2"/>
    <w:rsid w:val="00BA258F"/>
    <w:rsid w:val="00BA26F8"/>
    <w:rsid w:val="00BA2D55"/>
    <w:rsid w:val="00BA41E3"/>
    <w:rsid w:val="00BA6D63"/>
    <w:rsid w:val="00BB16F9"/>
    <w:rsid w:val="00BB3133"/>
    <w:rsid w:val="00BB452F"/>
    <w:rsid w:val="00BB5958"/>
    <w:rsid w:val="00BB78EA"/>
    <w:rsid w:val="00BC17CE"/>
    <w:rsid w:val="00BC3F76"/>
    <w:rsid w:val="00BC5B81"/>
    <w:rsid w:val="00BD0F5E"/>
    <w:rsid w:val="00BD1036"/>
    <w:rsid w:val="00BD2B62"/>
    <w:rsid w:val="00BD5874"/>
    <w:rsid w:val="00BD6DCC"/>
    <w:rsid w:val="00BD7247"/>
    <w:rsid w:val="00BE0A27"/>
    <w:rsid w:val="00BE0A6C"/>
    <w:rsid w:val="00BE0BB0"/>
    <w:rsid w:val="00BE2DEF"/>
    <w:rsid w:val="00BE3CF8"/>
    <w:rsid w:val="00BE46EC"/>
    <w:rsid w:val="00BE4A6C"/>
    <w:rsid w:val="00BE5436"/>
    <w:rsid w:val="00BE70DB"/>
    <w:rsid w:val="00BF51DE"/>
    <w:rsid w:val="00BF5234"/>
    <w:rsid w:val="00C003CA"/>
    <w:rsid w:val="00C007DC"/>
    <w:rsid w:val="00C012DD"/>
    <w:rsid w:val="00C019A8"/>
    <w:rsid w:val="00C06197"/>
    <w:rsid w:val="00C10237"/>
    <w:rsid w:val="00C1036A"/>
    <w:rsid w:val="00C10A31"/>
    <w:rsid w:val="00C10A70"/>
    <w:rsid w:val="00C110B9"/>
    <w:rsid w:val="00C1159A"/>
    <w:rsid w:val="00C1177D"/>
    <w:rsid w:val="00C1292C"/>
    <w:rsid w:val="00C13846"/>
    <w:rsid w:val="00C13BFB"/>
    <w:rsid w:val="00C13FCB"/>
    <w:rsid w:val="00C15EDC"/>
    <w:rsid w:val="00C167B9"/>
    <w:rsid w:val="00C169A3"/>
    <w:rsid w:val="00C171BB"/>
    <w:rsid w:val="00C2118C"/>
    <w:rsid w:val="00C235C2"/>
    <w:rsid w:val="00C239B4"/>
    <w:rsid w:val="00C26F50"/>
    <w:rsid w:val="00C279BB"/>
    <w:rsid w:val="00C27EEB"/>
    <w:rsid w:val="00C30554"/>
    <w:rsid w:val="00C31E47"/>
    <w:rsid w:val="00C32518"/>
    <w:rsid w:val="00C327D4"/>
    <w:rsid w:val="00C33C45"/>
    <w:rsid w:val="00C353EA"/>
    <w:rsid w:val="00C408AB"/>
    <w:rsid w:val="00C41705"/>
    <w:rsid w:val="00C4175D"/>
    <w:rsid w:val="00C41EF5"/>
    <w:rsid w:val="00C43030"/>
    <w:rsid w:val="00C4306B"/>
    <w:rsid w:val="00C43124"/>
    <w:rsid w:val="00C4526F"/>
    <w:rsid w:val="00C46AB5"/>
    <w:rsid w:val="00C46EBE"/>
    <w:rsid w:val="00C50900"/>
    <w:rsid w:val="00C51829"/>
    <w:rsid w:val="00C518E5"/>
    <w:rsid w:val="00C519CE"/>
    <w:rsid w:val="00C51F30"/>
    <w:rsid w:val="00C528AB"/>
    <w:rsid w:val="00C52CE0"/>
    <w:rsid w:val="00C54B9B"/>
    <w:rsid w:val="00C5518D"/>
    <w:rsid w:val="00C55B3F"/>
    <w:rsid w:val="00C56A08"/>
    <w:rsid w:val="00C6376E"/>
    <w:rsid w:val="00C645C3"/>
    <w:rsid w:val="00C64875"/>
    <w:rsid w:val="00C65387"/>
    <w:rsid w:val="00C6669B"/>
    <w:rsid w:val="00C67056"/>
    <w:rsid w:val="00C70BAE"/>
    <w:rsid w:val="00C72748"/>
    <w:rsid w:val="00C7347E"/>
    <w:rsid w:val="00C74016"/>
    <w:rsid w:val="00C741F6"/>
    <w:rsid w:val="00C74A38"/>
    <w:rsid w:val="00C76664"/>
    <w:rsid w:val="00C77211"/>
    <w:rsid w:val="00C77E69"/>
    <w:rsid w:val="00C80046"/>
    <w:rsid w:val="00C80582"/>
    <w:rsid w:val="00C80683"/>
    <w:rsid w:val="00C82865"/>
    <w:rsid w:val="00C8300D"/>
    <w:rsid w:val="00C84692"/>
    <w:rsid w:val="00C927BA"/>
    <w:rsid w:val="00C935E5"/>
    <w:rsid w:val="00C93B2C"/>
    <w:rsid w:val="00C940FE"/>
    <w:rsid w:val="00C95BC7"/>
    <w:rsid w:val="00C963F3"/>
    <w:rsid w:val="00C9694D"/>
    <w:rsid w:val="00C96E25"/>
    <w:rsid w:val="00CA08EE"/>
    <w:rsid w:val="00CA3FF3"/>
    <w:rsid w:val="00CA4239"/>
    <w:rsid w:val="00CA5435"/>
    <w:rsid w:val="00CA5A2A"/>
    <w:rsid w:val="00CA627B"/>
    <w:rsid w:val="00CA6281"/>
    <w:rsid w:val="00CA63C9"/>
    <w:rsid w:val="00CA65D9"/>
    <w:rsid w:val="00CA65E6"/>
    <w:rsid w:val="00CA72C4"/>
    <w:rsid w:val="00CB2015"/>
    <w:rsid w:val="00CB3E09"/>
    <w:rsid w:val="00CB5C58"/>
    <w:rsid w:val="00CB6BE5"/>
    <w:rsid w:val="00CB7422"/>
    <w:rsid w:val="00CC0A7E"/>
    <w:rsid w:val="00CC24B5"/>
    <w:rsid w:val="00CC4686"/>
    <w:rsid w:val="00CC5360"/>
    <w:rsid w:val="00CC5F02"/>
    <w:rsid w:val="00CC6117"/>
    <w:rsid w:val="00CC702A"/>
    <w:rsid w:val="00CC777D"/>
    <w:rsid w:val="00CC7A75"/>
    <w:rsid w:val="00CD0214"/>
    <w:rsid w:val="00CD24D6"/>
    <w:rsid w:val="00CD3524"/>
    <w:rsid w:val="00CD413C"/>
    <w:rsid w:val="00CD4D16"/>
    <w:rsid w:val="00CD703F"/>
    <w:rsid w:val="00CD718D"/>
    <w:rsid w:val="00CE019D"/>
    <w:rsid w:val="00CE1BB5"/>
    <w:rsid w:val="00CE1E28"/>
    <w:rsid w:val="00CE5212"/>
    <w:rsid w:val="00CE56AD"/>
    <w:rsid w:val="00CE6683"/>
    <w:rsid w:val="00CF09AB"/>
    <w:rsid w:val="00CF2E0F"/>
    <w:rsid w:val="00CF4B98"/>
    <w:rsid w:val="00D03162"/>
    <w:rsid w:val="00D031A5"/>
    <w:rsid w:val="00D05E64"/>
    <w:rsid w:val="00D06D40"/>
    <w:rsid w:val="00D075A6"/>
    <w:rsid w:val="00D10855"/>
    <w:rsid w:val="00D11982"/>
    <w:rsid w:val="00D11FF1"/>
    <w:rsid w:val="00D148AB"/>
    <w:rsid w:val="00D14AC7"/>
    <w:rsid w:val="00D162DD"/>
    <w:rsid w:val="00D2099E"/>
    <w:rsid w:val="00D213AE"/>
    <w:rsid w:val="00D217D0"/>
    <w:rsid w:val="00D22503"/>
    <w:rsid w:val="00D22584"/>
    <w:rsid w:val="00D247F4"/>
    <w:rsid w:val="00D24B6C"/>
    <w:rsid w:val="00D26450"/>
    <w:rsid w:val="00D27B84"/>
    <w:rsid w:val="00D307C1"/>
    <w:rsid w:val="00D31004"/>
    <w:rsid w:val="00D32935"/>
    <w:rsid w:val="00D32B79"/>
    <w:rsid w:val="00D32FDD"/>
    <w:rsid w:val="00D330EB"/>
    <w:rsid w:val="00D33273"/>
    <w:rsid w:val="00D34B5D"/>
    <w:rsid w:val="00D34B7B"/>
    <w:rsid w:val="00D4079A"/>
    <w:rsid w:val="00D40AEB"/>
    <w:rsid w:val="00D428AC"/>
    <w:rsid w:val="00D4407B"/>
    <w:rsid w:val="00D441C2"/>
    <w:rsid w:val="00D44CBB"/>
    <w:rsid w:val="00D4546B"/>
    <w:rsid w:val="00D46BF8"/>
    <w:rsid w:val="00D47907"/>
    <w:rsid w:val="00D50494"/>
    <w:rsid w:val="00D52EB8"/>
    <w:rsid w:val="00D53428"/>
    <w:rsid w:val="00D53807"/>
    <w:rsid w:val="00D53D4B"/>
    <w:rsid w:val="00D54392"/>
    <w:rsid w:val="00D55216"/>
    <w:rsid w:val="00D565D1"/>
    <w:rsid w:val="00D56DDD"/>
    <w:rsid w:val="00D56F30"/>
    <w:rsid w:val="00D57F5B"/>
    <w:rsid w:val="00D60E5C"/>
    <w:rsid w:val="00D61092"/>
    <w:rsid w:val="00D61394"/>
    <w:rsid w:val="00D620DC"/>
    <w:rsid w:val="00D6224D"/>
    <w:rsid w:val="00D62E18"/>
    <w:rsid w:val="00D63051"/>
    <w:rsid w:val="00D64752"/>
    <w:rsid w:val="00D652D2"/>
    <w:rsid w:val="00D701B0"/>
    <w:rsid w:val="00D70268"/>
    <w:rsid w:val="00D71D0E"/>
    <w:rsid w:val="00D7260A"/>
    <w:rsid w:val="00D73117"/>
    <w:rsid w:val="00D7344B"/>
    <w:rsid w:val="00D74855"/>
    <w:rsid w:val="00D74D93"/>
    <w:rsid w:val="00D75776"/>
    <w:rsid w:val="00D7684D"/>
    <w:rsid w:val="00D77C1F"/>
    <w:rsid w:val="00D77D3F"/>
    <w:rsid w:val="00D8125E"/>
    <w:rsid w:val="00D817C2"/>
    <w:rsid w:val="00D81FCF"/>
    <w:rsid w:val="00D840A4"/>
    <w:rsid w:val="00D8454C"/>
    <w:rsid w:val="00D8652A"/>
    <w:rsid w:val="00D86E35"/>
    <w:rsid w:val="00D901FF"/>
    <w:rsid w:val="00D9222E"/>
    <w:rsid w:val="00D93DBA"/>
    <w:rsid w:val="00D942CF"/>
    <w:rsid w:val="00D95CAB"/>
    <w:rsid w:val="00D96CE5"/>
    <w:rsid w:val="00D9788C"/>
    <w:rsid w:val="00DA06DC"/>
    <w:rsid w:val="00DA102C"/>
    <w:rsid w:val="00DA1444"/>
    <w:rsid w:val="00DA29AC"/>
    <w:rsid w:val="00DA3149"/>
    <w:rsid w:val="00DA3A97"/>
    <w:rsid w:val="00DA3F73"/>
    <w:rsid w:val="00DA5629"/>
    <w:rsid w:val="00DA693A"/>
    <w:rsid w:val="00DA6FF4"/>
    <w:rsid w:val="00DB0190"/>
    <w:rsid w:val="00DB0A3B"/>
    <w:rsid w:val="00DB0E99"/>
    <w:rsid w:val="00DB57BD"/>
    <w:rsid w:val="00DB5BB0"/>
    <w:rsid w:val="00DC34A2"/>
    <w:rsid w:val="00DC38C6"/>
    <w:rsid w:val="00DC390C"/>
    <w:rsid w:val="00DC497C"/>
    <w:rsid w:val="00DC518C"/>
    <w:rsid w:val="00DC6F2F"/>
    <w:rsid w:val="00DC7816"/>
    <w:rsid w:val="00DD0560"/>
    <w:rsid w:val="00DD11B4"/>
    <w:rsid w:val="00DD14F3"/>
    <w:rsid w:val="00DD3185"/>
    <w:rsid w:val="00DD407F"/>
    <w:rsid w:val="00DD595C"/>
    <w:rsid w:val="00DD5DAA"/>
    <w:rsid w:val="00DD64FF"/>
    <w:rsid w:val="00DE0121"/>
    <w:rsid w:val="00DE0877"/>
    <w:rsid w:val="00DE0D20"/>
    <w:rsid w:val="00DE1A4B"/>
    <w:rsid w:val="00DE2EE6"/>
    <w:rsid w:val="00DE39D2"/>
    <w:rsid w:val="00DE48B6"/>
    <w:rsid w:val="00DE4EFF"/>
    <w:rsid w:val="00DE52FF"/>
    <w:rsid w:val="00DE6017"/>
    <w:rsid w:val="00DF25E2"/>
    <w:rsid w:val="00DF5E69"/>
    <w:rsid w:val="00DF6E84"/>
    <w:rsid w:val="00DF7EED"/>
    <w:rsid w:val="00E0032B"/>
    <w:rsid w:val="00E010E8"/>
    <w:rsid w:val="00E0435B"/>
    <w:rsid w:val="00E047D9"/>
    <w:rsid w:val="00E051F0"/>
    <w:rsid w:val="00E06C50"/>
    <w:rsid w:val="00E07B9E"/>
    <w:rsid w:val="00E10311"/>
    <w:rsid w:val="00E10346"/>
    <w:rsid w:val="00E10AFB"/>
    <w:rsid w:val="00E111FE"/>
    <w:rsid w:val="00E12002"/>
    <w:rsid w:val="00E12A8F"/>
    <w:rsid w:val="00E12E2C"/>
    <w:rsid w:val="00E13F71"/>
    <w:rsid w:val="00E146D0"/>
    <w:rsid w:val="00E17816"/>
    <w:rsid w:val="00E2159F"/>
    <w:rsid w:val="00E21B16"/>
    <w:rsid w:val="00E24930"/>
    <w:rsid w:val="00E25687"/>
    <w:rsid w:val="00E25795"/>
    <w:rsid w:val="00E26902"/>
    <w:rsid w:val="00E26E90"/>
    <w:rsid w:val="00E26FA7"/>
    <w:rsid w:val="00E272F1"/>
    <w:rsid w:val="00E2738E"/>
    <w:rsid w:val="00E27510"/>
    <w:rsid w:val="00E31218"/>
    <w:rsid w:val="00E31CA7"/>
    <w:rsid w:val="00E31D54"/>
    <w:rsid w:val="00E32015"/>
    <w:rsid w:val="00E33BCA"/>
    <w:rsid w:val="00E34E64"/>
    <w:rsid w:val="00E3584C"/>
    <w:rsid w:val="00E36274"/>
    <w:rsid w:val="00E3650B"/>
    <w:rsid w:val="00E36709"/>
    <w:rsid w:val="00E408CE"/>
    <w:rsid w:val="00E42B1C"/>
    <w:rsid w:val="00E44DFB"/>
    <w:rsid w:val="00E455F0"/>
    <w:rsid w:val="00E4624C"/>
    <w:rsid w:val="00E47F6C"/>
    <w:rsid w:val="00E50E95"/>
    <w:rsid w:val="00E50F8C"/>
    <w:rsid w:val="00E56215"/>
    <w:rsid w:val="00E564D5"/>
    <w:rsid w:val="00E56617"/>
    <w:rsid w:val="00E56EE8"/>
    <w:rsid w:val="00E57180"/>
    <w:rsid w:val="00E60B0A"/>
    <w:rsid w:val="00E64065"/>
    <w:rsid w:val="00E65849"/>
    <w:rsid w:val="00E66841"/>
    <w:rsid w:val="00E6705E"/>
    <w:rsid w:val="00E677B7"/>
    <w:rsid w:val="00E7044F"/>
    <w:rsid w:val="00E720E0"/>
    <w:rsid w:val="00E731B7"/>
    <w:rsid w:val="00E73737"/>
    <w:rsid w:val="00E7415A"/>
    <w:rsid w:val="00E74661"/>
    <w:rsid w:val="00E74E33"/>
    <w:rsid w:val="00E74FAB"/>
    <w:rsid w:val="00E82756"/>
    <w:rsid w:val="00E82A5A"/>
    <w:rsid w:val="00E82B2D"/>
    <w:rsid w:val="00E838DA"/>
    <w:rsid w:val="00E846A6"/>
    <w:rsid w:val="00E84D88"/>
    <w:rsid w:val="00E8523A"/>
    <w:rsid w:val="00E8559E"/>
    <w:rsid w:val="00E858CC"/>
    <w:rsid w:val="00E85A04"/>
    <w:rsid w:val="00E860EE"/>
    <w:rsid w:val="00E86152"/>
    <w:rsid w:val="00E8621E"/>
    <w:rsid w:val="00E870FE"/>
    <w:rsid w:val="00E87BB2"/>
    <w:rsid w:val="00E90916"/>
    <w:rsid w:val="00E91665"/>
    <w:rsid w:val="00E91D27"/>
    <w:rsid w:val="00E9257F"/>
    <w:rsid w:val="00E93BF1"/>
    <w:rsid w:val="00E95466"/>
    <w:rsid w:val="00E96EE9"/>
    <w:rsid w:val="00E97C8A"/>
    <w:rsid w:val="00EA05C0"/>
    <w:rsid w:val="00EA0889"/>
    <w:rsid w:val="00EA0BBF"/>
    <w:rsid w:val="00EA100A"/>
    <w:rsid w:val="00EA4171"/>
    <w:rsid w:val="00EA78DE"/>
    <w:rsid w:val="00EA792F"/>
    <w:rsid w:val="00EB17AD"/>
    <w:rsid w:val="00EB2146"/>
    <w:rsid w:val="00EB284C"/>
    <w:rsid w:val="00EB3453"/>
    <w:rsid w:val="00EB349B"/>
    <w:rsid w:val="00EB45EF"/>
    <w:rsid w:val="00EB620C"/>
    <w:rsid w:val="00EB7D9E"/>
    <w:rsid w:val="00EC0D31"/>
    <w:rsid w:val="00EC1082"/>
    <w:rsid w:val="00EC2955"/>
    <w:rsid w:val="00EC2B6A"/>
    <w:rsid w:val="00EC4AF0"/>
    <w:rsid w:val="00ED096B"/>
    <w:rsid w:val="00ED0EC2"/>
    <w:rsid w:val="00ED1151"/>
    <w:rsid w:val="00ED299A"/>
    <w:rsid w:val="00ED4090"/>
    <w:rsid w:val="00ED53CA"/>
    <w:rsid w:val="00ED61D7"/>
    <w:rsid w:val="00EE08A1"/>
    <w:rsid w:val="00EE093E"/>
    <w:rsid w:val="00EE1972"/>
    <w:rsid w:val="00EE3561"/>
    <w:rsid w:val="00EE5824"/>
    <w:rsid w:val="00EE5DB0"/>
    <w:rsid w:val="00EE6417"/>
    <w:rsid w:val="00EE79D4"/>
    <w:rsid w:val="00EF161B"/>
    <w:rsid w:val="00EF19DF"/>
    <w:rsid w:val="00EF39DF"/>
    <w:rsid w:val="00EF4CF9"/>
    <w:rsid w:val="00EF5FEC"/>
    <w:rsid w:val="00EF6A01"/>
    <w:rsid w:val="00EF7113"/>
    <w:rsid w:val="00EF78B6"/>
    <w:rsid w:val="00F0063D"/>
    <w:rsid w:val="00F00A3E"/>
    <w:rsid w:val="00F021AF"/>
    <w:rsid w:val="00F037DA"/>
    <w:rsid w:val="00F03A4A"/>
    <w:rsid w:val="00F03BD0"/>
    <w:rsid w:val="00F0590C"/>
    <w:rsid w:val="00F06573"/>
    <w:rsid w:val="00F077B1"/>
    <w:rsid w:val="00F07BC0"/>
    <w:rsid w:val="00F07FCB"/>
    <w:rsid w:val="00F11053"/>
    <w:rsid w:val="00F125EF"/>
    <w:rsid w:val="00F12695"/>
    <w:rsid w:val="00F135CE"/>
    <w:rsid w:val="00F140B3"/>
    <w:rsid w:val="00F17381"/>
    <w:rsid w:val="00F174F0"/>
    <w:rsid w:val="00F20C6F"/>
    <w:rsid w:val="00F21B87"/>
    <w:rsid w:val="00F2217F"/>
    <w:rsid w:val="00F23222"/>
    <w:rsid w:val="00F23F71"/>
    <w:rsid w:val="00F2575C"/>
    <w:rsid w:val="00F26844"/>
    <w:rsid w:val="00F27733"/>
    <w:rsid w:val="00F27922"/>
    <w:rsid w:val="00F31137"/>
    <w:rsid w:val="00F32FF9"/>
    <w:rsid w:val="00F334F6"/>
    <w:rsid w:val="00F33D57"/>
    <w:rsid w:val="00F33FE9"/>
    <w:rsid w:val="00F3635C"/>
    <w:rsid w:val="00F3685B"/>
    <w:rsid w:val="00F40D4B"/>
    <w:rsid w:val="00F44185"/>
    <w:rsid w:val="00F45960"/>
    <w:rsid w:val="00F45E31"/>
    <w:rsid w:val="00F45F07"/>
    <w:rsid w:val="00F47A8D"/>
    <w:rsid w:val="00F529DE"/>
    <w:rsid w:val="00F53D2F"/>
    <w:rsid w:val="00F53EB3"/>
    <w:rsid w:val="00F565AB"/>
    <w:rsid w:val="00F567EB"/>
    <w:rsid w:val="00F56F48"/>
    <w:rsid w:val="00F60CFB"/>
    <w:rsid w:val="00F60E49"/>
    <w:rsid w:val="00F60F31"/>
    <w:rsid w:val="00F6105D"/>
    <w:rsid w:val="00F62FCA"/>
    <w:rsid w:val="00F6405E"/>
    <w:rsid w:val="00F64BE4"/>
    <w:rsid w:val="00F6584C"/>
    <w:rsid w:val="00F65B1C"/>
    <w:rsid w:val="00F667AA"/>
    <w:rsid w:val="00F702A5"/>
    <w:rsid w:val="00F7094C"/>
    <w:rsid w:val="00F71200"/>
    <w:rsid w:val="00F7138D"/>
    <w:rsid w:val="00F719B0"/>
    <w:rsid w:val="00F72684"/>
    <w:rsid w:val="00F72E8B"/>
    <w:rsid w:val="00F7447B"/>
    <w:rsid w:val="00F77055"/>
    <w:rsid w:val="00F77C35"/>
    <w:rsid w:val="00F80254"/>
    <w:rsid w:val="00F813CF"/>
    <w:rsid w:val="00F81D07"/>
    <w:rsid w:val="00F821A4"/>
    <w:rsid w:val="00F8354C"/>
    <w:rsid w:val="00F83A17"/>
    <w:rsid w:val="00F8564F"/>
    <w:rsid w:val="00F90050"/>
    <w:rsid w:val="00F91931"/>
    <w:rsid w:val="00F920C0"/>
    <w:rsid w:val="00F943F5"/>
    <w:rsid w:val="00F946DA"/>
    <w:rsid w:val="00F956B0"/>
    <w:rsid w:val="00F96AA1"/>
    <w:rsid w:val="00FA4622"/>
    <w:rsid w:val="00FA5C5F"/>
    <w:rsid w:val="00FA625F"/>
    <w:rsid w:val="00FB0979"/>
    <w:rsid w:val="00FB2B93"/>
    <w:rsid w:val="00FB41EB"/>
    <w:rsid w:val="00FB5243"/>
    <w:rsid w:val="00FB6374"/>
    <w:rsid w:val="00FB6E4B"/>
    <w:rsid w:val="00FB7221"/>
    <w:rsid w:val="00FB7C8C"/>
    <w:rsid w:val="00FC0B2A"/>
    <w:rsid w:val="00FC0DDF"/>
    <w:rsid w:val="00FC0FDE"/>
    <w:rsid w:val="00FC13F2"/>
    <w:rsid w:val="00FC2ECB"/>
    <w:rsid w:val="00FC3B99"/>
    <w:rsid w:val="00FC4332"/>
    <w:rsid w:val="00FC49E1"/>
    <w:rsid w:val="00FC4C21"/>
    <w:rsid w:val="00FC5187"/>
    <w:rsid w:val="00FC5DCF"/>
    <w:rsid w:val="00FC5FF8"/>
    <w:rsid w:val="00FC7262"/>
    <w:rsid w:val="00FD3241"/>
    <w:rsid w:val="00FD3D1E"/>
    <w:rsid w:val="00FD4431"/>
    <w:rsid w:val="00FD465F"/>
    <w:rsid w:val="00FD508D"/>
    <w:rsid w:val="00FD5F43"/>
    <w:rsid w:val="00FD796D"/>
    <w:rsid w:val="00FD7AA6"/>
    <w:rsid w:val="00FE38CA"/>
    <w:rsid w:val="00FE4BD5"/>
    <w:rsid w:val="00FE5695"/>
    <w:rsid w:val="00FE59E5"/>
    <w:rsid w:val="00FE67D6"/>
    <w:rsid w:val="00FE73AA"/>
    <w:rsid w:val="00FE7567"/>
    <w:rsid w:val="00FE7E51"/>
    <w:rsid w:val="00FE7FDC"/>
    <w:rsid w:val="00FF3632"/>
    <w:rsid w:val="00FF3876"/>
    <w:rsid w:val="00FF3A10"/>
    <w:rsid w:val="00FF3D05"/>
    <w:rsid w:val="00FF4603"/>
    <w:rsid w:val="00FF51CB"/>
    <w:rsid w:val="00FF55D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76BB"/>
  <w15:chartTrackingRefBased/>
  <w15:docId w15:val="{1C2E29AC-D0EA-4F1A-BD34-7C6E6D30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A2A5E"/>
    <w:pPr>
      <w:keepNext/>
      <w:spacing w:after="0" w:line="240" w:lineRule="auto"/>
      <w:ind w:left="1080" w:firstLine="360"/>
      <w:jc w:val="both"/>
      <w:outlineLvl w:val="0"/>
    </w:pPr>
    <w:rPr>
      <w:rFonts w:ascii="Times New Roman" w:eastAsia="Times New Roman" w:hAnsi="Times New Roman" w:cs="Times New Roman"/>
      <w:szCs w:val="20"/>
      <w:u w:val="single"/>
      <w:lang w:val="en-US"/>
    </w:rPr>
  </w:style>
  <w:style w:type="paragraph" w:styleId="Heading2">
    <w:name w:val="heading 2"/>
    <w:basedOn w:val="Normal"/>
    <w:next w:val="Normal"/>
    <w:link w:val="Heading2Char"/>
    <w:uiPriority w:val="99"/>
    <w:qFormat/>
    <w:rsid w:val="006A2A5E"/>
    <w:pPr>
      <w:keepNext/>
      <w:spacing w:after="0" w:line="240" w:lineRule="auto"/>
      <w:ind w:left="1080"/>
      <w:jc w:val="both"/>
      <w:outlineLvl w:val="1"/>
    </w:pPr>
    <w:rPr>
      <w:rFonts w:ascii="Times New Roman" w:eastAsia="Times New Roman" w:hAnsi="Times New Roman" w:cs="Times New Roman"/>
      <w:i/>
      <w:szCs w:val="20"/>
      <w:lang w:val="en-US"/>
    </w:rPr>
  </w:style>
  <w:style w:type="paragraph" w:styleId="Heading3">
    <w:name w:val="heading 3"/>
    <w:basedOn w:val="Normal"/>
    <w:next w:val="Normal"/>
    <w:link w:val="Heading3Char"/>
    <w:uiPriority w:val="99"/>
    <w:qFormat/>
    <w:rsid w:val="006A2A5E"/>
    <w:pPr>
      <w:keepNext/>
      <w:tabs>
        <w:tab w:val="left" w:pos="1080"/>
      </w:tabs>
      <w:spacing w:after="0" w:line="240" w:lineRule="auto"/>
      <w:ind w:left="1080" w:hanging="1080"/>
      <w:jc w:val="both"/>
      <w:outlineLvl w:val="2"/>
    </w:pPr>
    <w:rPr>
      <w:rFonts w:ascii="Times New Roman" w:eastAsia="Times New Roman" w:hAnsi="Times New Roman" w:cs="Times New Roman"/>
      <w:szCs w:val="20"/>
      <w:u w:val="single"/>
      <w:lang w:val="en-GB"/>
    </w:rPr>
  </w:style>
  <w:style w:type="paragraph" w:styleId="Heading4">
    <w:name w:val="heading 4"/>
    <w:basedOn w:val="Normal"/>
    <w:next w:val="Normal"/>
    <w:link w:val="Heading4Char"/>
    <w:uiPriority w:val="99"/>
    <w:qFormat/>
    <w:rsid w:val="006A2A5E"/>
    <w:pPr>
      <w:keepNext/>
      <w:spacing w:after="0" w:line="240" w:lineRule="auto"/>
      <w:ind w:left="1440"/>
      <w:jc w:val="both"/>
      <w:outlineLvl w:val="3"/>
    </w:pPr>
    <w:rPr>
      <w:rFonts w:ascii="Times New Roman" w:eastAsia="Times New Roman" w:hAnsi="Times New Roman" w:cs="Times New Roman"/>
      <w:i/>
      <w:szCs w:val="20"/>
      <w:u w:val="single"/>
      <w:lang w:val="en-US"/>
    </w:rPr>
  </w:style>
  <w:style w:type="paragraph" w:styleId="Heading5">
    <w:name w:val="heading 5"/>
    <w:basedOn w:val="Normal"/>
    <w:next w:val="Normal"/>
    <w:link w:val="Heading5Char"/>
    <w:uiPriority w:val="99"/>
    <w:qFormat/>
    <w:rsid w:val="006A2A5E"/>
    <w:pPr>
      <w:keepNext/>
      <w:spacing w:after="120" w:line="240" w:lineRule="auto"/>
      <w:jc w:val="both"/>
      <w:outlineLvl w:val="4"/>
    </w:pPr>
    <w:rPr>
      <w:rFonts w:ascii="Times New Roman" w:eastAsia="Times New Roman" w:hAnsi="Times New Roman" w:cs="Times New Roman"/>
      <w:szCs w:val="20"/>
      <w:u w:val="single"/>
      <w:lang w:val="en-US"/>
    </w:rPr>
  </w:style>
  <w:style w:type="paragraph" w:styleId="Heading6">
    <w:name w:val="heading 6"/>
    <w:basedOn w:val="Normal"/>
    <w:next w:val="Normal"/>
    <w:link w:val="Heading6Char"/>
    <w:uiPriority w:val="99"/>
    <w:qFormat/>
    <w:rsid w:val="006A2A5E"/>
    <w:pPr>
      <w:keepNext/>
      <w:tabs>
        <w:tab w:val="left" w:pos="1080"/>
      </w:tabs>
      <w:spacing w:after="120" w:line="240" w:lineRule="auto"/>
      <w:ind w:left="1080"/>
      <w:jc w:val="both"/>
      <w:outlineLvl w:val="5"/>
    </w:pPr>
    <w:rPr>
      <w:rFonts w:ascii="Times New Roman" w:eastAsia="Times New Roman" w:hAnsi="Times New Roman" w:cs="Times New Roman"/>
      <w:i/>
      <w:iCs/>
      <w:szCs w:val="20"/>
      <w:u w:val="single"/>
      <w:lang w:val="en-US"/>
    </w:rPr>
  </w:style>
  <w:style w:type="paragraph" w:styleId="Heading7">
    <w:name w:val="heading 7"/>
    <w:basedOn w:val="Normal"/>
    <w:next w:val="Normal"/>
    <w:link w:val="Heading7Char"/>
    <w:uiPriority w:val="99"/>
    <w:qFormat/>
    <w:rsid w:val="006A2A5E"/>
    <w:pPr>
      <w:keepNext/>
      <w:spacing w:after="0" w:line="240" w:lineRule="auto"/>
      <w:jc w:val="center"/>
      <w:outlineLvl w:val="6"/>
    </w:pPr>
    <w:rPr>
      <w:rFonts w:ascii="Times New Roman" w:eastAsia="Times New Roman" w:hAnsi="Times New Roman" w:cs="Times New Roman"/>
      <w:szCs w:val="20"/>
      <w:u w:val="single"/>
      <w:lang w:val="en-US"/>
    </w:rPr>
  </w:style>
  <w:style w:type="paragraph" w:styleId="Heading8">
    <w:name w:val="heading 8"/>
    <w:basedOn w:val="Normal"/>
    <w:next w:val="Normal"/>
    <w:link w:val="Heading8Char"/>
    <w:uiPriority w:val="99"/>
    <w:qFormat/>
    <w:rsid w:val="006A2A5E"/>
    <w:pPr>
      <w:keepNext/>
      <w:spacing w:after="0" w:line="240" w:lineRule="auto"/>
      <w:jc w:val="center"/>
      <w:outlineLvl w:val="7"/>
    </w:pPr>
    <w:rPr>
      <w:rFonts w:ascii="Times New Roman" w:eastAsia="Times New Roman" w:hAnsi="Times New Roman" w:cs="Times New Roman"/>
      <w:i/>
      <w:iCs/>
      <w:szCs w:val="24"/>
      <w:u w:val="single"/>
      <w:lang w:val="en-GB"/>
    </w:rPr>
  </w:style>
  <w:style w:type="paragraph" w:styleId="Heading9">
    <w:name w:val="heading 9"/>
    <w:basedOn w:val="Normal"/>
    <w:next w:val="Normal"/>
    <w:link w:val="Heading9Char"/>
    <w:uiPriority w:val="99"/>
    <w:qFormat/>
    <w:rsid w:val="006A2A5E"/>
    <w:pPr>
      <w:keepNext/>
      <w:spacing w:after="0" w:line="240" w:lineRule="auto"/>
      <w:jc w:val="center"/>
      <w:outlineLvl w:val="8"/>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A2A5E"/>
    <w:pPr>
      <w:tabs>
        <w:tab w:val="left" w:pos="810"/>
        <w:tab w:val="left" w:pos="1080"/>
      </w:tabs>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uiPriority w:val="99"/>
    <w:rsid w:val="006A2A5E"/>
    <w:rPr>
      <w:rFonts w:ascii="Times New Roman" w:eastAsia="Times New Roman" w:hAnsi="Times New Roman" w:cs="Times New Roman"/>
      <w:b/>
      <w:sz w:val="24"/>
      <w:szCs w:val="20"/>
      <w:lang w:val="en-US"/>
    </w:rPr>
  </w:style>
  <w:style w:type="paragraph" w:styleId="NormalWeb">
    <w:name w:val="Normal (Web)"/>
    <w:basedOn w:val="Normal"/>
    <w:uiPriority w:val="99"/>
    <w:unhideWhenUsed/>
    <w:rsid w:val="006A2A5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aliases w:val=" Char,Char"/>
    <w:basedOn w:val="Normal"/>
    <w:link w:val="HeaderChar"/>
    <w:uiPriority w:val="99"/>
    <w:unhideWhenUsed/>
    <w:rsid w:val="006A2A5E"/>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rsid w:val="006A2A5E"/>
  </w:style>
  <w:style w:type="paragraph" w:styleId="Footer">
    <w:name w:val="footer"/>
    <w:basedOn w:val="Normal"/>
    <w:link w:val="FooterChar"/>
    <w:uiPriority w:val="99"/>
    <w:unhideWhenUsed/>
    <w:rsid w:val="006A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5E"/>
  </w:style>
  <w:style w:type="character" w:customStyle="1" w:styleId="Heading1Char">
    <w:name w:val="Heading 1 Char"/>
    <w:basedOn w:val="DefaultParagraphFont"/>
    <w:link w:val="Heading1"/>
    <w:uiPriority w:val="99"/>
    <w:rsid w:val="006A2A5E"/>
    <w:rPr>
      <w:rFonts w:ascii="Times New Roman" w:eastAsia="Times New Roman" w:hAnsi="Times New Roman" w:cs="Times New Roman"/>
      <w:szCs w:val="20"/>
      <w:u w:val="single"/>
      <w:lang w:val="en-US"/>
    </w:rPr>
  </w:style>
  <w:style w:type="character" w:customStyle="1" w:styleId="Heading2Char">
    <w:name w:val="Heading 2 Char"/>
    <w:basedOn w:val="DefaultParagraphFont"/>
    <w:link w:val="Heading2"/>
    <w:uiPriority w:val="99"/>
    <w:rsid w:val="006A2A5E"/>
    <w:rPr>
      <w:rFonts w:ascii="Times New Roman" w:eastAsia="Times New Roman" w:hAnsi="Times New Roman" w:cs="Times New Roman"/>
      <w:i/>
      <w:szCs w:val="20"/>
      <w:lang w:val="en-US"/>
    </w:rPr>
  </w:style>
  <w:style w:type="character" w:customStyle="1" w:styleId="Heading3Char">
    <w:name w:val="Heading 3 Char"/>
    <w:basedOn w:val="DefaultParagraphFont"/>
    <w:link w:val="Heading3"/>
    <w:uiPriority w:val="99"/>
    <w:rsid w:val="006A2A5E"/>
    <w:rPr>
      <w:rFonts w:ascii="Times New Roman" w:eastAsia="Times New Roman" w:hAnsi="Times New Roman" w:cs="Times New Roman"/>
      <w:szCs w:val="20"/>
      <w:u w:val="single"/>
      <w:lang w:val="en-GB"/>
    </w:rPr>
  </w:style>
  <w:style w:type="character" w:customStyle="1" w:styleId="Heading4Char">
    <w:name w:val="Heading 4 Char"/>
    <w:basedOn w:val="DefaultParagraphFont"/>
    <w:link w:val="Heading4"/>
    <w:uiPriority w:val="99"/>
    <w:rsid w:val="006A2A5E"/>
    <w:rPr>
      <w:rFonts w:ascii="Times New Roman" w:eastAsia="Times New Roman" w:hAnsi="Times New Roman" w:cs="Times New Roman"/>
      <w:i/>
      <w:szCs w:val="20"/>
      <w:u w:val="single"/>
      <w:lang w:val="en-US"/>
    </w:rPr>
  </w:style>
  <w:style w:type="character" w:customStyle="1" w:styleId="Heading5Char">
    <w:name w:val="Heading 5 Char"/>
    <w:basedOn w:val="DefaultParagraphFont"/>
    <w:link w:val="Heading5"/>
    <w:uiPriority w:val="99"/>
    <w:rsid w:val="006A2A5E"/>
    <w:rPr>
      <w:rFonts w:ascii="Times New Roman" w:eastAsia="Times New Roman" w:hAnsi="Times New Roman" w:cs="Times New Roman"/>
      <w:szCs w:val="20"/>
      <w:u w:val="single"/>
      <w:lang w:val="en-US"/>
    </w:rPr>
  </w:style>
  <w:style w:type="character" w:customStyle="1" w:styleId="Heading6Char">
    <w:name w:val="Heading 6 Char"/>
    <w:basedOn w:val="DefaultParagraphFont"/>
    <w:link w:val="Heading6"/>
    <w:uiPriority w:val="99"/>
    <w:rsid w:val="006A2A5E"/>
    <w:rPr>
      <w:rFonts w:ascii="Times New Roman" w:eastAsia="Times New Roman" w:hAnsi="Times New Roman" w:cs="Times New Roman"/>
      <w:i/>
      <w:iCs/>
      <w:szCs w:val="20"/>
      <w:u w:val="single"/>
      <w:lang w:val="en-US"/>
    </w:rPr>
  </w:style>
  <w:style w:type="character" w:customStyle="1" w:styleId="Heading7Char">
    <w:name w:val="Heading 7 Char"/>
    <w:basedOn w:val="DefaultParagraphFont"/>
    <w:link w:val="Heading7"/>
    <w:uiPriority w:val="99"/>
    <w:rsid w:val="006A2A5E"/>
    <w:rPr>
      <w:rFonts w:ascii="Times New Roman" w:eastAsia="Times New Roman" w:hAnsi="Times New Roman" w:cs="Times New Roman"/>
      <w:szCs w:val="20"/>
      <w:u w:val="single"/>
      <w:lang w:val="en-US"/>
    </w:rPr>
  </w:style>
  <w:style w:type="character" w:customStyle="1" w:styleId="Heading8Char">
    <w:name w:val="Heading 8 Char"/>
    <w:basedOn w:val="DefaultParagraphFont"/>
    <w:link w:val="Heading8"/>
    <w:uiPriority w:val="99"/>
    <w:rsid w:val="006A2A5E"/>
    <w:rPr>
      <w:rFonts w:ascii="Times New Roman" w:eastAsia="Times New Roman" w:hAnsi="Times New Roman" w:cs="Times New Roman"/>
      <w:i/>
      <w:iCs/>
      <w:szCs w:val="24"/>
      <w:u w:val="single"/>
      <w:lang w:val="en-GB"/>
    </w:rPr>
  </w:style>
  <w:style w:type="character" w:customStyle="1" w:styleId="Heading9Char">
    <w:name w:val="Heading 9 Char"/>
    <w:basedOn w:val="DefaultParagraphFont"/>
    <w:link w:val="Heading9"/>
    <w:uiPriority w:val="99"/>
    <w:rsid w:val="006A2A5E"/>
    <w:rPr>
      <w:rFonts w:ascii="Times New Roman" w:eastAsia="Times New Roman" w:hAnsi="Times New Roman" w:cs="Times New Roman"/>
      <w:sz w:val="24"/>
      <w:szCs w:val="20"/>
      <w:u w:val="single"/>
      <w:lang w:val="en-US"/>
    </w:rPr>
  </w:style>
  <w:style w:type="paragraph" w:styleId="EnvelopeAddress">
    <w:name w:val="envelope address"/>
    <w:basedOn w:val="Normal"/>
    <w:uiPriority w:val="99"/>
    <w:rsid w:val="006A2A5E"/>
    <w:pPr>
      <w:framePr w:w="7920" w:h="1980" w:hRule="exact" w:hSpace="180" w:wrap="auto" w:hAnchor="page" w:xAlign="center" w:yAlign="bottom"/>
      <w:spacing w:after="0" w:line="240" w:lineRule="auto"/>
      <w:ind w:left="2880"/>
      <w:jc w:val="both"/>
    </w:pPr>
    <w:rPr>
      <w:rFonts w:ascii="Bookman Old Style" w:eastAsia="Times New Roman" w:hAnsi="Bookman Old Style" w:cs="Times New Roman"/>
      <w:szCs w:val="20"/>
      <w:lang w:val="en-US"/>
    </w:rPr>
  </w:style>
  <w:style w:type="paragraph" w:styleId="EnvelopeReturn">
    <w:name w:val="envelope return"/>
    <w:basedOn w:val="Normal"/>
    <w:uiPriority w:val="99"/>
    <w:rsid w:val="006A2A5E"/>
    <w:pPr>
      <w:spacing w:after="0" w:line="240" w:lineRule="auto"/>
      <w:jc w:val="both"/>
    </w:pPr>
    <w:rPr>
      <w:rFonts w:ascii="Bookman Old Style" w:eastAsia="Times New Roman" w:hAnsi="Bookman Old Style" w:cs="Times New Roman"/>
      <w:sz w:val="16"/>
      <w:szCs w:val="20"/>
      <w:lang w:val="en-US"/>
    </w:rPr>
  </w:style>
  <w:style w:type="paragraph" w:styleId="BodyTextIndent">
    <w:name w:val="Body Text Indent"/>
    <w:basedOn w:val="Normal"/>
    <w:link w:val="BodyTextIndentChar"/>
    <w:uiPriority w:val="99"/>
    <w:rsid w:val="006A2A5E"/>
    <w:pPr>
      <w:spacing w:after="0" w:line="240" w:lineRule="auto"/>
      <w:ind w:left="1080"/>
      <w:jc w:val="both"/>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uiPriority w:val="99"/>
    <w:rsid w:val="006A2A5E"/>
    <w:rPr>
      <w:rFonts w:ascii="Times New Roman" w:eastAsia="Times New Roman" w:hAnsi="Times New Roman" w:cs="Times New Roman"/>
      <w:szCs w:val="20"/>
      <w:lang w:val="en-US"/>
    </w:rPr>
  </w:style>
  <w:style w:type="paragraph" w:styleId="BodyTextIndent2">
    <w:name w:val="Body Text Indent 2"/>
    <w:basedOn w:val="Normal"/>
    <w:link w:val="BodyTextIndent2Char"/>
    <w:uiPriority w:val="99"/>
    <w:rsid w:val="006A2A5E"/>
    <w:pPr>
      <w:tabs>
        <w:tab w:val="left" w:pos="1440"/>
      </w:tabs>
      <w:spacing w:after="0" w:line="240" w:lineRule="auto"/>
      <w:ind w:left="144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uiPriority w:val="99"/>
    <w:rsid w:val="006A2A5E"/>
    <w:rPr>
      <w:rFonts w:ascii="Times New Roman" w:eastAsia="Times New Roman" w:hAnsi="Times New Roman" w:cs="Times New Roman"/>
      <w:szCs w:val="20"/>
      <w:lang w:val="en-US"/>
    </w:rPr>
  </w:style>
  <w:style w:type="paragraph" w:styleId="BodyTextIndent3">
    <w:name w:val="Body Text Indent 3"/>
    <w:basedOn w:val="Normal"/>
    <w:link w:val="BodyTextIndent3Char"/>
    <w:uiPriority w:val="99"/>
    <w:rsid w:val="006A2A5E"/>
    <w:pPr>
      <w:spacing w:before="120" w:after="0" w:line="240" w:lineRule="auto"/>
      <w:ind w:left="1440"/>
      <w:jc w:val="both"/>
    </w:pPr>
    <w:rPr>
      <w:rFonts w:ascii="Times New Roman" w:eastAsia="Times New Roman" w:hAnsi="Times New Roman" w:cs="Times New Roman"/>
      <w:szCs w:val="20"/>
      <w:lang w:val="en-GB"/>
    </w:rPr>
  </w:style>
  <w:style w:type="character" w:customStyle="1" w:styleId="BodyTextIndent3Char">
    <w:name w:val="Body Text Indent 3 Char"/>
    <w:basedOn w:val="DefaultParagraphFont"/>
    <w:link w:val="BodyTextIndent3"/>
    <w:uiPriority w:val="99"/>
    <w:rsid w:val="006A2A5E"/>
    <w:rPr>
      <w:rFonts w:ascii="Times New Roman" w:eastAsia="Times New Roman" w:hAnsi="Times New Roman" w:cs="Times New Roman"/>
      <w:szCs w:val="20"/>
      <w:lang w:val="en-GB"/>
    </w:rPr>
  </w:style>
  <w:style w:type="character" w:styleId="PageNumber">
    <w:name w:val="page number"/>
    <w:basedOn w:val="DefaultParagraphFont"/>
    <w:uiPriority w:val="99"/>
    <w:rsid w:val="006A2A5E"/>
    <w:rPr>
      <w:rFonts w:cs="Times New Roman"/>
    </w:rPr>
  </w:style>
  <w:style w:type="paragraph" w:customStyle="1" w:styleId="copy">
    <w:name w:val="copy"/>
    <w:uiPriority w:val="99"/>
    <w:rsid w:val="006A2A5E"/>
    <w:pPr>
      <w:spacing w:after="0" w:line="240" w:lineRule="auto"/>
    </w:pPr>
    <w:rPr>
      <w:rFonts w:ascii="Times New Roman" w:eastAsia="Times New Roman" w:hAnsi="Times New Roman" w:cs="Times New Roman"/>
      <w:szCs w:val="20"/>
      <w:lang w:val="en-GB"/>
    </w:rPr>
  </w:style>
  <w:style w:type="paragraph" w:customStyle="1" w:styleId="dr">
    <w:name w:val="dr"/>
    <w:rsid w:val="006A2A5E"/>
    <w:pPr>
      <w:spacing w:after="0" w:line="240" w:lineRule="auto"/>
      <w:jc w:val="both"/>
    </w:pPr>
    <w:rPr>
      <w:rFonts w:ascii="Times New Roman" w:eastAsia="Times New Roman" w:hAnsi="Times New Roman" w:cs="Times New Roman"/>
      <w:szCs w:val="20"/>
      <w:lang w:val="en-GB"/>
    </w:rPr>
  </w:style>
  <w:style w:type="paragraph" w:styleId="ListBullet">
    <w:name w:val="List Bullet"/>
    <w:basedOn w:val="Normal"/>
    <w:autoRedefine/>
    <w:uiPriority w:val="99"/>
    <w:rsid w:val="006A2A5E"/>
    <w:pPr>
      <w:tabs>
        <w:tab w:val="num" w:pos="360"/>
      </w:tabs>
      <w:spacing w:after="0" w:line="240" w:lineRule="auto"/>
      <w:ind w:left="360" w:hanging="360"/>
    </w:pPr>
    <w:rPr>
      <w:rFonts w:ascii="Times New Roman" w:eastAsia="Times New Roman" w:hAnsi="Times New Roman" w:cs="Times New Roman"/>
      <w:sz w:val="20"/>
      <w:szCs w:val="20"/>
      <w:lang w:val="en-US"/>
    </w:rPr>
  </w:style>
  <w:style w:type="paragraph" w:styleId="ListBullet2">
    <w:name w:val="List Bullet 2"/>
    <w:basedOn w:val="Normal"/>
    <w:autoRedefine/>
    <w:uiPriority w:val="99"/>
    <w:rsid w:val="006A2A5E"/>
    <w:pPr>
      <w:tabs>
        <w:tab w:val="num" w:pos="720"/>
      </w:tabs>
      <w:spacing w:after="0" w:line="240" w:lineRule="auto"/>
      <w:ind w:left="720" w:hanging="360"/>
    </w:pPr>
    <w:rPr>
      <w:rFonts w:ascii="Times New Roman" w:eastAsia="Times New Roman" w:hAnsi="Times New Roman" w:cs="Times New Roman"/>
      <w:sz w:val="20"/>
      <w:szCs w:val="20"/>
      <w:lang w:val="en-US"/>
    </w:rPr>
  </w:style>
  <w:style w:type="paragraph" w:styleId="ListBullet3">
    <w:name w:val="List Bullet 3"/>
    <w:basedOn w:val="Normal"/>
    <w:autoRedefine/>
    <w:uiPriority w:val="99"/>
    <w:rsid w:val="006A2A5E"/>
    <w:pPr>
      <w:tabs>
        <w:tab w:val="num" w:pos="1080"/>
      </w:tabs>
      <w:spacing w:after="0" w:line="240" w:lineRule="auto"/>
      <w:ind w:left="1080" w:hanging="360"/>
    </w:pPr>
    <w:rPr>
      <w:rFonts w:ascii="Times New Roman" w:eastAsia="Times New Roman" w:hAnsi="Times New Roman" w:cs="Times New Roman"/>
      <w:sz w:val="20"/>
      <w:szCs w:val="20"/>
      <w:lang w:val="en-US"/>
    </w:rPr>
  </w:style>
  <w:style w:type="paragraph" w:styleId="ListBullet4">
    <w:name w:val="List Bullet 4"/>
    <w:basedOn w:val="Normal"/>
    <w:autoRedefine/>
    <w:uiPriority w:val="99"/>
    <w:rsid w:val="006A2A5E"/>
    <w:pPr>
      <w:tabs>
        <w:tab w:val="num" w:pos="1440"/>
      </w:tabs>
      <w:spacing w:after="0" w:line="240" w:lineRule="auto"/>
      <w:ind w:left="1440" w:hanging="360"/>
    </w:pPr>
    <w:rPr>
      <w:rFonts w:ascii="Times New Roman" w:eastAsia="Times New Roman" w:hAnsi="Times New Roman" w:cs="Times New Roman"/>
      <w:sz w:val="20"/>
      <w:szCs w:val="20"/>
      <w:lang w:val="en-US"/>
    </w:rPr>
  </w:style>
  <w:style w:type="paragraph" w:styleId="ListBullet5">
    <w:name w:val="List Bullet 5"/>
    <w:basedOn w:val="Normal"/>
    <w:autoRedefine/>
    <w:uiPriority w:val="99"/>
    <w:rsid w:val="006A2A5E"/>
    <w:pPr>
      <w:tabs>
        <w:tab w:val="num" w:pos="1800"/>
      </w:tabs>
      <w:spacing w:after="0" w:line="240" w:lineRule="auto"/>
      <w:ind w:left="1800" w:hanging="360"/>
    </w:pPr>
    <w:rPr>
      <w:rFonts w:ascii="Times New Roman" w:eastAsia="Times New Roman" w:hAnsi="Times New Roman" w:cs="Times New Roman"/>
      <w:sz w:val="20"/>
      <w:szCs w:val="20"/>
      <w:lang w:val="en-US"/>
    </w:rPr>
  </w:style>
  <w:style w:type="paragraph" w:styleId="ListNumber">
    <w:name w:val="List Number"/>
    <w:basedOn w:val="Normal"/>
    <w:uiPriority w:val="99"/>
    <w:rsid w:val="006A2A5E"/>
    <w:pPr>
      <w:tabs>
        <w:tab w:val="num" w:pos="360"/>
      </w:tabs>
      <w:spacing w:after="0" w:line="240" w:lineRule="auto"/>
      <w:ind w:left="360" w:hanging="360"/>
    </w:pPr>
    <w:rPr>
      <w:rFonts w:ascii="Times New Roman" w:eastAsia="Times New Roman" w:hAnsi="Times New Roman" w:cs="Times New Roman"/>
      <w:sz w:val="20"/>
      <w:szCs w:val="20"/>
      <w:lang w:val="en-US"/>
    </w:rPr>
  </w:style>
  <w:style w:type="paragraph" w:styleId="ListNumber2">
    <w:name w:val="List Number 2"/>
    <w:basedOn w:val="Normal"/>
    <w:uiPriority w:val="99"/>
    <w:rsid w:val="006A2A5E"/>
    <w:pPr>
      <w:tabs>
        <w:tab w:val="num" w:pos="720"/>
      </w:tabs>
      <w:spacing w:after="0" w:line="240" w:lineRule="auto"/>
      <w:ind w:left="720" w:hanging="360"/>
    </w:pPr>
    <w:rPr>
      <w:rFonts w:ascii="Times New Roman" w:eastAsia="Times New Roman" w:hAnsi="Times New Roman" w:cs="Times New Roman"/>
      <w:sz w:val="20"/>
      <w:szCs w:val="20"/>
      <w:lang w:val="en-US"/>
    </w:rPr>
  </w:style>
  <w:style w:type="paragraph" w:styleId="ListNumber3">
    <w:name w:val="List Number 3"/>
    <w:basedOn w:val="Normal"/>
    <w:uiPriority w:val="99"/>
    <w:rsid w:val="006A2A5E"/>
    <w:pPr>
      <w:tabs>
        <w:tab w:val="num" w:pos="1080"/>
      </w:tabs>
      <w:spacing w:after="0" w:line="240" w:lineRule="auto"/>
      <w:ind w:left="1080" w:hanging="360"/>
    </w:pPr>
    <w:rPr>
      <w:rFonts w:ascii="Times New Roman" w:eastAsia="Times New Roman" w:hAnsi="Times New Roman" w:cs="Times New Roman"/>
      <w:sz w:val="20"/>
      <w:szCs w:val="20"/>
      <w:lang w:val="en-US"/>
    </w:rPr>
  </w:style>
  <w:style w:type="paragraph" w:styleId="ListNumber4">
    <w:name w:val="List Number 4"/>
    <w:basedOn w:val="Normal"/>
    <w:uiPriority w:val="99"/>
    <w:rsid w:val="006A2A5E"/>
    <w:pPr>
      <w:tabs>
        <w:tab w:val="num" w:pos="1440"/>
      </w:tabs>
      <w:spacing w:after="0" w:line="240" w:lineRule="auto"/>
      <w:ind w:left="1440" w:hanging="360"/>
    </w:pPr>
    <w:rPr>
      <w:rFonts w:ascii="Times New Roman" w:eastAsia="Times New Roman" w:hAnsi="Times New Roman" w:cs="Times New Roman"/>
      <w:sz w:val="20"/>
      <w:szCs w:val="20"/>
      <w:lang w:val="en-US"/>
    </w:rPr>
  </w:style>
  <w:style w:type="paragraph" w:styleId="ListNumber5">
    <w:name w:val="List Number 5"/>
    <w:basedOn w:val="Normal"/>
    <w:uiPriority w:val="99"/>
    <w:rsid w:val="006A2A5E"/>
    <w:pPr>
      <w:tabs>
        <w:tab w:val="num" w:pos="1800"/>
      </w:tabs>
      <w:spacing w:after="0" w:line="240" w:lineRule="auto"/>
      <w:ind w:left="1800" w:hanging="360"/>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6A2A5E"/>
    <w:pPr>
      <w:widowControl w:val="0"/>
      <w:spacing w:after="0" w:line="240" w:lineRule="auto"/>
      <w:jc w:val="both"/>
    </w:pPr>
    <w:rPr>
      <w:rFonts w:ascii="Times New Roman" w:eastAsia="Times New Roman" w:hAnsi="Times New Roman" w:cs="Times New Roman"/>
      <w:noProof/>
      <w:color w:val="000000"/>
      <w:szCs w:val="20"/>
      <w:lang w:val="en-US"/>
    </w:rPr>
  </w:style>
  <w:style w:type="character" w:customStyle="1" w:styleId="BodyTextChar">
    <w:name w:val="Body Text Char"/>
    <w:basedOn w:val="DefaultParagraphFont"/>
    <w:link w:val="BodyText"/>
    <w:uiPriority w:val="99"/>
    <w:rsid w:val="006A2A5E"/>
    <w:rPr>
      <w:rFonts w:ascii="Times New Roman" w:eastAsia="Times New Roman" w:hAnsi="Times New Roman" w:cs="Times New Roman"/>
      <w:noProof/>
      <w:color w:val="000000"/>
      <w:szCs w:val="20"/>
      <w:lang w:val="en-US"/>
    </w:rPr>
  </w:style>
  <w:style w:type="paragraph" w:styleId="BalloonText">
    <w:name w:val="Balloon Text"/>
    <w:basedOn w:val="Normal"/>
    <w:link w:val="BalloonTextChar"/>
    <w:uiPriority w:val="99"/>
    <w:semiHidden/>
    <w:rsid w:val="006A2A5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6A2A5E"/>
    <w:rPr>
      <w:rFonts w:ascii="Tahoma" w:eastAsia="Times New Roman" w:hAnsi="Tahoma" w:cs="Tahoma"/>
      <w:sz w:val="16"/>
      <w:szCs w:val="16"/>
      <w:lang w:val="en-US"/>
    </w:rPr>
  </w:style>
  <w:style w:type="paragraph" w:customStyle="1" w:styleId="Pages">
    <w:name w:val="Pages"/>
    <w:basedOn w:val="BodyText"/>
    <w:next w:val="Heading1"/>
    <w:uiPriority w:val="99"/>
    <w:rsid w:val="006A2A5E"/>
    <w:pPr>
      <w:widowControl/>
      <w:spacing w:after="120"/>
      <w:jc w:val="left"/>
    </w:pPr>
    <w:rPr>
      <w:rFonts w:ascii="Arial" w:hAnsi="Arial"/>
      <w:noProof w:val="0"/>
      <w:color w:val="auto"/>
    </w:rPr>
  </w:style>
  <w:style w:type="paragraph" w:styleId="BodyText2">
    <w:name w:val="Body Text 2"/>
    <w:basedOn w:val="Normal"/>
    <w:link w:val="BodyText2Char"/>
    <w:uiPriority w:val="99"/>
    <w:rsid w:val="006A2A5E"/>
    <w:pPr>
      <w:spacing w:after="120" w:line="48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uiPriority w:val="99"/>
    <w:rsid w:val="006A2A5E"/>
    <w:rPr>
      <w:rFonts w:ascii="Times New Roman" w:eastAsia="Times New Roman" w:hAnsi="Times New Roman" w:cs="Times New Roman"/>
      <w:szCs w:val="20"/>
      <w:lang w:val="en-US"/>
    </w:rPr>
  </w:style>
  <w:style w:type="paragraph" w:customStyle="1" w:styleId="statement">
    <w:name w:val="statement"/>
    <w:aliases w:val="S Char"/>
    <w:basedOn w:val="Normal"/>
    <w:uiPriority w:val="99"/>
    <w:rsid w:val="006A2A5E"/>
    <w:pPr>
      <w:tabs>
        <w:tab w:val="decimal" w:pos="6380"/>
        <w:tab w:val="decimal" w:pos="792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headingnotes">
    <w:name w:val="heading/notes"/>
    <w:aliases w:val="HN"/>
    <w:basedOn w:val="Normal"/>
    <w:uiPriority w:val="99"/>
    <w:rsid w:val="006A2A5E"/>
    <w:pPr>
      <w:tabs>
        <w:tab w:val="decimal" w:pos="6380"/>
        <w:tab w:val="decimal" w:pos="7920"/>
      </w:tabs>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subheadingnotes">
    <w:name w:val="sub heading/notes"/>
    <w:aliases w:val="SH"/>
    <w:basedOn w:val="Normal"/>
    <w:uiPriority w:val="99"/>
    <w:rsid w:val="006A2A5E"/>
    <w:pPr>
      <w:tabs>
        <w:tab w:val="decimal" w:pos="6380"/>
        <w:tab w:val="decimal" w:pos="792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en-US"/>
    </w:rPr>
  </w:style>
  <w:style w:type="paragraph" w:customStyle="1" w:styleId="years">
    <w:name w:val="years"/>
    <w:aliases w:val="Y"/>
    <w:basedOn w:val="Normal"/>
    <w:uiPriority w:val="99"/>
    <w:rsid w:val="006A2A5E"/>
    <w:pPr>
      <w:tabs>
        <w:tab w:val="right" w:pos="6380"/>
        <w:tab w:val="right" w:pos="7920"/>
      </w:tabs>
      <w:overflowPunct w:val="0"/>
      <w:autoSpaceDE w:val="0"/>
      <w:autoSpaceDN w:val="0"/>
      <w:adjustRightInd w:val="0"/>
      <w:spacing w:after="0" w:line="240" w:lineRule="auto"/>
      <w:ind w:right="6"/>
      <w:textAlignment w:val="baseline"/>
    </w:pPr>
    <w:rPr>
      <w:rFonts w:ascii="Times New Roman" w:eastAsia="Times New Roman" w:hAnsi="Times New Roman" w:cs="Times New Roman"/>
      <w:b/>
      <w:sz w:val="20"/>
      <w:szCs w:val="20"/>
      <w:lang w:val="en-US"/>
    </w:rPr>
  </w:style>
  <w:style w:type="paragraph" w:customStyle="1" w:styleId="dollarsigns">
    <w:name w:val="dollar signs"/>
    <w:aliases w:val="D"/>
    <w:basedOn w:val="Normal"/>
    <w:uiPriority w:val="99"/>
    <w:rsid w:val="006A2A5E"/>
    <w:pPr>
      <w:pBdr>
        <w:bottom w:val="single" w:sz="6" w:space="1" w:color="auto"/>
      </w:pBdr>
      <w:tabs>
        <w:tab w:val="center" w:pos="6200"/>
        <w:tab w:val="center" w:pos="7740"/>
      </w:tabs>
      <w:overflowPunct w:val="0"/>
      <w:autoSpaceDE w:val="0"/>
      <w:autoSpaceDN w:val="0"/>
      <w:adjustRightInd w:val="0"/>
      <w:spacing w:after="0" w:line="240" w:lineRule="auto"/>
      <w:ind w:right="43"/>
      <w:textAlignment w:val="baseline"/>
    </w:pPr>
    <w:rPr>
      <w:rFonts w:ascii="Times New Roman" w:eastAsia="Times New Roman" w:hAnsi="Times New Roman" w:cs="Times New Roman"/>
      <w:sz w:val="18"/>
      <w:szCs w:val="20"/>
      <w:lang w:val="en-US"/>
    </w:rPr>
  </w:style>
  <w:style w:type="paragraph" w:customStyle="1" w:styleId="textnotes">
    <w:name w:val="text notes"/>
    <w:aliases w:val="TN,tn"/>
    <w:basedOn w:val="headingnotes"/>
    <w:uiPriority w:val="99"/>
    <w:rsid w:val="006A2A5E"/>
    <w:pPr>
      <w:jc w:val="both"/>
    </w:pPr>
    <w:rPr>
      <w:b w:val="0"/>
      <w:sz w:val="20"/>
    </w:rPr>
  </w:style>
  <w:style w:type="paragraph" w:customStyle="1" w:styleId="FS1CharChar">
    <w:name w:val="FS1 Char Char"/>
    <w:basedOn w:val="Normal"/>
    <w:uiPriority w:val="99"/>
    <w:rsid w:val="006A2A5E"/>
    <w:pPr>
      <w:tabs>
        <w:tab w:val="decimal" w:pos="7280"/>
        <w:tab w:val="decimal" w:pos="9000"/>
      </w:tabs>
      <w:spacing w:after="0" w:line="240" w:lineRule="auto"/>
      <w:ind w:left="180" w:hanging="180"/>
    </w:pPr>
    <w:rPr>
      <w:rFonts w:ascii="Helvetica" w:eastAsia="Times New Roman" w:hAnsi="Helvetica" w:cs="Times New Roman"/>
      <w:sz w:val="20"/>
      <w:szCs w:val="20"/>
      <w:lang w:val="en-US"/>
    </w:rPr>
  </w:style>
  <w:style w:type="paragraph" w:customStyle="1" w:styleId="AudRepBody">
    <w:name w:val="AudRepBody"/>
    <w:uiPriority w:val="99"/>
    <w:rsid w:val="006A2A5E"/>
    <w:pPr>
      <w:widowControl w:val="0"/>
      <w:autoSpaceDE w:val="0"/>
      <w:autoSpaceDN w:val="0"/>
      <w:spacing w:before="273" w:after="0" w:line="240" w:lineRule="auto"/>
      <w:jc w:val="both"/>
    </w:pPr>
    <w:rPr>
      <w:rFonts w:ascii="Arial" w:eastAsia="PMingLiU" w:hAnsi="Arial" w:cs="Arial"/>
      <w:color w:val="000000"/>
      <w:sz w:val="20"/>
      <w:szCs w:val="20"/>
      <w:lang w:val="en-US"/>
    </w:rPr>
  </w:style>
  <w:style w:type="paragraph" w:customStyle="1" w:styleId="AudRepToShare">
    <w:name w:val="AudRep_ToShare...."/>
    <w:uiPriority w:val="99"/>
    <w:rsid w:val="006A2A5E"/>
    <w:pPr>
      <w:widowControl w:val="0"/>
      <w:autoSpaceDE w:val="0"/>
      <w:autoSpaceDN w:val="0"/>
      <w:spacing w:before="849" w:after="0" w:line="240" w:lineRule="auto"/>
    </w:pPr>
    <w:rPr>
      <w:rFonts w:ascii="Arial" w:eastAsia="PMingLiU" w:hAnsi="Arial" w:cs="Arial"/>
      <w:b/>
      <w:bCs/>
      <w:color w:val="000000"/>
      <w:sz w:val="20"/>
      <w:szCs w:val="20"/>
      <w:lang w:val="en-US"/>
    </w:rPr>
  </w:style>
  <w:style w:type="paragraph" w:customStyle="1" w:styleId="AudRepToShareCell">
    <w:name w:val="AudRep_ToShare_Cell"/>
    <w:uiPriority w:val="99"/>
    <w:rsid w:val="006A2A5E"/>
    <w:pPr>
      <w:widowControl w:val="0"/>
      <w:autoSpaceDE w:val="0"/>
      <w:autoSpaceDN w:val="0"/>
      <w:spacing w:after="115" w:line="240" w:lineRule="auto"/>
    </w:pPr>
    <w:rPr>
      <w:rFonts w:ascii="Arial" w:eastAsia="PMingLiU" w:hAnsi="Arial" w:cs="Arial"/>
      <w:b/>
      <w:bCs/>
      <w:color w:val="000000"/>
      <w:sz w:val="20"/>
      <w:szCs w:val="20"/>
      <w:lang w:val="en-US"/>
    </w:rPr>
  </w:style>
  <w:style w:type="paragraph" w:customStyle="1" w:styleId="AudRepCA">
    <w:name w:val="AudRep_CA"/>
    <w:uiPriority w:val="99"/>
    <w:rsid w:val="006A2A5E"/>
    <w:pPr>
      <w:widowControl w:val="0"/>
      <w:autoSpaceDE w:val="0"/>
      <w:autoSpaceDN w:val="0"/>
      <w:spacing w:before="1166" w:after="273" w:line="240" w:lineRule="auto"/>
    </w:pPr>
    <w:rPr>
      <w:rFonts w:ascii="Arial" w:eastAsia="PMingLiU" w:hAnsi="Arial" w:cs="Arial"/>
      <w:color w:val="000000"/>
      <w:sz w:val="20"/>
      <w:szCs w:val="20"/>
      <w:lang w:val="en-US"/>
    </w:rPr>
  </w:style>
  <w:style w:type="table" w:styleId="TableGrid">
    <w:name w:val="Table Grid"/>
    <w:basedOn w:val="TableNormal"/>
    <w:uiPriority w:val="39"/>
    <w:rsid w:val="006A2A5E"/>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6A2A5E"/>
    <w:pPr>
      <w:spacing w:after="0" w:line="240" w:lineRule="auto"/>
      <w:jc w:val="both"/>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A2A5E"/>
    <w:rPr>
      <w:rFonts w:cs="Times New Roman"/>
      <w:sz w:val="16"/>
      <w:szCs w:val="16"/>
    </w:rPr>
  </w:style>
  <w:style w:type="paragraph" w:styleId="CommentText">
    <w:name w:val="annotation text"/>
    <w:basedOn w:val="Normal"/>
    <w:link w:val="CommentTextChar"/>
    <w:uiPriority w:val="99"/>
    <w:rsid w:val="006A2A5E"/>
    <w:pPr>
      <w:spacing w:after="0" w:line="240" w:lineRule="auto"/>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6A2A5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6A2A5E"/>
    <w:rPr>
      <w:b/>
      <w:bCs/>
    </w:rPr>
  </w:style>
  <w:style w:type="character" w:customStyle="1" w:styleId="CommentSubjectChar">
    <w:name w:val="Comment Subject Char"/>
    <w:basedOn w:val="CommentTextChar"/>
    <w:link w:val="CommentSubject"/>
    <w:uiPriority w:val="99"/>
    <w:semiHidden/>
    <w:rsid w:val="006A2A5E"/>
    <w:rPr>
      <w:rFonts w:ascii="Times New Roman" w:eastAsia="Times New Roman" w:hAnsi="Times New Roman" w:cs="Times New Roman"/>
      <w:b/>
      <w:bCs/>
      <w:sz w:val="20"/>
      <w:szCs w:val="20"/>
      <w:lang w:val="en-US"/>
    </w:rPr>
  </w:style>
  <w:style w:type="paragraph" w:customStyle="1" w:styleId="Style1">
    <w:name w:val="Style1"/>
    <w:basedOn w:val="Normal"/>
    <w:uiPriority w:val="99"/>
    <w:rsid w:val="006A2A5E"/>
    <w:pPr>
      <w:spacing w:after="0" w:line="240" w:lineRule="auto"/>
      <w:jc w:val="both"/>
    </w:pPr>
    <w:rPr>
      <w:rFonts w:ascii="Times New Roman" w:eastAsia="Times New Roman" w:hAnsi="Times New Roman" w:cs="Times New Roman"/>
      <w:szCs w:val="20"/>
      <w:lang w:val="en-GB"/>
    </w:rPr>
  </w:style>
  <w:style w:type="paragraph" w:styleId="ListParagraph">
    <w:name w:val="List Paragraph"/>
    <w:aliases w:val="Bullets in notes"/>
    <w:basedOn w:val="Normal"/>
    <w:link w:val="ListParagraphChar"/>
    <w:uiPriority w:val="1"/>
    <w:qFormat/>
    <w:rsid w:val="006A2A5E"/>
    <w:pPr>
      <w:spacing w:after="0" w:line="240" w:lineRule="auto"/>
      <w:ind w:left="720"/>
      <w:jc w:val="both"/>
    </w:pPr>
    <w:rPr>
      <w:rFonts w:ascii="Times New Roman" w:eastAsia="Times New Roman" w:hAnsi="Times New Roman" w:cs="Times New Roman"/>
      <w:szCs w:val="20"/>
      <w:lang w:val="en-US"/>
    </w:rPr>
  </w:style>
  <w:style w:type="paragraph" w:customStyle="1" w:styleId="Default">
    <w:name w:val="Default"/>
    <w:rsid w:val="006A2A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rsid w:val="006A2A5E"/>
    <w:pPr>
      <w:spacing w:after="0" w:line="240" w:lineRule="auto"/>
    </w:pPr>
    <w:rPr>
      <w:rFonts w:ascii="Courier New" w:eastAsia="PMingLiU" w:hAnsi="Courier New" w:cs="Courier New"/>
      <w:sz w:val="20"/>
      <w:szCs w:val="20"/>
      <w:lang w:val="en-US" w:eastAsia="zh-TW"/>
    </w:rPr>
  </w:style>
  <w:style w:type="character" w:customStyle="1" w:styleId="PlainTextChar">
    <w:name w:val="Plain Text Char"/>
    <w:basedOn w:val="DefaultParagraphFont"/>
    <w:link w:val="PlainText"/>
    <w:rsid w:val="006A2A5E"/>
    <w:rPr>
      <w:rFonts w:ascii="Courier New" w:eastAsia="PMingLiU" w:hAnsi="Courier New" w:cs="Courier New"/>
      <w:sz w:val="20"/>
      <w:szCs w:val="20"/>
      <w:lang w:val="en-US" w:eastAsia="zh-TW"/>
    </w:rPr>
  </w:style>
  <w:style w:type="character" w:customStyle="1" w:styleId="ListParagraphChar">
    <w:name w:val="List Paragraph Char"/>
    <w:aliases w:val="Bullets in notes Char"/>
    <w:basedOn w:val="DefaultParagraphFont"/>
    <w:link w:val="ListParagraph"/>
    <w:uiPriority w:val="1"/>
    <w:rsid w:val="006A2A5E"/>
    <w:rPr>
      <w:rFonts w:ascii="Times New Roman" w:eastAsia="Times New Roman" w:hAnsi="Times New Roman" w:cs="Times New Roman"/>
      <w:szCs w:val="20"/>
      <w:lang w:val="en-US"/>
    </w:rPr>
  </w:style>
  <w:style w:type="paragraph" w:styleId="Revision">
    <w:name w:val="Revision"/>
    <w:hidden/>
    <w:uiPriority w:val="99"/>
    <w:semiHidden/>
    <w:rsid w:val="006A2A5E"/>
    <w:pPr>
      <w:spacing w:after="0" w:line="240" w:lineRule="auto"/>
    </w:pPr>
    <w:rPr>
      <w:rFonts w:ascii="Times New Roman" w:eastAsia="Times New Roman" w:hAnsi="Times New Roman" w:cs="Times New Roman"/>
      <w:szCs w:val="20"/>
      <w:lang w:val="en-US"/>
    </w:rPr>
  </w:style>
  <w:style w:type="paragraph" w:customStyle="1" w:styleId="msonormal0">
    <w:name w:val="msonormal"/>
    <w:basedOn w:val="Normal"/>
    <w:rsid w:val="006A2A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A2A5E"/>
    <w:rPr>
      <w:color w:val="0000FF"/>
      <w:u w:val="single"/>
    </w:rPr>
  </w:style>
  <w:style w:type="character" w:styleId="FollowedHyperlink">
    <w:name w:val="FollowedHyperlink"/>
    <w:basedOn w:val="DefaultParagraphFont"/>
    <w:uiPriority w:val="99"/>
    <w:semiHidden/>
    <w:unhideWhenUsed/>
    <w:rsid w:val="006A2A5E"/>
    <w:rPr>
      <w:color w:val="800080"/>
      <w:u w:val="single"/>
    </w:rPr>
  </w:style>
  <w:style w:type="character" w:customStyle="1" w:styleId="xdxphntrglzy2xvc3vyzsatifnjagvkdwxlig9miexvyw5zifbhewfibgugkerldgfpbhmpichqyxjlbnrozxrpy2fskqa">
    <w:name w:val="xdx_phnt_rglzy2xvc3vyzsatifnjagvkdwxlig9miexvyw5zifbhewfibgugkerldgfpbhmpichqyxjlbnrozxrpy2fskqa_"/>
    <w:basedOn w:val="DefaultParagraphFont"/>
    <w:rsid w:val="006A2A5E"/>
  </w:style>
  <w:style w:type="character" w:customStyle="1" w:styleId="im">
    <w:name w:val="im"/>
    <w:basedOn w:val="DefaultParagraphFont"/>
    <w:rsid w:val="00CA3FF3"/>
  </w:style>
  <w:style w:type="character" w:styleId="UnresolvedMention">
    <w:name w:val="Unresolved Mention"/>
    <w:basedOn w:val="DefaultParagraphFont"/>
    <w:uiPriority w:val="99"/>
    <w:semiHidden/>
    <w:unhideWhenUsed/>
    <w:rsid w:val="005F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6141">
      <w:bodyDiv w:val="1"/>
      <w:marLeft w:val="0"/>
      <w:marRight w:val="0"/>
      <w:marTop w:val="0"/>
      <w:marBottom w:val="0"/>
      <w:divBdr>
        <w:top w:val="none" w:sz="0" w:space="0" w:color="auto"/>
        <w:left w:val="none" w:sz="0" w:space="0" w:color="auto"/>
        <w:bottom w:val="none" w:sz="0" w:space="0" w:color="auto"/>
        <w:right w:val="none" w:sz="0" w:space="0" w:color="auto"/>
      </w:divBdr>
    </w:div>
    <w:div w:id="343240563">
      <w:bodyDiv w:val="1"/>
      <w:marLeft w:val="0"/>
      <w:marRight w:val="0"/>
      <w:marTop w:val="0"/>
      <w:marBottom w:val="0"/>
      <w:divBdr>
        <w:top w:val="none" w:sz="0" w:space="0" w:color="auto"/>
        <w:left w:val="none" w:sz="0" w:space="0" w:color="auto"/>
        <w:bottom w:val="none" w:sz="0" w:space="0" w:color="auto"/>
        <w:right w:val="none" w:sz="0" w:space="0" w:color="auto"/>
      </w:divBdr>
    </w:div>
    <w:div w:id="347219856">
      <w:bodyDiv w:val="1"/>
      <w:marLeft w:val="0"/>
      <w:marRight w:val="0"/>
      <w:marTop w:val="0"/>
      <w:marBottom w:val="0"/>
      <w:divBdr>
        <w:top w:val="none" w:sz="0" w:space="0" w:color="auto"/>
        <w:left w:val="none" w:sz="0" w:space="0" w:color="auto"/>
        <w:bottom w:val="none" w:sz="0" w:space="0" w:color="auto"/>
        <w:right w:val="none" w:sz="0" w:space="0" w:color="auto"/>
      </w:divBdr>
    </w:div>
    <w:div w:id="483863744">
      <w:bodyDiv w:val="1"/>
      <w:marLeft w:val="0"/>
      <w:marRight w:val="0"/>
      <w:marTop w:val="0"/>
      <w:marBottom w:val="0"/>
      <w:divBdr>
        <w:top w:val="none" w:sz="0" w:space="0" w:color="auto"/>
        <w:left w:val="none" w:sz="0" w:space="0" w:color="auto"/>
        <w:bottom w:val="none" w:sz="0" w:space="0" w:color="auto"/>
        <w:right w:val="none" w:sz="0" w:space="0" w:color="auto"/>
      </w:divBdr>
    </w:div>
    <w:div w:id="540478474">
      <w:bodyDiv w:val="1"/>
      <w:marLeft w:val="0"/>
      <w:marRight w:val="0"/>
      <w:marTop w:val="0"/>
      <w:marBottom w:val="0"/>
      <w:divBdr>
        <w:top w:val="none" w:sz="0" w:space="0" w:color="auto"/>
        <w:left w:val="none" w:sz="0" w:space="0" w:color="auto"/>
        <w:bottom w:val="none" w:sz="0" w:space="0" w:color="auto"/>
        <w:right w:val="none" w:sz="0" w:space="0" w:color="auto"/>
      </w:divBdr>
    </w:div>
    <w:div w:id="661391301">
      <w:bodyDiv w:val="1"/>
      <w:marLeft w:val="0"/>
      <w:marRight w:val="0"/>
      <w:marTop w:val="0"/>
      <w:marBottom w:val="0"/>
      <w:divBdr>
        <w:top w:val="none" w:sz="0" w:space="0" w:color="auto"/>
        <w:left w:val="none" w:sz="0" w:space="0" w:color="auto"/>
        <w:bottom w:val="none" w:sz="0" w:space="0" w:color="auto"/>
        <w:right w:val="none" w:sz="0" w:space="0" w:color="auto"/>
      </w:divBdr>
    </w:div>
    <w:div w:id="727460838">
      <w:bodyDiv w:val="1"/>
      <w:marLeft w:val="0"/>
      <w:marRight w:val="0"/>
      <w:marTop w:val="0"/>
      <w:marBottom w:val="0"/>
      <w:divBdr>
        <w:top w:val="none" w:sz="0" w:space="0" w:color="auto"/>
        <w:left w:val="none" w:sz="0" w:space="0" w:color="auto"/>
        <w:bottom w:val="none" w:sz="0" w:space="0" w:color="auto"/>
        <w:right w:val="none" w:sz="0" w:space="0" w:color="auto"/>
      </w:divBdr>
    </w:div>
    <w:div w:id="922758445">
      <w:bodyDiv w:val="1"/>
      <w:marLeft w:val="0"/>
      <w:marRight w:val="0"/>
      <w:marTop w:val="0"/>
      <w:marBottom w:val="0"/>
      <w:divBdr>
        <w:top w:val="none" w:sz="0" w:space="0" w:color="auto"/>
        <w:left w:val="none" w:sz="0" w:space="0" w:color="auto"/>
        <w:bottom w:val="none" w:sz="0" w:space="0" w:color="auto"/>
        <w:right w:val="none" w:sz="0" w:space="0" w:color="auto"/>
      </w:divBdr>
    </w:div>
    <w:div w:id="1017732122">
      <w:bodyDiv w:val="1"/>
      <w:marLeft w:val="0"/>
      <w:marRight w:val="0"/>
      <w:marTop w:val="0"/>
      <w:marBottom w:val="0"/>
      <w:divBdr>
        <w:top w:val="none" w:sz="0" w:space="0" w:color="auto"/>
        <w:left w:val="none" w:sz="0" w:space="0" w:color="auto"/>
        <w:bottom w:val="none" w:sz="0" w:space="0" w:color="auto"/>
        <w:right w:val="none" w:sz="0" w:space="0" w:color="auto"/>
      </w:divBdr>
    </w:div>
    <w:div w:id="1130586194">
      <w:bodyDiv w:val="1"/>
      <w:marLeft w:val="0"/>
      <w:marRight w:val="0"/>
      <w:marTop w:val="0"/>
      <w:marBottom w:val="0"/>
      <w:divBdr>
        <w:top w:val="none" w:sz="0" w:space="0" w:color="auto"/>
        <w:left w:val="none" w:sz="0" w:space="0" w:color="auto"/>
        <w:bottom w:val="none" w:sz="0" w:space="0" w:color="auto"/>
        <w:right w:val="none" w:sz="0" w:space="0" w:color="auto"/>
      </w:divBdr>
    </w:div>
    <w:div w:id="1141772792">
      <w:bodyDiv w:val="1"/>
      <w:marLeft w:val="0"/>
      <w:marRight w:val="0"/>
      <w:marTop w:val="0"/>
      <w:marBottom w:val="0"/>
      <w:divBdr>
        <w:top w:val="none" w:sz="0" w:space="0" w:color="auto"/>
        <w:left w:val="none" w:sz="0" w:space="0" w:color="auto"/>
        <w:bottom w:val="none" w:sz="0" w:space="0" w:color="auto"/>
        <w:right w:val="none" w:sz="0" w:space="0" w:color="auto"/>
      </w:divBdr>
    </w:div>
    <w:div w:id="1599211927">
      <w:bodyDiv w:val="1"/>
      <w:marLeft w:val="0"/>
      <w:marRight w:val="0"/>
      <w:marTop w:val="0"/>
      <w:marBottom w:val="0"/>
      <w:divBdr>
        <w:top w:val="none" w:sz="0" w:space="0" w:color="auto"/>
        <w:left w:val="none" w:sz="0" w:space="0" w:color="auto"/>
        <w:bottom w:val="none" w:sz="0" w:space="0" w:color="auto"/>
        <w:right w:val="none" w:sz="0" w:space="0" w:color="auto"/>
      </w:divBdr>
    </w:div>
    <w:div w:id="1633055247">
      <w:bodyDiv w:val="1"/>
      <w:marLeft w:val="0"/>
      <w:marRight w:val="0"/>
      <w:marTop w:val="0"/>
      <w:marBottom w:val="0"/>
      <w:divBdr>
        <w:top w:val="none" w:sz="0" w:space="0" w:color="auto"/>
        <w:left w:val="none" w:sz="0" w:space="0" w:color="auto"/>
        <w:bottom w:val="none" w:sz="0" w:space="0" w:color="auto"/>
        <w:right w:val="none" w:sz="0" w:space="0" w:color="auto"/>
      </w:divBdr>
    </w:div>
    <w:div w:id="1801485775">
      <w:bodyDiv w:val="1"/>
      <w:marLeft w:val="0"/>
      <w:marRight w:val="0"/>
      <w:marTop w:val="0"/>
      <w:marBottom w:val="0"/>
      <w:divBdr>
        <w:top w:val="none" w:sz="0" w:space="0" w:color="auto"/>
        <w:left w:val="none" w:sz="0" w:space="0" w:color="auto"/>
        <w:bottom w:val="none" w:sz="0" w:space="0" w:color="auto"/>
        <w:right w:val="none" w:sz="0" w:space="0" w:color="auto"/>
      </w:divBdr>
    </w:div>
    <w:div w:id="1832283986">
      <w:bodyDiv w:val="1"/>
      <w:marLeft w:val="0"/>
      <w:marRight w:val="0"/>
      <w:marTop w:val="0"/>
      <w:marBottom w:val="0"/>
      <w:divBdr>
        <w:top w:val="none" w:sz="0" w:space="0" w:color="auto"/>
        <w:left w:val="none" w:sz="0" w:space="0" w:color="auto"/>
        <w:bottom w:val="none" w:sz="0" w:space="0" w:color="auto"/>
        <w:right w:val="none" w:sz="0" w:space="0" w:color="auto"/>
      </w:divBdr>
    </w:div>
    <w:div w:id="1914507922">
      <w:bodyDiv w:val="1"/>
      <w:marLeft w:val="0"/>
      <w:marRight w:val="0"/>
      <w:marTop w:val="0"/>
      <w:marBottom w:val="0"/>
      <w:divBdr>
        <w:top w:val="none" w:sz="0" w:space="0" w:color="auto"/>
        <w:left w:val="none" w:sz="0" w:space="0" w:color="auto"/>
        <w:bottom w:val="none" w:sz="0" w:space="0" w:color="auto"/>
        <w:right w:val="none" w:sz="0" w:space="0" w:color="auto"/>
      </w:divBdr>
    </w:div>
    <w:div w:id="21023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E2F1-96B3-4B4D-BC98-E23B9403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17647</Words>
  <Characters>100590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Ling</dc:creator>
  <cp:keywords/>
  <dc:description/>
  <cp:lastModifiedBy>Nina Yii</cp:lastModifiedBy>
  <cp:revision>4</cp:revision>
  <cp:lastPrinted>2022-05-18T20:37:00Z</cp:lastPrinted>
  <dcterms:created xsi:type="dcterms:W3CDTF">2022-08-24T15:31:00Z</dcterms:created>
  <dcterms:modified xsi:type="dcterms:W3CDTF">2022-08-24T15:32:00Z</dcterms:modified>
</cp:coreProperties>
</file>