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D258" w14:textId="3F655BE9" w:rsidR="00305167" w:rsidRDefault="00305167" w:rsidP="00305167"/>
    <w:p w14:paraId="2E83C1BA" w14:textId="5E49AC86" w:rsidR="00305167" w:rsidRDefault="00305167" w:rsidP="00305167"/>
    <w:p w14:paraId="4B6C72E9" w14:textId="4854F576" w:rsidR="00305167" w:rsidRDefault="00305167" w:rsidP="00305167"/>
    <w:p w14:paraId="7E599C49" w14:textId="4079C500" w:rsidR="00305167" w:rsidRDefault="00305167" w:rsidP="00305167"/>
    <w:p w14:paraId="1A8772B6" w14:textId="21DC2248" w:rsidR="00305167" w:rsidRDefault="00305167" w:rsidP="00305167">
      <w:pPr>
        <w:jc w:val="center"/>
      </w:pPr>
      <w:r>
        <w:rPr>
          <w:noProof/>
        </w:rPr>
        <w:drawing>
          <wp:inline distT="0" distB="0" distL="0" distR="0" wp14:anchorId="50E55AF8" wp14:editId="09DFCAEB">
            <wp:extent cx="4400550" cy="16097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4400550" cy="1609725"/>
                    </a:xfrm>
                    <a:prstGeom prst="rect">
                      <a:avLst/>
                    </a:prstGeom>
                  </pic:spPr>
                </pic:pic>
              </a:graphicData>
            </a:graphic>
          </wp:inline>
        </w:drawing>
      </w:r>
    </w:p>
    <w:p w14:paraId="151BEE30" w14:textId="77777777" w:rsidR="00305167" w:rsidRDefault="00305167" w:rsidP="00305167"/>
    <w:p w14:paraId="4001A0B6" w14:textId="116D9EB4" w:rsidR="00305167" w:rsidRPr="00AA2644" w:rsidRDefault="00305167" w:rsidP="00305167">
      <w:pPr>
        <w:autoSpaceDE/>
        <w:autoSpaceDN/>
        <w:adjustRightInd/>
        <w:spacing w:after="0"/>
        <w:jc w:val="center"/>
        <w:rPr>
          <w:rFonts w:eastAsia="Cambria"/>
          <w:b/>
          <w:lang w:val="en-CA"/>
        </w:rPr>
      </w:pPr>
      <w:r w:rsidRPr="00AA2644">
        <w:rPr>
          <w:rFonts w:eastAsia="Cambria"/>
          <w:b/>
          <w:lang w:val="en-CA"/>
        </w:rPr>
        <w:t xml:space="preserve">TRILLION ENERGY </w:t>
      </w:r>
      <w:r w:rsidR="0001303D">
        <w:rPr>
          <w:rFonts w:eastAsia="Cambria"/>
          <w:b/>
          <w:lang w:val="en-CA"/>
        </w:rPr>
        <w:t xml:space="preserve">INTERNATIONAL </w:t>
      </w:r>
      <w:r w:rsidRPr="00AA2644">
        <w:rPr>
          <w:rFonts w:eastAsia="Cambria"/>
          <w:b/>
          <w:lang w:val="en-CA"/>
        </w:rPr>
        <w:t>INC.</w:t>
      </w:r>
    </w:p>
    <w:p w14:paraId="197F2B81" w14:textId="77777777" w:rsidR="00305167" w:rsidRPr="00AA2644" w:rsidRDefault="00305167" w:rsidP="00305167">
      <w:pPr>
        <w:autoSpaceDE/>
        <w:autoSpaceDN/>
        <w:adjustRightInd/>
        <w:spacing w:after="0"/>
        <w:jc w:val="center"/>
        <w:rPr>
          <w:rFonts w:eastAsia="Cambria"/>
          <w:b/>
          <w:lang w:val="en-CA"/>
        </w:rPr>
      </w:pPr>
      <w:r w:rsidRPr="00AA2644">
        <w:rPr>
          <w:rFonts w:eastAsia="Cambria"/>
          <w:b/>
          <w:lang w:val="en-CA"/>
        </w:rPr>
        <w:t>MANAGEMENT DISCUSSION &amp; ANALYSIS</w:t>
      </w:r>
    </w:p>
    <w:p w14:paraId="3EB4AEFB" w14:textId="0400263B" w:rsidR="00305167" w:rsidRPr="00AA2644" w:rsidRDefault="00305167" w:rsidP="00305167">
      <w:pPr>
        <w:autoSpaceDE/>
        <w:autoSpaceDN/>
        <w:adjustRightInd/>
        <w:spacing w:after="0"/>
        <w:jc w:val="center"/>
        <w:rPr>
          <w:rFonts w:eastAsia="Cambria"/>
          <w:b/>
          <w:lang w:val="en-CA"/>
        </w:rPr>
      </w:pPr>
      <w:r w:rsidRPr="00AA2644">
        <w:rPr>
          <w:rFonts w:eastAsia="Cambria"/>
          <w:b/>
          <w:lang w:val="en-CA"/>
        </w:rPr>
        <w:t>For the</w:t>
      </w:r>
      <w:r w:rsidR="00A44638">
        <w:rPr>
          <w:rFonts w:eastAsia="Cambria"/>
          <w:b/>
          <w:lang w:val="en-CA"/>
        </w:rPr>
        <w:t xml:space="preserve"> six </w:t>
      </w:r>
      <w:r w:rsidR="008C0DA4">
        <w:rPr>
          <w:rFonts w:eastAsia="Cambria"/>
          <w:b/>
          <w:lang w:val="en-CA"/>
        </w:rPr>
        <w:t>months</w:t>
      </w:r>
      <w:r w:rsidRPr="00AA2644">
        <w:rPr>
          <w:rFonts w:eastAsia="Cambria"/>
          <w:b/>
          <w:lang w:val="en-CA"/>
        </w:rPr>
        <w:t xml:space="preserve"> ended </w:t>
      </w:r>
      <w:r w:rsidR="003E7CB1">
        <w:rPr>
          <w:rFonts w:eastAsia="Cambria"/>
          <w:b/>
          <w:lang w:val="en-CA"/>
        </w:rPr>
        <w:t>June 30</w:t>
      </w:r>
      <w:r w:rsidR="008C0DA4">
        <w:rPr>
          <w:rFonts w:eastAsia="Cambria"/>
          <w:b/>
          <w:lang w:val="en-CA"/>
        </w:rPr>
        <w:t xml:space="preserve">, </w:t>
      </w:r>
      <w:proofErr w:type="gramStart"/>
      <w:r w:rsidR="008C0DA4">
        <w:rPr>
          <w:rFonts w:eastAsia="Cambria"/>
          <w:b/>
          <w:lang w:val="en-CA"/>
        </w:rPr>
        <w:t>2022</w:t>
      </w:r>
      <w:proofErr w:type="gramEnd"/>
      <w:r w:rsidR="008C0DA4">
        <w:rPr>
          <w:rFonts w:eastAsia="Cambria"/>
          <w:b/>
          <w:lang w:val="en-CA"/>
        </w:rPr>
        <w:t xml:space="preserve"> and 2021</w:t>
      </w:r>
    </w:p>
    <w:p w14:paraId="7B78189B" w14:textId="3A35FF33" w:rsidR="00305167" w:rsidRPr="00583A17" w:rsidRDefault="00305167" w:rsidP="00305167">
      <w:pPr>
        <w:rPr>
          <w:lang w:val="en-CA"/>
        </w:rPr>
      </w:pPr>
    </w:p>
    <w:p w14:paraId="448C0C29" w14:textId="67BDD151" w:rsidR="00305167" w:rsidRPr="00C95A74" w:rsidRDefault="00305167" w:rsidP="00305167">
      <w:pPr>
        <w:rPr>
          <w:lang w:val="en-CA"/>
        </w:rPr>
      </w:pPr>
    </w:p>
    <w:p w14:paraId="78140589" w14:textId="7DE8110C" w:rsidR="00305167" w:rsidRDefault="00305167" w:rsidP="00305167"/>
    <w:p w14:paraId="4AE2F31E" w14:textId="4D32C0C7" w:rsidR="00305167" w:rsidRDefault="00305167" w:rsidP="00305167"/>
    <w:p w14:paraId="2F1A68C3" w14:textId="420AA5B0" w:rsidR="00305167" w:rsidRDefault="00305167" w:rsidP="00305167"/>
    <w:p w14:paraId="2D83374A" w14:textId="09A64755" w:rsidR="00305167" w:rsidRDefault="00305167" w:rsidP="00305167"/>
    <w:p w14:paraId="4B0B2B8B" w14:textId="13FB51E1" w:rsidR="00305167" w:rsidRDefault="00305167" w:rsidP="00305167"/>
    <w:p w14:paraId="2B80E687" w14:textId="693A9CD0" w:rsidR="00305167" w:rsidRDefault="00305167" w:rsidP="00305167"/>
    <w:p w14:paraId="089EB97F" w14:textId="3C2D9969" w:rsidR="00305167" w:rsidRDefault="00305167" w:rsidP="00305167"/>
    <w:p w14:paraId="3C631B06" w14:textId="6D35C101" w:rsidR="00305167" w:rsidRDefault="00305167" w:rsidP="00305167"/>
    <w:p w14:paraId="423A424B" w14:textId="38103FFB" w:rsidR="00305167" w:rsidRDefault="00305167" w:rsidP="00305167"/>
    <w:p w14:paraId="62734A10" w14:textId="49EBA1B1" w:rsidR="00305167" w:rsidRDefault="00305167" w:rsidP="00305167"/>
    <w:p w14:paraId="6FA6D81E" w14:textId="496AF568" w:rsidR="00305167" w:rsidRDefault="00305167" w:rsidP="00305167"/>
    <w:p w14:paraId="27556C93" w14:textId="7E356D4F" w:rsidR="00305167" w:rsidRDefault="00305167" w:rsidP="00305167"/>
    <w:p w14:paraId="62AF63E9" w14:textId="329B59E2" w:rsidR="00305167" w:rsidRDefault="00305167" w:rsidP="00305167"/>
    <w:sdt>
      <w:sdtPr>
        <w:rPr>
          <w:rFonts w:ascii="Times New Roman" w:eastAsiaTheme="minorEastAsia" w:hAnsi="Times New Roman" w:cs="Times New Roman"/>
          <w:color w:val="auto"/>
          <w:sz w:val="20"/>
          <w:szCs w:val="20"/>
        </w:rPr>
        <w:id w:val="-1892955743"/>
        <w:docPartObj>
          <w:docPartGallery w:val="Table of Contents"/>
          <w:docPartUnique/>
        </w:docPartObj>
      </w:sdtPr>
      <w:sdtEndPr>
        <w:rPr>
          <w:b/>
          <w:bCs/>
          <w:noProof/>
        </w:rPr>
      </w:sdtEndPr>
      <w:sdtContent>
        <w:p w14:paraId="4FA0D700" w14:textId="77777777" w:rsidR="00305167" w:rsidRDefault="00305167" w:rsidP="00305167">
          <w:pPr>
            <w:pStyle w:val="TOCHeading"/>
          </w:pPr>
          <w:r>
            <w:t>TABLE OF CONTENTS</w:t>
          </w:r>
        </w:p>
        <w:p w14:paraId="1CF436E2" w14:textId="3517BA5A" w:rsidR="00DF77E8" w:rsidRDefault="00305167">
          <w:pPr>
            <w:pStyle w:val="TOC1"/>
            <w:rPr>
              <w:rFonts w:asciiTheme="minorHAnsi" w:hAnsiTheme="minorHAnsi" w:cstheme="minorBidi"/>
              <w:noProof/>
              <w:sz w:val="22"/>
              <w:szCs w:val="22"/>
              <w:lang w:val="en-CA" w:eastAsia="zh-CN"/>
            </w:rPr>
          </w:pPr>
          <w:r>
            <w:t xml:space="preserve">Caution Regarding </w:t>
          </w:r>
          <w:r>
            <w:fldChar w:fldCharType="begin"/>
          </w:r>
          <w:r>
            <w:instrText xml:space="preserve"> TOC \o "1-3" \h \z \u </w:instrText>
          </w:r>
          <w:r>
            <w:fldChar w:fldCharType="separate"/>
          </w:r>
          <w:hyperlink w:anchor="_Toc103780850" w:history="1">
            <w:r w:rsidR="00DF77E8" w:rsidRPr="00610493">
              <w:rPr>
                <w:rStyle w:val="Hyperlink"/>
                <w:noProof/>
              </w:rPr>
              <w:t xml:space="preserve">Caution Regarding </w:t>
            </w:r>
            <w:r w:rsidR="00DF77E8" w:rsidRPr="00610493">
              <w:rPr>
                <w:rStyle w:val="Hyperlink"/>
                <w:bCs/>
                <w:noProof/>
              </w:rPr>
              <w:t>Forward-Looking Statements</w:t>
            </w:r>
            <w:r w:rsidR="00DF77E8">
              <w:rPr>
                <w:noProof/>
                <w:webHidden/>
              </w:rPr>
              <w:tab/>
            </w:r>
            <w:r w:rsidR="00DF77E8">
              <w:rPr>
                <w:noProof/>
                <w:webHidden/>
              </w:rPr>
              <w:fldChar w:fldCharType="begin"/>
            </w:r>
            <w:r w:rsidR="00DF77E8">
              <w:rPr>
                <w:noProof/>
                <w:webHidden/>
              </w:rPr>
              <w:instrText xml:space="preserve"> PAGEREF _Toc103780850 \h </w:instrText>
            </w:r>
            <w:r w:rsidR="00DF77E8">
              <w:rPr>
                <w:noProof/>
                <w:webHidden/>
              </w:rPr>
            </w:r>
            <w:r w:rsidR="00DF77E8">
              <w:rPr>
                <w:noProof/>
                <w:webHidden/>
              </w:rPr>
              <w:fldChar w:fldCharType="separate"/>
            </w:r>
            <w:r w:rsidR="00C11A29">
              <w:rPr>
                <w:noProof/>
                <w:webHidden/>
              </w:rPr>
              <w:t>3</w:t>
            </w:r>
            <w:r w:rsidR="00DF77E8">
              <w:rPr>
                <w:noProof/>
                <w:webHidden/>
              </w:rPr>
              <w:fldChar w:fldCharType="end"/>
            </w:r>
          </w:hyperlink>
        </w:p>
        <w:p w14:paraId="5FEA3D96" w14:textId="4B7F1CCA" w:rsidR="00DF77E8" w:rsidRDefault="00000000">
          <w:pPr>
            <w:pStyle w:val="TOC1"/>
            <w:rPr>
              <w:rFonts w:asciiTheme="minorHAnsi" w:hAnsiTheme="minorHAnsi" w:cstheme="minorBidi"/>
              <w:noProof/>
              <w:sz w:val="22"/>
              <w:szCs w:val="22"/>
              <w:lang w:val="en-CA" w:eastAsia="zh-CN"/>
            </w:rPr>
          </w:pPr>
          <w:hyperlink w:anchor="_Toc103780851" w:history="1">
            <w:r w:rsidR="00DF77E8" w:rsidRPr="00610493">
              <w:rPr>
                <w:rStyle w:val="Hyperlink"/>
                <w:noProof/>
              </w:rPr>
              <w:t>Overview</w:t>
            </w:r>
            <w:r w:rsidR="00DF77E8">
              <w:rPr>
                <w:noProof/>
                <w:webHidden/>
              </w:rPr>
              <w:tab/>
            </w:r>
            <w:r w:rsidR="00DF77E8">
              <w:rPr>
                <w:noProof/>
                <w:webHidden/>
              </w:rPr>
              <w:fldChar w:fldCharType="begin"/>
            </w:r>
            <w:r w:rsidR="00DF77E8">
              <w:rPr>
                <w:noProof/>
                <w:webHidden/>
              </w:rPr>
              <w:instrText xml:space="preserve"> PAGEREF _Toc103780851 \h </w:instrText>
            </w:r>
            <w:r w:rsidR="00DF77E8">
              <w:rPr>
                <w:noProof/>
                <w:webHidden/>
              </w:rPr>
            </w:r>
            <w:r w:rsidR="00DF77E8">
              <w:rPr>
                <w:noProof/>
                <w:webHidden/>
              </w:rPr>
              <w:fldChar w:fldCharType="separate"/>
            </w:r>
            <w:r w:rsidR="00C11A29">
              <w:rPr>
                <w:noProof/>
                <w:webHidden/>
              </w:rPr>
              <w:t>4</w:t>
            </w:r>
            <w:r w:rsidR="00DF77E8">
              <w:rPr>
                <w:noProof/>
                <w:webHidden/>
              </w:rPr>
              <w:fldChar w:fldCharType="end"/>
            </w:r>
          </w:hyperlink>
        </w:p>
        <w:p w14:paraId="38499A41" w14:textId="3D04215F" w:rsidR="00DF77E8" w:rsidRDefault="00000000">
          <w:pPr>
            <w:pStyle w:val="TOC1"/>
            <w:rPr>
              <w:rFonts w:asciiTheme="minorHAnsi" w:hAnsiTheme="minorHAnsi" w:cstheme="minorBidi"/>
              <w:noProof/>
              <w:sz w:val="22"/>
              <w:szCs w:val="22"/>
              <w:lang w:val="en-CA" w:eastAsia="zh-CN"/>
            </w:rPr>
          </w:pPr>
          <w:hyperlink w:anchor="_Toc103780852" w:history="1">
            <w:r w:rsidR="00DF77E8" w:rsidRPr="00610493">
              <w:rPr>
                <w:rStyle w:val="Hyperlink"/>
                <w:noProof/>
              </w:rPr>
              <w:t>Selected Quarterly Information</w:t>
            </w:r>
            <w:r w:rsidR="00DF77E8">
              <w:rPr>
                <w:noProof/>
                <w:webHidden/>
              </w:rPr>
              <w:tab/>
            </w:r>
            <w:r w:rsidR="00DF77E8">
              <w:rPr>
                <w:noProof/>
                <w:webHidden/>
              </w:rPr>
              <w:fldChar w:fldCharType="begin"/>
            </w:r>
            <w:r w:rsidR="00DF77E8">
              <w:rPr>
                <w:noProof/>
                <w:webHidden/>
              </w:rPr>
              <w:instrText xml:space="preserve"> PAGEREF _Toc103780852 \h </w:instrText>
            </w:r>
            <w:r w:rsidR="00DF77E8">
              <w:rPr>
                <w:noProof/>
                <w:webHidden/>
              </w:rPr>
            </w:r>
            <w:r w:rsidR="00DF77E8">
              <w:rPr>
                <w:noProof/>
                <w:webHidden/>
              </w:rPr>
              <w:fldChar w:fldCharType="separate"/>
            </w:r>
            <w:r w:rsidR="00C11A29">
              <w:rPr>
                <w:noProof/>
                <w:webHidden/>
              </w:rPr>
              <w:t>7</w:t>
            </w:r>
            <w:r w:rsidR="00DF77E8">
              <w:rPr>
                <w:noProof/>
                <w:webHidden/>
              </w:rPr>
              <w:fldChar w:fldCharType="end"/>
            </w:r>
          </w:hyperlink>
        </w:p>
        <w:p w14:paraId="7AAF85A1" w14:textId="5997D23F" w:rsidR="00DF77E8" w:rsidRDefault="00000000">
          <w:pPr>
            <w:pStyle w:val="TOC1"/>
            <w:rPr>
              <w:rFonts w:asciiTheme="minorHAnsi" w:hAnsiTheme="minorHAnsi" w:cstheme="minorBidi"/>
              <w:noProof/>
              <w:sz w:val="22"/>
              <w:szCs w:val="22"/>
              <w:lang w:val="en-CA" w:eastAsia="zh-CN"/>
            </w:rPr>
          </w:pPr>
          <w:hyperlink w:anchor="_Toc103780853" w:history="1">
            <w:r w:rsidR="00DF77E8" w:rsidRPr="00610493">
              <w:rPr>
                <w:rStyle w:val="Hyperlink"/>
                <w:noProof/>
              </w:rPr>
              <w:t>Results of Operations</w:t>
            </w:r>
            <w:r w:rsidR="00DF77E8">
              <w:rPr>
                <w:noProof/>
                <w:webHidden/>
              </w:rPr>
              <w:tab/>
            </w:r>
            <w:r w:rsidR="00DF77E8">
              <w:rPr>
                <w:noProof/>
                <w:webHidden/>
              </w:rPr>
              <w:fldChar w:fldCharType="begin"/>
            </w:r>
            <w:r w:rsidR="00DF77E8">
              <w:rPr>
                <w:noProof/>
                <w:webHidden/>
              </w:rPr>
              <w:instrText xml:space="preserve"> PAGEREF _Toc103780853 \h </w:instrText>
            </w:r>
            <w:r w:rsidR="00DF77E8">
              <w:rPr>
                <w:noProof/>
                <w:webHidden/>
              </w:rPr>
            </w:r>
            <w:r w:rsidR="00DF77E8">
              <w:rPr>
                <w:noProof/>
                <w:webHidden/>
              </w:rPr>
              <w:fldChar w:fldCharType="separate"/>
            </w:r>
            <w:r w:rsidR="00C11A29">
              <w:rPr>
                <w:noProof/>
                <w:webHidden/>
              </w:rPr>
              <w:t>7</w:t>
            </w:r>
            <w:r w:rsidR="00DF77E8">
              <w:rPr>
                <w:noProof/>
                <w:webHidden/>
              </w:rPr>
              <w:fldChar w:fldCharType="end"/>
            </w:r>
          </w:hyperlink>
        </w:p>
        <w:p w14:paraId="3AA65F69" w14:textId="7DC1E862" w:rsidR="00DF77E8" w:rsidRDefault="00000000">
          <w:pPr>
            <w:pStyle w:val="TOC1"/>
            <w:rPr>
              <w:rFonts w:asciiTheme="minorHAnsi" w:hAnsiTheme="minorHAnsi" w:cstheme="minorBidi"/>
              <w:noProof/>
              <w:sz w:val="22"/>
              <w:szCs w:val="22"/>
              <w:lang w:val="en-CA" w:eastAsia="zh-CN"/>
            </w:rPr>
          </w:pPr>
          <w:hyperlink w:anchor="_Toc103780854" w:history="1">
            <w:r w:rsidR="00DF77E8" w:rsidRPr="00610493">
              <w:rPr>
                <w:rStyle w:val="Hyperlink"/>
                <w:noProof/>
              </w:rPr>
              <w:t>Summary of Quarterly Results</w:t>
            </w:r>
            <w:r w:rsidR="00DF77E8">
              <w:rPr>
                <w:noProof/>
                <w:webHidden/>
              </w:rPr>
              <w:tab/>
            </w:r>
            <w:r w:rsidR="00DF77E8">
              <w:rPr>
                <w:noProof/>
                <w:webHidden/>
              </w:rPr>
              <w:fldChar w:fldCharType="begin"/>
            </w:r>
            <w:r w:rsidR="00DF77E8">
              <w:rPr>
                <w:noProof/>
                <w:webHidden/>
              </w:rPr>
              <w:instrText xml:space="preserve"> PAGEREF _Toc103780854 \h </w:instrText>
            </w:r>
            <w:r w:rsidR="00DF77E8">
              <w:rPr>
                <w:noProof/>
                <w:webHidden/>
              </w:rPr>
            </w:r>
            <w:r w:rsidR="00DF77E8">
              <w:rPr>
                <w:noProof/>
                <w:webHidden/>
              </w:rPr>
              <w:fldChar w:fldCharType="separate"/>
            </w:r>
            <w:r w:rsidR="00C11A29">
              <w:rPr>
                <w:noProof/>
                <w:webHidden/>
              </w:rPr>
              <w:t>8</w:t>
            </w:r>
            <w:r w:rsidR="00DF77E8">
              <w:rPr>
                <w:noProof/>
                <w:webHidden/>
              </w:rPr>
              <w:fldChar w:fldCharType="end"/>
            </w:r>
          </w:hyperlink>
        </w:p>
        <w:p w14:paraId="1BA7049B" w14:textId="17ED5FA5" w:rsidR="00DF77E8" w:rsidRDefault="00000000">
          <w:pPr>
            <w:pStyle w:val="TOC1"/>
            <w:rPr>
              <w:rFonts w:asciiTheme="minorHAnsi" w:hAnsiTheme="minorHAnsi" w:cstheme="minorBidi"/>
              <w:noProof/>
              <w:sz w:val="22"/>
              <w:szCs w:val="22"/>
              <w:lang w:val="en-CA" w:eastAsia="zh-CN"/>
            </w:rPr>
          </w:pPr>
          <w:hyperlink w:anchor="_Toc103780855" w:history="1">
            <w:r w:rsidR="00DF77E8" w:rsidRPr="00610493">
              <w:rPr>
                <w:rStyle w:val="Hyperlink"/>
                <w:noProof/>
              </w:rPr>
              <w:t>Liquidity and Capital Resources</w:t>
            </w:r>
            <w:r w:rsidR="00DF77E8">
              <w:rPr>
                <w:noProof/>
                <w:webHidden/>
              </w:rPr>
              <w:tab/>
            </w:r>
            <w:r w:rsidR="00DF77E8">
              <w:rPr>
                <w:noProof/>
                <w:webHidden/>
              </w:rPr>
              <w:fldChar w:fldCharType="begin"/>
            </w:r>
            <w:r w:rsidR="00DF77E8">
              <w:rPr>
                <w:noProof/>
                <w:webHidden/>
              </w:rPr>
              <w:instrText xml:space="preserve"> PAGEREF _Toc103780855 \h </w:instrText>
            </w:r>
            <w:r w:rsidR="00DF77E8">
              <w:rPr>
                <w:noProof/>
                <w:webHidden/>
              </w:rPr>
            </w:r>
            <w:r w:rsidR="00DF77E8">
              <w:rPr>
                <w:noProof/>
                <w:webHidden/>
              </w:rPr>
              <w:fldChar w:fldCharType="separate"/>
            </w:r>
            <w:r w:rsidR="00C11A29">
              <w:rPr>
                <w:noProof/>
                <w:webHidden/>
              </w:rPr>
              <w:t>10</w:t>
            </w:r>
            <w:r w:rsidR="00DF77E8">
              <w:rPr>
                <w:noProof/>
                <w:webHidden/>
              </w:rPr>
              <w:fldChar w:fldCharType="end"/>
            </w:r>
          </w:hyperlink>
        </w:p>
        <w:p w14:paraId="71687065" w14:textId="4C5390CB" w:rsidR="00DF77E8" w:rsidRDefault="00000000">
          <w:pPr>
            <w:pStyle w:val="TOC1"/>
            <w:rPr>
              <w:rFonts w:asciiTheme="minorHAnsi" w:hAnsiTheme="minorHAnsi" w:cstheme="minorBidi"/>
              <w:noProof/>
              <w:sz w:val="22"/>
              <w:szCs w:val="22"/>
              <w:lang w:val="en-CA" w:eastAsia="zh-CN"/>
            </w:rPr>
          </w:pPr>
          <w:hyperlink w:anchor="_Toc103780856" w:history="1">
            <w:r w:rsidR="00DF77E8" w:rsidRPr="00610493">
              <w:rPr>
                <w:rStyle w:val="Hyperlink"/>
                <w:noProof/>
              </w:rPr>
              <w:t>Transactions with Related Parties</w:t>
            </w:r>
            <w:r w:rsidR="00DF77E8">
              <w:rPr>
                <w:noProof/>
                <w:webHidden/>
              </w:rPr>
              <w:tab/>
            </w:r>
            <w:r w:rsidR="00DF77E8">
              <w:rPr>
                <w:noProof/>
                <w:webHidden/>
              </w:rPr>
              <w:fldChar w:fldCharType="begin"/>
            </w:r>
            <w:r w:rsidR="00DF77E8">
              <w:rPr>
                <w:noProof/>
                <w:webHidden/>
              </w:rPr>
              <w:instrText xml:space="preserve"> PAGEREF _Toc103780856 \h </w:instrText>
            </w:r>
            <w:r w:rsidR="00DF77E8">
              <w:rPr>
                <w:noProof/>
                <w:webHidden/>
              </w:rPr>
            </w:r>
            <w:r w:rsidR="00DF77E8">
              <w:rPr>
                <w:noProof/>
                <w:webHidden/>
              </w:rPr>
              <w:fldChar w:fldCharType="separate"/>
            </w:r>
            <w:r w:rsidR="00C11A29">
              <w:rPr>
                <w:noProof/>
                <w:webHidden/>
              </w:rPr>
              <w:t>12</w:t>
            </w:r>
            <w:r w:rsidR="00DF77E8">
              <w:rPr>
                <w:noProof/>
                <w:webHidden/>
              </w:rPr>
              <w:fldChar w:fldCharType="end"/>
            </w:r>
          </w:hyperlink>
        </w:p>
        <w:p w14:paraId="4EACB479" w14:textId="1C5F57C9" w:rsidR="00DF77E8" w:rsidRDefault="00000000">
          <w:pPr>
            <w:pStyle w:val="TOC1"/>
            <w:rPr>
              <w:rFonts w:asciiTheme="minorHAnsi" w:hAnsiTheme="minorHAnsi" w:cstheme="minorBidi"/>
              <w:noProof/>
              <w:sz w:val="22"/>
              <w:szCs w:val="22"/>
              <w:lang w:val="en-CA" w:eastAsia="zh-CN"/>
            </w:rPr>
          </w:pPr>
          <w:hyperlink w:anchor="_Toc103780857" w:history="1">
            <w:r w:rsidR="00DF77E8" w:rsidRPr="00610493">
              <w:rPr>
                <w:rStyle w:val="Hyperlink"/>
                <w:noProof/>
                <w:lang w:val="en-GB"/>
              </w:rPr>
              <w:t>Financial Risk Management</w:t>
            </w:r>
            <w:r w:rsidR="00DF77E8">
              <w:rPr>
                <w:noProof/>
                <w:webHidden/>
              </w:rPr>
              <w:tab/>
            </w:r>
            <w:r w:rsidR="00DF77E8">
              <w:rPr>
                <w:noProof/>
                <w:webHidden/>
              </w:rPr>
              <w:fldChar w:fldCharType="begin"/>
            </w:r>
            <w:r w:rsidR="00DF77E8">
              <w:rPr>
                <w:noProof/>
                <w:webHidden/>
              </w:rPr>
              <w:instrText xml:space="preserve"> PAGEREF _Toc103780857 \h </w:instrText>
            </w:r>
            <w:r w:rsidR="00DF77E8">
              <w:rPr>
                <w:noProof/>
                <w:webHidden/>
              </w:rPr>
            </w:r>
            <w:r w:rsidR="00DF77E8">
              <w:rPr>
                <w:noProof/>
                <w:webHidden/>
              </w:rPr>
              <w:fldChar w:fldCharType="separate"/>
            </w:r>
            <w:r w:rsidR="00C11A29">
              <w:rPr>
                <w:noProof/>
                <w:webHidden/>
              </w:rPr>
              <w:t>12</w:t>
            </w:r>
            <w:r w:rsidR="00DF77E8">
              <w:rPr>
                <w:noProof/>
                <w:webHidden/>
              </w:rPr>
              <w:fldChar w:fldCharType="end"/>
            </w:r>
          </w:hyperlink>
        </w:p>
        <w:p w14:paraId="52946172" w14:textId="0DB699F3" w:rsidR="00DF77E8" w:rsidRDefault="00000000">
          <w:pPr>
            <w:pStyle w:val="TOC1"/>
            <w:rPr>
              <w:rFonts w:asciiTheme="minorHAnsi" w:hAnsiTheme="minorHAnsi" w:cstheme="minorBidi"/>
              <w:noProof/>
              <w:sz w:val="22"/>
              <w:szCs w:val="22"/>
              <w:lang w:val="en-CA" w:eastAsia="zh-CN"/>
            </w:rPr>
          </w:pPr>
          <w:hyperlink w:anchor="_Toc103780858" w:history="1">
            <w:r w:rsidR="00DF77E8" w:rsidRPr="00610493">
              <w:rPr>
                <w:rStyle w:val="Hyperlink"/>
                <w:noProof/>
              </w:rPr>
              <w:t>Off-Balance Sheet Arrangements</w:t>
            </w:r>
            <w:r w:rsidR="00DF77E8">
              <w:rPr>
                <w:noProof/>
                <w:webHidden/>
              </w:rPr>
              <w:tab/>
            </w:r>
            <w:r w:rsidR="00DF77E8">
              <w:rPr>
                <w:noProof/>
                <w:webHidden/>
              </w:rPr>
              <w:fldChar w:fldCharType="begin"/>
            </w:r>
            <w:r w:rsidR="00DF77E8">
              <w:rPr>
                <w:noProof/>
                <w:webHidden/>
              </w:rPr>
              <w:instrText xml:space="preserve"> PAGEREF _Toc103780858 \h </w:instrText>
            </w:r>
            <w:r w:rsidR="00DF77E8">
              <w:rPr>
                <w:noProof/>
                <w:webHidden/>
              </w:rPr>
            </w:r>
            <w:r w:rsidR="00DF77E8">
              <w:rPr>
                <w:noProof/>
                <w:webHidden/>
              </w:rPr>
              <w:fldChar w:fldCharType="separate"/>
            </w:r>
            <w:r w:rsidR="00C11A29">
              <w:rPr>
                <w:noProof/>
                <w:webHidden/>
              </w:rPr>
              <w:t>13</w:t>
            </w:r>
            <w:r w:rsidR="00DF77E8">
              <w:rPr>
                <w:noProof/>
                <w:webHidden/>
              </w:rPr>
              <w:fldChar w:fldCharType="end"/>
            </w:r>
          </w:hyperlink>
        </w:p>
        <w:p w14:paraId="216B23F0" w14:textId="70F7EEFB" w:rsidR="00DF77E8" w:rsidRDefault="00000000">
          <w:pPr>
            <w:pStyle w:val="TOC1"/>
            <w:rPr>
              <w:rFonts w:asciiTheme="minorHAnsi" w:hAnsiTheme="minorHAnsi" w:cstheme="minorBidi"/>
              <w:noProof/>
              <w:sz w:val="22"/>
              <w:szCs w:val="22"/>
              <w:lang w:val="en-CA" w:eastAsia="zh-CN"/>
            </w:rPr>
          </w:pPr>
          <w:hyperlink w:anchor="_Toc103780859" w:history="1">
            <w:r w:rsidR="00DF77E8" w:rsidRPr="00610493">
              <w:rPr>
                <w:rStyle w:val="Hyperlink"/>
                <w:noProof/>
              </w:rPr>
              <w:t>Disclosure of Outstanding Share Data</w:t>
            </w:r>
            <w:r w:rsidR="00DF77E8">
              <w:rPr>
                <w:noProof/>
                <w:webHidden/>
              </w:rPr>
              <w:tab/>
            </w:r>
            <w:r w:rsidR="00DF77E8">
              <w:rPr>
                <w:noProof/>
                <w:webHidden/>
              </w:rPr>
              <w:fldChar w:fldCharType="begin"/>
            </w:r>
            <w:r w:rsidR="00DF77E8">
              <w:rPr>
                <w:noProof/>
                <w:webHidden/>
              </w:rPr>
              <w:instrText xml:space="preserve"> PAGEREF _Toc103780859 \h </w:instrText>
            </w:r>
            <w:r w:rsidR="00DF77E8">
              <w:rPr>
                <w:noProof/>
                <w:webHidden/>
              </w:rPr>
            </w:r>
            <w:r w:rsidR="00DF77E8">
              <w:rPr>
                <w:noProof/>
                <w:webHidden/>
              </w:rPr>
              <w:fldChar w:fldCharType="separate"/>
            </w:r>
            <w:r w:rsidR="00C11A29">
              <w:rPr>
                <w:noProof/>
                <w:webHidden/>
              </w:rPr>
              <w:t>13</w:t>
            </w:r>
            <w:r w:rsidR="00DF77E8">
              <w:rPr>
                <w:noProof/>
                <w:webHidden/>
              </w:rPr>
              <w:fldChar w:fldCharType="end"/>
            </w:r>
          </w:hyperlink>
        </w:p>
        <w:p w14:paraId="264E79A4" w14:textId="3CE691FD" w:rsidR="00DF77E8" w:rsidRDefault="00000000">
          <w:pPr>
            <w:pStyle w:val="TOC1"/>
            <w:rPr>
              <w:rFonts w:asciiTheme="minorHAnsi" w:hAnsiTheme="minorHAnsi" w:cstheme="minorBidi"/>
              <w:noProof/>
              <w:sz w:val="22"/>
              <w:szCs w:val="22"/>
              <w:lang w:val="en-CA" w:eastAsia="zh-CN"/>
            </w:rPr>
          </w:pPr>
          <w:hyperlink w:anchor="_Toc103780860" w:history="1">
            <w:r w:rsidR="00DF77E8" w:rsidRPr="00610493">
              <w:rPr>
                <w:rStyle w:val="Hyperlink"/>
                <w:noProof/>
              </w:rPr>
              <w:t>Critical Accounting Policies and Estimates</w:t>
            </w:r>
            <w:r w:rsidR="00DF77E8">
              <w:rPr>
                <w:noProof/>
                <w:webHidden/>
              </w:rPr>
              <w:tab/>
            </w:r>
            <w:r w:rsidR="00DF77E8">
              <w:rPr>
                <w:noProof/>
                <w:webHidden/>
              </w:rPr>
              <w:fldChar w:fldCharType="begin"/>
            </w:r>
            <w:r w:rsidR="00DF77E8">
              <w:rPr>
                <w:noProof/>
                <w:webHidden/>
              </w:rPr>
              <w:instrText xml:space="preserve"> PAGEREF _Toc103780860 \h </w:instrText>
            </w:r>
            <w:r w:rsidR="00DF77E8">
              <w:rPr>
                <w:noProof/>
                <w:webHidden/>
              </w:rPr>
            </w:r>
            <w:r w:rsidR="00DF77E8">
              <w:rPr>
                <w:noProof/>
                <w:webHidden/>
              </w:rPr>
              <w:fldChar w:fldCharType="separate"/>
            </w:r>
            <w:r w:rsidR="00C11A29">
              <w:rPr>
                <w:noProof/>
                <w:webHidden/>
              </w:rPr>
              <w:t>16</w:t>
            </w:r>
            <w:r w:rsidR="00DF77E8">
              <w:rPr>
                <w:noProof/>
                <w:webHidden/>
              </w:rPr>
              <w:fldChar w:fldCharType="end"/>
            </w:r>
          </w:hyperlink>
        </w:p>
        <w:p w14:paraId="2B9D5F0C" w14:textId="747B735E" w:rsidR="00DF77E8" w:rsidRDefault="00000000">
          <w:pPr>
            <w:pStyle w:val="TOC1"/>
            <w:rPr>
              <w:rFonts w:asciiTheme="minorHAnsi" w:hAnsiTheme="minorHAnsi" w:cstheme="minorBidi"/>
              <w:noProof/>
              <w:sz w:val="22"/>
              <w:szCs w:val="22"/>
              <w:lang w:val="en-CA" w:eastAsia="zh-CN"/>
            </w:rPr>
          </w:pPr>
          <w:hyperlink w:anchor="_Toc103780861" w:history="1">
            <w:r w:rsidR="00DF77E8" w:rsidRPr="00610493">
              <w:rPr>
                <w:rStyle w:val="Hyperlink"/>
                <w:noProof/>
              </w:rPr>
              <w:t>Subsequent Events</w:t>
            </w:r>
            <w:r w:rsidR="00DF77E8">
              <w:rPr>
                <w:noProof/>
                <w:webHidden/>
              </w:rPr>
              <w:tab/>
            </w:r>
            <w:r w:rsidR="00DF77E8">
              <w:rPr>
                <w:noProof/>
                <w:webHidden/>
              </w:rPr>
              <w:fldChar w:fldCharType="begin"/>
            </w:r>
            <w:r w:rsidR="00DF77E8">
              <w:rPr>
                <w:noProof/>
                <w:webHidden/>
              </w:rPr>
              <w:instrText xml:space="preserve"> PAGEREF _Toc103780861 \h </w:instrText>
            </w:r>
            <w:r w:rsidR="00DF77E8">
              <w:rPr>
                <w:noProof/>
                <w:webHidden/>
              </w:rPr>
            </w:r>
            <w:r w:rsidR="00DF77E8">
              <w:rPr>
                <w:noProof/>
                <w:webHidden/>
              </w:rPr>
              <w:fldChar w:fldCharType="separate"/>
            </w:r>
            <w:r w:rsidR="00C11A29">
              <w:rPr>
                <w:noProof/>
                <w:webHidden/>
              </w:rPr>
              <w:t>18</w:t>
            </w:r>
            <w:r w:rsidR="00DF77E8">
              <w:rPr>
                <w:noProof/>
                <w:webHidden/>
              </w:rPr>
              <w:fldChar w:fldCharType="end"/>
            </w:r>
          </w:hyperlink>
        </w:p>
        <w:p w14:paraId="10743F7D" w14:textId="34BD1C57" w:rsidR="00305167" w:rsidRDefault="00305167" w:rsidP="00305167">
          <w:r>
            <w:rPr>
              <w:b/>
              <w:bCs/>
              <w:noProof/>
            </w:rPr>
            <w:fldChar w:fldCharType="end"/>
          </w:r>
        </w:p>
      </w:sdtContent>
    </w:sdt>
    <w:p w14:paraId="56B4673D" w14:textId="77777777" w:rsidR="00305167" w:rsidRDefault="00305167" w:rsidP="00305167">
      <w:pPr>
        <w:autoSpaceDE/>
        <w:autoSpaceDN/>
        <w:adjustRightInd/>
        <w:spacing w:after="0"/>
        <w:jc w:val="center"/>
        <w:rPr>
          <w:rFonts w:eastAsia="Cambria"/>
          <w:b/>
          <w:lang w:val="en-CA"/>
        </w:rPr>
      </w:pPr>
    </w:p>
    <w:p w14:paraId="61E97E47" w14:textId="77777777" w:rsidR="00305167" w:rsidRDefault="00305167" w:rsidP="00305167">
      <w:pPr>
        <w:autoSpaceDE/>
        <w:autoSpaceDN/>
        <w:adjustRightInd/>
        <w:spacing w:after="0"/>
        <w:jc w:val="center"/>
        <w:rPr>
          <w:rFonts w:eastAsia="Cambria"/>
          <w:b/>
          <w:lang w:val="en-CA"/>
        </w:rPr>
      </w:pPr>
    </w:p>
    <w:p w14:paraId="0BEC02CA" w14:textId="77777777" w:rsidR="00501AA6" w:rsidRDefault="00501AA6" w:rsidP="00345E3B">
      <w:pPr>
        <w:autoSpaceDE/>
        <w:autoSpaceDN/>
        <w:adjustRightInd/>
        <w:spacing w:after="0"/>
        <w:jc w:val="center"/>
        <w:rPr>
          <w:rFonts w:eastAsia="Cambria"/>
          <w:b/>
          <w:lang w:val="en-CA"/>
        </w:rPr>
      </w:pPr>
    </w:p>
    <w:p w14:paraId="31BBF78E" w14:textId="77777777" w:rsidR="00501AA6" w:rsidRDefault="00501AA6" w:rsidP="00345E3B">
      <w:pPr>
        <w:autoSpaceDE/>
        <w:autoSpaceDN/>
        <w:adjustRightInd/>
        <w:spacing w:after="0"/>
        <w:jc w:val="center"/>
        <w:rPr>
          <w:rFonts w:eastAsia="Cambria"/>
          <w:b/>
          <w:lang w:val="en-CA"/>
        </w:rPr>
      </w:pPr>
    </w:p>
    <w:p w14:paraId="51238A73" w14:textId="77777777" w:rsidR="00501AA6" w:rsidRDefault="00501AA6" w:rsidP="00345E3B">
      <w:pPr>
        <w:autoSpaceDE/>
        <w:autoSpaceDN/>
        <w:adjustRightInd/>
        <w:spacing w:after="0"/>
        <w:jc w:val="center"/>
        <w:rPr>
          <w:rFonts w:eastAsia="Cambria"/>
          <w:b/>
          <w:lang w:val="en-CA"/>
        </w:rPr>
      </w:pPr>
    </w:p>
    <w:p w14:paraId="43CB3528" w14:textId="77777777" w:rsidR="00501AA6" w:rsidRDefault="00501AA6" w:rsidP="00345E3B">
      <w:pPr>
        <w:autoSpaceDE/>
        <w:autoSpaceDN/>
        <w:adjustRightInd/>
        <w:spacing w:after="0"/>
        <w:jc w:val="center"/>
        <w:rPr>
          <w:rFonts w:eastAsia="Cambria"/>
          <w:b/>
          <w:lang w:val="en-CA"/>
        </w:rPr>
      </w:pPr>
    </w:p>
    <w:p w14:paraId="0AE72024" w14:textId="77777777" w:rsidR="00501AA6" w:rsidRDefault="00501AA6" w:rsidP="00345E3B">
      <w:pPr>
        <w:autoSpaceDE/>
        <w:autoSpaceDN/>
        <w:adjustRightInd/>
        <w:spacing w:after="0"/>
        <w:jc w:val="center"/>
        <w:rPr>
          <w:rFonts w:eastAsia="Cambria"/>
          <w:b/>
          <w:lang w:val="en-CA"/>
        </w:rPr>
      </w:pPr>
    </w:p>
    <w:p w14:paraId="4C01B468" w14:textId="77777777" w:rsidR="00501AA6" w:rsidRDefault="00501AA6" w:rsidP="00345E3B">
      <w:pPr>
        <w:autoSpaceDE/>
        <w:autoSpaceDN/>
        <w:adjustRightInd/>
        <w:spacing w:after="0"/>
        <w:jc w:val="center"/>
        <w:rPr>
          <w:rFonts w:eastAsia="Cambria"/>
          <w:b/>
          <w:lang w:val="en-CA"/>
        </w:rPr>
      </w:pPr>
    </w:p>
    <w:p w14:paraId="35C32B4B" w14:textId="77777777" w:rsidR="00501AA6" w:rsidRDefault="00501AA6" w:rsidP="00345E3B">
      <w:pPr>
        <w:autoSpaceDE/>
        <w:autoSpaceDN/>
        <w:adjustRightInd/>
        <w:spacing w:after="0"/>
        <w:jc w:val="center"/>
        <w:rPr>
          <w:rFonts w:eastAsia="Cambria"/>
          <w:b/>
          <w:lang w:val="en-CA"/>
        </w:rPr>
      </w:pPr>
    </w:p>
    <w:p w14:paraId="25C20EA4" w14:textId="77777777" w:rsidR="00501AA6" w:rsidRDefault="00501AA6" w:rsidP="00345E3B">
      <w:pPr>
        <w:autoSpaceDE/>
        <w:autoSpaceDN/>
        <w:adjustRightInd/>
        <w:spacing w:after="0"/>
        <w:jc w:val="center"/>
        <w:rPr>
          <w:rFonts w:eastAsia="Cambria"/>
          <w:b/>
          <w:lang w:val="en-CA"/>
        </w:rPr>
      </w:pPr>
    </w:p>
    <w:p w14:paraId="5BC3495A" w14:textId="77777777" w:rsidR="00501AA6" w:rsidRDefault="00501AA6" w:rsidP="00345E3B">
      <w:pPr>
        <w:autoSpaceDE/>
        <w:autoSpaceDN/>
        <w:adjustRightInd/>
        <w:spacing w:after="0"/>
        <w:jc w:val="center"/>
        <w:rPr>
          <w:rFonts w:eastAsia="Cambria"/>
          <w:b/>
          <w:lang w:val="en-CA"/>
        </w:rPr>
      </w:pPr>
    </w:p>
    <w:p w14:paraId="7FF3462E" w14:textId="77777777" w:rsidR="00501AA6" w:rsidRDefault="00501AA6" w:rsidP="00345E3B">
      <w:pPr>
        <w:autoSpaceDE/>
        <w:autoSpaceDN/>
        <w:adjustRightInd/>
        <w:spacing w:after="0"/>
        <w:jc w:val="center"/>
        <w:rPr>
          <w:rFonts w:eastAsia="Cambria"/>
          <w:b/>
          <w:lang w:val="en-CA"/>
        </w:rPr>
      </w:pPr>
    </w:p>
    <w:p w14:paraId="202F311F" w14:textId="77777777" w:rsidR="00501AA6" w:rsidRDefault="00501AA6" w:rsidP="00345E3B">
      <w:pPr>
        <w:autoSpaceDE/>
        <w:autoSpaceDN/>
        <w:adjustRightInd/>
        <w:spacing w:after="0"/>
        <w:jc w:val="center"/>
        <w:rPr>
          <w:rFonts w:eastAsia="Cambria"/>
          <w:b/>
          <w:lang w:val="en-CA"/>
        </w:rPr>
      </w:pPr>
    </w:p>
    <w:p w14:paraId="2FBAAA15" w14:textId="77777777" w:rsidR="00501AA6" w:rsidRDefault="00501AA6" w:rsidP="00345E3B">
      <w:pPr>
        <w:autoSpaceDE/>
        <w:autoSpaceDN/>
        <w:adjustRightInd/>
        <w:spacing w:after="0"/>
        <w:jc w:val="center"/>
        <w:rPr>
          <w:rFonts w:eastAsia="Cambria"/>
          <w:b/>
          <w:lang w:val="en-CA"/>
        </w:rPr>
      </w:pPr>
    </w:p>
    <w:p w14:paraId="6CCBE1EE" w14:textId="77777777" w:rsidR="00501AA6" w:rsidRDefault="00501AA6" w:rsidP="00345E3B">
      <w:pPr>
        <w:autoSpaceDE/>
        <w:autoSpaceDN/>
        <w:adjustRightInd/>
        <w:spacing w:after="0"/>
        <w:jc w:val="center"/>
        <w:rPr>
          <w:rFonts w:eastAsia="Cambria"/>
          <w:b/>
          <w:lang w:val="en-CA"/>
        </w:rPr>
      </w:pPr>
    </w:p>
    <w:p w14:paraId="7D5B41D8" w14:textId="77777777" w:rsidR="00501AA6" w:rsidRDefault="00501AA6" w:rsidP="00345E3B">
      <w:pPr>
        <w:autoSpaceDE/>
        <w:autoSpaceDN/>
        <w:adjustRightInd/>
        <w:spacing w:after="0"/>
        <w:jc w:val="center"/>
        <w:rPr>
          <w:rFonts w:eastAsia="Cambria"/>
          <w:b/>
          <w:lang w:val="en-CA"/>
        </w:rPr>
      </w:pPr>
    </w:p>
    <w:p w14:paraId="512158C5" w14:textId="77777777" w:rsidR="00501AA6" w:rsidRDefault="00501AA6" w:rsidP="00345E3B">
      <w:pPr>
        <w:autoSpaceDE/>
        <w:autoSpaceDN/>
        <w:adjustRightInd/>
        <w:spacing w:after="0"/>
        <w:jc w:val="center"/>
        <w:rPr>
          <w:rFonts w:eastAsia="Cambria"/>
          <w:b/>
          <w:lang w:val="en-CA"/>
        </w:rPr>
      </w:pPr>
    </w:p>
    <w:p w14:paraId="4D1F5708" w14:textId="77777777" w:rsidR="00501AA6" w:rsidRDefault="00501AA6" w:rsidP="00345E3B">
      <w:pPr>
        <w:autoSpaceDE/>
        <w:autoSpaceDN/>
        <w:adjustRightInd/>
        <w:spacing w:after="0"/>
        <w:jc w:val="center"/>
        <w:rPr>
          <w:rFonts w:eastAsia="Cambria"/>
          <w:b/>
          <w:lang w:val="en-CA"/>
        </w:rPr>
      </w:pPr>
    </w:p>
    <w:p w14:paraId="58139323" w14:textId="77777777" w:rsidR="00501AA6" w:rsidRDefault="00501AA6" w:rsidP="00345E3B">
      <w:pPr>
        <w:autoSpaceDE/>
        <w:autoSpaceDN/>
        <w:adjustRightInd/>
        <w:spacing w:after="0"/>
        <w:jc w:val="center"/>
        <w:rPr>
          <w:rFonts w:eastAsia="Cambria"/>
          <w:b/>
          <w:lang w:val="en-CA"/>
        </w:rPr>
      </w:pPr>
    </w:p>
    <w:p w14:paraId="3255778B" w14:textId="77777777" w:rsidR="00501AA6" w:rsidRDefault="00501AA6" w:rsidP="00345E3B">
      <w:pPr>
        <w:autoSpaceDE/>
        <w:autoSpaceDN/>
        <w:adjustRightInd/>
        <w:spacing w:after="0"/>
        <w:jc w:val="center"/>
        <w:rPr>
          <w:rFonts w:eastAsia="Cambria"/>
          <w:b/>
          <w:lang w:val="en-CA"/>
        </w:rPr>
      </w:pPr>
    </w:p>
    <w:p w14:paraId="78459D6D" w14:textId="77777777" w:rsidR="00501AA6" w:rsidRDefault="00501AA6" w:rsidP="00345E3B">
      <w:pPr>
        <w:autoSpaceDE/>
        <w:autoSpaceDN/>
        <w:adjustRightInd/>
        <w:spacing w:after="0"/>
        <w:jc w:val="center"/>
        <w:rPr>
          <w:rFonts w:eastAsia="Cambria"/>
          <w:b/>
          <w:lang w:val="en-CA"/>
        </w:rPr>
      </w:pPr>
    </w:p>
    <w:p w14:paraId="6C33BB9A" w14:textId="77777777" w:rsidR="00501AA6" w:rsidRDefault="00501AA6" w:rsidP="00345E3B">
      <w:pPr>
        <w:autoSpaceDE/>
        <w:autoSpaceDN/>
        <w:adjustRightInd/>
        <w:spacing w:after="0"/>
        <w:jc w:val="center"/>
        <w:rPr>
          <w:rFonts w:eastAsia="Cambria"/>
          <w:b/>
          <w:lang w:val="en-CA"/>
        </w:rPr>
      </w:pPr>
    </w:p>
    <w:p w14:paraId="4E984DC7" w14:textId="77777777" w:rsidR="00501AA6" w:rsidRDefault="00501AA6" w:rsidP="00345E3B">
      <w:pPr>
        <w:autoSpaceDE/>
        <w:autoSpaceDN/>
        <w:adjustRightInd/>
        <w:spacing w:after="0"/>
        <w:jc w:val="center"/>
        <w:rPr>
          <w:rFonts w:eastAsia="Cambria"/>
          <w:b/>
          <w:lang w:val="en-CA"/>
        </w:rPr>
      </w:pPr>
    </w:p>
    <w:p w14:paraId="07C2D564" w14:textId="77777777" w:rsidR="00501AA6" w:rsidRDefault="00501AA6" w:rsidP="00345E3B">
      <w:pPr>
        <w:autoSpaceDE/>
        <w:autoSpaceDN/>
        <w:adjustRightInd/>
        <w:spacing w:after="0"/>
        <w:jc w:val="center"/>
        <w:rPr>
          <w:rFonts w:eastAsia="Cambria"/>
          <w:b/>
          <w:lang w:val="en-CA"/>
        </w:rPr>
      </w:pPr>
    </w:p>
    <w:p w14:paraId="0D0F4595" w14:textId="77777777" w:rsidR="00501AA6" w:rsidRDefault="00501AA6" w:rsidP="00345E3B">
      <w:pPr>
        <w:autoSpaceDE/>
        <w:autoSpaceDN/>
        <w:adjustRightInd/>
        <w:spacing w:after="0"/>
        <w:jc w:val="center"/>
        <w:rPr>
          <w:rFonts w:eastAsia="Cambria"/>
          <w:b/>
          <w:lang w:val="en-CA"/>
        </w:rPr>
      </w:pPr>
    </w:p>
    <w:p w14:paraId="29770E23" w14:textId="77777777" w:rsidR="00501AA6" w:rsidRDefault="00501AA6" w:rsidP="00345E3B">
      <w:pPr>
        <w:autoSpaceDE/>
        <w:autoSpaceDN/>
        <w:adjustRightInd/>
        <w:spacing w:after="0"/>
        <w:jc w:val="center"/>
        <w:rPr>
          <w:rFonts w:eastAsia="Cambria"/>
          <w:b/>
          <w:lang w:val="en-CA"/>
        </w:rPr>
      </w:pPr>
    </w:p>
    <w:p w14:paraId="42D66591" w14:textId="77777777" w:rsidR="00501AA6" w:rsidRDefault="00501AA6" w:rsidP="00345E3B">
      <w:pPr>
        <w:autoSpaceDE/>
        <w:autoSpaceDN/>
        <w:adjustRightInd/>
        <w:spacing w:after="0"/>
        <w:jc w:val="center"/>
        <w:rPr>
          <w:rFonts w:eastAsia="Cambria"/>
          <w:b/>
          <w:lang w:val="en-CA"/>
        </w:rPr>
      </w:pPr>
    </w:p>
    <w:p w14:paraId="5D1D185B" w14:textId="77777777" w:rsidR="00501AA6" w:rsidRDefault="00501AA6" w:rsidP="00345E3B">
      <w:pPr>
        <w:autoSpaceDE/>
        <w:autoSpaceDN/>
        <w:adjustRightInd/>
        <w:spacing w:after="0"/>
        <w:jc w:val="center"/>
        <w:rPr>
          <w:rFonts w:eastAsia="Cambria"/>
          <w:b/>
          <w:lang w:val="en-CA"/>
        </w:rPr>
      </w:pPr>
    </w:p>
    <w:p w14:paraId="4A74D874" w14:textId="77777777" w:rsidR="00501AA6" w:rsidRDefault="00501AA6" w:rsidP="00345E3B">
      <w:pPr>
        <w:autoSpaceDE/>
        <w:autoSpaceDN/>
        <w:adjustRightInd/>
        <w:spacing w:after="0"/>
        <w:jc w:val="center"/>
        <w:rPr>
          <w:rFonts w:eastAsia="Cambria"/>
          <w:b/>
          <w:lang w:val="en-CA"/>
        </w:rPr>
      </w:pPr>
    </w:p>
    <w:p w14:paraId="10EE4A3A" w14:textId="77777777" w:rsidR="00501AA6" w:rsidRDefault="00501AA6" w:rsidP="00345E3B">
      <w:pPr>
        <w:autoSpaceDE/>
        <w:autoSpaceDN/>
        <w:adjustRightInd/>
        <w:spacing w:after="0"/>
        <w:jc w:val="center"/>
        <w:rPr>
          <w:rFonts w:eastAsia="Cambria"/>
          <w:b/>
          <w:lang w:val="en-CA"/>
        </w:rPr>
      </w:pPr>
    </w:p>
    <w:p w14:paraId="08C7EB95" w14:textId="646AD25E" w:rsidR="00501AA6" w:rsidRDefault="00501AA6" w:rsidP="00345E3B">
      <w:pPr>
        <w:autoSpaceDE/>
        <w:autoSpaceDN/>
        <w:adjustRightInd/>
        <w:spacing w:after="0"/>
        <w:jc w:val="center"/>
        <w:rPr>
          <w:rFonts w:eastAsia="Cambria"/>
          <w:b/>
          <w:lang w:val="en-CA"/>
        </w:rPr>
      </w:pPr>
    </w:p>
    <w:p w14:paraId="71154B98" w14:textId="771FCBB2" w:rsidR="008C4A7D" w:rsidRDefault="008C4A7D" w:rsidP="00345E3B">
      <w:pPr>
        <w:autoSpaceDE/>
        <w:autoSpaceDN/>
        <w:adjustRightInd/>
        <w:spacing w:after="0"/>
        <w:jc w:val="center"/>
        <w:rPr>
          <w:rFonts w:eastAsia="Cambria"/>
          <w:b/>
          <w:lang w:val="en-CA"/>
        </w:rPr>
      </w:pPr>
    </w:p>
    <w:p w14:paraId="19D673A9" w14:textId="15B567EC" w:rsidR="008C4A7D" w:rsidRDefault="008C4A7D" w:rsidP="00345E3B">
      <w:pPr>
        <w:autoSpaceDE/>
        <w:autoSpaceDN/>
        <w:adjustRightInd/>
        <w:spacing w:after="0"/>
        <w:jc w:val="center"/>
        <w:rPr>
          <w:rFonts w:eastAsia="Cambria"/>
          <w:b/>
          <w:lang w:val="en-CA"/>
        </w:rPr>
      </w:pPr>
    </w:p>
    <w:p w14:paraId="6B6079A9" w14:textId="77777777" w:rsidR="008C4A7D" w:rsidRDefault="008C4A7D" w:rsidP="00345E3B">
      <w:pPr>
        <w:autoSpaceDE/>
        <w:autoSpaceDN/>
        <w:adjustRightInd/>
        <w:spacing w:after="0"/>
        <w:jc w:val="center"/>
        <w:rPr>
          <w:rFonts w:eastAsia="Cambria"/>
          <w:b/>
          <w:lang w:val="en-CA"/>
        </w:rPr>
      </w:pPr>
    </w:p>
    <w:p w14:paraId="2E406690" w14:textId="77777777" w:rsidR="00501AA6" w:rsidRDefault="00501AA6" w:rsidP="00345E3B">
      <w:pPr>
        <w:autoSpaceDE/>
        <w:autoSpaceDN/>
        <w:adjustRightInd/>
        <w:spacing w:after="0"/>
        <w:jc w:val="center"/>
        <w:rPr>
          <w:rFonts w:eastAsia="Cambria"/>
          <w:b/>
          <w:lang w:val="en-CA"/>
        </w:rPr>
      </w:pPr>
    </w:p>
    <w:p w14:paraId="333952A7" w14:textId="52CC5989" w:rsidR="00345E3B" w:rsidRPr="00583A17" w:rsidRDefault="00345E3B" w:rsidP="00345E3B">
      <w:pPr>
        <w:autoSpaceDE/>
        <w:autoSpaceDN/>
        <w:adjustRightInd/>
        <w:spacing w:after="0"/>
        <w:jc w:val="center"/>
        <w:rPr>
          <w:rFonts w:eastAsia="Cambria"/>
          <w:b/>
          <w:lang w:val="en-CA"/>
        </w:rPr>
      </w:pPr>
      <w:r w:rsidRPr="00583A17">
        <w:rPr>
          <w:rFonts w:eastAsia="Cambria"/>
          <w:b/>
          <w:lang w:val="en-CA"/>
        </w:rPr>
        <w:lastRenderedPageBreak/>
        <w:t xml:space="preserve">TRILLION ENERGY </w:t>
      </w:r>
      <w:r w:rsidR="0001303D">
        <w:rPr>
          <w:rFonts w:eastAsia="Cambria"/>
          <w:b/>
          <w:lang w:val="en-CA"/>
        </w:rPr>
        <w:t xml:space="preserve">INTERNATIONAL </w:t>
      </w:r>
      <w:r w:rsidRPr="00583A17">
        <w:rPr>
          <w:rFonts w:eastAsia="Cambria"/>
          <w:b/>
          <w:lang w:val="en-CA"/>
        </w:rPr>
        <w:t>INC.</w:t>
      </w:r>
    </w:p>
    <w:p w14:paraId="3924AD0E" w14:textId="77777777" w:rsidR="00345E3B" w:rsidRPr="00583A17" w:rsidRDefault="00345E3B" w:rsidP="00345E3B">
      <w:pPr>
        <w:autoSpaceDE/>
        <w:autoSpaceDN/>
        <w:adjustRightInd/>
        <w:spacing w:after="0"/>
        <w:jc w:val="center"/>
        <w:rPr>
          <w:rFonts w:eastAsia="Cambria"/>
          <w:b/>
          <w:lang w:val="en-CA"/>
        </w:rPr>
      </w:pPr>
      <w:r w:rsidRPr="00583A17">
        <w:rPr>
          <w:rFonts w:eastAsia="Cambria"/>
          <w:b/>
          <w:lang w:val="en-CA"/>
        </w:rPr>
        <w:t>MANAGEMENT DISCUSSION &amp; ANALYSIS</w:t>
      </w:r>
    </w:p>
    <w:p w14:paraId="4F0FCA80" w14:textId="330F42F6" w:rsidR="00345E3B" w:rsidRPr="00583A17" w:rsidRDefault="00345E3B" w:rsidP="00345E3B">
      <w:pPr>
        <w:autoSpaceDE/>
        <w:autoSpaceDN/>
        <w:adjustRightInd/>
        <w:spacing w:after="0"/>
        <w:jc w:val="center"/>
        <w:rPr>
          <w:rFonts w:eastAsia="Cambria"/>
          <w:b/>
          <w:lang w:val="en-CA"/>
        </w:rPr>
      </w:pPr>
      <w:r w:rsidRPr="00583A17">
        <w:rPr>
          <w:rFonts w:eastAsia="Cambria"/>
          <w:b/>
          <w:lang w:val="en-CA"/>
        </w:rPr>
        <w:t xml:space="preserve">For the </w:t>
      </w:r>
      <w:r w:rsidR="003E7CB1">
        <w:rPr>
          <w:rFonts w:eastAsia="Cambria"/>
          <w:b/>
          <w:lang w:val="en-CA"/>
        </w:rPr>
        <w:t>six</w:t>
      </w:r>
      <w:r w:rsidR="00BD1FC8">
        <w:rPr>
          <w:rFonts w:eastAsia="Cambria"/>
          <w:b/>
          <w:lang w:val="en-CA"/>
        </w:rPr>
        <w:t xml:space="preserve"> months</w:t>
      </w:r>
      <w:r w:rsidRPr="00583A17">
        <w:rPr>
          <w:rFonts w:eastAsia="Cambria"/>
          <w:b/>
          <w:lang w:val="en-CA"/>
        </w:rPr>
        <w:t xml:space="preserve"> ended</w:t>
      </w:r>
      <w:r w:rsidR="003E7CB1">
        <w:rPr>
          <w:rFonts w:eastAsia="Cambria"/>
          <w:b/>
          <w:lang w:val="en-CA"/>
        </w:rPr>
        <w:t xml:space="preserve"> June 30</w:t>
      </w:r>
      <w:r w:rsidRPr="00583A17">
        <w:rPr>
          <w:rFonts w:eastAsia="Cambria"/>
          <w:b/>
          <w:lang w:val="en-CA"/>
        </w:rPr>
        <w:t xml:space="preserve">, </w:t>
      </w:r>
      <w:proofErr w:type="gramStart"/>
      <w:r w:rsidRPr="00583A17">
        <w:rPr>
          <w:rFonts w:eastAsia="Cambria"/>
          <w:b/>
          <w:lang w:val="en-CA"/>
        </w:rPr>
        <w:t>202</w:t>
      </w:r>
      <w:r w:rsidR="00BD1FC8">
        <w:rPr>
          <w:rFonts w:eastAsia="Cambria"/>
          <w:b/>
          <w:lang w:val="en-CA"/>
        </w:rPr>
        <w:t>2</w:t>
      </w:r>
      <w:proofErr w:type="gramEnd"/>
      <w:r w:rsidRPr="00583A17">
        <w:rPr>
          <w:rFonts w:eastAsia="Cambria"/>
          <w:b/>
          <w:lang w:val="en-CA"/>
        </w:rPr>
        <w:t xml:space="preserve"> and 202</w:t>
      </w:r>
      <w:r w:rsidR="00BD1FC8">
        <w:rPr>
          <w:rFonts w:eastAsia="Cambria"/>
          <w:b/>
          <w:lang w:val="en-CA"/>
        </w:rPr>
        <w:t>1</w:t>
      </w:r>
    </w:p>
    <w:p w14:paraId="5D6F6815" w14:textId="0825D02F" w:rsidR="00345E3B" w:rsidRPr="00583A17" w:rsidRDefault="00345E3B" w:rsidP="00962E05">
      <w:pPr>
        <w:autoSpaceDE/>
        <w:autoSpaceDN/>
        <w:adjustRightInd/>
        <w:spacing w:after="0"/>
        <w:jc w:val="center"/>
        <w:rPr>
          <w:rFonts w:eastAsia="Cambria"/>
          <w:b/>
          <w:lang w:val="en-CA"/>
        </w:rPr>
      </w:pPr>
      <w:r w:rsidRPr="00583A17">
        <w:rPr>
          <w:rFonts w:eastAsia="Cambria"/>
          <w:b/>
          <w:lang w:val="en-CA"/>
        </w:rPr>
        <w:t>(Expressed in United States Dollars)</w:t>
      </w:r>
    </w:p>
    <w:p w14:paraId="2DB05FB6" w14:textId="7038041C" w:rsidR="00962E05" w:rsidRPr="00583A17" w:rsidRDefault="00962E05" w:rsidP="00962E05">
      <w:pPr>
        <w:autoSpaceDE/>
        <w:autoSpaceDN/>
        <w:adjustRightInd/>
        <w:spacing w:after="0"/>
        <w:jc w:val="center"/>
        <w:rPr>
          <w:rFonts w:eastAsia="Cambria"/>
          <w:b/>
          <w:lang w:val="en-CA"/>
        </w:rPr>
      </w:pPr>
    </w:p>
    <w:p w14:paraId="45EEEDFA" w14:textId="31834B12" w:rsidR="00E675C6" w:rsidRPr="00583A17" w:rsidRDefault="00E675C6" w:rsidP="00962E05">
      <w:pPr>
        <w:autoSpaceDE/>
        <w:autoSpaceDN/>
        <w:adjustRightInd/>
        <w:spacing w:after="0"/>
        <w:jc w:val="both"/>
        <w:rPr>
          <w:rFonts w:eastAsia="Cambria"/>
          <w:lang w:val="en-CA"/>
        </w:rPr>
      </w:pPr>
    </w:p>
    <w:p w14:paraId="22C5F63B" w14:textId="0A541A96" w:rsidR="00E675C6" w:rsidRPr="00583A17" w:rsidRDefault="00E675C6" w:rsidP="00F5623A">
      <w:pPr>
        <w:autoSpaceDE/>
        <w:autoSpaceDN/>
        <w:adjustRightInd/>
        <w:spacing w:after="0"/>
        <w:jc w:val="both"/>
        <w:rPr>
          <w:bCs/>
          <w:color w:val="000000"/>
          <w:lang w:val="en-CA"/>
        </w:rPr>
      </w:pPr>
      <w:r w:rsidRPr="00583A17">
        <w:rPr>
          <w:bCs/>
          <w:color w:val="000000"/>
          <w:lang w:val="en-CA"/>
        </w:rPr>
        <w:t xml:space="preserve">Management’s Discussion and Analysis of Financial Condition and Results of Operations (“MD&amp;A”) is intended to provide readers of our financial statements with a narrative from the perspective of our management on our financial condition, results of operations, liquidity, and certain other factors that may affect our future results. </w:t>
      </w:r>
    </w:p>
    <w:p w14:paraId="638133A5" w14:textId="77777777" w:rsidR="00E675C6" w:rsidRPr="00583A17" w:rsidRDefault="00E675C6" w:rsidP="00962E05">
      <w:pPr>
        <w:autoSpaceDE/>
        <w:autoSpaceDN/>
        <w:adjustRightInd/>
        <w:spacing w:after="0"/>
        <w:jc w:val="both"/>
        <w:rPr>
          <w:bCs/>
          <w:color w:val="000000"/>
          <w:lang w:val="en-CA"/>
        </w:rPr>
      </w:pPr>
    </w:p>
    <w:p w14:paraId="5AE48591" w14:textId="72349BC4" w:rsidR="00E675C6" w:rsidRPr="00583A17" w:rsidRDefault="00E675C6" w:rsidP="00962E05">
      <w:pPr>
        <w:autoSpaceDE/>
        <w:autoSpaceDN/>
        <w:adjustRightInd/>
        <w:spacing w:after="0"/>
        <w:jc w:val="both"/>
        <w:rPr>
          <w:bCs/>
          <w:color w:val="000000"/>
          <w:lang w:val="en-CA"/>
        </w:rPr>
      </w:pPr>
      <w:r w:rsidRPr="00583A17">
        <w:rPr>
          <w:bCs/>
          <w:color w:val="000000"/>
          <w:lang w:val="en-CA"/>
        </w:rPr>
        <w:t xml:space="preserve">Our MD&amp;A should be read in conjunction with our </w:t>
      </w:r>
      <w:r w:rsidR="003F3E30">
        <w:rPr>
          <w:bCs/>
          <w:color w:val="000000"/>
          <w:lang w:val="en-CA"/>
        </w:rPr>
        <w:t>unaudited condensed interim</w:t>
      </w:r>
      <w:r w:rsidR="003F3E30" w:rsidRPr="00583A17">
        <w:rPr>
          <w:bCs/>
          <w:color w:val="000000"/>
          <w:lang w:val="en-CA"/>
        </w:rPr>
        <w:t xml:space="preserve"> </w:t>
      </w:r>
      <w:r w:rsidR="00EB272B" w:rsidRPr="00583A17">
        <w:rPr>
          <w:bCs/>
          <w:color w:val="000000"/>
          <w:lang w:val="en-CA"/>
        </w:rPr>
        <w:t xml:space="preserve">consolidated </w:t>
      </w:r>
      <w:r w:rsidRPr="00583A17">
        <w:rPr>
          <w:bCs/>
          <w:color w:val="000000"/>
          <w:lang w:val="en-CA"/>
        </w:rPr>
        <w:t>financial statements of Trillion Energy</w:t>
      </w:r>
      <w:r w:rsidR="0001303D">
        <w:rPr>
          <w:bCs/>
          <w:color w:val="000000"/>
          <w:lang w:val="en-CA"/>
        </w:rPr>
        <w:t xml:space="preserve"> International</w:t>
      </w:r>
      <w:r w:rsidRPr="00583A17">
        <w:rPr>
          <w:bCs/>
          <w:color w:val="000000"/>
          <w:lang w:val="en-CA"/>
        </w:rPr>
        <w:t xml:space="preserve"> </w:t>
      </w:r>
      <w:r w:rsidR="005C0544" w:rsidRPr="00583A17">
        <w:rPr>
          <w:bCs/>
          <w:color w:val="000000"/>
          <w:lang w:val="en-CA"/>
        </w:rPr>
        <w:t>Inc., (</w:t>
      </w:r>
      <w:r w:rsidRPr="00583A17">
        <w:rPr>
          <w:bCs/>
          <w:color w:val="000000"/>
          <w:lang w:val="en-CA"/>
        </w:rPr>
        <w:t xml:space="preserve">“Trillion Energy”, </w:t>
      </w:r>
      <w:r w:rsidR="005C0544" w:rsidRPr="00583A17">
        <w:rPr>
          <w:bCs/>
          <w:color w:val="000000"/>
          <w:lang w:val="en-CA"/>
        </w:rPr>
        <w:t>the “</w:t>
      </w:r>
      <w:r w:rsidRPr="00583A17">
        <w:rPr>
          <w:bCs/>
          <w:color w:val="000000"/>
          <w:lang w:val="en-CA"/>
        </w:rPr>
        <w:t xml:space="preserve">Company”, “we”, and “our”) and </w:t>
      </w:r>
      <w:r w:rsidR="003F3E30">
        <w:rPr>
          <w:bCs/>
          <w:color w:val="000000"/>
          <w:lang w:val="en-CA"/>
        </w:rPr>
        <w:t xml:space="preserve">the </w:t>
      </w:r>
      <w:r w:rsidRPr="00583A17">
        <w:rPr>
          <w:bCs/>
          <w:color w:val="000000"/>
          <w:lang w:val="en-CA"/>
        </w:rPr>
        <w:t xml:space="preserve">related </w:t>
      </w:r>
      <w:r w:rsidR="003F3E30">
        <w:rPr>
          <w:bCs/>
          <w:color w:val="000000"/>
          <w:lang w:val="en-CA"/>
        </w:rPr>
        <w:t>n</w:t>
      </w:r>
      <w:r w:rsidRPr="00583A17">
        <w:rPr>
          <w:bCs/>
          <w:color w:val="000000"/>
          <w:lang w:val="en-CA"/>
        </w:rPr>
        <w:t xml:space="preserve">otes </w:t>
      </w:r>
      <w:r w:rsidR="003F3E30">
        <w:rPr>
          <w:bCs/>
          <w:color w:val="000000"/>
          <w:lang w:val="en-CA"/>
        </w:rPr>
        <w:t xml:space="preserve">thereto </w:t>
      </w:r>
      <w:r w:rsidR="00BF0CFA">
        <w:rPr>
          <w:bCs/>
          <w:color w:val="000000"/>
          <w:lang w:val="en-CA"/>
        </w:rPr>
        <w:t xml:space="preserve">for the </w:t>
      </w:r>
      <w:r w:rsidR="003E7CB1">
        <w:rPr>
          <w:bCs/>
          <w:color w:val="000000"/>
          <w:lang w:val="en-CA"/>
        </w:rPr>
        <w:t>six</w:t>
      </w:r>
      <w:r w:rsidR="00BF0CFA">
        <w:rPr>
          <w:bCs/>
          <w:color w:val="000000"/>
          <w:lang w:val="en-CA"/>
        </w:rPr>
        <w:t xml:space="preserve"> months ended </w:t>
      </w:r>
      <w:r w:rsidR="003E7CB1">
        <w:rPr>
          <w:bCs/>
          <w:color w:val="000000"/>
          <w:lang w:val="en-CA"/>
        </w:rPr>
        <w:t>June 30</w:t>
      </w:r>
      <w:r w:rsidR="00BF0CFA">
        <w:rPr>
          <w:bCs/>
          <w:color w:val="000000"/>
          <w:lang w:val="en-CA"/>
        </w:rPr>
        <w:t xml:space="preserve">, </w:t>
      </w:r>
      <w:proofErr w:type="gramStart"/>
      <w:r w:rsidR="00BF0CFA">
        <w:rPr>
          <w:bCs/>
          <w:color w:val="000000"/>
          <w:lang w:val="en-CA"/>
        </w:rPr>
        <w:t>2022</w:t>
      </w:r>
      <w:proofErr w:type="gramEnd"/>
      <w:r w:rsidR="00BF0CFA">
        <w:rPr>
          <w:bCs/>
          <w:color w:val="000000"/>
          <w:lang w:val="en-CA"/>
        </w:rPr>
        <w:t xml:space="preserve"> and 2021, </w:t>
      </w:r>
      <w:r w:rsidR="003F3E30">
        <w:rPr>
          <w:bCs/>
          <w:color w:val="000000"/>
          <w:lang w:val="en-CA"/>
        </w:rPr>
        <w:t>and the audited consolidated financial statements for the year</w:t>
      </w:r>
      <w:r w:rsidR="00BA6E0C">
        <w:rPr>
          <w:bCs/>
          <w:color w:val="000000"/>
          <w:lang w:val="en-CA"/>
        </w:rPr>
        <w:t>s</w:t>
      </w:r>
      <w:r w:rsidR="003F3E30">
        <w:rPr>
          <w:bCs/>
          <w:color w:val="000000"/>
          <w:lang w:val="en-CA"/>
        </w:rPr>
        <w:t xml:space="preserve"> ended December 31, 2021 and 2020 and the related notes thereto.</w:t>
      </w:r>
      <w:r w:rsidRPr="00583A17">
        <w:rPr>
          <w:bCs/>
          <w:color w:val="000000"/>
          <w:lang w:val="en-CA"/>
        </w:rPr>
        <w:t xml:space="preserve"> </w:t>
      </w:r>
      <w:r w:rsidR="00CB6043" w:rsidRPr="00CB6043">
        <w:rPr>
          <w:bCs/>
          <w:color w:val="000000"/>
          <w:lang w:val="en-CA"/>
        </w:rPr>
        <w:t xml:space="preserve">Unless otherwise noted, all currency amounts are in </w:t>
      </w:r>
      <w:r w:rsidR="00CB6043">
        <w:rPr>
          <w:bCs/>
          <w:color w:val="000000"/>
          <w:lang w:val="en-CA"/>
        </w:rPr>
        <w:t>US</w:t>
      </w:r>
      <w:r w:rsidR="00CB6043" w:rsidRPr="00CB6043">
        <w:rPr>
          <w:bCs/>
          <w:color w:val="000000"/>
          <w:lang w:val="en-CA"/>
        </w:rPr>
        <w:t xml:space="preserve"> dollars.</w:t>
      </w:r>
    </w:p>
    <w:p w14:paraId="2C79B8AC" w14:textId="77777777" w:rsidR="00E675C6" w:rsidRPr="00583A17" w:rsidRDefault="00E675C6" w:rsidP="00962E05">
      <w:pPr>
        <w:autoSpaceDE/>
        <w:autoSpaceDN/>
        <w:adjustRightInd/>
        <w:spacing w:after="0"/>
        <w:jc w:val="both"/>
        <w:rPr>
          <w:bCs/>
          <w:color w:val="000000"/>
          <w:lang w:val="en-CA"/>
        </w:rPr>
      </w:pPr>
    </w:p>
    <w:p w14:paraId="1465C8C6" w14:textId="6ADEA1E3" w:rsidR="00E675C6" w:rsidRPr="00583A17" w:rsidRDefault="00EB272B" w:rsidP="00962E05">
      <w:pPr>
        <w:autoSpaceDE/>
        <w:autoSpaceDN/>
        <w:adjustRightInd/>
        <w:spacing w:after="0"/>
        <w:jc w:val="both"/>
        <w:rPr>
          <w:bCs/>
          <w:color w:val="000000"/>
          <w:lang w:val="en-CA"/>
        </w:rPr>
      </w:pPr>
      <w:r w:rsidRPr="00583A17">
        <w:rPr>
          <w:bCs/>
          <w:color w:val="000000"/>
          <w:lang w:val="en-CA"/>
        </w:rPr>
        <w:t xml:space="preserve">Additional information related to the Company is available on its website at </w:t>
      </w:r>
      <w:hyperlink r:id="rId9" w:history="1">
        <w:r w:rsidRPr="00583A17">
          <w:rPr>
            <w:bCs/>
            <w:color w:val="000000"/>
            <w:lang w:val="en-CA"/>
          </w:rPr>
          <w:t>www.trillionenergy.com</w:t>
        </w:r>
      </w:hyperlink>
      <w:r w:rsidRPr="00583A17">
        <w:rPr>
          <w:bCs/>
          <w:color w:val="000000"/>
          <w:lang w:val="en-CA"/>
        </w:rPr>
        <w:t xml:space="preserve">. </w:t>
      </w:r>
      <w:r w:rsidR="00E675C6" w:rsidRPr="00583A17">
        <w:rPr>
          <w:bCs/>
          <w:color w:val="000000"/>
          <w:lang w:val="en-CA"/>
        </w:rPr>
        <w:t xml:space="preserve">Our </w:t>
      </w:r>
      <w:r w:rsidR="00A0018C">
        <w:rPr>
          <w:bCs/>
          <w:color w:val="000000"/>
          <w:lang w:val="en-CA"/>
        </w:rPr>
        <w:t xml:space="preserve">prior </w:t>
      </w:r>
      <w:r w:rsidR="00E675C6" w:rsidRPr="00583A17">
        <w:rPr>
          <w:bCs/>
          <w:color w:val="000000"/>
          <w:lang w:val="en-CA"/>
        </w:rPr>
        <w:t xml:space="preserve">Annual Reports on </w:t>
      </w:r>
      <w:r w:rsidR="000C7116">
        <w:rPr>
          <w:bCs/>
          <w:color w:val="000000"/>
          <w:lang w:val="en-CA"/>
        </w:rPr>
        <w:t xml:space="preserve">Form 20-F, </w:t>
      </w:r>
      <w:r w:rsidR="00E675C6" w:rsidRPr="00583A17">
        <w:rPr>
          <w:bCs/>
          <w:color w:val="000000"/>
          <w:lang w:val="en-CA"/>
        </w:rPr>
        <w:t>Form 10-K, Quarterly Reports on Form 10-Q, Current Reports on Form 8-K and amendments to those reports filed with or furnished to the U.S. Securities and Exchange Commission (“SEC”), pursuant to Section 13(a) or 15(d) of the Securities Exchange Act of 1934 (“Exchange Act”), can be accessed free of charge by linking directly from our website under the “Investor Relations - SEC Filings” caption to the SEC’s Edgar Database</w:t>
      </w:r>
      <w:r w:rsidR="005C0544" w:rsidRPr="00583A17">
        <w:rPr>
          <w:bCs/>
          <w:color w:val="000000"/>
          <w:lang w:val="en-CA"/>
        </w:rPr>
        <w:t>, as well as on the Canadian Securities Administrator’s website at</w:t>
      </w:r>
      <w:r w:rsidRPr="00583A17">
        <w:rPr>
          <w:bCs/>
          <w:color w:val="000000"/>
          <w:lang w:val="en-CA"/>
        </w:rPr>
        <w:t xml:space="preserve"> </w:t>
      </w:r>
      <w:hyperlink r:id="rId10" w:history="1">
        <w:r w:rsidRPr="00583A17">
          <w:rPr>
            <w:bCs/>
            <w:color w:val="000000"/>
            <w:lang w:val="en-CA"/>
          </w:rPr>
          <w:t>www.sedar.com</w:t>
        </w:r>
      </w:hyperlink>
      <w:r w:rsidRPr="00583A17">
        <w:rPr>
          <w:bCs/>
          <w:color w:val="000000"/>
          <w:lang w:val="en-CA"/>
        </w:rPr>
        <w:t>.</w:t>
      </w:r>
    </w:p>
    <w:p w14:paraId="592D371F" w14:textId="602F54FE" w:rsidR="002E5C1A" w:rsidRPr="00583A17" w:rsidRDefault="002E5C1A" w:rsidP="00962E05">
      <w:pPr>
        <w:autoSpaceDE/>
        <w:autoSpaceDN/>
        <w:adjustRightInd/>
        <w:spacing w:after="0"/>
        <w:jc w:val="both"/>
        <w:rPr>
          <w:rFonts w:eastAsia="Cambria"/>
          <w:lang w:val="en-CA"/>
        </w:rPr>
      </w:pPr>
    </w:p>
    <w:p w14:paraId="12DC7037" w14:textId="6A18EE0D" w:rsidR="002E5C1A" w:rsidRPr="00583A17" w:rsidRDefault="002E5C1A" w:rsidP="00962E05">
      <w:pPr>
        <w:autoSpaceDE/>
        <w:autoSpaceDN/>
        <w:adjustRightInd/>
        <w:spacing w:after="0"/>
        <w:jc w:val="both"/>
        <w:rPr>
          <w:rFonts w:eastAsia="Cambria"/>
          <w:lang w:val="en-CA"/>
        </w:rPr>
      </w:pPr>
      <w:r w:rsidRPr="00583A17">
        <w:rPr>
          <w:rFonts w:eastAsia="Cambria"/>
          <w:lang w:val="en-CA"/>
        </w:rPr>
        <w:t xml:space="preserve">This MD&amp;A </w:t>
      </w:r>
      <w:r w:rsidR="000F18D6" w:rsidRPr="00583A17">
        <w:rPr>
          <w:rFonts w:eastAsia="Cambria"/>
          <w:lang w:val="en-CA"/>
        </w:rPr>
        <w:t>was approved</w:t>
      </w:r>
      <w:r w:rsidRPr="00583A17">
        <w:rPr>
          <w:rFonts w:eastAsia="Cambria"/>
          <w:lang w:val="en-CA"/>
        </w:rPr>
        <w:t xml:space="preserve"> by the directors of the Company </w:t>
      </w:r>
      <w:r w:rsidRPr="003A15DD">
        <w:rPr>
          <w:rFonts w:eastAsia="Cambria"/>
          <w:lang w:val="en-CA"/>
        </w:rPr>
        <w:t xml:space="preserve">on </w:t>
      </w:r>
      <w:r w:rsidR="003E7CB1">
        <w:rPr>
          <w:rFonts w:eastAsia="Cambria"/>
          <w:lang w:val="en-CA"/>
        </w:rPr>
        <w:t xml:space="preserve">August </w:t>
      </w:r>
      <w:r w:rsidR="00002221">
        <w:rPr>
          <w:rFonts w:eastAsia="Cambria"/>
          <w:lang w:val="en-CA"/>
        </w:rPr>
        <w:t>24</w:t>
      </w:r>
      <w:r w:rsidRPr="00C7340F">
        <w:rPr>
          <w:rFonts w:eastAsia="Cambria"/>
          <w:lang w:val="en-CA"/>
        </w:rPr>
        <w:t>,</w:t>
      </w:r>
      <w:r w:rsidRPr="00583A17">
        <w:rPr>
          <w:rFonts w:eastAsia="Cambria"/>
          <w:lang w:val="en-CA"/>
        </w:rPr>
        <w:t xml:space="preserve"> 2022.</w:t>
      </w:r>
    </w:p>
    <w:p w14:paraId="51A313CE" w14:textId="77777777" w:rsidR="00962E05" w:rsidRPr="00583A17" w:rsidRDefault="00962E05" w:rsidP="00962E05">
      <w:pPr>
        <w:autoSpaceDE/>
        <w:autoSpaceDN/>
        <w:adjustRightInd/>
        <w:spacing w:after="0"/>
        <w:jc w:val="both"/>
        <w:rPr>
          <w:rFonts w:eastAsia="Cambria"/>
          <w:lang w:val="en-CA"/>
        </w:rPr>
      </w:pPr>
    </w:p>
    <w:p w14:paraId="296BF8F8" w14:textId="417EE921" w:rsidR="00501AA6" w:rsidRDefault="002E5C1A" w:rsidP="00501AA6">
      <w:pPr>
        <w:pStyle w:val="Heading1"/>
        <w:rPr>
          <w:bCs/>
        </w:rPr>
      </w:pPr>
      <w:bookmarkStart w:id="0" w:name="_Toc98393414"/>
      <w:bookmarkStart w:id="1" w:name="_Toc103780850"/>
      <w:r w:rsidRPr="00583A17">
        <w:t>Caution Regarding</w:t>
      </w:r>
      <w:bookmarkEnd w:id="0"/>
      <w:r w:rsidRPr="00583A17">
        <w:t xml:space="preserve"> </w:t>
      </w:r>
      <w:r w:rsidR="00D12C06" w:rsidRPr="00583A17">
        <w:rPr>
          <w:bCs/>
        </w:rPr>
        <w:t xml:space="preserve">Forward-Looking </w:t>
      </w:r>
      <w:r w:rsidRPr="00583A17">
        <w:rPr>
          <w:bCs/>
        </w:rPr>
        <w:t>Statements</w:t>
      </w:r>
      <w:bookmarkEnd w:id="1"/>
    </w:p>
    <w:p w14:paraId="55101994" w14:textId="77777777" w:rsidR="00501AA6" w:rsidRPr="00583A17" w:rsidRDefault="00501AA6" w:rsidP="00583A17">
      <w:pPr>
        <w:spacing w:after="0"/>
      </w:pPr>
    </w:p>
    <w:p w14:paraId="7A7ED083" w14:textId="49F1AA41" w:rsidR="002E5C1A" w:rsidRPr="00583A17" w:rsidRDefault="002E5C1A" w:rsidP="002E5C1A">
      <w:pPr>
        <w:jc w:val="both"/>
        <w:rPr>
          <w:bCs/>
          <w:color w:val="000000"/>
          <w:lang w:val="en-CA"/>
        </w:rPr>
      </w:pPr>
      <w:r w:rsidRPr="00583A17">
        <w:rPr>
          <w:bCs/>
          <w:color w:val="000000"/>
          <w:lang w:val="en-CA"/>
        </w:rPr>
        <w:t>Certain statements in this report are forward-looking statements which reflect management’s expectations regarding future growth, results of operations, performance, business prospects and opportunities, the Company's ability to meet financial commitments and its ability to raise funds when required. Forward-looking statements consist of statements that are not purely historical, including any statements regarding beliefs, plans, expectations, or intentions regarding the future.  Such statements are subject to risks and uncertainties that may cause actual results, performance, or developments to differ materially from those contained in the statements. No assurance can be given that any of the events anticipated by the forward-looking statements will occur or, if they do occur, what benefits the Company will obtain from them. These forward-looking statements reflect management’s current views and are based on certain assumptions and speak only as of the date of this report. These assumptions, which include management’s current expectations, the global economic environment, and the Company’s ability to manage its operating costs, may prove to be incorrect. Several risks and uncertainties could cause actual results to differ materially from those expressed or implied by the forward-looking statements.</w:t>
      </w:r>
    </w:p>
    <w:p w14:paraId="4B9FA3F9" w14:textId="63A15B1F" w:rsidR="002E5C1A" w:rsidRPr="00583A17" w:rsidRDefault="002E5C1A" w:rsidP="002E5C1A">
      <w:pPr>
        <w:jc w:val="both"/>
        <w:rPr>
          <w:bCs/>
          <w:color w:val="000000"/>
          <w:lang w:val="en-CA"/>
        </w:rPr>
      </w:pPr>
      <w:r w:rsidRPr="00583A17">
        <w:rPr>
          <w:bCs/>
          <w:color w:val="000000"/>
          <w:lang w:val="en-CA"/>
        </w:rPr>
        <w:t xml:space="preserve">There is a significant risk that such forward-looking statements will not prove to be accurate.  Investors are cautioned not to place undue reliance on these forward-looking statements.  No forward-looking statement is a guarantee of future results. The Company disclaims any intention or obligation to update or revise any forward-looking statements, whether </w:t>
      </w:r>
      <w:proofErr w:type="gramStart"/>
      <w:r w:rsidRPr="00583A17">
        <w:rPr>
          <w:bCs/>
          <w:color w:val="000000"/>
          <w:lang w:val="en-CA"/>
        </w:rPr>
        <w:t>as a result of</w:t>
      </w:r>
      <w:proofErr w:type="gramEnd"/>
      <w:r w:rsidRPr="00583A17">
        <w:rPr>
          <w:bCs/>
          <w:color w:val="000000"/>
          <w:lang w:val="en-CA"/>
        </w:rPr>
        <w:t xml:space="preserve"> new information, future events or otherwise, except as required by law.</w:t>
      </w:r>
    </w:p>
    <w:p w14:paraId="46837A8F" w14:textId="0A3D34DB" w:rsidR="002E5C1A" w:rsidRPr="00583A17" w:rsidRDefault="002E5C1A" w:rsidP="002E5C1A">
      <w:pPr>
        <w:jc w:val="both"/>
        <w:rPr>
          <w:bCs/>
          <w:color w:val="000000"/>
          <w:lang w:val="en-CA"/>
        </w:rPr>
      </w:pPr>
      <w:r w:rsidRPr="00583A17">
        <w:rPr>
          <w:bCs/>
          <w:color w:val="000000"/>
          <w:lang w:val="en-CA"/>
        </w:rPr>
        <w:t xml:space="preserve">Actual performance, achievement or other realities could differ materially from those expressed in, or implied by, any forward-looking statements or information in this MD&amp;A and, accordingly, investors should not place undue reliance on any such forward-looking statements or information. Further, any forward-looking statement or information speaks only as of the date on which such statement is made, and the Company does not undertake any obligation to update any forward-looking statements or information to reflect information, events, results, circumstances, realities or otherwise after the date on which such statement is made or to reflect the occurrence of unanticipated events, except as required by law, including securities laws. All forward-looking statements and information contained in this MD&amp;A and other documents of the Company are qualified by such cautionary statements. New factors emerge from time to time, and it is not possible for management to predict all such factors and to assess in advance the impact of each such </w:t>
      </w:r>
      <w:r w:rsidRPr="00583A17">
        <w:rPr>
          <w:bCs/>
          <w:color w:val="000000"/>
          <w:lang w:val="en-CA"/>
        </w:rPr>
        <w:lastRenderedPageBreak/>
        <w:t>factor on the Company’s business or the extent to which any factor, or combination of factors, may cause actual realities to differ materially from those contained in any forward-looking statements.</w:t>
      </w:r>
    </w:p>
    <w:p w14:paraId="3D01948B" w14:textId="77777777" w:rsidR="002E5C1A" w:rsidRPr="00583A17" w:rsidRDefault="002E5C1A" w:rsidP="002E5C1A">
      <w:pPr>
        <w:jc w:val="both"/>
        <w:rPr>
          <w:bCs/>
          <w:color w:val="000000"/>
          <w:lang w:val="en-CA"/>
        </w:rPr>
      </w:pPr>
      <w:r w:rsidRPr="00583A17">
        <w:rPr>
          <w:bCs/>
          <w:color w:val="000000"/>
          <w:lang w:val="en-CA"/>
        </w:rPr>
        <w:t xml:space="preserve">In addition, forward-looking statements, and information herein, including financial information, is based on certain assumptions relating to the business and operations of the Company. Although the Company has attempted to identify important factors that could cause actual actions, events, or results to differ materially from those described in forward-looking statements and forward-looking information in this MD&amp;A, and the documents incorporated by reference herein, there may be other factors that cause actions, </w:t>
      </w:r>
      <w:proofErr w:type="gramStart"/>
      <w:r w:rsidRPr="00583A17">
        <w:rPr>
          <w:bCs/>
          <w:color w:val="000000"/>
          <w:lang w:val="en-CA"/>
        </w:rPr>
        <w:t>events</w:t>
      </w:r>
      <w:proofErr w:type="gramEnd"/>
      <w:r w:rsidRPr="00583A17">
        <w:rPr>
          <w:bCs/>
          <w:color w:val="000000"/>
          <w:lang w:val="en-CA"/>
        </w:rPr>
        <w:t xml:space="preserve"> or results not to be as anticipated, estimated or intended. There is no assurance that such statements and information will prove to be accurate as actual results and future events could differ materially from those anticipated in such statements or information. Accordingly, readers should not place undue reliance on forward-looking statements and forward-looking information contained in this MD&amp;A.</w:t>
      </w:r>
    </w:p>
    <w:p w14:paraId="769CBB66" w14:textId="6808F070" w:rsidR="00EB272B" w:rsidRPr="00583A17" w:rsidRDefault="00C719D4" w:rsidP="00583A17">
      <w:pPr>
        <w:pStyle w:val="Heading1"/>
      </w:pPr>
      <w:bookmarkStart w:id="2" w:name="_Toc103780851"/>
      <w:r w:rsidRPr="00583A17">
        <w:t>Overview</w:t>
      </w:r>
      <w:bookmarkEnd w:id="2"/>
    </w:p>
    <w:p w14:paraId="3E98B89D" w14:textId="77777777" w:rsidR="00EB272B" w:rsidRPr="00583A17" w:rsidRDefault="00EB272B" w:rsidP="00EB6D6D">
      <w:pPr>
        <w:pStyle w:val="BodyText"/>
        <w:spacing w:after="0"/>
        <w:jc w:val="both"/>
      </w:pPr>
    </w:p>
    <w:p w14:paraId="5CBB9C1F" w14:textId="7C795B9E" w:rsidR="002E5C1A" w:rsidRPr="00583A17" w:rsidRDefault="002E5C1A" w:rsidP="00226BF2">
      <w:pPr>
        <w:jc w:val="both"/>
        <w:rPr>
          <w:bCs/>
          <w:color w:val="000000"/>
          <w:lang w:val="en-CA"/>
        </w:rPr>
      </w:pPr>
      <w:bookmarkStart w:id="3" w:name="_Hlk532919420"/>
      <w:r w:rsidRPr="00583A17">
        <w:rPr>
          <w:bCs/>
          <w:color w:val="000000"/>
          <w:lang w:val="en-CA"/>
        </w:rPr>
        <w:t xml:space="preserve">Trillion Energy </w:t>
      </w:r>
      <w:r w:rsidR="0001303D">
        <w:rPr>
          <w:bCs/>
          <w:color w:val="000000"/>
          <w:lang w:val="en-CA"/>
        </w:rPr>
        <w:t xml:space="preserve">International </w:t>
      </w:r>
      <w:r w:rsidRPr="00583A17">
        <w:rPr>
          <w:bCs/>
          <w:color w:val="000000"/>
          <w:lang w:val="en-CA"/>
        </w:rPr>
        <w:t>Inc.</w:t>
      </w:r>
      <w:r w:rsidR="00E80FD0" w:rsidRPr="00583A17">
        <w:rPr>
          <w:bCs/>
          <w:color w:val="000000"/>
          <w:lang w:val="en-CA"/>
        </w:rPr>
        <w:t xml:space="preserve"> </w:t>
      </w:r>
      <w:r w:rsidRPr="00583A17">
        <w:rPr>
          <w:bCs/>
          <w:color w:val="000000"/>
          <w:lang w:val="en-CA"/>
        </w:rPr>
        <w:t xml:space="preserve">and its consolidated subsidiaries, (collectively referred to as the “Company”) is a </w:t>
      </w:r>
      <w:r w:rsidR="003C08FF" w:rsidRPr="00583A17">
        <w:rPr>
          <w:bCs/>
          <w:color w:val="000000"/>
          <w:lang w:val="en-CA"/>
        </w:rPr>
        <w:t>Canadian</w:t>
      </w:r>
      <w:r w:rsidRPr="00583A17">
        <w:rPr>
          <w:bCs/>
          <w:color w:val="000000"/>
          <w:lang w:val="en-CA"/>
        </w:rPr>
        <w:t xml:space="preserve"> based oil and gas exploration and production company. Effective </w:t>
      </w:r>
      <w:r w:rsidR="008367BC">
        <w:rPr>
          <w:bCs/>
          <w:color w:val="000000"/>
          <w:lang w:val="en-CA"/>
        </w:rPr>
        <w:t>January 2022,</w:t>
      </w:r>
      <w:r w:rsidRPr="00583A17">
        <w:rPr>
          <w:bCs/>
          <w:color w:val="000000"/>
          <w:lang w:val="en-CA"/>
        </w:rPr>
        <w:t xml:space="preserve"> the corporate headquarters moved </w:t>
      </w:r>
      <w:r w:rsidR="008367BC">
        <w:rPr>
          <w:bCs/>
          <w:color w:val="000000"/>
          <w:lang w:val="en-CA"/>
        </w:rPr>
        <w:t xml:space="preserve">to </w:t>
      </w:r>
      <w:r w:rsidRPr="00583A17">
        <w:rPr>
          <w:bCs/>
          <w:color w:val="000000"/>
          <w:lang w:val="en-CA"/>
        </w:rPr>
        <w:t xml:space="preserve">Suite 700, 838 West Hastings Street, Vancouver, B.C., Canada </w:t>
      </w:r>
      <w:r w:rsidR="008367BC">
        <w:rPr>
          <w:bCs/>
          <w:color w:val="000000"/>
          <w:lang w:val="en-CA"/>
        </w:rPr>
        <w:t xml:space="preserve">from </w:t>
      </w:r>
      <w:proofErr w:type="spellStart"/>
      <w:r w:rsidRPr="00583A17">
        <w:rPr>
          <w:bCs/>
          <w:color w:val="000000"/>
          <w:lang w:val="en-CA"/>
        </w:rPr>
        <w:t>Turan</w:t>
      </w:r>
      <w:proofErr w:type="spellEnd"/>
      <w:r w:rsidRPr="00583A17">
        <w:rPr>
          <w:bCs/>
          <w:color w:val="000000"/>
          <w:lang w:val="en-CA"/>
        </w:rPr>
        <w:t xml:space="preserve"> </w:t>
      </w:r>
      <w:proofErr w:type="spellStart"/>
      <w:r w:rsidRPr="00583A17">
        <w:rPr>
          <w:bCs/>
          <w:color w:val="000000"/>
          <w:lang w:val="en-CA"/>
        </w:rPr>
        <w:t>Gunes</w:t>
      </w:r>
      <w:proofErr w:type="spellEnd"/>
      <w:r w:rsidRPr="00583A17">
        <w:rPr>
          <w:bCs/>
          <w:color w:val="000000"/>
          <w:lang w:val="en-CA"/>
        </w:rPr>
        <w:t xml:space="preserve"> </w:t>
      </w:r>
      <w:proofErr w:type="spellStart"/>
      <w:r w:rsidRPr="00583A17">
        <w:rPr>
          <w:bCs/>
          <w:color w:val="000000"/>
          <w:lang w:val="en-CA"/>
        </w:rPr>
        <w:t>Bulvari</w:t>
      </w:r>
      <w:proofErr w:type="spellEnd"/>
      <w:r w:rsidRPr="00583A17">
        <w:rPr>
          <w:bCs/>
          <w:color w:val="000000"/>
          <w:lang w:val="en-CA"/>
        </w:rPr>
        <w:t xml:space="preserve">, Park Oran </w:t>
      </w:r>
      <w:proofErr w:type="spellStart"/>
      <w:r w:rsidRPr="00583A17">
        <w:rPr>
          <w:bCs/>
          <w:color w:val="000000"/>
          <w:lang w:val="en-CA"/>
        </w:rPr>
        <w:t>Ofis</w:t>
      </w:r>
      <w:proofErr w:type="spellEnd"/>
      <w:r w:rsidRPr="00583A17">
        <w:rPr>
          <w:bCs/>
          <w:color w:val="000000"/>
          <w:lang w:val="en-CA"/>
        </w:rPr>
        <w:t xml:space="preserve"> Plaza, 180-y, Daire:54, Kat:14, 06450, Oran, </w:t>
      </w:r>
      <w:proofErr w:type="spellStart"/>
      <w:r w:rsidRPr="00583A17">
        <w:rPr>
          <w:bCs/>
          <w:color w:val="000000"/>
          <w:lang w:val="en-CA"/>
        </w:rPr>
        <w:t>Cankaya</w:t>
      </w:r>
      <w:proofErr w:type="spellEnd"/>
      <w:r w:rsidRPr="00583A17">
        <w:rPr>
          <w:bCs/>
          <w:color w:val="000000"/>
          <w:lang w:val="en-CA"/>
        </w:rPr>
        <w:t xml:space="preserve">, </w:t>
      </w:r>
      <w:proofErr w:type="spellStart"/>
      <w:r w:rsidRPr="00583A17">
        <w:rPr>
          <w:bCs/>
          <w:color w:val="000000"/>
          <w:lang w:val="en-CA"/>
        </w:rPr>
        <w:t>Anakara</w:t>
      </w:r>
      <w:proofErr w:type="spellEnd"/>
      <w:r w:rsidRPr="00583A17">
        <w:rPr>
          <w:bCs/>
          <w:color w:val="000000"/>
          <w:lang w:val="en-CA"/>
        </w:rPr>
        <w:t xml:space="preserve">, Turkey. </w:t>
      </w:r>
      <w:proofErr w:type="spellStart"/>
      <w:r w:rsidR="00A44638">
        <w:rPr>
          <w:bCs/>
          <w:color w:val="000000"/>
          <w:lang w:val="en-CA"/>
        </w:rPr>
        <w:t>I</w:t>
      </w:r>
      <w:r w:rsidR="008367BC">
        <w:rPr>
          <w:bCs/>
          <w:color w:val="000000"/>
          <w:lang w:val="en-CA"/>
        </w:rPr>
        <w:t>The</w:t>
      </w:r>
      <w:proofErr w:type="spellEnd"/>
      <w:r w:rsidR="008367BC">
        <w:rPr>
          <w:bCs/>
          <w:color w:val="000000"/>
          <w:lang w:val="en-CA"/>
        </w:rPr>
        <w:t xml:space="preserve"> move coincided with </w:t>
      </w:r>
      <w:r w:rsidR="00451787">
        <w:rPr>
          <w:bCs/>
          <w:color w:val="000000"/>
          <w:lang w:val="en-CA"/>
        </w:rPr>
        <w:t>the redomicile of</w:t>
      </w:r>
      <w:r w:rsidR="00251D0F">
        <w:rPr>
          <w:bCs/>
          <w:color w:val="000000"/>
          <w:lang w:val="en-CA"/>
        </w:rPr>
        <w:t xml:space="preserve"> the Company</w:t>
      </w:r>
      <w:r w:rsidR="00451787">
        <w:rPr>
          <w:bCs/>
          <w:color w:val="000000"/>
          <w:lang w:val="en-CA"/>
        </w:rPr>
        <w:t xml:space="preserve"> from Delaware to British Columbia, a move which was approved by shareholders in November 202</w:t>
      </w:r>
      <w:r w:rsidR="00251D0F">
        <w:rPr>
          <w:bCs/>
          <w:color w:val="000000"/>
          <w:lang w:val="en-CA"/>
        </w:rPr>
        <w:t>1</w:t>
      </w:r>
      <w:r w:rsidR="00451787">
        <w:rPr>
          <w:bCs/>
          <w:color w:val="000000"/>
          <w:lang w:val="en-CA"/>
        </w:rPr>
        <w:t xml:space="preserve">. </w:t>
      </w:r>
      <w:r w:rsidRPr="00583A17">
        <w:rPr>
          <w:bCs/>
          <w:color w:val="000000"/>
          <w:lang w:val="en-CA"/>
        </w:rPr>
        <w:t xml:space="preserve">The Company also has a registered office in </w:t>
      </w:r>
      <w:r w:rsidR="00451787">
        <w:rPr>
          <w:bCs/>
          <w:color w:val="000000"/>
          <w:lang w:val="en-CA"/>
        </w:rPr>
        <w:t xml:space="preserve">Turkey </w:t>
      </w:r>
      <w:r w:rsidRPr="00583A17">
        <w:rPr>
          <w:bCs/>
          <w:color w:val="000000"/>
          <w:lang w:val="en-CA"/>
        </w:rPr>
        <w:t xml:space="preserve">and Bulgaria. The Company was </w:t>
      </w:r>
      <w:r w:rsidR="00451787">
        <w:rPr>
          <w:bCs/>
          <w:color w:val="000000"/>
          <w:lang w:val="en-CA"/>
        </w:rPr>
        <w:t xml:space="preserve">originally </w:t>
      </w:r>
      <w:r w:rsidRPr="00583A17">
        <w:rPr>
          <w:bCs/>
          <w:color w:val="000000"/>
          <w:lang w:val="en-CA"/>
        </w:rPr>
        <w:t>incorporated in Delaware in 2015</w:t>
      </w:r>
      <w:r w:rsidR="00451787">
        <w:rPr>
          <w:bCs/>
          <w:color w:val="000000"/>
          <w:lang w:val="en-CA"/>
        </w:rPr>
        <w:t xml:space="preserve">, </w:t>
      </w:r>
      <w:r w:rsidR="00251D0F">
        <w:rPr>
          <w:bCs/>
          <w:color w:val="000000"/>
          <w:lang w:val="en-CA"/>
        </w:rPr>
        <w:t>and in January 2022 became a British Columbia Company</w:t>
      </w:r>
      <w:r w:rsidRPr="00583A17">
        <w:rPr>
          <w:bCs/>
          <w:color w:val="000000"/>
          <w:lang w:val="en-CA"/>
        </w:rPr>
        <w:t>.</w:t>
      </w:r>
      <w:r w:rsidR="00A37F30" w:rsidRPr="00583A17">
        <w:rPr>
          <w:bCs/>
          <w:color w:val="000000"/>
          <w:lang w:val="en-CA"/>
        </w:rPr>
        <w:t xml:space="preserve"> The Company’s shares trade on the OTCQB under the symbol “</w:t>
      </w:r>
      <w:r w:rsidR="005A7CE4" w:rsidRPr="00583A17">
        <w:rPr>
          <w:bCs/>
          <w:color w:val="000000"/>
          <w:lang w:val="en-CA"/>
        </w:rPr>
        <w:t>T</w:t>
      </w:r>
      <w:r w:rsidR="005A7CE4">
        <w:rPr>
          <w:bCs/>
          <w:color w:val="000000"/>
          <w:lang w:val="en-CA"/>
        </w:rPr>
        <w:t>RLEF</w:t>
      </w:r>
      <w:r w:rsidR="00A37F30" w:rsidRPr="00583A17">
        <w:rPr>
          <w:bCs/>
          <w:color w:val="000000"/>
          <w:lang w:val="en-CA"/>
        </w:rPr>
        <w:t>” and trade on the Canadian Securities Exchange under the symbol “TCF”.</w:t>
      </w:r>
    </w:p>
    <w:p w14:paraId="7E955470" w14:textId="5CAB6FA5" w:rsidR="002E5C1A" w:rsidRPr="00583A17" w:rsidRDefault="002E5C1A" w:rsidP="00583A17">
      <w:pPr>
        <w:jc w:val="both"/>
        <w:rPr>
          <w:bCs/>
          <w:color w:val="000000"/>
          <w:lang w:val="en-CA"/>
        </w:rPr>
      </w:pPr>
      <w:r w:rsidRPr="00583A17">
        <w:rPr>
          <w:bCs/>
          <w:color w:val="000000"/>
          <w:lang w:val="en-CA"/>
        </w:rPr>
        <w:t>On January 21, 2022, the Company redomiciled from Delaware</w:t>
      </w:r>
      <w:r w:rsidR="00962574">
        <w:rPr>
          <w:bCs/>
          <w:color w:val="000000"/>
          <w:lang w:val="en-CA"/>
        </w:rPr>
        <w:t xml:space="preserve">, United States </w:t>
      </w:r>
      <w:r w:rsidRPr="00583A17">
        <w:rPr>
          <w:bCs/>
          <w:color w:val="000000"/>
          <w:lang w:val="en-CA"/>
        </w:rPr>
        <w:t>to British Columbia</w:t>
      </w:r>
      <w:r w:rsidR="00962574">
        <w:rPr>
          <w:bCs/>
          <w:color w:val="000000"/>
          <w:lang w:val="en-CA"/>
        </w:rPr>
        <w:t>, Canada</w:t>
      </w:r>
      <w:r w:rsidRPr="00583A17">
        <w:rPr>
          <w:bCs/>
          <w:color w:val="000000"/>
          <w:lang w:val="en-CA"/>
        </w:rPr>
        <w:t xml:space="preserve"> by way of an amalgamation transaction with the Company’s British Columbian subsidiary (the “Repatriation Transaction”). Pursuant to the Repatriation Transaction, for every one common stock of Trillion Energy International Inc., the shareholders will receive one common stock of Trillion Energy Inc.</w:t>
      </w:r>
      <w:r w:rsidR="00DD6F3E">
        <w:rPr>
          <w:bCs/>
          <w:color w:val="000000"/>
          <w:lang w:val="en-CA"/>
        </w:rPr>
        <w:t xml:space="preserve"> The Company continued to operate under the name of Trillion Energy International Inc. after the Repatriation Transaction.</w:t>
      </w:r>
    </w:p>
    <w:p w14:paraId="41D54F4A" w14:textId="6CD1FDB0" w:rsidR="002E5C1A" w:rsidRPr="00583A17" w:rsidRDefault="002E5C1A" w:rsidP="00583A17">
      <w:pPr>
        <w:jc w:val="both"/>
        <w:rPr>
          <w:bCs/>
          <w:color w:val="000000"/>
          <w:lang w:val="en-CA"/>
        </w:rPr>
      </w:pPr>
      <w:r w:rsidRPr="00583A17">
        <w:rPr>
          <w:bCs/>
          <w:color w:val="000000"/>
          <w:lang w:val="en-CA"/>
        </w:rPr>
        <w:t xml:space="preserve">As a result of the Repatriation Transaction, the Company </w:t>
      </w:r>
      <w:r w:rsidR="00B63716">
        <w:rPr>
          <w:bCs/>
          <w:color w:val="000000"/>
          <w:lang w:val="en-CA"/>
        </w:rPr>
        <w:t>met</w:t>
      </w:r>
      <w:r w:rsidRPr="00583A17">
        <w:rPr>
          <w:bCs/>
          <w:color w:val="000000"/>
          <w:lang w:val="en-CA"/>
        </w:rPr>
        <w:t xml:space="preserve"> the definition of a foreign private issuer, as defined under Rule 3b-4 of the Securities Exchange Act of 1934, as amended.</w:t>
      </w:r>
    </w:p>
    <w:p w14:paraId="597B0F5A" w14:textId="0BB8A866" w:rsidR="00C719D4" w:rsidRPr="00583A17" w:rsidRDefault="00C719D4">
      <w:pPr>
        <w:jc w:val="both"/>
        <w:rPr>
          <w:b/>
          <w:bCs/>
          <w:color w:val="000000"/>
        </w:rPr>
      </w:pPr>
      <w:r w:rsidRPr="00583A17">
        <w:rPr>
          <w:b/>
          <w:bCs/>
        </w:rPr>
        <w:t xml:space="preserve">Developments of the Business </w:t>
      </w:r>
      <w:bookmarkEnd w:id="3"/>
    </w:p>
    <w:p w14:paraId="06B31BD8" w14:textId="554EA107" w:rsidR="00BF17C4" w:rsidRPr="00B62DCB" w:rsidRDefault="00C719D4" w:rsidP="001B46D2">
      <w:pPr>
        <w:spacing w:after="0"/>
        <w:jc w:val="both"/>
        <w:rPr>
          <w:bCs/>
          <w:color w:val="000000"/>
          <w:lang w:val="en-CA"/>
        </w:rPr>
      </w:pPr>
      <w:bookmarkStart w:id="4" w:name="_Hlk99620308"/>
      <w:r w:rsidRPr="00583A17">
        <w:rPr>
          <w:bCs/>
          <w:color w:val="000000"/>
          <w:lang w:val="en-CA"/>
        </w:rPr>
        <w:t xml:space="preserve">Trillion Energy </w:t>
      </w:r>
      <w:r w:rsidR="0001303D">
        <w:rPr>
          <w:bCs/>
          <w:color w:val="000000"/>
          <w:lang w:val="en-CA"/>
        </w:rPr>
        <w:t xml:space="preserve">International </w:t>
      </w:r>
      <w:r w:rsidRPr="00583A17">
        <w:rPr>
          <w:bCs/>
          <w:color w:val="000000"/>
          <w:lang w:val="en-CA"/>
        </w:rPr>
        <w:t xml:space="preserve">Inc. </w:t>
      </w:r>
      <w:r w:rsidR="00B7724C">
        <w:rPr>
          <w:bCs/>
          <w:color w:val="000000"/>
          <w:lang w:val="en-CA"/>
        </w:rPr>
        <w:t xml:space="preserve">an </w:t>
      </w:r>
      <w:r w:rsidRPr="00583A17">
        <w:rPr>
          <w:bCs/>
          <w:color w:val="000000"/>
          <w:lang w:val="en-CA"/>
        </w:rPr>
        <w:t>oil and gas produc</w:t>
      </w:r>
      <w:r w:rsidR="00B7724C">
        <w:rPr>
          <w:bCs/>
          <w:color w:val="000000"/>
          <w:lang w:val="en-CA"/>
        </w:rPr>
        <w:t xml:space="preserve">er </w:t>
      </w:r>
      <w:r w:rsidRPr="00583A17">
        <w:rPr>
          <w:bCs/>
          <w:color w:val="000000"/>
          <w:lang w:val="en-CA"/>
        </w:rPr>
        <w:t xml:space="preserve">in </w:t>
      </w:r>
      <w:r w:rsidR="00B7724C">
        <w:rPr>
          <w:bCs/>
          <w:color w:val="000000"/>
          <w:lang w:val="en-CA"/>
        </w:rPr>
        <w:t xml:space="preserve">Europe. The Company’s current focus is on increasing conventional natural gas production at its </w:t>
      </w:r>
      <w:r w:rsidR="00251D0F">
        <w:rPr>
          <w:bCs/>
          <w:color w:val="000000"/>
          <w:lang w:val="en-CA"/>
        </w:rPr>
        <w:t xml:space="preserve">SASB field </w:t>
      </w:r>
      <w:r w:rsidR="00B7724C">
        <w:rPr>
          <w:bCs/>
          <w:color w:val="000000"/>
          <w:lang w:val="en-CA"/>
        </w:rPr>
        <w:t xml:space="preserve">located in the Black Sea, Turkey. In addition, it produces oil from the </w:t>
      </w:r>
      <w:r w:rsidR="00D112BF">
        <w:rPr>
          <w:bCs/>
          <w:color w:val="000000"/>
          <w:lang w:val="en-CA"/>
        </w:rPr>
        <w:t>Cendere field</w:t>
      </w:r>
      <w:r w:rsidR="00B7724C">
        <w:rPr>
          <w:bCs/>
          <w:color w:val="000000"/>
          <w:lang w:val="en-CA"/>
        </w:rPr>
        <w:t>, a long-term low decline oil field</w:t>
      </w:r>
      <w:r w:rsidR="00D112BF">
        <w:rPr>
          <w:bCs/>
          <w:color w:val="000000"/>
          <w:lang w:val="en-CA"/>
        </w:rPr>
        <w:t xml:space="preserve">. It also has </w:t>
      </w:r>
      <w:r w:rsidRPr="00583A17">
        <w:rPr>
          <w:bCs/>
          <w:color w:val="000000"/>
          <w:lang w:val="en-CA"/>
        </w:rPr>
        <w:t>a</w:t>
      </w:r>
      <w:r w:rsidR="00D112BF">
        <w:rPr>
          <w:bCs/>
          <w:color w:val="000000"/>
          <w:lang w:val="en-CA"/>
        </w:rPr>
        <w:t>n</w:t>
      </w:r>
      <w:r w:rsidRPr="00583A17">
        <w:rPr>
          <w:bCs/>
          <w:color w:val="000000"/>
          <w:lang w:val="en-CA"/>
        </w:rPr>
        <w:t xml:space="preserve"> exploration license in Bulgaria</w:t>
      </w:r>
      <w:r w:rsidR="00D112BF">
        <w:rPr>
          <w:bCs/>
          <w:color w:val="000000"/>
          <w:lang w:val="en-CA"/>
        </w:rPr>
        <w:t xml:space="preserve"> which </w:t>
      </w:r>
      <w:r w:rsidR="00B7724C">
        <w:rPr>
          <w:bCs/>
          <w:color w:val="000000"/>
          <w:lang w:val="en-CA"/>
        </w:rPr>
        <w:t xml:space="preserve">is currently </w:t>
      </w:r>
      <w:r w:rsidR="00B7724C" w:rsidRPr="00B62DCB">
        <w:rPr>
          <w:bCs/>
          <w:color w:val="000000"/>
          <w:lang w:val="en-CA"/>
        </w:rPr>
        <w:t xml:space="preserve">inactive, but to which </w:t>
      </w:r>
      <w:r w:rsidR="00D112BF" w:rsidRPr="00B62DCB">
        <w:rPr>
          <w:bCs/>
          <w:color w:val="000000"/>
          <w:lang w:val="en-CA"/>
        </w:rPr>
        <w:t>it intends to explore for coal bed methan</w:t>
      </w:r>
      <w:r w:rsidR="004165B6" w:rsidRPr="00B62DCB">
        <w:rPr>
          <w:bCs/>
          <w:color w:val="000000"/>
          <w:lang w:val="en-CA"/>
        </w:rPr>
        <w:t>e</w:t>
      </w:r>
      <w:r w:rsidR="00D112BF" w:rsidRPr="00B62DCB">
        <w:rPr>
          <w:bCs/>
          <w:color w:val="000000"/>
          <w:lang w:val="en-CA"/>
        </w:rPr>
        <w:t xml:space="preserve"> generated natural gas</w:t>
      </w:r>
      <w:r w:rsidR="00B7724C" w:rsidRPr="00B62DCB">
        <w:rPr>
          <w:bCs/>
          <w:color w:val="000000"/>
          <w:lang w:val="en-CA"/>
        </w:rPr>
        <w:t xml:space="preserve"> in the future</w:t>
      </w:r>
      <w:r w:rsidRPr="00B62DCB">
        <w:rPr>
          <w:bCs/>
          <w:color w:val="000000"/>
          <w:lang w:val="en-CA"/>
        </w:rPr>
        <w:t>.</w:t>
      </w:r>
      <w:r w:rsidR="001B46D2" w:rsidRPr="00B62DCB">
        <w:rPr>
          <w:bCs/>
          <w:color w:val="000000"/>
          <w:lang w:val="en-CA"/>
        </w:rPr>
        <w:t xml:space="preserve"> </w:t>
      </w:r>
    </w:p>
    <w:p w14:paraId="1F39058E" w14:textId="77777777" w:rsidR="001B46D2" w:rsidRPr="00B62DCB" w:rsidRDefault="001B46D2" w:rsidP="001B46D2">
      <w:pPr>
        <w:spacing w:after="0"/>
        <w:jc w:val="both"/>
        <w:rPr>
          <w:bCs/>
          <w:color w:val="000000"/>
          <w:lang w:val="en-CA"/>
        </w:rPr>
      </w:pPr>
    </w:p>
    <w:p w14:paraId="6C6C29C7" w14:textId="4F3C5E5B" w:rsidR="00611A2F" w:rsidRPr="00B62DCB" w:rsidRDefault="00B7724C" w:rsidP="00611A2F">
      <w:pPr>
        <w:jc w:val="both"/>
      </w:pPr>
      <w:r w:rsidRPr="00B62DCB">
        <w:t xml:space="preserve">To increase </w:t>
      </w:r>
      <w:r w:rsidR="00631C14" w:rsidRPr="00B62DCB">
        <w:t xml:space="preserve">production </w:t>
      </w:r>
      <w:r w:rsidRPr="00B62DCB">
        <w:t xml:space="preserve">at </w:t>
      </w:r>
      <w:r w:rsidR="00631C14" w:rsidRPr="00B62DCB">
        <w:t xml:space="preserve">its </w:t>
      </w:r>
      <w:r w:rsidRPr="00B62DCB">
        <w:t xml:space="preserve">SASB </w:t>
      </w:r>
      <w:r w:rsidR="00631C14" w:rsidRPr="00B62DCB">
        <w:t>natural gas field in Turkey</w:t>
      </w:r>
      <w:r w:rsidRPr="00B62DCB">
        <w:t>,</w:t>
      </w:r>
      <w:r w:rsidR="0010245A" w:rsidRPr="00B62DCB">
        <w:t xml:space="preserve"> </w:t>
      </w:r>
      <w:r w:rsidRPr="00B62DCB">
        <w:t>t</w:t>
      </w:r>
      <w:r w:rsidR="00631C14" w:rsidRPr="00B62DCB">
        <w:t xml:space="preserve">he Company has </w:t>
      </w:r>
      <w:r w:rsidRPr="00B62DCB">
        <w:t xml:space="preserve">planned </w:t>
      </w:r>
      <w:r w:rsidR="00631C14" w:rsidRPr="00B62DCB">
        <w:t xml:space="preserve">a seven well drilling program set to commence in </w:t>
      </w:r>
      <w:r w:rsidR="007F2206" w:rsidRPr="00B62DCB">
        <w:t xml:space="preserve">late August </w:t>
      </w:r>
      <w:r w:rsidR="00631C14" w:rsidRPr="00B62DCB">
        <w:t>2022</w:t>
      </w:r>
      <w:r w:rsidRPr="00B62DCB">
        <w:t xml:space="preserve"> when the rig arrives at site </w:t>
      </w:r>
      <w:r w:rsidR="00631C14" w:rsidRPr="00B62DCB">
        <w:t>and concluding in or about April 2023</w:t>
      </w:r>
      <w:r w:rsidRPr="00B62DCB">
        <w:t xml:space="preserve">. </w:t>
      </w:r>
      <w:r w:rsidR="00611A2F" w:rsidRPr="00B62DCB">
        <w:t>The Company will use a jack-up rig to conduct the drilling, which is scheduled to commence late August 2022. Each new production well is expected to take an average of 45 days to drill, with reentries into existing wells an average of 15 days per well. The wells will be drilled using the Uranus jack up drilling rig under contract from Romania.</w:t>
      </w:r>
    </w:p>
    <w:p w14:paraId="33255B99" w14:textId="036A9918" w:rsidR="007F2206" w:rsidRPr="00B62DCB" w:rsidRDefault="0010245A" w:rsidP="0010245A">
      <w:pPr>
        <w:jc w:val="both"/>
      </w:pPr>
      <w:r w:rsidRPr="00B62DCB">
        <w:t xml:space="preserve">The Company received </w:t>
      </w:r>
      <w:r w:rsidR="00746509" w:rsidRPr="00B62DCB">
        <w:t xml:space="preserve">approximately </w:t>
      </w:r>
      <w:r w:rsidR="00631C14" w:rsidRPr="00B62DCB">
        <w:t xml:space="preserve">CAD </w:t>
      </w:r>
      <w:r w:rsidRPr="00B62DCB">
        <w:t>$</w:t>
      </w:r>
      <w:r w:rsidR="00631C14" w:rsidRPr="00B62DCB">
        <w:t>41</w:t>
      </w:r>
      <w:r w:rsidR="00FE23BB" w:rsidRPr="00B62DCB">
        <w:t xml:space="preserve"> million</w:t>
      </w:r>
      <w:r w:rsidR="00431411" w:rsidRPr="00B62DCB">
        <w:t xml:space="preserve"> </w:t>
      </w:r>
      <w:r w:rsidR="00B7724C" w:rsidRPr="00B62DCB">
        <w:t xml:space="preserve">from </w:t>
      </w:r>
      <w:r w:rsidR="00631C14" w:rsidRPr="00B62DCB">
        <w:t>two financings this year to fund th</w:t>
      </w:r>
      <w:r w:rsidR="00611A2F" w:rsidRPr="00B62DCB">
        <w:t>is</w:t>
      </w:r>
      <w:r w:rsidR="00631C14" w:rsidRPr="00B62DCB">
        <w:t xml:space="preserve"> new development</w:t>
      </w:r>
      <w:r w:rsidR="00611A2F" w:rsidRPr="00B62DCB">
        <w:t>,</w:t>
      </w:r>
      <w:r w:rsidR="001B46D2" w:rsidRPr="00B62DCB">
        <w:t xml:space="preserve"> through a </w:t>
      </w:r>
      <w:r w:rsidRPr="00B62DCB">
        <w:t>private placement in March 2022</w:t>
      </w:r>
      <w:r w:rsidR="00431411" w:rsidRPr="00B62DCB">
        <w:t xml:space="preserve"> </w:t>
      </w:r>
      <w:r w:rsidR="00FE23BB" w:rsidRPr="00B62DCB">
        <w:t xml:space="preserve">for </w:t>
      </w:r>
      <w:r w:rsidR="001B46D2" w:rsidRPr="00B62DCB">
        <w:t xml:space="preserve">approximately </w:t>
      </w:r>
      <w:r w:rsidR="00FE23BB" w:rsidRPr="00B62DCB">
        <w:t xml:space="preserve">$18.5 million </w:t>
      </w:r>
      <w:r w:rsidR="00431411" w:rsidRPr="00B62DCB">
        <w:t xml:space="preserve">and a prospectus </w:t>
      </w:r>
      <w:r w:rsidR="007F2206" w:rsidRPr="00B62DCB">
        <w:t xml:space="preserve">raise </w:t>
      </w:r>
      <w:r w:rsidR="00431411" w:rsidRPr="00B62DCB">
        <w:t>in June 2022</w:t>
      </w:r>
      <w:r w:rsidR="007F2206" w:rsidRPr="00B62DCB">
        <w:t xml:space="preserve"> </w:t>
      </w:r>
      <w:r w:rsidR="00611A2F" w:rsidRPr="00B62DCB">
        <w:t xml:space="preserve">for $22.5M CAD </w:t>
      </w:r>
      <w:r w:rsidR="001B46D2" w:rsidRPr="00B62DCB">
        <w:t xml:space="preserve">(gross proceeds) </w:t>
      </w:r>
      <w:r w:rsidR="007F2206" w:rsidRPr="00B62DCB">
        <w:t>brokered by Mackie Research Capital and Echelon Capital Markets.</w:t>
      </w:r>
      <w:r w:rsidRPr="00B62DCB">
        <w:t xml:space="preserve"> </w:t>
      </w:r>
    </w:p>
    <w:p w14:paraId="178A8B59" w14:textId="186A0099" w:rsidR="0010245A" w:rsidRPr="00583A17" w:rsidRDefault="001B46D2" w:rsidP="0010245A">
      <w:pPr>
        <w:jc w:val="both"/>
        <w:rPr>
          <w:bCs/>
          <w:color w:val="000000"/>
          <w:lang w:val="en-CA"/>
        </w:rPr>
      </w:pPr>
      <w:r>
        <w:rPr>
          <w:bCs/>
          <w:color w:val="000000"/>
          <w:lang w:val="en-CA"/>
        </w:rPr>
        <w:t xml:space="preserve"> </w:t>
      </w:r>
    </w:p>
    <w:p w14:paraId="5EBE301D" w14:textId="77777777" w:rsidR="0010245A" w:rsidRPr="00583A17" w:rsidRDefault="0010245A" w:rsidP="00583A17">
      <w:pPr>
        <w:jc w:val="both"/>
        <w:rPr>
          <w:bCs/>
          <w:color w:val="000000"/>
          <w:lang w:val="en-CA"/>
        </w:rPr>
      </w:pPr>
    </w:p>
    <w:p w14:paraId="212581E9" w14:textId="5DBE70FE" w:rsidR="00BF17C4" w:rsidRPr="00583A17" w:rsidRDefault="00BF17C4">
      <w:pPr>
        <w:jc w:val="both"/>
        <w:rPr>
          <w:b/>
          <w:i/>
          <w:iCs/>
          <w:color w:val="000000"/>
          <w:lang w:val="en-CA"/>
        </w:rPr>
      </w:pPr>
      <w:r w:rsidRPr="00583A17">
        <w:rPr>
          <w:b/>
          <w:i/>
          <w:iCs/>
          <w:color w:val="000000"/>
          <w:lang w:val="en-CA"/>
        </w:rPr>
        <w:t>Turkey</w:t>
      </w:r>
    </w:p>
    <w:p w14:paraId="3F0E75F0" w14:textId="3F128DE5" w:rsidR="00BF17C4" w:rsidRPr="00583A17" w:rsidRDefault="00B038C7" w:rsidP="00E10896">
      <w:pPr>
        <w:spacing w:after="0"/>
        <w:jc w:val="both"/>
        <w:rPr>
          <w:bCs/>
          <w:color w:val="000000"/>
          <w:lang w:val="en-CA"/>
        </w:rPr>
      </w:pPr>
      <w:r w:rsidRPr="00583A17">
        <w:rPr>
          <w:bCs/>
          <w:color w:val="000000"/>
          <w:lang w:val="en-CA"/>
        </w:rPr>
        <w:lastRenderedPageBreak/>
        <w:t xml:space="preserve">The Company </w:t>
      </w:r>
      <w:r w:rsidR="00A80687">
        <w:rPr>
          <w:bCs/>
          <w:color w:val="000000"/>
          <w:lang w:val="en-CA"/>
        </w:rPr>
        <w:t xml:space="preserve">primarily operates in Turkey, where it </w:t>
      </w:r>
      <w:r w:rsidRPr="00583A17">
        <w:rPr>
          <w:bCs/>
          <w:color w:val="000000"/>
          <w:lang w:val="en-CA"/>
        </w:rPr>
        <w:t xml:space="preserve">owns </w:t>
      </w:r>
      <w:r w:rsidR="00A80687">
        <w:rPr>
          <w:bCs/>
          <w:color w:val="000000"/>
          <w:lang w:val="en-CA"/>
        </w:rPr>
        <w:t xml:space="preserve">two key </w:t>
      </w:r>
      <w:proofErr w:type="gramStart"/>
      <w:r w:rsidR="00A80687">
        <w:rPr>
          <w:bCs/>
          <w:color w:val="000000"/>
          <w:lang w:val="en-CA"/>
        </w:rPr>
        <w:t>assets;</w:t>
      </w:r>
      <w:proofErr w:type="gramEnd"/>
      <w:r w:rsidR="00A80687">
        <w:rPr>
          <w:bCs/>
          <w:color w:val="000000"/>
          <w:lang w:val="en-CA"/>
        </w:rPr>
        <w:t xml:space="preserve"> an </w:t>
      </w:r>
      <w:r w:rsidRPr="00583A17">
        <w:rPr>
          <w:bCs/>
          <w:color w:val="000000"/>
          <w:lang w:val="en-CA"/>
        </w:rPr>
        <w:t xml:space="preserve">interest in the producing Cendere oil field </w:t>
      </w:r>
      <w:r w:rsidR="00DE557F" w:rsidRPr="00583A17">
        <w:rPr>
          <w:bCs/>
          <w:color w:val="000000"/>
          <w:lang w:val="en-CA"/>
        </w:rPr>
        <w:t xml:space="preserve">(“Cendere”) </w:t>
      </w:r>
      <w:r w:rsidRPr="00583A17">
        <w:rPr>
          <w:bCs/>
          <w:color w:val="000000"/>
          <w:lang w:val="en-CA"/>
        </w:rPr>
        <w:t xml:space="preserve">and </w:t>
      </w:r>
      <w:r w:rsidR="00735AF7">
        <w:rPr>
          <w:bCs/>
          <w:color w:val="000000"/>
          <w:lang w:val="en-CA"/>
        </w:rPr>
        <w:t xml:space="preserve">a natural gas field, the </w:t>
      </w:r>
      <w:r w:rsidRPr="00583A17">
        <w:rPr>
          <w:bCs/>
          <w:color w:val="000000"/>
          <w:lang w:val="en-CA"/>
        </w:rPr>
        <w:t xml:space="preserve">South Akcakoca Sub-Basin </w:t>
      </w:r>
      <w:r w:rsidR="00735AF7" w:rsidRPr="00583A17">
        <w:rPr>
          <w:bCs/>
          <w:color w:val="000000"/>
          <w:lang w:val="en-CA"/>
        </w:rPr>
        <w:t xml:space="preserve">gas field </w:t>
      </w:r>
      <w:r w:rsidRPr="00583A17">
        <w:rPr>
          <w:bCs/>
          <w:color w:val="000000"/>
          <w:lang w:val="en-CA"/>
        </w:rPr>
        <w:t>(“SASB”). Cendere</w:t>
      </w:r>
      <w:r w:rsidR="00A80687">
        <w:rPr>
          <w:bCs/>
          <w:color w:val="000000"/>
          <w:lang w:val="en-CA"/>
        </w:rPr>
        <w:t xml:space="preserve"> is </w:t>
      </w:r>
      <w:r w:rsidR="00DE557F" w:rsidRPr="00583A17">
        <w:rPr>
          <w:bCs/>
          <w:color w:val="000000"/>
          <w:lang w:val="en-CA"/>
        </w:rPr>
        <w:t xml:space="preserve">a mature </w:t>
      </w:r>
      <w:r w:rsidRPr="00583A17">
        <w:rPr>
          <w:bCs/>
          <w:color w:val="000000"/>
          <w:lang w:val="en-CA"/>
        </w:rPr>
        <w:t xml:space="preserve">long-term low decline oil </w:t>
      </w:r>
      <w:r w:rsidR="00A80687">
        <w:rPr>
          <w:bCs/>
          <w:color w:val="000000"/>
          <w:lang w:val="en-CA"/>
        </w:rPr>
        <w:t>field</w:t>
      </w:r>
      <w:r w:rsidRPr="00583A17">
        <w:rPr>
          <w:bCs/>
          <w:color w:val="000000"/>
          <w:lang w:val="en-CA"/>
        </w:rPr>
        <w:t xml:space="preserve">. </w:t>
      </w:r>
      <w:r w:rsidR="00611A2F" w:rsidRPr="00583A17">
        <w:rPr>
          <w:bCs/>
          <w:color w:val="000000"/>
          <w:lang w:val="en-CA"/>
        </w:rPr>
        <w:t xml:space="preserve">The </w:t>
      </w:r>
      <w:r w:rsidR="00A80687">
        <w:rPr>
          <w:bCs/>
          <w:color w:val="000000"/>
          <w:lang w:val="en-CA"/>
        </w:rPr>
        <w:t xml:space="preserve">second asset is </w:t>
      </w:r>
      <w:r w:rsidR="00611A2F" w:rsidRPr="00583A17">
        <w:rPr>
          <w:bCs/>
          <w:color w:val="000000"/>
          <w:lang w:val="en-CA"/>
        </w:rPr>
        <w:t xml:space="preserve">the </w:t>
      </w:r>
      <w:r w:rsidRPr="00583A17">
        <w:rPr>
          <w:bCs/>
          <w:color w:val="000000"/>
          <w:lang w:val="en-CA"/>
        </w:rPr>
        <w:t xml:space="preserve">SASB </w:t>
      </w:r>
      <w:r w:rsidR="00A80687">
        <w:rPr>
          <w:bCs/>
          <w:color w:val="000000"/>
          <w:lang w:val="en-CA"/>
        </w:rPr>
        <w:t xml:space="preserve">natural </w:t>
      </w:r>
      <w:r w:rsidR="00611A2F">
        <w:rPr>
          <w:bCs/>
          <w:color w:val="000000"/>
          <w:lang w:val="en-CA"/>
        </w:rPr>
        <w:t xml:space="preserve">gas </w:t>
      </w:r>
      <w:r w:rsidRPr="00583A17">
        <w:rPr>
          <w:bCs/>
          <w:color w:val="000000"/>
          <w:lang w:val="en-CA"/>
        </w:rPr>
        <w:t>field</w:t>
      </w:r>
      <w:r w:rsidR="00611A2F">
        <w:rPr>
          <w:bCs/>
          <w:color w:val="000000"/>
          <w:lang w:val="en-CA"/>
        </w:rPr>
        <w:t xml:space="preserve">, </w:t>
      </w:r>
      <w:r w:rsidR="00735AF7">
        <w:rPr>
          <w:bCs/>
          <w:color w:val="000000"/>
          <w:lang w:val="en-CA"/>
        </w:rPr>
        <w:t xml:space="preserve">a </w:t>
      </w:r>
      <w:r w:rsidR="00735AF7" w:rsidRPr="00583A17">
        <w:rPr>
          <w:bCs/>
          <w:color w:val="000000"/>
          <w:lang w:val="en-CA"/>
        </w:rPr>
        <w:t xml:space="preserve">producing </w:t>
      </w:r>
      <w:r w:rsidR="00735AF7">
        <w:rPr>
          <w:bCs/>
          <w:color w:val="000000"/>
          <w:lang w:val="en-CA"/>
        </w:rPr>
        <w:t xml:space="preserve">shallow water development to which </w:t>
      </w:r>
      <w:r w:rsidR="00A80687">
        <w:rPr>
          <w:bCs/>
          <w:color w:val="000000"/>
          <w:lang w:val="en-CA"/>
        </w:rPr>
        <w:t xml:space="preserve">the Company </w:t>
      </w:r>
      <w:r w:rsidR="00735AF7">
        <w:rPr>
          <w:bCs/>
          <w:color w:val="000000"/>
          <w:lang w:val="en-CA"/>
        </w:rPr>
        <w:t>is currently focused on increasing production by drilling new wells.</w:t>
      </w:r>
    </w:p>
    <w:p w14:paraId="253A4AA8" w14:textId="77777777" w:rsidR="00DE557F" w:rsidRPr="00583A17" w:rsidRDefault="00DE557F" w:rsidP="00583A17">
      <w:pPr>
        <w:spacing w:after="0"/>
        <w:rPr>
          <w:bCs/>
          <w:color w:val="000000"/>
          <w:lang w:val="en-CA"/>
        </w:rPr>
      </w:pPr>
    </w:p>
    <w:p w14:paraId="018D7BB1" w14:textId="07699152" w:rsidR="00F33093" w:rsidRPr="00590DBE" w:rsidRDefault="00F33093" w:rsidP="00583A17">
      <w:pPr>
        <w:jc w:val="both"/>
        <w:rPr>
          <w:bCs/>
          <w:i/>
          <w:iCs/>
          <w:color w:val="000000"/>
          <w:lang w:val="en-CA"/>
        </w:rPr>
      </w:pPr>
      <w:r w:rsidRPr="00590DBE">
        <w:rPr>
          <w:bCs/>
          <w:i/>
          <w:iCs/>
          <w:color w:val="000000"/>
          <w:lang w:val="en-CA"/>
        </w:rPr>
        <w:t xml:space="preserve">Cendere </w:t>
      </w:r>
    </w:p>
    <w:p w14:paraId="12C9DCAC" w14:textId="2A93611F" w:rsidR="00DD0567" w:rsidRPr="00583A17" w:rsidRDefault="00483429" w:rsidP="00DD0567">
      <w:pPr>
        <w:jc w:val="both"/>
        <w:rPr>
          <w:bCs/>
          <w:color w:val="000000"/>
          <w:lang w:val="en-CA"/>
        </w:rPr>
      </w:pPr>
      <w:r w:rsidRPr="00483429">
        <w:rPr>
          <w:bCs/>
          <w:color w:val="000000"/>
          <w:lang w:val="en-CA"/>
        </w:rPr>
        <w:t xml:space="preserve">The Company has a 19.6% interest in the Cendere oil field located in Southeast Turkey all except certain wells. </w:t>
      </w:r>
      <w:proofErr w:type="gramStart"/>
      <w:r w:rsidRPr="00483429">
        <w:rPr>
          <w:bCs/>
          <w:color w:val="000000"/>
          <w:lang w:val="en-CA"/>
        </w:rPr>
        <w:t>At</w:t>
      </w:r>
      <w:proofErr w:type="gramEnd"/>
      <w:r w:rsidRPr="00483429">
        <w:rPr>
          <w:bCs/>
          <w:color w:val="000000"/>
          <w:lang w:val="en-CA"/>
        </w:rPr>
        <w:t xml:space="preserve"> June 30, 2022, the gross oil production rate for the producing wells in </w:t>
      </w:r>
      <w:proofErr w:type="spellStart"/>
      <w:r w:rsidRPr="00483429">
        <w:rPr>
          <w:bCs/>
          <w:color w:val="000000"/>
          <w:lang w:val="en-CA"/>
        </w:rPr>
        <w:t>Cendere</w:t>
      </w:r>
      <w:proofErr w:type="spellEnd"/>
      <w:r w:rsidRPr="00483429">
        <w:rPr>
          <w:bCs/>
          <w:color w:val="000000"/>
          <w:lang w:val="en-CA"/>
        </w:rPr>
        <w:t xml:space="preserve"> was 734 </w:t>
      </w:r>
      <w:proofErr w:type="spellStart"/>
      <w:r w:rsidRPr="00483429">
        <w:rPr>
          <w:bCs/>
          <w:color w:val="000000"/>
          <w:lang w:val="en-CA"/>
        </w:rPr>
        <w:t>bbls</w:t>
      </w:r>
      <w:proofErr w:type="spellEnd"/>
      <w:r w:rsidRPr="00483429">
        <w:rPr>
          <w:bCs/>
          <w:color w:val="000000"/>
          <w:lang w:val="en-CA"/>
        </w:rPr>
        <w:t xml:space="preserve">/day (barrels per day); the average daily 2022 Q2 gross production rate for the field was 661 </w:t>
      </w:r>
      <w:proofErr w:type="spellStart"/>
      <w:r w:rsidRPr="00483429">
        <w:rPr>
          <w:bCs/>
          <w:color w:val="000000"/>
          <w:lang w:val="en-CA"/>
        </w:rPr>
        <w:t>bbls</w:t>
      </w:r>
      <w:proofErr w:type="spellEnd"/>
      <w:r w:rsidRPr="00483429">
        <w:rPr>
          <w:bCs/>
          <w:color w:val="000000"/>
          <w:lang w:val="en-CA"/>
        </w:rPr>
        <w:t>/day. At the end of June 2022, oil was sold at a price of approximately US$109 per barrel (“</w:t>
      </w:r>
      <w:proofErr w:type="spellStart"/>
      <w:r w:rsidRPr="00483429">
        <w:rPr>
          <w:bCs/>
          <w:color w:val="000000"/>
          <w:lang w:val="en-CA"/>
        </w:rPr>
        <w:t>bbl</w:t>
      </w:r>
      <w:proofErr w:type="spellEnd"/>
      <w:r w:rsidRPr="00483429">
        <w:rPr>
          <w:bCs/>
          <w:color w:val="000000"/>
          <w:lang w:val="en-CA"/>
        </w:rPr>
        <w:t xml:space="preserve">”). </w:t>
      </w:r>
      <w:proofErr w:type="gramStart"/>
      <w:r w:rsidRPr="00483429">
        <w:rPr>
          <w:bCs/>
          <w:color w:val="000000"/>
          <w:lang w:val="en-CA"/>
        </w:rPr>
        <w:t>At</w:t>
      </w:r>
      <w:proofErr w:type="gramEnd"/>
      <w:r w:rsidRPr="00483429">
        <w:rPr>
          <w:bCs/>
          <w:color w:val="000000"/>
          <w:lang w:val="en-CA"/>
        </w:rPr>
        <w:t xml:space="preserve"> June 30, 2022, the Cendere field was producing 109 barrels of oil per day net to the us; and averaged 97 barrels per day during 2022 Q2 net to the Company.</w:t>
      </w:r>
      <w:r w:rsidR="00DD0567" w:rsidRPr="00C95A74">
        <w:rPr>
          <w:bCs/>
          <w:color w:val="000000"/>
          <w:lang w:val="en-CA"/>
        </w:rPr>
        <w:t xml:space="preserve"> </w:t>
      </w:r>
    </w:p>
    <w:p w14:paraId="51AA66D0" w14:textId="233EEE35" w:rsidR="00DE557F" w:rsidRPr="00583A17" w:rsidRDefault="00DE557F">
      <w:pPr>
        <w:jc w:val="both"/>
        <w:rPr>
          <w:bCs/>
          <w:i/>
          <w:iCs/>
          <w:color w:val="000000"/>
          <w:lang w:val="en-CA"/>
        </w:rPr>
      </w:pPr>
      <w:r w:rsidRPr="00583A17">
        <w:rPr>
          <w:bCs/>
          <w:i/>
          <w:iCs/>
          <w:color w:val="000000"/>
          <w:lang w:val="en-CA"/>
        </w:rPr>
        <w:t>SASB</w:t>
      </w:r>
    </w:p>
    <w:p w14:paraId="6F530E00" w14:textId="2783E7BC" w:rsidR="00BF17C4" w:rsidRPr="00483429" w:rsidRDefault="00735AF7" w:rsidP="00583A17">
      <w:pPr>
        <w:jc w:val="both"/>
        <w:rPr>
          <w:bCs/>
          <w:color w:val="000000"/>
          <w:lang w:val="en-CA"/>
        </w:rPr>
      </w:pPr>
      <w:r>
        <w:rPr>
          <w:bCs/>
          <w:color w:val="000000"/>
          <w:lang w:val="en-CA"/>
        </w:rPr>
        <w:t xml:space="preserve">The Company’s interest in SASB is 49%. </w:t>
      </w:r>
      <w:r w:rsidR="00BF17C4" w:rsidRPr="00583A17">
        <w:rPr>
          <w:bCs/>
          <w:color w:val="000000"/>
          <w:lang w:val="en-CA"/>
        </w:rPr>
        <w:t xml:space="preserve">SASB has four producing </w:t>
      </w:r>
      <w:r>
        <w:rPr>
          <w:bCs/>
          <w:color w:val="000000"/>
          <w:lang w:val="en-CA"/>
        </w:rPr>
        <w:t xml:space="preserve">natural gas </w:t>
      </w:r>
      <w:r w:rsidR="00BF17C4" w:rsidRPr="00583A17">
        <w:rPr>
          <w:bCs/>
          <w:color w:val="000000"/>
          <w:lang w:val="en-CA"/>
        </w:rPr>
        <w:t>fields, each with a production platform plus subsea pipelines that connect the fields to an onshore gas plant</w:t>
      </w:r>
      <w:r w:rsidR="00615881" w:rsidRPr="00583A17">
        <w:rPr>
          <w:bCs/>
          <w:color w:val="000000"/>
          <w:lang w:val="en-CA"/>
        </w:rPr>
        <w:t xml:space="preserve">. </w:t>
      </w:r>
      <w:r w:rsidR="00BF17C4" w:rsidRPr="00583A17">
        <w:rPr>
          <w:bCs/>
          <w:color w:val="000000"/>
          <w:lang w:val="en-CA"/>
        </w:rPr>
        <w:t xml:space="preserve">The SASB fields are located off the north coast of Turkey </w:t>
      </w:r>
      <w:r w:rsidR="00BF17C4" w:rsidRPr="00483429">
        <w:rPr>
          <w:bCs/>
          <w:color w:val="000000"/>
          <w:lang w:val="en-CA"/>
        </w:rPr>
        <w:t>towards the western end of the Black Sea. Total gross production to date from</w:t>
      </w:r>
      <w:r w:rsidR="00DD0567" w:rsidRPr="00483429">
        <w:rPr>
          <w:bCs/>
          <w:color w:val="000000"/>
          <w:lang w:val="en-CA"/>
        </w:rPr>
        <w:t xml:space="preserve"> </w:t>
      </w:r>
      <w:r w:rsidR="00BF17C4" w:rsidRPr="00483429">
        <w:rPr>
          <w:bCs/>
          <w:color w:val="000000"/>
          <w:lang w:val="en-CA"/>
        </w:rPr>
        <w:t>the four fields is approximately 4</w:t>
      </w:r>
      <w:r w:rsidR="00185E41" w:rsidRPr="00483429">
        <w:rPr>
          <w:bCs/>
          <w:color w:val="000000"/>
          <w:lang w:val="en-CA"/>
        </w:rPr>
        <w:t>2</w:t>
      </w:r>
      <w:r w:rsidR="00BF17C4" w:rsidRPr="00483429">
        <w:rPr>
          <w:bCs/>
          <w:color w:val="000000"/>
          <w:lang w:val="en-CA"/>
        </w:rPr>
        <w:t>.</w:t>
      </w:r>
      <w:r w:rsidR="00C32871" w:rsidRPr="00483429">
        <w:rPr>
          <w:bCs/>
          <w:color w:val="000000"/>
          <w:lang w:val="en-CA"/>
        </w:rPr>
        <w:t>2</w:t>
      </w:r>
      <w:r w:rsidR="00D41F51" w:rsidRPr="00483429">
        <w:rPr>
          <w:bCs/>
          <w:color w:val="000000"/>
          <w:lang w:val="en-CA"/>
        </w:rPr>
        <w:t xml:space="preserve"> billion cubic feet (“</w:t>
      </w:r>
      <w:proofErr w:type="spellStart"/>
      <w:r w:rsidR="00BF17C4" w:rsidRPr="00483429">
        <w:rPr>
          <w:bCs/>
          <w:color w:val="000000"/>
          <w:lang w:val="en-CA"/>
        </w:rPr>
        <w:t>Bcf</w:t>
      </w:r>
      <w:proofErr w:type="spellEnd"/>
      <w:r w:rsidR="00D41F51" w:rsidRPr="00483429">
        <w:rPr>
          <w:bCs/>
          <w:color w:val="000000"/>
          <w:lang w:val="en-CA"/>
        </w:rPr>
        <w:t>”)</w:t>
      </w:r>
      <w:r w:rsidR="00BF17C4" w:rsidRPr="00483429">
        <w:rPr>
          <w:bCs/>
          <w:color w:val="000000"/>
          <w:lang w:val="en-CA"/>
        </w:rPr>
        <w:t>.</w:t>
      </w:r>
    </w:p>
    <w:p w14:paraId="75E46081" w14:textId="7CB5EFE2" w:rsidR="00AD0340" w:rsidRDefault="00AD0340" w:rsidP="00583A17">
      <w:pPr>
        <w:jc w:val="both"/>
        <w:rPr>
          <w:bCs/>
          <w:color w:val="000000"/>
          <w:lang w:val="en-CA"/>
        </w:rPr>
      </w:pPr>
      <w:r w:rsidRPr="00483429">
        <w:rPr>
          <w:bCs/>
          <w:color w:val="000000"/>
          <w:lang w:val="en-CA"/>
        </w:rPr>
        <w:t>The Company plans to commence</w:t>
      </w:r>
      <w:r>
        <w:rPr>
          <w:bCs/>
          <w:color w:val="000000"/>
          <w:lang w:val="en-CA"/>
        </w:rPr>
        <w:t xml:space="preserve"> drilling additional wells and to conduct workovers on SASB commencing </w:t>
      </w:r>
      <w:r w:rsidR="0063113A">
        <w:rPr>
          <w:bCs/>
          <w:color w:val="000000"/>
          <w:lang w:val="en-CA"/>
        </w:rPr>
        <w:t xml:space="preserve">August </w:t>
      </w:r>
      <w:r>
        <w:rPr>
          <w:bCs/>
          <w:color w:val="000000"/>
          <w:lang w:val="en-CA"/>
        </w:rPr>
        <w:t xml:space="preserve">2022, at which time the Uranus Rig </w:t>
      </w:r>
      <w:r w:rsidR="0063113A">
        <w:rPr>
          <w:bCs/>
          <w:color w:val="000000"/>
          <w:lang w:val="en-CA"/>
        </w:rPr>
        <w:t xml:space="preserve">will arrive from </w:t>
      </w:r>
      <w:r>
        <w:rPr>
          <w:bCs/>
          <w:color w:val="000000"/>
          <w:lang w:val="en-CA"/>
        </w:rPr>
        <w:t>Romania on the licence block</w:t>
      </w:r>
      <w:r w:rsidR="0063113A">
        <w:rPr>
          <w:bCs/>
          <w:color w:val="000000"/>
          <w:lang w:val="en-CA"/>
        </w:rPr>
        <w:t xml:space="preserve"> and drilling will commence</w:t>
      </w:r>
      <w:r>
        <w:rPr>
          <w:bCs/>
          <w:color w:val="000000"/>
          <w:lang w:val="en-CA"/>
        </w:rPr>
        <w:t xml:space="preserve">. The initial program will be seven wells (two workovers and five new directional wells) all which </w:t>
      </w:r>
      <w:r w:rsidR="0063113A">
        <w:rPr>
          <w:bCs/>
          <w:color w:val="000000"/>
          <w:lang w:val="en-CA"/>
        </w:rPr>
        <w:t>be put on production during the program upon successful completion, thus generating revenue</w:t>
      </w:r>
      <w:r>
        <w:rPr>
          <w:bCs/>
          <w:color w:val="000000"/>
          <w:lang w:val="en-CA"/>
        </w:rPr>
        <w:t>.</w:t>
      </w:r>
      <w:r w:rsidR="00386E95">
        <w:rPr>
          <w:bCs/>
          <w:color w:val="000000"/>
          <w:lang w:val="en-CA"/>
        </w:rPr>
        <w:t xml:space="preserve"> The Company plans to extent the work program for up to an additional 10 wells, depending in part on the results of the first wells. </w:t>
      </w:r>
      <w:r w:rsidR="0072308F">
        <w:rPr>
          <w:bCs/>
          <w:color w:val="000000"/>
          <w:lang w:val="en-CA"/>
        </w:rPr>
        <w:t>This work program is expected to substantially boost production on the field.</w:t>
      </w:r>
    </w:p>
    <w:p w14:paraId="5C9DBBE8" w14:textId="67AAEDFA" w:rsidR="00483429" w:rsidRPr="00483429" w:rsidRDefault="00386E95" w:rsidP="00483429">
      <w:pPr>
        <w:jc w:val="both"/>
        <w:rPr>
          <w:bCs/>
          <w:color w:val="000000"/>
          <w:lang w:val="en-CA"/>
        </w:rPr>
      </w:pPr>
      <w:r w:rsidRPr="00002221">
        <w:rPr>
          <w:bCs/>
          <w:color w:val="000000"/>
          <w:lang w:val="en-CA"/>
        </w:rPr>
        <w:t>N</w:t>
      </w:r>
      <w:r w:rsidR="00483429" w:rsidRPr="00483429">
        <w:rPr>
          <w:bCs/>
          <w:color w:val="000000"/>
          <w:lang w:val="en-CA"/>
        </w:rPr>
        <w:t xml:space="preserve">ew wells have not been drilled on SASB since 2011 and the current four producing wells are over 10 years old and require workovers or are depleted. As </w:t>
      </w:r>
      <w:proofErr w:type="gramStart"/>
      <w:r w:rsidR="00483429" w:rsidRPr="00483429">
        <w:rPr>
          <w:bCs/>
          <w:color w:val="000000"/>
          <w:lang w:val="en-CA"/>
        </w:rPr>
        <w:t>at</w:t>
      </w:r>
      <w:proofErr w:type="gramEnd"/>
      <w:r w:rsidR="00483429" w:rsidRPr="00483429">
        <w:rPr>
          <w:bCs/>
          <w:color w:val="000000"/>
          <w:lang w:val="en-CA"/>
        </w:rPr>
        <w:t xml:space="preserve"> June 30, 2022, the gross gas production rate for the remaining producing wells in SASB was 0.103 million cubic feet per day (“</w:t>
      </w:r>
      <w:proofErr w:type="spellStart"/>
      <w:r w:rsidR="00483429" w:rsidRPr="00483429">
        <w:rPr>
          <w:bCs/>
          <w:color w:val="000000"/>
          <w:lang w:val="en-CA"/>
        </w:rPr>
        <w:t>MMcfd</w:t>
      </w:r>
      <w:proofErr w:type="spellEnd"/>
      <w:r w:rsidR="00483429" w:rsidRPr="00483429">
        <w:rPr>
          <w:bCs/>
          <w:color w:val="000000"/>
          <w:lang w:val="en-CA"/>
        </w:rPr>
        <w:t xml:space="preserve">”); the average daily 2022 gross production rate for the field was 0.261 </w:t>
      </w:r>
      <w:proofErr w:type="spellStart"/>
      <w:r w:rsidR="00483429" w:rsidRPr="00483429">
        <w:rPr>
          <w:bCs/>
          <w:color w:val="000000"/>
          <w:lang w:val="en-CA"/>
        </w:rPr>
        <w:t>MMcfd</w:t>
      </w:r>
      <w:proofErr w:type="spellEnd"/>
      <w:r w:rsidR="00483429" w:rsidRPr="00483429">
        <w:rPr>
          <w:bCs/>
          <w:color w:val="000000"/>
          <w:lang w:val="en-CA"/>
        </w:rPr>
        <w:t>. As these are legacy wells and new wells are planned, recent production figures are not indicative as to future production rates.</w:t>
      </w:r>
    </w:p>
    <w:p w14:paraId="5BAF0D86" w14:textId="77777777" w:rsidR="001C77E4" w:rsidRPr="000865F3" w:rsidRDefault="001C77E4" w:rsidP="001C77E4">
      <w:pPr>
        <w:jc w:val="both"/>
        <w:rPr>
          <w:bCs/>
          <w:color w:val="000000"/>
          <w:lang w:val="en-CA"/>
        </w:rPr>
      </w:pPr>
      <w:r w:rsidRPr="0035150D">
        <w:rPr>
          <w:bCs/>
          <w:color w:val="000000"/>
          <w:lang w:val="en-CA"/>
        </w:rPr>
        <w:t xml:space="preserve">On May 18, </w:t>
      </w:r>
      <w:proofErr w:type="gramStart"/>
      <w:r w:rsidRPr="0035150D">
        <w:rPr>
          <w:bCs/>
          <w:color w:val="000000"/>
          <w:lang w:val="en-CA"/>
        </w:rPr>
        <w:t>2022</w:t>
      </w:r>
      <w:proofErr w:type="gramEnd"/>
      <w:r w:rsidRPr="0035150D">
        <w:rPr>
          <w:bCs/>
          <w:color w:val="000000"/>
          <w:lang w:val="en-CA"/>
        </w:rPr>
        <w:t xml:space="preserve"> the Company announced that it had signed a contract (“Contract”) to obtain drilling services from GSP Offshore SRL (“GSP”) for the Company’s planned SASB natural gas production and development program. GSP was selected as its Uranus jack-up drilling rig is currently in the Black Sea, thus reducing costs of mobilization and because GSP has previously successfully drilled prior wells on the SASB gas field.  The Contract anticipates drilling up to five new wells and two recompletions (the “Initial Program”) and provides</w:t>
      </w:r>
      <w:r>
        <w:rPr>
          <w:bCs/>
          <w:color w:val="000000"/>
          <w:lang w:val="en-CA"/>
        </w:rPr>
        <w:t xml:space="preserve"> for a minimum 100 of drilling days at a rate of USD $95,000/day</w:t>
      </w:r>
      <w:r w:rsidRPr="000865F3">
        <w:rPr>
          <w:bCs/>
          <w:color w:val="000000"/>
          <w:lang w:val="en-CA"/>
        </w:rPr>
        <w:t>. The duration of the Initial Project is expected to be 7 months with one new well being put into production every 15-45 days.</w:t>
      </w:r>
    </w:p>
    <w:p w14:paraId="3FDD8BB9" w14:textId="0462ABA7" w:rsidR="00483429" w:rsidRPr="00483429" w:rsidRDefault="00483429" w:rsidP="00483429">
      <w:pPr>
        <w:jc w:val="both"/>
        <w:rPr>
          <w:bCs/>
          <w:color w:val="000000"/>
          <w:lang w:val="en-CA"/>
        </w:rPr>
      </w:pPr>
      <w:r w:rsidRPr="00483429">
        <w:rPr>
          <w:bCs/>
          <w:color w:val="000000"/>
          <w:lang w:val="en-CA"/>
        </w:rPr>
        <w:t>The average natural gas sale price year to date was</w:t>
      </w:r>
      <w:r w:rsidR="00056797">
        <w:rPr>
          <w:bCs/>
          <w:color w:val="000000"/>
          <w:lang w:val="en-CA"/>
        </w:rPr>
        <w:t xml:space="preserve"> </w:t>
      </w:r>
      <w:r w:rsidRPr="00483429">
        <w:rPr>
          <w:bCs/>
          <w:color w:val="000000"/>
          <w:lang w:val="en-CA"/>
        </w:rPr>
        <w:t>US$15.75/Mcf and US$20.08 per Mcf for the month ending June 30, 2022. The lower net back is a result of relatively lower production levels being incurred due to natural decline, down approximately 96% since peak production rates occurred during 2011, given no new wells have been drilled since 2011. At the end of July 2022, gas is currently sold at a price of approximately US$20/MCF.</w:t>
      </w:r>
    </w:p>
    <w:p w14:paraId="7350CE40" w14:textId="77777777" w:rsidR="0066087B" w:rsidRPr="0035150D" w:rsidRDefault="0066087B" w:rsidP="0066087B">
      <w:pPr>
        <w:jc w:val="both"/>
        <w:rPr>
          <w:bCs/>
          <w:color w:val="000000"/>
          <w:lang w:val="en-CA"/>
        </w:rPr>
      </w:pPr>
      <w:r w:rsidRPr="000865F3">
        <w:rPr>
          <w:bCs/>
          <w:color w:val="000000"/>
          <w:lang w:val="en-CA"/>
        </w:rPr>
        <w:t xml:space="preserve">The Company also desires to utilize the GSP rig for an additional 7-10 new well drillings /workovers continuously after </w:t>
      </w:r>
      <w:r w:rsidRPr="0035150D">
        <w:rPr>
          <w:bCs/>
          <w:color w:val="000000"/>
          <w:lang w:val="en-CA"/>
        </w:rPr>
        <w:t>the completion of the Initial Program, on the same or similar fiscal terms as the Initial Project.  This subsequent project primarily includes exploratory wells and or additional wells drilled into producing gas pool reserves. The exact number of wells targeted for the second program will depend on the results of the Initial Program.</w:t>
      </w:r>
    </w:p>
    <w:p w14:paraId="7E05686E" w14:textId="44135B27" w:rsidR="0066087B" w:rsidRDefault="0066087B" w:rsidP="0066087B">
      <w:pPr>
        <w:jc w:val="both"/>
        <w:rPr>
          <w:bCs/>
          <w:color w:val="000000"/>
          <w:lang w:val="en-CA"/>
        </w:rPr>
      </w:pPr>
      <w:r w:rsidRPr="0035150D">
        <w:rPr>
          <w:bCs/>
          <w:color w:val="000000"/>
          <w:lang w:val="en-CA"/>
        </w:rPr>
        <w:t xml:space="preserve">It is the Company’s plan to drill the wells </w:t>
      </w:r>
      <w:proofErr w:type="gramStart"/>
      <w:r w:rsidRPr="0035150D">
        <w:rPr>
          <w:bCs/>
          <w:color w:val="000000"/>
          <w:lang w:val="en-CA"/>
        </w:rPr>
        <w:t>more or less continuously</w:t>
      </w:r>
      <w:proofErr w:type="gramEnd"/>
      <w:r w:rsidRPr="0035150D">
        <w:rPr>
          <w:bCs/>
          <w:color w:val="000000"/>
          <w:lang w:val="en-CA"/>
        </w:rPr>
        <w:t xml:space="preserve"> to reduce mobilization costs and take advantage of high gas prices, by bringing one new well into production every 45 days starting September 2022 and then throughout the duration of 2023 into 2024, thereby significantly ramping up the Company’s production during that time frame.</w:t>
      </w:r>
      <w:r w:rsidR="001C77E4">
        <w:rPr>
          <w:bCs/>
          <w:color w:val="000000"/>
          <w:lang w:val="en-CA"/>
        </w:rPr>
        <w:t xml:space="preserve"> </w:t>
      </w:r>
    </w:p>
    <w:p w14:paraId="39823385" w14:textId="5B7CA630" w:rsidR="0096090B" w:rsidRDefault="0096090B" w:rsidP="0096090B">
      <w:pPr>
        <w:jc w:val="both"/>
        <w:rPr>
          <w:bCs/>
          <w:color w:val="000000"/>
          <w:lang w:val="en-CA"/>
        </w:rPr>
      </w:pPr>
      <w:r w:rsidRPr="000865F3">
        <w:rPr>
          <w:bCs/>
          <w:color w:val="000000"/>
          <w:lang w:val="en-CA"/>
        </w:rPr>
        <w:lastRenderedPageBreak/>
        <w:t xml:space="preserve">The new wells are anticipated to </w:t>
      </w:r>
      <w:r w:rsidRPr="0035150D">
        <w:rPr>
          <w:bCs/>
          <w:color w:val="000000"/>
          <w:lang w:val="en-CA"/>
        </w:rPr>
        <w:t xml:space="preserve">produce </w:t>
      </w:r>
      <w:r w:rsidR="0066087B">
        <w:rPr>
          <w:bCs/>
          <w:color w:val="000000"/>
          <w:lang w:val="en-CA"/>
        </w:rPr>
        <w:t xml:space="preserve">gas </w:t>
      </w:r>
      <w:r w:rsidRPr="0035150D">
        <w:rPr>
          <w:bCs/>
          <w:color w:val="000000"/>
          <w:lang w:val="en-CA"/>
        </w:rPr>
        <w:t>immediately upon completion</w:t>
      </w:r>
      <w:r w:rsidR="0066087B">
        <w:rPr>
          <w:bCs/>
          <w:color w:val="000000"/>
          <w:lang w:val="en-CA"/>
        </w:rPr>
        <w:t>,</w:t>
      </w:r>
      <w:r w:rsidRPr="0035150D">
        <w:rPr>
          <w:bCs/>
          <w:color w:val="000000"/>
          <w:lang w:val="en-CA"/>
        </w:rPr>
        <w:t xml:space="preserve"> with production sold into the existing pipeline grid under contract, where high demand exists for the Company’s production as natural gas prices </w:t>
      </w:r>
      <w:r w:rsidR="00AC20DC" w:rsidRPr="0035150D">
        <w:rPr>
          <w:bCs/>
          <w:color w:val="000000"/>
          <w:lang w:val="en-CA"/>
        </w:rPr>
        <w:t xml:space="preserve">reached </w:t>
      </w:r>
      <w:r w:rsidRPr="0035150D">
        <w:rPr>
          <w:bCs/>
          <w:color w:val="000000"/>
          <w:lang w:val="en-CA"/>
        </w:rPr>
        <w:t>over USD $</w:t>
      </w:r>
      <w:r w:rsidR="003F3084" w:rsidRPr="0035150D">
        <w:rPr>
          <w:bCs/>
          <w:color w:val="000000"/>
          <w:lang w:val="en-CA"/>
        </w:rPr>
        <w:t>21</w:t>
      </w:r>
      <w:r w:rsidR="00386E95" w:rsidRPr="0035150D">
        <w:rPr>
          <w:bCs/>
          <w:color w:val="000000"/>
          <w:lang w:val="en-CA"/>
        </w:rPr>
        <w:t xml:space="preserve"> </w:t>
      </w:r>
      <w:r w:rsidRPr="0035150D">
        <w:rPr>
          <w:bCs/>
          <w:color w:val="000000"/>
          <w:lang w:val="en-CA"/>
        </w:rPr>
        <w:t xml:space="preserve">MCF during </w:t>
      </w:r>
      <w:r w:rsidR="003F3084" w:rsidRPr="0035150D">
        <w:rPr>
          <w:bCs/>
          <w:color w:val="000000"/>
          <w:lang w:val="en-CA"/>
        </w:rPr>
        <w:t xml:space="preserve">August </w:t>
      </w:r>
      <w:r w:rsidRPr="0035150D">
        <w:rPr>
          <w:bCs/>
          <w:color w:val="000000"/>
          <w:lang w:val="en-CA"/>
        </w:rPr>
        <w:t>2022.</w:t>
      </w:r>
    </w:p>
    <w:p w14:paraId="58006783" w14:textId="7C489AC5" w:rsidR="001C77E4" w:rsidRPr="000865F3" w:rsidRDefault="001C77E4" w:rsidP="0096090B">
      <w:pPr>
        <w:jc w:val="both"/>
        <w:rPr>
          <w:bCs/>
          <w:color w:val="000000"/>
          <w:lang w:val="en-CA"/>
        </w:rPr>
      </w:pPr>
      <w:r w:rsidRPr="00C95A74">
        <w:rPr>
          <w:color w:val="000000"/>
        </w:rPr>
        <w:t xml:space="preserve">The Company also plans to </w:t>
      </w:r>
      <w:r>
        <w:rPr>
          <w:color w:val="000000"/>
        </w:rPr>
        <w:t xml:space="preserve">explore potential opportunities </w:t>
      </w:r>
      <w:r w:rsidRPr="00C95A74">
        <w:rPr>
          <w:color w:val="000000"/>
        </w:rPr>
        <w:t xml:space="preserve">around the SASB development license area, which is currently 12,385 hectares, by applying for a Technical Investigation Survey Permit for 200,000 hectares of surrounding area (“the Permit”). </w:t>
      </w:r>
      <w:bookmarkStart w:id="5" w:name="_Ref67508507"/>
      <w:r w:rsidRPr="00583A17">
        <w:rPr>
          <w:bCs/>
          <w:color w:val="000000"/>
          <w:lang w:val="en-CA"/>
        </w:rPr>
        <w:t>Upon receiving the Permit, the Company planned to reprocess existing 3D and 2D seismic with new technology. Such new technology is expected to improve the resolution of the data and define new exploration targets around the SASB.</w:t>
      </w:r>
      <w:bookmarkEnd w:id="5"/>
    </w:p>
    <w:p w14:paraId="57619B77" w14:textId="77777777" w:rsidR="0066087B" w:rsidRPr="00583A17" w:rsidRDefault="0066087B" w:rsidP="0066087B">
      <w:pPr>
        <w:jc w:val="both"/>
        <w:rPr>
          <w:b/>
          <w:i/>
          <w:iCs/>
          <w:color w:val="000000"/>
          <w:lang w:val="en-CA"/>
        </w:rPr>
      </w:pPr>
      <w:r w:rsidRPr="00583A17">
        <w:rPr>
          <w:b/>
          <w:i/>
          <w:iCs/>
          <w:color w:val="000000"/>
          <w:lang w:val="en-CA"/>
        </w:rPr>
        <w:t>Bulgaria license</w:t>
      </w:r>
    </w:p>
    <w:p w14:paraId="76CAA67A" w14:textId="03D2335D" w:rsidR="0066087B" w:rsidRPr="0035150D" w:rsidRDefault="0066087B" w:rsidP="0096090B">
      <w:pPr>
        <w:jc w:val="both"/>
        <w:rPr>
          <w:bCs/>
          <w:color w:val="000000"/>
          <w:lang w:val="en-CA"/>
        </w:rPr>
      </w:pPr>
      <w:r w:rsidRPr="00583A17">
        <w:rPr>
          <w:bCs/>
          <w:color w:val="000000"/>
          <w:lang w:val="en-CA"/>
        </w:rPr>
        <w:t xml:space="preserve">In October of 2010, the Company was awarded an exploration permit for the “Vranino 1-11 Block”, a </w:t>
      </w:r>
      <w:proofErr w:type="gramStart"/>
      <w:r w:rsidRPr="00583A17">
        <w:rPr>
          <w:bCs/>
          <w:color w:val="000000"/>
          <w:lang w:val="en-CA"/>
        </w:rPr>
        <w:t>98,205 acre</w:t>
      </w:r>
      <w:proofErr w:type="gramEnd"/>
      <w:r w:rsidRPr="00583A17">
        <w:rPr>
          <w:bCs/>
          <w:color w:val="000000"/>
          <w:lang w:val="en-CA"/>
        </w:rPr>
        <w:t xml:space="preserve"> oil and gas exploration land located in Dobrudja Basin, Bulgaria, by the Bulgarian Counsel of Ministers. On April 1, 2014, the Company entered into an Agreement for Crude Oil and Natural Gas Prospecting and Exploration in the Vranino 1-11 Block with the Ministry of Economy and Energy of Bulgaria (the “License Agreement”). The initial term of the License Agreement is five years. This five-year period will commence once the Bulgarian regulatory authorities approve of the Company’s work programs for the permit area. The License Agreement (or applicable legislation) provides for possible extension periods for up to five additional years during the exploration phase, as well as the conversion of the License Agreement to an exploitation concession, which can last for up to 35 years. Under the License Agreement, the Company will submit a yearly work program that is subject to the approval of the Bulgarian regulatory authorities.</w:t>
      </w:r>
      <w:r>
        <w:rPr>
          <w:bCs/>
          <w:color w:val="000000"/>
          <w:lang w:val="en-CA"/>
        </w:rPr>
        <w:t xml:space="preserve"> The running time for the work program has not yet commenced for the work program, due certain environmental reports being required to be completed first. The project has been placed on </w:t>
      </w:r>
      <w:r w:rsidRPr="0035150D">
        <w:rPr>
          <w:bCs/>
          <w:color w:val="000000"/>
          <w:lang w:val="en-CA"/>
        </w:rPr>
        <w:t>hold by the Company given its focus on other near-term production opportunities.</w:t>
      </w:r>
    </w:p>
    <w:p w14:paraId="4E85617C" w14:textId="0B4BD6C1" w:rsidR="00625AC3" w:rsidRPr="00583A17" w:rsidRDefault="00625AC3" w:rsidP="007212B5">
      <w:pPr>
        <w:pStyle w:val="NormalWeb"/>
        <w:spacing w:before="0" w:beforeAutospacing="0" w:after="0" w:afterAutospacing="0"/>
        <w:jc w:val="both"/>
        <w:rPr>
          <w:b/>
          <w:bCs/>
          <w:sz w:val="20"/>
          <w:szCs w:val="20"/>
        </w:rPr>
      </w:pPr>
      <w:r w:rsidRPr="00583A17">
        <w:rPr>
          <w:b/>
          <w:bCs/>
          <w:sz w:val="20"/>
          <w:szCs w:val="20"/>
        </w:rPr>
        <w:t>Strategic Focus</w:t>
      </w:r>
    </w:p>
    <w:p w14:paraId="777A6EF8" w14:textId="7930C907" w:rsidR="00625AC3" w:rsidRPr="00583A17" w:rsidRDefault="001A7EAC" w:rsidP="007212B5">
      <w:pPr>
        <w:pStyle w:val="NormalWeb"/>
        <w:spacing w:before="0" w:beforeAutospacing="0" w:after="0" w:afterAutospacing="0"/>
        <w:jc w:val="both"/>
        <w:rPr>
          <w:b/>
          <w:bCs/>
          <w:sz w:val="20"/>
          <w:szCs w:val="20"/>
        </w:rPr>
      </w:pPr>
      <w:r w:rsidRPr="00583A17">
        <w:rPr>
          <w:b/>
          <w:bCs/>
          <w:sz w:val="20"/>
          <w:szCs w:val="20"/>
        </w:rPr>
        <w:t xml:space="preserve">   </w:t>
      </w:r>
    </w:p>
    <w:p w14:paraId="6F967BCE" w14:textId="47A89EBA" w:rsidR="00625AC3" w:rsidRDefault="00625AC3" w:rsidP="00583A17">
      <w:pPr>
        <w:jc w:val="both"/>
        <w:rPr>
          <w:bCs/>
          <w:color w:val="000000"/>
          <w:lang w:val="en-CA"/>
        </w:rPr>
      </w:pPr>
      <w:r w:rsidRPr="00583A17">
        <w:rPr>
          <w:bCs/>
          <w:color w:val="000000"/>
          <w:lang w:val="en-CA"/>
        </w:rPr>
        <w:t xml:space="preserve">Our focus currently is </w:t>
      </w:r>
      <w:r w:rsidR="00386E95">
        <w:rPr>
          <w:bCs/>
          <w:color w:val="000000"/>
          <w:lang w:val="en-CA"/>
        </w:rPr>
        <w:t xml:space="preserve">increasing oil and gas production </w:t>
      </w:r>
      <w:r w:rsidR="0066177E">
        <w:rPr>
          <w:bCs/>
          <w:color w:val="000000"/>
          <w:lang w:val="en-CA"/>
        </w:rPr>
        <w:t xml:space="preserve">during times of high oil and gas prices </w:t>
      </w:r>
      <w:r w:rsidR="00386E95">
        <w:rPr>
          <w:bCs/>
          <w:color w:val="000000"/>
          <w:lang w:val="en-CA"/>
        </w:rPr>
        <w:t xml:space="preserve">and in particular, </w:t>
      </w:r>
      <w:r w:rsidRPr="00583A17">
        <w:rPr>
          <w:bCs/>
          <w:color w:val="000000"/>
          <w:lang w:val="en-CA"/>
        </w:rPr>
        <w:t xml:space="preserve">our </w:t>
      </w:r>
      <w:r w:rsidR="00386E95">
        <w:rPr>
          <w:bCs/>
          <w:color w:val="000000"/>
          <w:lang w:val="en-CA"/>
        </w:rPr>
        <w:t xml:space="preserve">natural gas </w:t>
      </w:r>
      <w:r w:rsidRPr="00583A17">
        <w:rPr>
          <w:bCs/>
          <w:color w:val="000000"/>
          <w:lang w:val="en-CA"/>
        </w:rPr>
        <w:t xml:space="preserve">reserves </w:t>
      </w:r>
      <w:r w:rsidR="00386E95">
        <w:rPr>
          <w:bCs/>
          <w:color w:val="000000"/>
          <w:lang w:val="en-CA"/>
        </w:rPr>
        <w:t>at the SASB gas field in Turkey</w:t>
      </w:r>
      <w:r w:rsidRPr="00583A17">
        <w:rPr>
          <w:bCs/>
          <w:color w:val="000000"/>
          <w:lang w:val="en-CA"/>
        </w:rPr>
        <w:t xml:space="preserve">, which we expect will generate significant cash-flow and profits for the Company. Further development </w:t>
      </w:r>
      <w:r w:rsidR="0066177E">
        <w:rPr>
          <w:bCs/>
          <w:color w:val="000000"/>
          <w:lang w:val="en-CA"/>
        </w:rPr>
        <w:t xml:space="preserve">beyond the first seven wells </w:t>
      </w:r>
      <w:r w:rsidRPr="00583A17">
        <w:rPr>
          <w:bCs/>
          <w:color w:val="000000"/>
          <w:lang w:val="en-CA"/>
        </w:rPr>
        <w:t xml:space="preserve">is contingent upon </w:t>
      </w:r>
      <w:r w:rsidR="0066177E">
        <w:rPr>
          <w:bCs/>
          <w:color w:val="000000"/>
          <w:lang w:val="en-CA"/>
        </w:rPr>
        <w:t>reinvesting cashflow from earlier wells into new wells</w:t>
      </w:r>
      <w:r w:rsidRPr="00583A17">
        <w:rPr>
          <w:bCs/>
          <w:color w:val="000000"/>
          <w:lang w:val="en-CA"/>
        </w:rPr>
        <w:t xml:space="preserve">, and our plan is to further develop the fields </w:t>
      </w:r>
      <w:r w:rsidR="0066177E">
        <w:rPr>
          <w:bCs/>
          <w:color w:val="000000"/>
          <w:lang w:val="en-CA"/>
        </w:rPr>
        <w:t>as approvals and funds are on hand and as the rig schedule may allow</w:t>
      </w:r>
      <w:r w:rsidRPr="00583A17">
        <w:rPr>
          <w:bCs/>
          <w:color w:val="000000"/>
          <w:lang w:val="en-CA"/>
        </w:rPr>
        <w:t>.</w:t>
      </w:r>
      <w:r w:rsidR="00320E69">
        <w:rPr>
          <w:bCs/>
          <w:color w:val="000000"/>
          <w:lang w:val="en-CA"/>
        </w:rPr>
        <w:t xml:space="preserve"> </w:t>
      </w:r>
    </w:p>
    <w:p w14:paraId="2155518C" w14:textId="77777777" w:rsidR="00D75B7F" w:rsidRPr="00583A17" w:rsidRDefault="00D75B7F" w:rsidP="00583A17">
      <w:pPr>
        <w:jc w:val="both"/>
        <w:rPr>
          <w:bCs/>
          <w:color w:val="000000"/>
          <w:lang w:val="en-CA"/>
        </w:rPr>
      </w:pPr>
    </w:p>
    <w:p w14:paraId="617E0A71" w14:textId="2B913304" w:rsidR="001A24A7" w:rsidRDefault="007A1D68" w:rsidP="007A48F6">
      <w:pPr>
        <w:pStyle w:val="Heading1"/>
      </w:pPr>
      <w:bookmarkStart w:id="6" w:name="_Hlk524452105"/>
      <w:bookmarkStart w:id="7" w:name="_Toc103780852"/>
      <w:bookmarkStart w:id="8" w:name="_Hlk532921691"/>
      <w:bookmarkEnd w:id="4"/>
      <w:bookmarkEnd w:id="6"/>
      <w:r>
        <w:t>Overall Pe</w:t>
      </w:r>
      <w:r w:rsidR="001C2109">
        <w:t>r</w:t>
      </w:r>
      <w:r>
        <w:t>formance</w:t>
      </w:r>
      <w:bookmarkEnd w:id="7"/>
    </w:p>
    <w:p w14:paraId="2A4AFC14" w14:textId="77777777" w:rsidR="00641AEB" w:rsidRPr="00583A17" w:rsidRDefault="00641AEB" w:rsidP="00583A17">
      <w:pPr>
        <w:spacing w:after="0"/>
      </w:pPr>
    </w:p>
    <w:p w14:paraId="3EE5BEDA" w14:textId="28FBD8C2" w:rsidR="007A1D68" w:rsidRPr="00C82AA6" w:rsidRDefault="007A1D68" w:rsidP="007A1D68">
      <w:pPr>
        <w:jc w:val="both"/>
        <w:rPr>
          <w:bCs/>
          <w:color w:val="000000"/>
          <w:lang w:val="en-CA"/>
        </w:rPr>
      </w:pPr>
      <w:r w:rsidRPr="00C82AA6">
        <w:rPr>
          <w:bCs/>
          <w:color w:val="000000"/>
          <w:lang w:val="en-CA"/>
        </w:rPr>
        <w:t xml:space="preserve">The Company focused its efforts for the six months ended June 30, 2022 </w:t>
      </w:r>
      <w:r>
        <w:rPr>
          <w:bCs/>
          <w:color w:val="000000"/>
          <w:lang w:val="en-CA"/>
        </w:rPr>
        <w:t xml:space="preserve">on </w:t>
      </w:r>
      <w:r w:rsidR="00282D70">
        <w:rPr>
          <w:bCs/>
          <w:color w:val="000000"/>
          <w:lang w:val="en-CA"/>
        </w:rPr>
        <w:t xml:space="preserve">raising funds </w:t>
      </w:r>
      <w:r w:rsidRPr="00C82AA6">
        <w:rPr>
          <w:bCs/>
          <w:color w:val="000000"/>
          <w:lang w:val="en-CA"/>
        </w:rPr>
        <w:t xml:space="preserve">through the completion of </w:t>
      </w:r>
      <w:r w:rsidR="00282D70">
        <w:rPr>
          <w:bCs/>
          <w:color w:val="000000"/>
          <w:lang w:val="en-CA"/>
        </w:rPr>
        <w:t xml:space="preserve">various private placements and the closing of a prospectus, raising gross proceeds of approximate </w:t>
      </w:r>
      <w:r w:rsidR="00282D70" w:rsidRPr="00C95A74">
        <w:t>$</w:t>
      </w:r>
      <w:r w:rsidR="00282D70">
        <w:t>4</w:t>
      </w:r>
      <w:r w:rsidR="00320E69">
        <w:t>1.5</w:t>
      </w:r>
      <w:r w:rsidR="00282D70">
        <w:t xml:space="preserve">M </w:t>
      </w:r>
      <w:proofErr w:type="gramStart"/>
      <w:r w:rsidR="00282D70" w:rsidRPr="00C95A74">
        <w:t>CAD</w:t>
      </w:r>
      <w:r w:rsidR="00282D70">
        <w:t xml:space="preserve"> </w:t>
      </w:r>
      <w:r w:rsidR="00320E69">
        <w:t xml:space="preserve"> (</w:t>
      </w:r>
      <w:proofErr w:type="gramEnd"/>
      <w:r w:rsidR="00320E69">
        <w:t xml:space="preserve">gross proceeds) </w:t>
      </w:r>
      <w:r w:rsidR="00282D70">
        <w:t>(US$31M).</w:t>
      </w:r>
    </w:p>
    <w:p w14:paraId="798FB2E6" w14:textId="33ECE0F0" w:rsidR="00282D70" w:rsidRPr="007A2AF5" w:rsidRDefault="00282D70" w:rsidP="00282D70">
      <w:pPr>
        <w:jc w:val="both"/>
        <w:rPr>
          <w:color w:val="000000"/>
        </w:rPr>
      </w:pPr>
      <w:r w:rsidRPr="007A2AF5">
        <w:rPr>
          <w:color w:val="000000"/>
        </w:rPr>
        <w:t>Revenues increased</w:t>
      </w:r>
      <w:r w:rsidR="000D35EB">
        <w:rPr>
          <w:color w:val="000000"/>
        </w:rPr>
        <w:t xml:space="preserve"> </w:t>
      </w:r>
      <w:r w:rsidRPr="007A2AF5">
        <w:rPr>
          <w:color w:val="000000"/>
        </w:rPr>
        <w:t xml:space="preserve">for the </w:t>
      </w:r>
      <w:r>
        <w:rPr>
          <w:color w:val="000000"/>
        </w:rPr>
        <w:t>six</w:t>
      </w:r>
      <w:r w:rsidRPr="007A2AF5">
        <w:rPr>
          <w:color w:val="000000"/>
        </w:rPr>
        <w:t xml:space="preserve"> months ended </w:t>
      </w:r>
      <w:r>
        <w:rPr>
          <w:color w:val="000000"/>
        </w:rPr>
        <w:t>June 30</w:t>
      </w:r>
      <w:r w:rsidRPr="007A2AF5">
        <w:rPr>
          <w:color w:val="000000"/>
        </w:rPr>
        <w:t xml:space="preserve">, </w:t>
      </w:r>
      <w:proofErr w:type="gramStart"/>
      <w:r w:rsidRPr="007A2AF5">
        <w:rPr>
          <w:color w:val="000000"/>
        </w:rPr>
        <w:t>202</w:t>
      </w:r>
      <w:r w:rsidR="000D35EB">
        <w:rPr>
          <w:color w:val="000000"/>
        </w:rPr>
        <w:t>2</w:t>
      </w:r>
      <w:proofErr w:type="gramEnd"/>
      <w:r w:rsidRPr="007A2AF5">
        <w:rPr>
          <w:color w:val="000000"/>
        </w:rPr>
        <w:t xml:space="preserve"> </w:t>
      </w:r>
      <w:r w:rsidR="000D35EB">
        <w:rPr>
          <w:color w:val="000000"/>
        </w:rPr>
        <w:t>compared to the six month period ended June 30, 2021</w:t>
      </w:r>
      <w:r w:rsidRPr="007A2AF5">
        <w:rPr>
          <w:color w:val="000000"/>
        </w:rPr>
        <w:t xml:space="preserve">. The increase is primarily due to an increase in the sale price of oil and gas realized in </w:t>
      </w:r>
      <w:r>
        <w:rPr>
          <w:color w:val="000000"/>
        </w:rPr>
        <w:t>the first half of</w:t>
      </w:r>
      <w:r w:rsidRPr="007A2AF5">
        <w:rPr>
          <w:color w:val="000000"/>
        </w:rPr>
        <w:t xml:space="preserve"> 2022 compared to </w:t>
      </w:r>
      <w:r>
        <w:rPr>
          <w:color w:val="000000"/>
        </w:rPr>
        <w:t>the first half of</w:t>
      </w:r>
      <w:r w:rsidRPr="007A2AF5">
        <w:rPr>
          <w:color w:val="000000"/>
        </w:rPr>
        <w:t xml:space="preserve"> 2021</w:t>
      </w:r>
      <w:r>
        <w:rPr>
          <w:color w:val="000000"/>
        </w:rPr>
        <w:t>. This is partially offset by a decrease in sales volume for the first half of 2022 compared to the first half of 2021.</w:t>
      </w:r>
    </w:p>
    <w:p w14:paraId="1A9B1527" w14:textId="6C9F3EE5" w:rsidR="00282D70" w:rsidRPr="00C82AA6" w:rsidRDefault="00282D70" w:rsidP="007A1D68">
      <w:pPr>
        <w:jc w:val="both"/>
        <w:rPr>
          <w:bCs/>
          <w:color w:val="000000"/>
        </w:rPr>
      </w:pPr>
      <w:r>
        <w:rPr>
          <w:bCs/>
          <w:color w:val="000000"/>
        </w:rPr>
        <w:t xml:space="preserve">Net loss </w:t>
      </w:r>
      <w:r w:rsidR="000D35EB">
        <w:rPr>
          <w:bCs/>
          <w:color w:val="000000"/>
        </w:rPr>
        <w:t xml:space="preserve">significantly </w:t>
      </w:r>
      <w:r>
        <w:rPr>
          <w:bCs/>
          <w:color w:val="000000"/>
        </w:rPr>
        <w:t xml:space="preserve">decreased over the </w:t>
      </w:r>
      <w:r w:rsidR="003965DA">
        <w:rPr>
          <w:bCs/>
          <w:color w:val="000000"/>
        </w:rPr>
        <w:t xml:space="preserve">six months ended June 30, </w:t>
      </w:r>
      <w:proofErr w:type="gramStart"/>
      <w:r w:rsidR="003965DA">
        <w:rPr>
          <w:bCs/>
          <w:color w:val="000000"/>
        </w:rPr>
        <w:t>2022</w:t>
      </w:r>
      <w:proofErr w:type="gramEnd"/>
      <w:r w:rsidR="003965DA">
        <w:rPr>
          <w:bCs/>
          <w:color w:val="000000"/>
        </w:rPr>
        <w:t xml:space="preserve"> compared to the six months ended June 30, 2021 primarily due to the change in fair value of the derivative liabilities</w:t>
      </w:r>
      <w:r w:rsidR="000D35EB">
        <w:rPr>
          <w:bCs/>
          <w:color w:val="000000"/>
        </w:rPr>
        <w:t xml:space="preserve"> recognized in the two periods</w:t>
      </w:r>
      <w:r w:rsidR="003965DA">
        <w:rPr>
          <w:bCs/>
          <w:color w:val="000000"/>
        </w:rPr>
        <w:t>.</w:t>
      </w:r>
    </w:p>
    <w:p w14:paraId="1ADD81A8" w14:textId="33BC4D64" w:rsidR="007A1D68" w:rsidRDefault="003965DA" w:rsidP="001A24A7">
      <w:pPr>
        <w:rPr>
          <w:bCs/>
          <w:color w:val="000000"/>
          <w:lang w:val="en-CA"/>
        </w:rPr>
      </w:pPr>
      <w:r>
        <w:rPr>
          <w:bCs/>
          <w:color w:val="000000"/>
          <w:lang w:val="en-CA"/>
        </w:rPr>
        <w:t xml:space="preserve">The Company’s cash flow for the six months ended June 30, </w:t>
      </w:r>
      <w:proofErr w:type="gramStart"/>
      <w:r>
        <w:rPr>
          <w:bCs/>
          <w:color w:val="000000"/>
          <w:lang w:val="en-CA"/>
        </w:rPr>
        <w:t>2022</w:t>
      </w:r>
      <w:proofErr w:type="gramEnd"/>
      <w:r>
        <w:rPr>
          <w:bCs/>
          <w:color w:val="000000"/>
          <w:lang w:val="en-CA"/>
        </w:rPr>
        <w:t xml:space="preserve"> yielded a net increase of </w:t>
      </w:r>
      <w:r w:rsidR="000D35EB">
        <w:rPr>
          <w:bCs/>
          <w:color w:val="000000"/>
          <w:lang w:val="en-CA"/>
        </w:rPr>
        <w:t>$</w:t>
      </w:r>
      <w:r>
        <w:rPr>
          <w:bCs/>
          <w:color w:val="000000"/>
          <w:lang w:val="en-CA"/>
        </w:rPr>
        <w:t>22,475,529 primarily due to the cash raised from the closing of private placements and a prospectus during the period</w:t>
      </w:r>
      <w:r w:rsidR="00320E69">
        <w:rPr>
          <w:bCs/>
          <w:color w:val="000000"/>
          <w:lang w:val="en-CA"/>
        </w:rPr>
        <w:t>, but which was partially used to pay for upfront costs to the drilling program</w:t>
      </w:r>
      <w:r>
        <w:rPr>
          <w:bCs/>
          <w:color w:val="000000"/>
          <w:lang w:val="en-CA"/>
        </w:rPr>
        <w:t xml:space="preserve">. During the six months ended June 30, 2021, </w:t>
      </w:r>
      <w:r w:rsidR="000D35EB">
        <w:rPr>
          <w:bCs/>
          <w:color w:val="000000"/>
          <w:lang w:val="en-CA"/>
        </w:rPr>
        <w:t xml:space="preserve">the Company yielded </w:t>
      </w:r>
      <w:r>
        <w:rPr>
          <w:bCs/>
          <w:color w:val="000000"/>
          <w:lang w:val="en-CA"/>
        </w:rPr>
        <w:t xml:space="preserve">a net increase of </w:t>
      </w:r>
      <w:r w:rsidR="00320E69">
        <w:rPr>
          <w:bCs/>
          <w:color w:val="000000"/>
          <w:lang w:val="en-CA"/>
        </w:rPr>
        <w:t xml:space="preserve">cash for </w:t>
      </w:r>
      <w:r w:rsidR="000D35EB">
        <w:rPr>
          <w:bCs/>
          <w:color w:val="000000"/>
          <w:lang w:val="en-CA"/>
        </w:rPr>
        <w:t>$880,566</w:t>
      </w:r>
      <w:r w:rsidR="00320E69">
        <w:rPr>
          <w:bCs/>
          <w:color w:val="000000"/>
          <w:lang w:val="en-CA"/>
        </w:rPr>
        <w:t>,</w:t>
      </w:r>
      <w:r w:rsidR="000D35EB">
        <w:rPr>
          <w:bCs/>
          <w:color w:val="000000"/>
          <w:lang w:val="en-CA"/>
        </w:rPr>
        <w:t xml:space="preserve"> primarily from proceeds received on the exercise of warrants, options, and loan proceeds received.</w:t>
      </w:r>
    </w:p>
    <w:p w14:paraId="493E597D" w14:textId="0942A2F2" w:rsidR="000D35EB" w:rsidRPr="00C82AA6" w:rsidRDefault="000D35EB" w:rsidP="001A24A7">
      <w:pPr>
        <w:rPr>
          <w:bCs/>
          <w:color w:val="000000"/>
          <w:lang w:val="en-CA"/>
        </w:rPr>
      </w:pPr>
      <w:r>
        <w:rPr>
          <w:bCs/>
          <w:color w:val="000000"/>
          <w:lang w:val="en-CA"/>
        </w:rPr>
        <w:lastRenderedPageBreak/>
        <w:t>The Company’s total assets increased primarily as a result increases in cash from the closing of the various financings completed in the period, coupled with advance payments made for drilling work to be completed in the second half of 2022.</w:t>
      </w:r>
    </w:p>
    <w:p w14:paraId="71673A2F" w14:textId="7CC48C72" w:rsidR="001A24A7" w:rsidRPr="00583A17" w:rsidRDefault="001A24A7" w:rsidP="001A24A7">
      <w:pPr>
        <w:rPr>
          <w:rFonts w:eastAsiaTheme="minorHAnsi"/>
          <w:lang w:val="en-CA"/>
        </w:rPr>
      </w:pPr>
      <w:r w:rsidRPr="00583A17">
        <w:rPr>
          <w:rFonts w:eastAsiaTheme="minorHAnsi"/>
          <w:lang w:val="en-CA"/>
        </w:rPr>
        <w:t xml:space="preserve">The following table sets forth selected </w:t>
      </w:r>
      <w:r w:rsidR="00DB51D6">
        <w:rPr>
          <w:rFonts w:eastAsiaTheme="minorHAnsi"/>
          <w:lang w:val="en-CA"/>
        </w:rPr>
        <w:t xml:space="preserve">interim </w:t>
      </w:r>
      <w:r w:rsidRPr="00583A17">
        <w:rPr>
          <w:rFonts w:eastAsiaTheme="minorHAnsi"/>
          <w:lang w:val="en-CA"/>
        </w:rPr>
        <w:t xml:space="preserve">financial information for the Company for the </w:t>
      </w:r>
      <w:proofErr w:type="gramStart"/>
      <w:r w:rsidR="00566302">
        <w:rPr>
          <w:rFonts w:eastAsiaTheme="minorHAnsi"/>
          <w:lang w:val="en-CA"/>
        </w:rPr>
        <w:t>three and six month</w:t>
      </w:r>
      <w:proofErr w:type="gramEnd"/>
      <w:r w:rsidR="00566302">
        <w:rPr>
          <w:rFonts w:eastAsiaTheme="minorHAnsi"/>
          <w:lang w:val="en-CA"/>
        </w:rPr>
        <w:t xml:space="preserve"> </w:t>
      </w:r>
      <w:r w:rsidR="00DB51D6">
        <w:rPr>
          <w:rFonts w:eastAsiaTheme="minorHAnsi"/>
          <w:lang w:val="en-CA"/>
        </w:rPr>
        <w:t>periods</w:t>
      </w:r>
      <w:r w:rsidRPr="00583A17">
        <w:rPr>
          <w:rFonts w:eastAsiaTheme="minorHAnsi"/>
          <w:lang w:val="en-CA"/>
        </w:rPr>
        <w:t xml:space="preserve"> ended </w:t>
      </w:r>
      <w:r w:rsidR="006556C4">
        <w:rPr>
          <w:rFonts w:eastAsiaTheme="minorHAnsi"/>
          <w:lang w:val="en-CA"/>
        </w:rPr>
        <w:t>June 30</w:t>
      </w:r>
      <w:r w:rsidRPr="00583A17">
        <w:rPr>
          <w:rFonts w:eastAsiaTheme="minorHAnsi"/>
          <w:lang w:val="en-CA"/>
        </w:rPr>
        <w:t>, 202</w:t>
      </w:r>
      <w:r w:rsidR="00DB51D6">
        <w:rPr>
          <w:rFonts w:eastAsiaTheme="minorHAnsi"/>
          <w:lang w:val="en-CA"/>
        </w:rPr>
        <w:t xml:space="preserve">2 and 2021 </w:t>
      </w:r>
      <w:r w:rsidRPr="00583A17">
        <w:rPr>
          <w:rFonts w:eastAsiaTheme="minorHAnsi"/>
          <w:lang w:val="en-CA"/>
        </w:rPr>
        <w:t xml:space="preserve">and should be read in conjunction with the Company’s </w:t>
      </w:r>
      <w:r w:rsidR="00254DBB" w:rsidRPr="00583A17">
        <w:rPr>
          <w:rFonts w:eastAsiaTheme="minorHAnsi"/>
          <w:lang w:val="en-CA"/>
        </w:rPr>
        <w:t xml:space="preserve">consolidated </w:t>
      </w:r>
      <w:r w:rsidRPr="00583A17">
        <w:rPr>
          <w:rFonts w:eastAsiaTheme="minorHAnsi"/>
          <w:lang w:val="en-CA"/>
        </w:rPr>
        <w:t>financial statements and related notes thereto for such periods.</w:t>
      </w:r>
    </w:p>
    <w:p w14:paraId="203010C4" w14:textId="71451FC4" w:rsidR="001A24A7" w:rsidRDefault="001A24A7" w:rsidP="00C95A74">
      <w:pPr>
        <w:jc w:val="both"/>
        <w:rPr>
          <w:rFonts w:eastAsiaTheme="minorHAnsi"/>
          <w:lang w:val="en-CA"/>
        </w:rPr>
      </w:pPr>
      <w:r w:rsidRPr="00583A17">
        <w:rPr>
          <w:rFonts w:eastAsiaTheme="minorHAnsi"/>
          <w:lang w:val="en-CA"/>
        </w:rPr>
        <w:t xml:space="preserve">The </w:t>
      </w:r>
      <w:r w:rsidR="00F12A4C">
        <w:rPr>
          <w:rFonts w:eastAsiaTheme="minorHAnsi"/>
          <w:lang w:val="en-CA"/>
        </w:rPr>
        <w:t xml:space="preserve">condensed </w:t>
      </w:r>
      <w:r w:rsidR="005037D8">
        <w:rPr>
          <w:rFonts w:eastAsiaTheme="minorHAnsi"/>
          <w:lang w:val="en-CA"/>
        </w:rPr>
        <w:t>consolidated interim</w:t>
      </w:r>
      <w:r w:rsidR="005037D8" w:rsidRPr="00583A17">
        <w:rPr>
          <w:rFonts w:eastAsiaTheme="minorHAnsi"/>
          <w:lang w:val="en-CA"/>
        </w:rPr>
        <w:t xml:space="preserve"> </w:t>
      </w:r>
      <w:r w:rsidRPr="00583A17">
        <w:rPr>
          <w:rFonts w:eastAsiaTheme="minorHAnsi"/>
          <w:lang w:val="en-CA"/>
        </w:rPr>
        <w:t xml:space="preserve">financial statements of the Company have been prepared in accordance with </w:t>
      </w:r>
      <w:r w:rsidR="005037D8">
        <w:rPr>
          <w:rFonts w:eastAsiaTheme="minorHAnsi"/>
          <w:lang w:val="en-CA"/>
        </w:rPr>
        <w:t xml:space="preserve">International Financial Reporting Standards (“IFRS”) </w:t>
      </w:r>
      <w:r w:rsidR="005037D8" w:rsidRPr="00583A17">
        <w:rPr>
          <w:rFonts w:eastAsiaTheme="minorHAnsi"/>
          <w:lang w:val="en-CA"/>
        </w:rPr>
        <w:t>and</w:t>
      </w:r>
      <w:r w:rsidRPr="00583A17">
        <w:rPr>
          <w:rFonts w:eastAsiaTheme="minorHAnsi"/>
          <w:lang w:val="en-CA"/>
        </w:rPr>
        <w:t xml:space="preserve"> are expressed in </w:t>
      </w:r>
      <w:r w:rsidR="00254DBB" w:rsidRPr="00583A17">
        <w:rPr>
          <w:rFonts w:eastAsiaTheme="minorHAnsi"/>
          <w:lang w:val="en-CA"/>
        </w:rPr>
        <w:t>United States</w:t>
      </w:r>
      <w:r w:rsidRPr="00583A17">
        <w:rPr>
          <w:rFonts w:eastAsiaTheme="minorHAnsi"/>
          <w:lang w:val="en-CA"/>
        </w:rPr>
        <w:t xml:space="preserve"> dollars.</w:t>
      </w:r>
      <w:r w:rsidR="005037D8">
        <w:rPr>
          <w:rFonts w:eastAsiaTheme="minorHAnsi"/>
          <w:lang w:val="en-CA"/>
        </w:rPr>
        <w:t xml:space="preserve"> The </w:t>
      </w:r>
      <w:r w:rsidR="00F12A4C">
        <w:rPr>
          <w:rFonts w:eastAsiaTheme="minorHAnsi"/>
          <w:lang w:val="en-CA"/>
        </w:rPr>
        <w:t xml:space="preserve">condensed </w:t>
      </w:r>
      <w:r w:rsidR="005037D8">
        <w:rPr>
          <w:rFonts w:eastAsiaTheme="minorHAnsi"/>
          <w:lang w:val="en-CA"/>
        </w:rPr>
        <w:t xml:space="preserve">consolidated interim financial statements for the </w:t>
      </w:r>
      <w:r w:rsidR="006556C4">
        <w:rPr>
          <w:rFonts w:eastAsiaTheme="minorHAnsi"/>
          <w:lang w:val="en-CA"/>
        </w:rPr>
        <w:t xml:space="preserve">six </w:t>
      </w:r>
      <w:r w:rsidR="005037D8">
        <w:rPr>
          <w:rFonts w:eastAsiaTheme="minorHAnsi"/>
          <w:lang w:val="en-CA"/>
        </w:rPr>
        <w:t xml:space="preserve">months ended </w:t>
      </w:r>
      <w:r w:rsidR="006556C4">
        <w:rPr>
          <w:rFonts w:eastAsiaTheme="minorHAnsi"/>
          <w:lang w:val="en-CA"/>
        </w:rPr>
        <w:t>June 30</w:t>
      </w:r>
      <w:r w:rsidR="005037D8">
        <w:rPr>
          <w:rFonts w:eastAsiaTheme="minorHAnsi"/>
          <w:lang w:val="en-CA"/>
        </w:rPr>
        <w:t xml:space="preserve">, 2022 are the first that the Company has prepared in accordance with IFRS (see Note </w:t>
      </w:r>
      <w:proofErr w:type="gramStart"/>
      <w:r w:rsidR="005037D8">
        <w:rPr>
          <w:rFonts w:eastAsiaTheme="minorHAnsi"/>
          <w:lang w:val="en-CA"/>
        </w:rPr>
        <w:t>2</w:t>
      </w:r>
      <w:r w:rsidR="00334645">
        <w:rPr>
          <w:rFonts w:eastAsiaTheme="minorHAnsi"/>
          <w:lang w:val="en-CA"/>
        </w:rPr>
        <w:t xml:space="preserve"> </w:t>
      </w:r>
      <w:r w:rsidR="005037D8">
        <w:rPr>
          <w:rFonts w:eastAsiaTheme="minorHAnsi"/>
          <w:lang w:val="en-CA"/>
        </w:rPr>
        <w:t xml:space="preserve"> for</w:t>
      </w:r>
      <w:proofErr w:type="gramEnd"/>
      <w:r w:rsidR="005037D8">
        <w:rPr>
          <w:rFonts w:eastAsiaTheme="minorHAnsi"/>
          <w:lang w:val="en-CA"/>
        </w:rPr>
        <w:t xml:space="preserve"> details on First-Time Adoption of IFRS</w:t>
      </w:r>
      <w:r w:rsidR="00181CFC">
        <w:rPr>
          <w:rFonts w:eastAsiaTheme="minorHAnsi"/>
          <w:lang w:val="en-CA"/>
        </w:rPr>
        <w:t xml:space="preserve"> in the </w:t>
      </w:r>
      <w:r w:rsidR="0046434E">
        <w:rPr>
          <w:rFonts w:eastAsiaTheme="minorHAnsi"/>
          <w:lang w:val="en-CA"/>
        </w:rPr>
        <w:t>consolidated interim financial statements</w:t>
      </w:r>
      <w:r w:rsidR="005037D8">
        <w:rPr>
          <w:rFonts w:eastAsiaTheme="minorHAnsi"/>
          <w:lang w:val="en-CA"/>
        </w:rPr>
        <w:t>)</w:t>
      </w:r>
      <w:r w:rsidR="00E113BE">
        <w:rPr>
          <w:rFonts w:eastAsiaTheme="minorHAnsi"/>
          <w:lang w:val="en-CA"/>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1795"/>
        <w:gridCol w:w="2102"/>
      </w:tblGrid>
      <w:tr w:rsidR="00E11AA7" w14:paraId="76591A96" w14:textId="77777777" w:rsidTr="00141C56">
        <w:trPr>
          <w:trHeight w:val="288"/>
        </w:trPr>
        <w:tc>
          <w:tcPr>
            <w:tcW w:w="4320" w:type="dxa"/>
            <w:tcBorders>
              <w:top w:val="single" w:sz="4" w:space="0" w:color="auto"/>
            </w:tcBorders>
            <w:shd w:val="clear" w:color="auto" w:fill="D9D9D9" w:themeFill="background1" w:themeFillShade="D9"/>
            <w:vAlign w:val="bottom"/>
          </w:tcPr>
          <w:p w14:paraId="151D1D0A" w14:textId="77777777" w:rsidR="00E11AA7" w:rsidRPr="007B2F25" w:rsidRDefault="00E11AA7" w:rsidP="001B46D2">
            <w:pPr>
              <w:pStyle w:val="Headingext1"/>
              <w:spacing w:before="60"/>
              <w:rPr>
                <w:rFonts w:ascii="Calibri" w:eastAsia="MS Mincho" w:hAnsi="Calibri" w:cs="Calibri"/>
                <w:b/>
                <w:bCs/>
                <w:sz w:val="20"/>
                <w:szCs w:val="20"/>
                <w:lang w:eastAsia="ja-JP"/>
              </w:rPr>
            </w:pPr>
          </w:p>
        </w:tc>
        <w:tc>
          <w:tcPr>
            <w:tcW w:w="3897" w:type="dxa"/>
            <w:gridSpan w:val="2"/>
            <w:shd w:val="clear" w:color="auto" w:fill="D9D9D9" w:themeFill="background1" w:themeFillShade="D9"/>
          </w:tcPr>
          <w:p w14:paraId="3F107B5B" w14:textId="5D5C0D18" w:rsidR="00E11AA7" w:rsidRDefault="00E11AA7"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 xml:space="preserve">For the </w:t>
            </w:r>
            <w:r w:rsidR="006556C4">
              <w:rPr>
                <w:rFonts w:ascii="Calibri" w:eastAsia="MS Mincho" w:hAnsi="Calibri" w:cs="Calibri"/>
                <w:b/>
                <w:sz w:val="20"/>
                <w:szCs w:val="20"/>
                <w:lang w:eastAsia="ja-JP"/>
              </w:rPr>
              <w:t>six</w:t>
            </w:r>
            <w:r>
              <w:rPr>
                <w:rFonts w:ascii="Calibri" w:eastAsia="MS Mincho" w:hAnsi="Calibri" w:cs="Calibri"/>
                <w:b/>
                <w:sz w:val="20"/>
                <w:szCs w:val="20"/>
                <w:lang w:eastAsia="ja-JP"/>
              </w:rPr>
              <w:t xml:space="preserve"> months ended </w:t>
            </w:r>
            <w:r w:rsidR="006556C4">
              <w:rPr>
                <w:rFonts w:ascii="Calibri" w:eastAsia="MS Mincho" w:hAnsi="Calibri" w:cs="Calibri"/>
                <w:b/>
                <w:sz w:val="20"/>
                <w:szCs w:val="20"/>
                <w:lang w:eastAsia="ja-JP"/>
              </w:rPr>
              <w:t>June 30</w:t>
            </w:r>
          </w:p>
        </w:tc>
      </w:tr>
      <w:tr w:rsidR="00E11AA7" w14:paraId="5FCADBF6" w14:textId="1083C609" w:rsidTr="00141C56">
        <w:trPr>
          <w:trHeight w:val="288"/>
        </w:trPr>
        <w:tc>
          <w:tcPr>
            <w:tcW w:w="4320" w:type="dxa"/>
            <w:tcBorders>
              <w:top w:val="nil"/>
            </w:tcBorders>
            <w:shd w:val="clear" w:color="auto" w:fill="D9D9D9" w:themeFill="background1" w:themeFillShade="D9"/>
            <w:vAlign w:val="bottom"/>
          </w:tcPr>
          <w:p w14:paraId="62C1D6AC" w14:textId="138ADD9F" w:rsidR="00E11AA7" w:rsidRPr="007B2F25" w:rsidRDefault="00E11AA7" w:rsidP="001B46D2">
            <w:pPr>
              <w:pStyle w:val="Headingext1"/>
              <w:spacing w:before="60"/>
              <w:rPr>
                <w:rFonts w:ascii="Calibri" w:eastAsia="MS Mincho" w:hAnsi="Calibri" w:cs="Calibri"/>
                <w:b/>
                <w:bCs/>
                <w:sz w:val="20"/>
                <w:szCs w:val="20"/>
                <w:lang w:eastAsia="ja-JP"/>
              </w:rPr>
            </w:pPr>
          </w:p>
        </w:tc>
        <w:tc>
          <w:tcPr>
            <w:tcW w:w="1795" w:type="dxa"/>
            <w:shd w:val="clear" w:color="auto" w:fill="D9D9D9" w:themeFill="background1" w:themeFillShade="D9"/>
          </w:tcPr>
          <w:p w14:paraId="41557BD8" w14:textId="5051EF21" w:rsidR="00E11AA7" w:rsidRDefault="00E11AA7"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2022</w:t>
            </w:r>
            <w:r w:rsidRPr="008C29BE">
              <w:rPr>
                <w:rFonts w:ascii="Calibri" w:eastAsia="MS Mincho" w:hAnsi="Calibri" w:cs="Calibri"/>
                <w:b/>
                <w:sz w:val="20"/>
                <w:szCs w:val="20"/>
                <w:lang w:eastAsia="ja-JP"/>
              </w:rPr>
              <w:br/>
              <w:t>($)</w:t>
            </w:r>
          </w:p>
        </w:tc>
        <w:tc>
          <w:tcPr>
            <w:tcW w:w="2102" w:type="dxa"/>
            <w:shd w:val="clear" w:color="auto" w:fill="D9D9D9" w:themeFill="background1" w:themeFillShade="D9"/>
            <w:vAlign w:val="bottom"/>
          </w:tcPr>
          <w:p w14:paraId="077CF4E0" w14:textId="75982526" w:rsidR="00E11AA7" w:rsidRDefault="00E11AA7"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2021</w:t>
            </w:r>
            <w:r w:rsidRPr="008C29BE">
              <w:rPr>
                <w:rFonts w:ascii="Calibri" w:eastAsia="MS Mincho" w:hAnsi="Calibri" w:cs="Calibri"/>
                <w:b/>
                <w:sz w:val="20"/>
                <w:szCs w:val="20"/>
                <w:lang w:eastAsia="ja-JP"/>
              </w:rPr>
              <w:br/>
              <w:t>($)</w:t>
            </w:r>
          </w:p>
        </w:tc>
      </w:tr>
      <w:tr w:rsidR="00E11AA7" w14:paraId="7CDB6B34" w14:textId="026AC3A3" w:rsidTr="00C95A74">
        <w:trPr>
          <w:trHeight w:val="144"/>
        </w:trPr>
        <w:tc>
          <w:tcPr>
            <w:tcW w:w="4320" w:type="dxa"/>
          </w:tcPr>
          <w:p w14:paraId="04655B1D" w14:textId="77777777" w:rsidR="00E11AA7" w:rsidRPr="007627E0" w:rsidRDefault="00E11AA7"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Total revenue</w:t>
            </w:r>
          </w:p>
        </w:tc>
        <w:tc>
          <w:tcPr>
            <w:tcW w:w="1795" w:type="dxa"/>
            <w:shd w:val="clear" w:color="auto" w:fill="auto"/>
          </w:tcPr>
          <w:p w14:paraId="3F652CD8" w14:textId="2F6F4BA1" w:rsidR="00E11AA7" w:rsidRPr="00C95A74" w:rsidRDefault="006556C4" w:rsidP="00C95A74">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2,511,598</w:t>
            </w:r>
          </w:p>
        </w:tc>
        <w:tc>
          <w:tcPr>
            <w:tcW w:w="2102" w:type="dxa"/>
            <w:vAlign w:val="bottom"/>
          </w:tcPr>
          <w:p w14:paraId="277634FC" w14:textId="5BB52745" w:rsidR="00E11AA7" w:rsidRDefault="006556C4" w:rsidP="005602D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1,957,817</w:t>
            </w:r>
          </w:p>
        </w:tc>
      </w:tr>
      <w:tr w:rsidR="00E11AA7" w14:paraId="390B9415" w14:textId="2E847A9B" w:rsidTr="00C95A74">
        <w:trPr>
          <w:trHeight w:val="144"/>
        </w:trPr>
        <w:tc>
          <w:tcPr>
            <w:tcW w:w="4320" w:type="dxa"/>
          </w:tcPr>
          <w:p w14:paraId="08ACAAEC" w14:textId="77777777" w:rsidR="00E11AA7" w:rsidRPr="007627E0" w:rsidRDefault="00E11AA7"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Net loss attributable to the Company</w:t>
            </w:r>
          </w:p>
        </w:tc>
        <w:tc>
          <w:tcPr>
            <w:tcW w:w="1795" w:type="dxa"/>
            <w:shd w:val="clear" w:color="auto" w:fill="auto"/>
          </w:tcPr>
          <w:p w14:paraId="6325CB1E" w14:textId="4FB05C5B" w:rsidR="00E11AA7" w:rsidRPr="00C95A74" w:rsidRDefault="003E288B" w:rsidP="00C95A74">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w:t>
            </w:r>
            <w:r w:rsidR="00A74798">
              <w:rPr>
                <w:rFonts w:ascii="Calibri" w:eastAsia="MS Mincho" w:hAnsi="Calibri" w:cs="Calibri"/>
                <w:sz w:val="20"/>
                <w:szCs w:val="20"/>
                <w:lang w:eastAsia="ja-JP"/>
              </w:rPr>
              <w:t>1,88</w:t>
            </w:r>
            <w:r w:rsidR="00F93627">
              <w:rPr>
                <w:rFonts w:ascii="Calibri" w:eastAsia="MS Mincho" w:hAnsi="Calibri" w:cs="Calibri"/>
                <w:sz w:val="20"/>
                <w:szCs w:val="20"/>
                <w:lang w:eastAsia="ja-JP"/>
              </w:rPr>
              <w:t>4</w:t>
            </w:r>
            <w:r w:rsidR="006556C4">
              <w:rPr>
                <w:rFonts w:ascii="Calibri" w:eastAsia="MS Mincho" w:hAnsi="Calibri" w:cs="Calibri"/>
                <w:sz w:val="20"/>
                <w:szCs w:val="20"/>
                <w:lang w:eastAsia="ja-JP"/>
              </w:rPr>
              <w:t>,</w:t>
            </w:r>
            <w:r w:rsidR="00F93627">
              <w:rPr>
                <w:rFonts w:ascii="Calibri" w:eastAsia="MS Mincho" w:hAnsi="Calibri" w:cs="Calibri"/>
                <w:sz w:val="20"/>
                <w:szCs w:val="20"/>
                <w:lang w:eastAsia="ja-JP"/>
              </w:rPr>
              <w:t>929</w:t>
            </w:r>
            <w:r w:rsidRPr="00C95A74">
              <w:rPr>
                <w:rFonts w:ascii="Calibri" w:eastAsia="MS Mincho" w:hAnsi="Calibri" w:cs="Calibri"/>
                <w:sz w:val="20"/>
                <w:szCs w:val="20"/>
                <w:lang w:eastAsia="ja-JP"/>
              </w:rPr>
              <w:t>)</w:t>
            </w:r>
          </w:p>
        </w:tc>
        <w:tc>
          <w:tcPr>
            <w:tcW w:w="2102" w:type="dxa"/>
            <w:vAlign w:val="bottom"/>
          </w:tcPr>
          <w:p w14:paraId="3BEE1E42" w14:textId="7D0EBB51" w:rsidR="00E11AA7" w:rsidRDefault="00B24280" w:rsidP="005602D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w:t>
            </w:r>
            <w:r w:rsidR="006556C4">
              <w:rPr>
                <w:rFonts w:ascii="Calibri" w:eastAsia="MS Mincho" w:hAnsi="Calibri" w:cs="Calibri"/>
                <w:sz w:val="20"/>
                <w:szCs w:val="20"/>
                <w:lang w:eastAsia="ja-JP"/>
              </w:rPr>
              <w:t>7,442,627</w:t>
            </w:r>
            <w:r>
              <w:rPr>
                <w:rFonts w:ascii="Calibri" w:eastAsia="MS Mincho" w:hAnsi="Calibri" w:cs="Calibri"/>
                <w:sz w:val="20"/>
                <w:szCs w:val="20"/>
                <w:lang w:eastAsia="ja-JP"/>
              </w:rPr>
              <w:t>)</w:t>
            </w:r>
          </w:p>
        </w:tc>
      </w:tr>
      <w:tr w:rsidR="00E11AA7" w14:paraId="6C6D77D6" w14:textId="2BCE5664" w:rsidTr="00C95A74">
        <w:trPr>
          <w:trHeight w:val="144"/>
        </w:trPr>
        <w:tc>
          <w:tcPr>
            <w:tcW w:w="4320" w:type="dxa"/>
            <w:tcBorders>
              <w:bottom w:val="single" w:sz="4" w:space="0" w:color="auto"/>
            </w:tcBorders>
          </w:tcPr>
          <w:p w14:paraId="0C3CB5C2" w14:textId="77777777" w:rsidR="00E11AA7" w:rsidRPr="007627E0" w:rsidRDefault="00E11AA7"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Net loss per share (basic and diluted)</w:t>
            </w:r>
          </w:p>
        </w:tc>
        <w:tc>
          <w:tcPr>
            <w:tcW w:w="1795" w:type="dxa"/>
            <w:tcBorders>
              <w:bottom w:val="single" w:sz="4" w:space="0" w:color="auto"/>
            </w:tcBorders>
            <w:shd w:val="clear" w:color="auto" w:fill="auto"/>
          </w:tcPr>
          <w:p w14:paraId="10159BEF" w14:textId="7EF5CD64" w:rsidR="00E11AA7" w:rsidRPr="00C95A74" w:rsidRDefault="00515D32" w:rsidP="00C95A74">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(0.01)</w:t>
            </w:r>
          </w:p>
        </w:tc>
        <w:tc>
          <w:tcPr>
            <w:tcW w:w="2102" w:type="dxa"/>
            <w:tcBorders>
              <w:bottom w:val="single" w:sz="4" w:space="0" w:color="auto"/>
            </w:tcBorders>
            <w:vAlign w:val="bottom"/>
          </w:tcPr>
          <w:p w14:paraId="280BEC1A" w14:textId="352B3485" w:rsidR="00E11AA7" w:rsidRPr="00F86969" w:rsidRDefault="00B24280" w:rsidP="005602D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(0.07)</w:t>
            </w:r>
          </w:p>
        </w:tc>
      </w:tr>
      <w:tr w:rsidR="00E11AA7" w14:paraId="4EEA8BBD" w14:textId="77777777" w:rsidTr="00141C56">
        <w:trPr>
          <w:trHeight w:val="144"/>
        </w:trPr>
        <w:tc>
          <w:tcPr>
            <w:tcW w:w="4320" w:type="dxa"/>
            <w:tcBorders>
              <w:top w:val="single" w:sz="4" w:space="0" w:color="auto"/>
              <w:left w:val="nil"/>
              <w:bottom w:val="single" w:sz="4" w:space="0" w:color="auto"/>
              <w:right w:val="nil"/>
            </w:tcBorders>
          </w:tcPr>
          <w:p w14:paraId="2D018791" w14:textId="77777777" w:rsidR="00E11AA7" w:rsidRDefault="00E11AA7" w:rsidP="001B46D2">
            <w:pPr>
              <w:pStyle w:val="Headingext1"/>
              <w:spacing w:before="60"/>
              <w:rPr>
                <w:rFonts w:ascii="Calibri" w:eastAsia="MS Mincho" w:hAnsi="Calibri" w:cs="Calibri"/>
                <w:sz w:val="20"/>
                <w:szCs w:val="20"/>
                <w:lang w:eastAsia="ja-JP"/>
              </w:rPr>
            </w:pPr>
          </w:p>
        </w:tc>
        <w:tc>
          <w:tcPr>
            <w:tcW w:w="1795" w:type="dxa"/>
            <w:tcBorders>
              <w:top w:val="single" w:sz="4" w:space="0" w:color="auto"/>
              <w:left w:val="nil"/>
              <w:bottom w:val="single" w:sz="4" w:space="0" w:color="auto"/>
              <w:right w:val="nil"/>
            </w:tcBorders>
          </w:tcPr>
          <w:p w14:paraId="2EBA88D0" w14:textId="77777777" w:rsidR="00E11AA7" w:rsidRDefault="00E11AA7" w:rsidP="001B46D2">
            <w:pPr>
              <w:pStyle w:val="Headingext1"/>
              <w:spacing w:before="60"/>
              <w:jc w:val="center"/>
              <w:rPr>
                <w:rFonts w:ascii="Calibri" w:eastAsia="MS Mincho" w:hAnsi="Calibri" w:cs="Calibri"/>
                <w:sz w:val="20"/>
                <w:szCs w:val="20"/>
                <w:lang w:eastAsia="ja-JP"/>
              </w:rPr>
            </w:pPr>
          </w:p>
        </w:tc>
        <w:tc>
          <w:tcPr>
            <w:tcW w:w="2102" w:type="dxa"/>
            <w:tcBorders>
              <w:top w:val="single" w:sz="4" w:space="0" w:color="auto"/>
              <w:left w:val="nil"/>
              <w:bottom w:val="single" w:sz="4" w:space="0" w:color="auto"/>
              <w:right w:val="nil"/>
            </w:tcBorders>
            <w:vAlign w:val="bottom"/>
          </w:tcPr>
          <w:p w14:paraId="451F63D0" w14:textId="77777777" w:rsidR="00E11AA7" w:rsidRPr="00F86969" w:rsidRDefault="00E11AA7" w:rsidP="001B46D2">
            <w:pPr>
              <w:pStyle w:val="Headingext1"/>
              <w:spacing w:before="60"/>
              <w:jc w:val="center"/>
              <w:rPr>
                <w:rFonts w:ascii="Calibri" w:eastAsia="MS Mincho" w:hAnsi="Calibri" w:cs="Calibri"/>
                <w:sz w:val="20"/>
                <w:szCs w:val="20"/>
                <w:lang w:eastAsia="ja-JP"/>
              </w:rPr>
            </w:pPr>
          </w:p>
        </w:tc>
      </w:tr>
      <w:tr w:rsidR="00700134" w14:paraId="433D540F" w14:textId="77777777" w:rsidTr="001B46D2">
        <w:trPr>
          <w:trHeight w:val="288"/>
        </w:trPr>
        <w:tc>
          <w:tcPr>
            <w:tcW w:w="4320" w:type="dxa"/>
            <w:tcBorders>
              <w:top w:val="single" w:sz="4" w:space="0" w:color="auto"/>
            </w:tcBorders>
            <w:shd w:val="clear" w:color="auto" w:fill="D9D9D9" w:themeFill="background1" w:themeFillShade="D9"/>
            <w:vAlign w:val="bottom"/>
          </w:tcPr>
          <w:p w14:paraId="2CF8B1DD" w14:textId="77777777" w:rsidR="00700134" w:rsidRPr="007B2F25" w:rsidRDefault="00700134" w:rsidP="001B46D2">
            <w:pPr>
              <w:pStyle w:val="Headingext1"/>
              <w:spacing w:before="60"/>
              <w:rPr>
                <w:rFonts w:ascii="Calibri" w:eastAsia="MS Mincho" w:hAnsi="Calibri" w:cs="Calibri"/>
                <w:b/>
                <w:bCs/>
                <w:sz w:val="20"/>
                <w:szCs w:val="20"/>
                <w:lang w:eastAsia="ja-JP"/>
              </w:rPr>
            </w:pPr>
          </w:p>
        </w:tc>
        <w:tc>
          <w:tcPr>
            <w:tcW w:w="3897" w:type="dxa"/>
            <w:gridSpan w:val="2"/>
            <w:shd w:val="clear" w:color="auto" w:fill="D9D9D9" w:themeFill="background1" w:themeFillShade="D9"/>
          </w:tcPr>
          <w:p w14:paraId="5BCC2F3E" w14:textId="38C92A73" w:rsidR="00700134" w:rsidRDefault="00700134"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For the three months ended June 30</w:t>
            </w:r>
          </w:p>
        </w:tc>
      </w:tr>
      <w:tr w:rsidR="00700134" w14:paraId="63572306" w14:textId="77777777" w:rsidTr="001B46D2">
        <w:trPr>
          <w:trHeight w:val="288"/>
        </w:trPr>
        <w:tc>
          <w:tcPr>
            <w:tcW w:w="4320" w:type="dxa"/>
            <w:tcBorders>
              <w:top w:val="nil"/>
            </w:tcBorders>
            <w:shd w:val="clear" w:color="auto" w:fill="D9D9D9" w:themeFill="background1" w:themeFillShade="D9"/>
            <w:vAlign w:val="bottom"/>
          </w:tcPr>
          <w:p w14:paraId="22CEAAED" w14:textId="77777777" w:rsidR="00700134" w:rsidRPr="007B2F25" w:rsidRDefault="00700134" w:rsidP="001B46D2">
            <w:pPr>
              <w:pStyle w:val="Headingext1"/>
              <w:spacing w:before="60"/>
              <w:rPr>
                <w:rFonts w:ascii="Calibri" w:eastAsia="MS Mincho" w:hAnsi="Calibri" w:cs="Calibri"/>
                <w:b/>
                <w:bCs/>
                <w:sz w:val="20"/>
                <w:szCs w:val="20"/>
                <w:lang w:eastAsia="ja-JP"/>
              </w:rPr>
            </w:pPr>
          </w:p>
        </w:tc>
        <w:tc>
          <w:tcPr>
            <w:tcW w:w="1795" w:type="dxa"/>
            <w:shd w:val="clear" w:color="auto" w:fill="D9D9D9" w:themeFill="background1" w:themeFillShade="D9"/>
          </w:tcPr>
          <w:p w14:paraId="6D801A04" w14:textId="77777777" w:rsidR="00700134" w:rsidRDefault="00700134"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2022</w:t>
            </w:r>
            <w:r w:rsidRPr="008C29BE">
              <w:rPr>
                <w:rFonts w:ascii="Calibri" w:eastAsia="MS Mincho" w:hAnsi="Calibri" w:cs="Calibri"/>
                <w:b/>
                <w:sz w:val="20"/>
                <w:szCs w:val="20"/>
                <w:lang w:eastAsia="ja-JP"/>
              </w:rPr>
              <w:br/>
              <w:t>($)</w:t>
            </w:r>
          </w:p>
        </w:tc>
        <w:tc>
          <w:tcPr>
            <w:tcW w:w="2102" w:type="dxa"/>
            <w:shd w:val="clear" w:color="auto" w:fill="D9D9D9" w:themeFill="background1" w:themeFillShade="D9"/>
            <w:vAlign w:val="bottom"/>
          </w:tcPr>
          <w:p w14:paraId="6672F613" w14:textId="77777777" w:rsidR="00700134" w:rsidRDefault="00700134"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2021</w:t>
            </w:r>
            <w:r w:rsidRPr="008C29BE">
              <w:rPr>
                <w:rFonts w:ascii="Calibri" w:eastAsia="MS Mincho" w:hAnsi="Calibri" w:cs="Calibri"/>
                <w:b/>
                <w:sz w:val="20"/>
                <w:szCs w:val="20"/>
                <w:lang w:eastAsia="ja-JP"/>
              </w:rPr>
              <w:br/>
              <w:t>($)</w:t>
            </w:r>
          </w:p>
        </w:tc>
      </w:tr>
      <w:tr w:rsidR="00700134" w14:paraId="5A32B1D9" w14:textId="77777777" w:rsidTr="001B46D2">
        <w:trPr>
          <w:trHeight w:val="144"/>
        </w:trPr>
        <w:tc>
          <w:tcPr>
            <w:tcW w:w="4320" w:type="dxa"/>
          </w:tcPr>
          <w:p w14:paraId="20E77B24" w14:textId="77777777" w:rsidR="00700134" w:rsidRPr="007627E0" w:rsidRDefault="00700134"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Total revenue</w:t>
            </w:r>
          </w:p>
        </w:tc>
        <w:tc>
          <w:tcPr>
            <w:tcW w:w="1795" w:type="dxa"/>
            <w:shd w:val="clear" w:color="auto" w:fill="auto"/>
          </w:tcPr>
          <w:p w14:paraId="6B6BE55F" w14:textId="1D113F1B" w:rsidR="00700134" w:rsidRPr="00C95A74" w:rsidRDefault="00700134" w:rsidP="001B46D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1,497,973</w:t>
            </w:r>
          </w:p>
        </w:tc>
        <w:tc>
          <w:tcPr>
            <w:tcW w:w="2102" w:type="dxa"/>
            <w:vAlign w:val="bottom"/>
          </w:tcPr>
          <w:p w14:paraId="254B70CA" w14:textId="6B416C60" w:rsidR="00700134" w:rsidRDefault="00700134" w:rsidP="001B46D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1,013,255</w:t>
            </w:r>
          </w:p>
        </w:tc>
      </w:tr>
      <w:tr w:rsidR="00700134" w14:paraId="6A85A296" w14:textId="77777777" w:rsidTr="001B46D2">
        <w:trPr>
          <w:trHeight w:val="144"/>
        </w:trPr>
        <w:tc>
          <w:tcPr>
            <w:tcW w:w="4320" w:type="dxa"/>
          </w:tcPr>
          <w:p w14:paraId="65DDC213" w14:textId="557048DC" w:rsidR="00700134" w:rsidRPr="007627E0" w:rsidRDefault="00700134"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 xml:space="preserve">Net </w:t>
            </w:r>
            <w:r w:rsidR="0021021D">
              <w:rPr>
                <w:rFonts w:ascii="Calibri" w:eastAsia="MS Mincho" w:hAnsi="Calibri" w:cs="Calibri"/>
                <w:sz w:val="20"/>
                <w:szCs w:val="20"/>
                <w:lang w:eastAsia="ja-JP"/>
              </w:rPr>
              <w:t>income</w:t>
            </w:r>
            <w:r>
              <w:rPr>
                <w:rFonts w:ascii="Calibri" w:eastAsia="MS Mincho" w:hAnsi="Calibri" w:cs="Calibri"/>
                <w:sz w:val="20"/>
                <w:szCs w:val="20"/>
                <w:lang w:eastAsia="ja-JP"/>
              </w:rPr>
              <w:t xml:space="preserve"> attributable to the Company</w:t>
            </w:r>
          </w:p>
        </w:tc>
        <w:tc>
          <w:tcPr>
            <w:tcW w:w="1795" w:type="dxa"/>
            <w:shd w:val="clear" w:color="auto" w:fill="auto"/>
          </w:tcPr>
          <w:p w14:paraId="076B307E" w14:textId="33BC9715" w:rsidR="00700134" w:rsidRPr="00C95A74" w:rsidRDefault="0021021D" w:rsidP="001B46D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46,246</w:t>
            </w:r>
          </w:p>
        </w:tc>
        <w:tc>
          <w:tcPr>
            <w:tcW w:w="2102" w:type="dxa"/>
            <w:vAlign w:val="bottom"/>
          </w:tcPr>
          <w:p w14:paraId="3630003B" w14:textId="5A8A4FEE" w:rsidR="00700134" w:rsidRDefault="0021021D" w:rsidP="001B46D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1,912,161</w:t>
            </w:r>
          </w:p>
        </w:tc>
      </w:tr>
      <w:tr w:rsidR="00700134" w:rsidRPr="00F86969" w14:paraId="2A684E86" w14:textId="77777777" w:rsidTr="00C82AA6">
        <w:trPr>
          <w:trHeight w:val="144"/>
        </w:trPr>
        <w:tc>
          <w:tcPr>
            <w:tcW w:w="4320" w:type="dxa"/>
            <w:tcBorders>
              <w:bottom w:val="single" w:sz="4" w:space="0" w:color="auto"/>
            </w:tcBorders>
          </w:tcPr>
          <w:p w14:paraId="23BB3574" w14:textId="0C9D8F10" w:rsidR="00700134" w:rsidRPr="007627E0" w:rsidRDefault="00700134"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 xml:space="preserve">Net </w:t>
            </w:r>
            <w:r w:rsidR="0021021D">
              <w:rPr>
                <w:rFonts w:ascii="Calibri" w:eastAsia="MS Mincho" w:hAnsi="Calibri" w:cs="Calibri"/>
                <w:sz w:val="20"/>
                <w:szCs w:val="20"/>
                <w:lang w:eastAsia="ja-JP"/>
              </w:rPr>
              <w:t xml:space="preserve">income </w:t>
            </w:r>
            <w:r>
              <w:rPr>
                <w:rFonts w:ascii="Calibri" w:eastAsia="MS Mincho" w:hAnsi="Calibri" w:cs="Calibri"/>
                <w:sz w:val="20"/>
                <w:szCs w:val="20"/>
                <w:lang w:eastAsia="ja-JP"/>
              </w:rPr>
              <w:t>per share (basic and diluted)</w:t>
            </w:r>
          </w:p>
        </w:tc>
        <w:tc>
          <w:tcPr>
            <w:tcW w:w="1795" w:type="dxa"/>
            <w:tcBorders>
              <w:bottom w:val="single" w:sz="4" w:space="0" w:color="auto"/>
            </w:tcBorders>
            <w:shd w:val="clear" w:color="auto" w:fill="auto"/>
          </w:tcPr>
          <w:p w14:paraId="5FFE5843" w14:textId="4ED3E62A" w:rsidR="00700134" w:rsidRPr="00C95A74" w:rsidRDefault="00700134" w:rsidP="001B46D2">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0.0</w:t>
            </w:r>
            <w:r w:rsidR="0021021D">
              <w:rPr>
                <w:rFonts w:ascii="Calibri" w:eastAsia="MS Mincho" w:hAnsi="Calibri" w:cs="Calibri"/>
                <w:sz w:val="20"/>
                <w:szCs w:val="20"/>
                <w:lang w:eastAsia="ja-JP"/>
              </w:rPr>
              <w:t>0</w:t>
            </w:r>
          </w:p>
        </w:tc>
        <w:tc>
          <w:tcPr>
            <w:tcW w:w="2102" w:type="dxa"/>
            <w:tcBorders>
              <w:bottom w:val="single" w:sz="4" w:space="0" w:color="auto"/>
            </w:tcBorders>
            <w:vAlign w:val="bottom"/>
          </w:tcPr>
          <w:p w14:paraId="3B8CFA3A" w14:textId="2B0DD589" w:rsidR="00700134" w:rsidRPr="00F86969" w:rsidRDefault="00700134" w:rsidP="001B46D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0.0</w:t>
            </w:r>
            <w:r w:rsidR="0021021D">
              <w:rPr>
                <w:rFonts w:ascii="Calibri" w:eastAsia="MS Mincho" w:hAnsi="Calibri" w:cs="Calibri"/>
                <w:sz w:val="20"/>
                <w:szCs w:val="20"/>
                <w:lang w:eastAsia="ja-JP"/>
              </w:rPr>
              <w:t>1</w:t>
            </w:r>
          </w:p>
        </w:tc>
      </w:tr>
      <w:tr w:rsidR="00700134" w14:paraId="58AC3E3E" w14:textId="77777777" w:rsidTr="00C82AA6">
        <w:trPr>
          <w:trHeight w:val="144"/>
        </w:trPr>
        <w:tc>
          <w:tcPr>
            <w:tcW w:w="4320" w:type="dxa"/>
            <w:tcBorders>
              <w:top w:val="single" w:sz="4" w:space="0" w:color="auto"/>
              <w:left w:val="nil"/>
              <w:bottom w:val="nil"/>
              <w:right w:val="nil"/>
            </w:tcBorders>
          </w:tcPr>
          <w:p w14:paraId="7CA82665" w14:textId="77777777" w:rsidR="00700134" w:rsidRDefault="00700134" w:rsidP="001B46D2">
            <w:pPr>
              <w:pStyle w:val="Headingext1"/>
              <w:spacing w:before="60"/>
              <w:rPr>
                <w:rFonts w:ascii="Calibri" w:eastAsia="MS Mincho" w:hAnsi="Calibri" w:cs="Calibri"/>
                <w:sz w:val="20"/>
                <w:szCs w:val="20"/>
                <w:lang w:eastAsia="ja-JP"/>
              </w:rPr>
            </w:pPr>
          </w:p>
        </w:tc>
        <w:tc>
          <w:tcPr>
            <w:tcW w:w="1795" w:type="dxa"/>
            <w:tcBorders>
              <w:top w:val="single" w:sz="4" w:space="0" w:color="auto"/>
              <w:left w:val="nil"/>
              <w:bottom w:val="nil"/>
              <w:right w:val="nil"/>
            </w:tcBorders>
          </w:tcPr>
          <w:p w14:paraId="59D5DEAF" w14:textId="77777777" w:rsidR="00700134" w:rsidRDefault="00700134" w:rsidP="001B46D2">
            <w:pPr>
              <w:pStyle w:val="Headingext1"/>
              <w:spacing w:before="60"/>
              <w:jc w:val="center"/>
              <w:rPr>
                <w:rFonts w:ascii="Calibri" w:eastAsia="MS Mincho" w:hAnsi="Calibri" w:cs="Calibri"/>
                <w:sz w:val="20"/>
                <w:szCs w:val="20"/>
                <w:lang w:eastAsia="ja-JP"/>
              </w:rPr>
            </w:pPr>
          </w:p>
        </w:tc>
        <w:tc>
          <w:tcPr>
            <w:tcW w:w="2102" w:type="dxa"/>
            <w:tcBorders>
              <w:top w:val="single" w:sz="4" w:space="0" w:color="auto"/>
              <w:left w:val="nil"/>
              <w:bottom w:val="nil"/>
              <w:right w:val="nil"/>
            </w:tcBorders>
            <w:vAlign w:val="bottom"/>
          </w:tcPr>
          <w:p w14:paraId="7CCCD249" w14:textId="77777777" w:rsidR="00700134" w:rsidRPr="00F86969" w:rsidRDefault="00700134" w:rsidP="001B46D2">
            <w:pPr>
              <w:pStyle w:val="Headingext1"/>
              <w:spacing w:before="60"/>
              <w:jc w:val="center"/>
              <w:rPr>
                <w:rFonts w:ascii="Calibri" w:eastAsia="MS Mincho" w:hAnsi="Calibri" w:cs="Calibri"/>
                <w:sz w:val="20"/>
                <w:szCs w:val="20"/>
                <w:lang w:eastAsia="ja-JP"/>
              </w:rPr>
            </w:pPr>
          </w:p>
        </w:tc>
      </w:tr>
      <w:tr w:rsidR="00700134" w14:paraId="1C155D54" w14:textId="77777777" w:rsidTr="00C82AA6">
        <w:trPr>
          <w:trHeight w:val="144"/>
        </w:trPr>
        <w:tc>
          <w:tcPr>
            <w:tcW w:w="4320" w:type="dxa"/>
            <w:tcBorders>
              <w:top w:val="nil"/>
              <w:left w:val="nil"/>
              <w:bottom w:val="single" w:sz="4" w:space="0" w:color="auto"/>
              <w:right w:val="nil"/>
            </w:tcBorders>
          </w:tcPr>
          <w:p w14:paraId="58256B15" w14:textId="77777777" w:rsidR="000D35EB" w:rsidRDefault="000D35EB" w:rsidP="001B46D2">
            <w:pPr>
              <w:pStyle w:val="Headingext1"/>
              <w:spacing w:before="60"/>
              <w:rPr>
                <w:rFonts w:ascii="Calibri" w:eastAsia="MS Mincho" w:hAnsi="Calibri" w:cs="Calibri"/>
                <w:sz w:val="20"/>
                <w:szCs w:val="20"/>
                <w:lang w:eastAsia="ja-JP"/>
              </w:rPr>
            </w:pPr>
          </w:p>
          <w:p w14:paraId="127C6644" w14:textId="51A593D6" w:rsidR="000D35EB" w:rsidRDefault="000D35EB" w:rsidP="001B46D2">
            <w:pPr>
              <w:pStyle w:val="Headingext1"/>
              <w:spacing w:before="60"/>
              <w:rPr>
                <w:rFonts w:ascii="Calibri" w:eastAsia="MS Mincho" w:hAnsi="Calibri" w:cs="Calibri"/>
                <w:sz w:val="20"/>
                <w:szCs w:val="20"/>
                <w:lang w:eastAsia="ja-JP"/>
              </w:rPr>
            </w:pPr>
          </w:p>
        </w:tc>
        <w:tc>
          <w:tcPr>
            <w:tcW w:w="1795" w:type="dxa"/>
            <w:tcBorders>
              <w:top w:val="nil"/>
              <w:left w:val="nil"/>
              <w:bottom w:val="single" w:sz="4" w:space="0" w:color="auto"/>
              <w:right w:val="nil"/>
            </w:tcBorders>
          </w:tcPr>
          <w:p w14:paraId="496BFB8B" w14:textId="77777777" w:rsidR="00700134" w:rsidRDefault="00700134" w:rsidP="001B46D2">
            <w:pPr>
              <w:pStyle w:val="Headingext1"/>
              <w:spacing w:before="60"/>
              <w:jc w:val="center"/>
              <w:rPr>
                <w:rFonts w:ascii="Calibri" w:eastAsia="MS Mincho" w:hAnsi="Calibri" w:cs="Calibri"/>
                <w:sz w:val="20"/>
                <w:szCs w:val="20"/>
                <w:lang w:eastAsia="ja-JP"/>
              </w:rPr>
            </w:pPr>
          </w:p>
        </w:tc>
        <w:tc>
          <w:tcPr>
            <w:tcW w:w="2102" w:type="dxa"/>
            <w:tcBorders>
              <w:top w:val="nil"/>
              <w:left w:val="nil"/>
              <w:bottom w:val="single" w:sz="4" w:space="0" w:color="auto"/>
              <w:right w:val="nil"/>
            </w:tcBorders>
            <w:vAlign w:val="bottom"/>
          </w:tcPr>
          <w:p w14:paraId="4E9DF037" w14:textId="77777777" w:rsidR="00700134" w:rsidRPr="00F86969" w:rsidRDefault="00700134" w:rsidP="001B46D2">
            <w:pPr>
              <w:pStyle w:val="Headingext1"/>
              <w:spacing w:before="60"/>
              <w:jc w:val="center"/>
              <w:rPr>
                <w:rFonts w:ascii="Calibri" w:eastAsia="MS Mincho" w:hAnsi="Calibri" w:cs="Calibri"/>
                <w:sz w:val="20"/>
                <w:szCs w:val="20"/>
                <w:lang w:eastAsia="ja-JP"/>
              </w:rPr>
            </w:pPr>
          </w:p>
        </w:tc>
      </w:tr>
      <w:tr w:rsidR="00E11AA7" w14:paraId="66E2F0DF" w14:textId="77777777" w:rsidTr="00141C56">
        <w:trPr>
          <w:trHeight w:val="144"/>
        </w:trPr>
        <w:tc>
          <w:tcPr>
            <w:tcW w:w="4320" w:type="dxa"/>
            <w:tcBorders>
              <w:top w:val="single" w:sz="4" w:space="0" w:color="auto"/>
            </w:tcBorders>
          </w:tcPr>
          <w:p w14:paraId="19F158A1" w14:textId="77777777" w:rsidR="00E11AA7" w:rsidRDefault="00E11AA7" w:rsidP="001B46D2">
            <w:pPr>
              <w:pStyle w:val="Headingext1"/>
              <w:spacing w:before="60"/>
              <w:rPr>
                <w:rFonts w:ascii="Calibri" w:eastAsia="MS Mincho" w:hAnsi="Calibri" w:cs="Calibri"/>
                <w:sz w:val="20"/>
                <w:szCs w:val="20"/>
                <w:lang w:eastAsia="ja-JP"/>
              </w:rPr>
            </w:pPr>
          </w:p>
        </w:tc>
        <w:tc>
          <w:tcPr>
            <w:tcW w:w="3897" w:type="dxa"/>
            <w:gridSpan w:val="2"/>
            <w:tcBorders>
              <w:top w:val="single" w:sz="4" w:space="0" w:color="auto"/>
            </w:tcBorders>
          </w:tcPr>
          <w:p w14:paraId="23C20FC0" w14:textId="4402D70C" w:rsidR="00E11AA7" w:rsidRPr="00141C56" w:rsidRDefault="00E11AA7" w:rsidP="001B46D2">
            <w:pPr>
              <w:pStyle w:val="Headingext1"/>
              <w:spacing w:before="60"/>
              <w:jc w:val="center"/>
              <w:rPr>
                <w:rFonts w:ascii="Calibri" w:eastAsia="MS Mincho" w:hAnsi="Calibri" w:cs="Calibri"/>
                <w:b/>
                <w:bCs/>
                <w:sz w:val="20"/>
                <w:szCs w:val="20"/>
                <w:lang w:eastAsia="ja-JP"/>
              </w:rPr>
            </w:pPr>
            <w:r w:rsidRPr="00141C56">
              <w:rPr>
                <w:rFonts w:ascii="Calibri" w:eastAsia="MS Mincho" w:hAnsi="Calibri" w:cs="Calibri"/>
                <w:b/>
                <w:bCs/>
                <w:sz w:val="20"/>
                <w:szCs w:val="20"/>
                <w:lang w:eastAsia="ja-JP"/>
              </w:rPr>
              <w:t>As at</w:t>
            </w:r>
          </w:p>
        </w:tc>
      </w:tr>
      <w:tr w:rsidR="00E11AA7" w14:paraId="0106B8C9" w14:textId="77777777" w:rsidTr="00141C56">
        <w:trPr>
          <w:trHeight w:val="144"/>
        </w:trPr>
        <w:tc>
          <w:tcPr>
            <w:tcW w:w="4320" w:type="dxa"/>
          </w:tcPr>
          <w:p w14:paraId="72056F8D" w14:textId="77777777" w:rsidR="00E11AA7" w:rsidRDefault="00E11AA7" w:rsidP="001B46D2">
            <w:pPr>
              <w:pStyle w:val="Headingext1"/>
              <w:spacing w:before="60"/>
              <w:rPr>
                <w:rFonts w:ascii="Calibri" w:eastAsia="MS Mincho" w:hAnsi="Calibri" w:cs="Calibri"/>
                <w:sz w:val="20"/>
                <w:szCs w:val="20"/>
                <w:lang w:eastAsia="ja-JP"/>
              </w:rPr>
            </w:pPr>
          </w:p>
        </w:tc>
        <w:tc>
          <w:tcPr>
            <w:tcW w:w="1795" w:type="dxa"/>
          </w:tcPr>
          <w:p w14:paraId="55956F67" w14:textId="3934FC3A" w:rsidR="00E11AA7" w:rsidRPr="00141C56" w:rsidRDefault="00993BD3" w:rsidP="001B46D2">
            <w:pPr>
              <w:pStyle w:val="Headingext1"/>
              <w:spacing w:before="60"/>
              <w:jc w:val="center"/>
              <w:rPr>
                <w:rFonts w:ascii="Calibri" w:eastAsia="MS Mincho" w:hAnsi="Calibri" w:cs="Calibri"/>
                <w:b/>
                <w:bCs/>
                <w:sz w:val="20"/>
                <w:szCs w:val="20"/>
                <w:lang w:eastAsia="ja-JP"/>
              </w:rPr>
            </w:pPr>
            <w:r>
              <w:rPr>
                <w:rFonts w:ascii="Calibri" w:eastAsia="MS Mincho" w:hAnsi="Calibri" w:cs="Calibri"/>
                <w:b/>
                <w:bCs/>
                <w:sz w:val="20"/>
                <w:szCs w:val="20"/>
                <w:lang w:eastAsia="ja-JP"/>
              </w:rPr>
              <w:t>June 30</w:t>
            </w:r>
            <w:r w:rsidR="00E11AA7" w:rsidRPr="00141C56">
              <w:rPr>
                <w:rFonts w:ascii="Calibri" w:eastAsia="MS Mincho" w:hAnsi="Calibri" w:cs="Calibri"/>
                <w:b/>
                <w:bCs/>
                <w:sz w:val="20"/>
                <w:szCs w:val="20"/>
                <w:lang w:eastAsia="ja-JP"/>
              </w:rPr>
              <w:t>, 2022</w:t>
            </w:r>
          </w:p>
        </w:tc>
        <w:tc>
          <w:tcPr>
            <w:tcW w:w="2102" w:type="dxa"/>
            <w:vAlign w:val="bottom"/>
          </w:tcPr>
          <w:p w14:paraId="60DFB3EF" w14:textId="1F2497A4" w:rsidR="00E11AA7" w:rsidRPr="00141C56" w:rsidRDefault="00E11AA7" w:rsidP="001B46D2">
            <w:pPr>
              <w:pStyle w:val="Headingext1"/>
              <w:spacing w:before="60"/>
              <w:jc w:val="center"/>
              <w:rPr>
                <w:rFonts w:ascii="Calibri" w:eastAsia="MS Mincho" w:hAnsi="Calibri" w:cs="Calibri"/>
                <w:b/>
                <w:bCs/>
                <w:sz w:val="20"/>
                <w:szCs w:val="20"/>
                <w:lang w:eastAsia="ja-JP"/>
              </w:rPr>
            </w:pPr>
            <w:r w:rsidRPr="00141C56">
              <w:rPr>
                <w:rFonts w:ascii="Calibri" w:eastAsia="MS Mincho" w:hAnsi="Calibri" w:cs="Calibri"/>
                <w:b/>
                <w:bCs/>
                <w:sz w:val="20"/>
                <w:szCs w:val="20"/>
                <w:lang w:eastAsia="ja-JP"/>
              </w:rPr>
              <w:t>December 31, 2021</w:t>
            </w:r>
          </w:p>
        </w:tc>
      </w:tr>
      <w:tr w:rsidR="00E11AA7" w14:paraId="6709A152" w14:textId="7ADB02A2" w:rsidTr="00C95A74">
        <w:trPr>
          <w:trHeight w:val="144"/>
        </w:trPr>
        <w:tc>
          <w:tcPr>
            <w:tcW w:w="4320" w:type="dxa"/>
          </w:tcPr>
          <w:p w14:paraId="3E9B3724" w14:textId="77777777" w:rsidR="00E11AA7" w:rsidRPr="007627E0" w:rsidRDefault="00E11AA7"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Total assets</w:t>
            </w:r>
          </w:p>
        </w:tc>
        <w:tc>
          <w:tcPr>
            <w:tcW w:w="1795" w:type="dxa"/>
            <w:shd w:val="clear" w:color="auto" w:fill="auto"/>
          </w:tcPr>
          <w:p w14:paraId="639F3738" w14:textId="2E225CFA" w:rsidR="00E11AA7" w:rsidRPr="00515D32" w:rsidRDefault="00993BD3" w:rsidP="004227B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33,</w:t>
            </w:r>
            <w:r w:rsidR="00A74798">
              <w:rPr>
                <w:rFonts w:ascii="Calibri" w:eastAsia="MS Mincho" w:hAnsi="Calibri" w:cs="Calibri"/>
                <w:sz w:val="20"/>
                <w:szCs w:val="20"/>
                <w:lang w:eastAsia="ja-JP"/>
              </w:rPr>
              <w:t>128</w:t>
            </w:r>
            <w:r>
              <w:rPr>
                <w:rFonts w:ascii="Calibri" w:eastAsia="MS Mincho" w:hAnsi="Calibri" w:cs="Calibri"/>
                <w:sz w:val="20"/>
                <w:szCs w:val="20"/>
                <w:lang w:eastAsia="ja-JP"/>
              </w:rPr>
              <w:t>,</w:t>
            </w:r>
            <w:r w:rsidR="00A74798">
              <w:rPr>
                <w:rFonts w:ascii="Calibri" w:eastAsia="MS Mincho" w:hAnsi="Calibri" w:cs="Calibri"/>
                <w:sz w:val="20"/>
                <w:szCs w:val="20"/>
                <w:lang w:eastAsia="ja-JP"/>
              </w:rPr>
              <w:t>912</w:t>
            </w:r>
          </w:p>
        </w:tc>
        <w:tc>
          <w:tcPr>
            <w:tcW w:w="2102" w:type="dxa"/>
            <w:vAlign w:val="bottom"/>
          </w:tcPr>
          <w:p w14:paraId="6E1642B2" w14:textId="3DCEC7C1" w:rsidR="00E11AA7" w:rsidRDefault="00261FB2" w:rsidP="004227B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6,521,629</w:t>
            </w:r>
          </w:p>
        </w:tc>
      </w:tr>
      <w:tr w:rsidR="00043427" w14:paraId="5F8B6749" w14:textId="77777777" w:rsidTr="00C95A74">
        <w:trPr>
          <w:trHeight w:val="144"/>
        </w:trPr>
        <w:tc>
          <w:tcPr>
            <w:tcW w:w="4320" w:type="dxa"/>
          </w:tcPr>
          <w:p w14:paraId="01C54031" w14:textId="17D7E5B4" w:rsidR="00043427" w:rsidRDefault="00043427"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 xml:space="preserve">Total current liabilities </w:t>
            </w:r>
          </w:p>
        </w:tc>
        <w:tc>
          <w:tcPr>
            <w:tcW w:w="1795" w:type="dxa"/>
            <w:shd w:val="clear" w:color="auto" w:fill="auto"/>
          </w:tcPr>
          <w:p w14:paraId="073C4B81" w14:textId="2DEBBFD0" w:rsidR="00043427" w:rsidRPr="00515D32" w:rsidRDefault="00993BD3" w:rsidP="004227B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w:t>
            </w:r>
            <w:r w:rsidR="00A74798">
              <w:rPr>
                <w:rFonts w:ascii="Calibri" w:eastAsia="MS Mincho" w:hAnsi="Calibri" w:cs="Calibri"/>
                <w:sz w:val="20"/>
                <w:szCs w:val="20"/>
                <w:lang w:eastAsia="ja-JP"/>
              </w:rPr>
              <w:t>495</w:t>
            </w:r>
            <w:r>
              <w:rPr>
                <w:rFonts w:ascii="Calibri" w:eastAsia="MS Mincho" w:hAnsi="Calibri" w:cs="Calibri"/>
                <w:sz w:val="20"/>
                <w:szCs w:val="20"/>
                <w:lang w:eastAsia="ja-JP"/>
              </w:rPr>
              <w:t>,</w:t>
            </w:r>
            <w:r w:rsidR="00F93627">
              <w:rPr>
                <w:rFonts w:ascii="Calibri" w:eastAsia="MS Mincho" w:hAnsi="Calibri" w:cs="Calibri"/>
                <w:sz w:val="20"/>
                <w:szCs w:val="20"/>
                <w:lang w:eastAsia="ja-JP"/>
              </w:rPr>
              <w:t>11</w:t>
            </w:r>
            <w:r w:rsidR="00A74798">
              <w:rPr>
                <w:rFonts w:ascii="Calibri" w:eastAsia="MS Mincho" w:hAnsi="Calibri" w:cs="Calibri"/>
                <w:sz w:val="20"/>
                <w:szCs w:val="20"/>
                <w:lang w:eastAsia="ja-JP"/>
              </w:rPr>
              <w:t>5</w:t>
            </w:r>
          </w:p>
        </w:tc>
        <w:tc>
          <w:tcPr>
            <w:tcW w:w="2102" w:type="dxa"/>
            <w:vAlign w:val="bottom"/>
          </w:tcPr>
          <w:p w14:paraId="2F295415" w14:textId="54F57CEB" w:rsidR="00043427" w:rsidRDefault="00515D32" w:rsidP="004227B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1,489,747</w:t>
            </w:r>
          </w:p>
        </w:tc>
      </w:tr>
      <w:tr w:rsidR="00E11AA7" w14:paraId="54E6EAD6" w14:textId="25447FD1" w:rsidTr="00C95A74">
        <w:trPr>
          <w:trHeight w:val="144"/>
        </w:trPr>
        <w:tc>
          <w:tcPr>
            <w:tcW w:w="4320" w:type="dxa"/>
          </w:tcPr>
          <w:p w14:paraId="777EADF6" w14:textId="51DA499A" w:rsidR="00E11AA7" w:rsidRPr="009D3D3C" w:rsidRDefault="00E11AA7" w:rsidP="001B46D2">
            <w:pPr>
              <w:pStyle w:val="Headingext1"/>
              <w:spacing w:before="60"/>
              <w:rPr>
                <w:rFonts w:ascii="Calibri" w:eastAsia="MS Mincho" w:hAnsi="Calibri" w:cs="Calibri"/>
                <w:sz w:val="20"/>
                <w:szCs w:val="20"/>
                <w:lang w:val="fr-CA" w:eastAsia="ja-JP"/>
              </w:rPr>
            </w:pPr>
            <w:r w:rsidRPr="009D3D3C">
              <w:rPr>
                <w:rFonts w:ascii="Calibri" w:eastAsia="MS Mincho" w:hAnsi="Calibri" w:cs="Calibri"/>
                <w:sz w:val="20"/>
                <w:szCs w:val="20"/>
                <w:lang w:val="fr-CA" w:eastAsia="ja-JP"/>
              </w:rPr>
              <w:t>Total non-</w:t>
            </w:r>
            <w:proofErr w:type="spellStart"/>
            <w:r w:rsidRPr="009D3D3C">
              <w:rPr>
                <w:rFonts w:ascii="Calibri" w:eastAsia="MS Mincho" w:hAnsi="Calibri" w:cs="Calibri"/>
                <w:sz w:val="20"/>
                <w:szCs w:val="20"/>
                <w:lang w:val="fr-CA" w:eastAsia="ja-JP"/>
              </w:rPr>
              <w:t>current</w:t>
            </w:r>
            <w:proofErr w:type="spellEnd"/>
            <w:r w:rsidRPr="009D3D3C">
              <w:rPr>
                <w:rFonts w:ascii="Calibri" w:eastAsia="MS Mincho" w:hAnsi="Calibri" w:cs="Calibri"/>
                <w:sz w:val="20"/>
                <w:szCs w:val="20"/>
                <w:lang w:val="fr-CA" w:eastAsia="ja-JP"/>
              </w:rPr>
              <w:t xml:space="preserve"> </w:t>
            </w:r>
            <w:proofErr w:type="spellStart"/>
            <w:r w:rsidRPr="009D3D3C">
              <w:rPr>
                <w:rFonts w:ascii="Calibri" w:eastAsia="MS Mincho" w:hAnsi="Calibri" w:cs="Calibri"/>
                <w:sz w:val="20"/>
                <w:szCs w:val="20"/>
                <w:lang w:val="fr-CA" w:eastAsia="ja-JP"/>
              </w:rPr>
              <w:t>liabilities</w:t>
            </w:r>
            <w:proofErr w:type="spellEnd"/>
          </w:p>
        </w:tc>
        <w:tc>
          <w:tcPr>
            <w:tcW w:w="1795" w:type="dxa"/>
            <w:shd w:val="clear" w:color="auto" w:fill="auto"/>
          </w:tcPr>
          <w:p w14:paraId="51E4BB24" w14:textId="198D3BCA" w:rsidR="00E11AA7" w:rsidRPr="00515D32" w:rsidRDefault="00A74798" w:rsidP="004227B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9,019,3</w:t>
            </w:r>
            <w:r w:rsidR="00F93627">
              <w:rPr>
                <w:rFonts w:ascii="Calibri" w:eastAsia="MS Mincho" w:hAnsi="Calibri" w:cs="Calibri"/>
                <w:sz w:val="20"/>
                <w:szCs w:val="20"/>
                <w:lang w:eastAsia="ja-JP"/>
              </w:rPr>
              <w:t>9</w:t>
            </w:r>
            <w:r>
              <w:rPr>
                <w:rFonts w:ascii="Calibri" w:eastAsia="MS Mincho" w:hAnsi="Calibri" w:cs="Calibri"/>
                <w:sz w:val="20"/>
                <w:szCs w:val="20"/>
                <w:lang w:eastAsia="ja-JP"/>
              </w:rPr>
              <w:t>3</w:t>
            </w:r>
          </w:p>
        </w:tc>
        <w:tc>
          <w:tcPr>
            <w:tcW w:w="2102" w:type="dxa"/>
            <w:vAlign w:val="bottom"/>
          </w:tcPr>
          <w:p w14:paraId="4EEC28D2" w14:textId="12307FBE" w:rsidR="00E11AA7" w:rsidRDefault="00515D32" w:rsidP="004227BC">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9,493,112</w:t>
            </w:r>
          </w:p>
        </w:tc>
      </w:tr>
    </w:tbl>
    <w:p w14:paraId="01DB1AF7" w14:textId="4CBB57A0" w:rsidR="00501AA6" w:rsidRDefault="00501AA6" w:rsidP="00501AA6">
      <w:pPr>
        <w:pStyle w:val="Heading1"/>
      </w:pPr>
      <w:bookmarkStart w:id="9" w:name="_Toc103780853"/>
      <w:r>
        <w:t>Results of Operations</w:t>
      </w:r>
      <w:bookmarkEnd w:id="9"/>
    </w:p>
    <w:p w14:paraId="4A1D6320" w14:textId="77777777" w:rsidR="00542C36" w:rsidRPr="00542C36" w:rsidRDefault="00542C36" w:rsidP="00583A17">
      <w:pPr>
        <w:spacing w:after="0"/>
      </w:pPr>
    </w:p>
    <w:p w14:paraId="13F1385A" w14:textId="61AF5B12" w:rsidR="00553892" w:rsidRPr="00583A17" w:rsidRDefault="0021021D" w:rsidP="001A24A7">
      <w:pPr>
        <w:rPr>
          <w:b/>
          <w:bCs/>
        </w:rPr>
      </w:pPr>
      <w:r>
        <w:rPr>
          <w:b/>
          <w:bCs/>
        </w:rPr>
        <w:t>Three</w:t>
      </w:r>
      <w:r w:rsidR="00345751">
        <w:rPr>
          <w:b/>
          <w:bCs/>
        </w:rPr>
        <w:t xml:space="preserve"> </w:t>
      </w:r>
      <w:r w:rsidR="00700134">
        <w:rPr>
          <w:b/>
          <w:bCs/>
        </w:rPr>
        <w:t xml:space="preserve">and </w:t>
      </w:r>
      <w:r>
        <w:rPr>
          <w:b/>
          <w:bCs/>
        </w:rPr>
        <w:t>six</w:t>
      </w:r>
      <w:r w:rsidR="00700134">
        <w:rPr>
          <w:b/>
          <w:bCs/>
        </w:rPr>
        <w:t xml:space="preserve"> </w:t>
      </w:r>
      <w:r w:rsidR="00345751">
        <w:rPr>
          <w:b/>
          <w:bCs/>
        </w:rPr>
        <w:t>months</w:t>
      </w:r>
      <w:r w:rsidR="00496DE4" w:rsidRPr="00583A17">
        <w:rPr>
          <w:b/>
          <w:bCs/>
        </w:rPr>
        <w:t xml:space="preserve"> ended </w:t>
      </w:r>
      <w:r w:rsidR="003429E2">
        <w:rPr>
          <w:b/>
          <w:bCs/>
        </w:rPr>
        <w:t>June 30</w:t>
      </w:r>
      <w:r w:rsidR="00496DE4" w:rsidRPr="00583A17">
        <w:rPr>
          <w:b/>
          <w:bCs/>
        </w:rPr>
        <w:t xml:space="preserve">, </w:t>
      </w:r>
      <w:proofErr w:type="gramStart"/>
      <w:r w:rsidR="00496DE4" w:rsidRPr="00583A17">
        <w:rPr>
          <w:b/>
          <w:bCs/>
        </w:rPr>
        <w:t>202</w:t>
      </w:r>
      <w:r w:rsidR="00345751">
        <w:rPr>
          <w:b/>
          <w:bCs/>
        </w:rPr>
        <w:t>2</w:t>
      </w:r>
      <w:proofErr w:type="gramEnd"/>
      <w:r w:rsidR="00496DE4" w:rsidRPr="00583A17">
        <w:rPr>
          <w:b/>
          <w:bCs/>
        </w:rPr>
        <w:t xml:space="preserve"> compared to the </w:t>
      </w:r>
      <w:r>
        <w:rPr>
          <w:b/>
          <w:bCs/>
        </w:rPr>
        <w:t>three</w:t>
      </w:r>
      <w:r w:rsidR="00345751">
        <w:rPr>
          <w:b/>
          <w:bCs/>
        </w:rPr>
        <w:t xml:space="preserve"> </w:t>
      </w:r>
      <w:r w:rsidR="00700134">
        <w:rPr>
          <w:b/>
          <w:bCs/>
        </w:rPr>
        <w:t xml:space="preserve">and </w:t>
      </w:r>
      <w:r>
        <w:rPr>
          <w:b/>
          <w:bCs/>
        </w:rPr>
        <w:t>six</w:t>
      </w:r>
      <w:r w:rsidR="00700134">
        <w:rPr>
          <w:b/>
          <w:bCs/>
        </w:rPr>
        <w:t xml:space="preserve"> </w:t>
      </w:r>
      <w:r w:rsidR="00345751">
        <w:rPr>
          <w:b/>
          <w:bCs/>
        </w:rPr>
        <w:t xml:space="preserve">months ended </w:t>
      </w:r>
      <w:r w:rsidR="003429E2">
        <w:rPr>
          <w:b/>
          <w:bCs/>
        </w:rPr>
        <w:t>June 30</w:t>
      </w:r>
      <w:r w:rsidR="00345751">
        <w:rPr>
          <w:b/>
          <w:bCs/>
        </w:rPr>
        <w:t>, 2021</w:t>
      </w:r>
    </w:p>
    <w:p w14:paraId="6BDDA024" w14:textId="414B23C9" w:rsidR="0021021D" w:rsidRPr="007A2AF5" w:rsidRDefault="0021021D" w:rsidP="0021021D">
      <w:pPr>
        <w:jc w:val="both"/>
        <w:rPr>
          <w:rFonts w:eastAsiaTheme="minorHAnsi"/>
          <w:i/>
          <w:iCs/>
        </w:rPr>
      </w:pPr>
      <w:bookmarkStart w:id="10" w:name="_Hlk99622800"/>
      <w:r w:rsidRPr="007A2AF5">
        <w:rPr>
          <w:rFonts w:eastAsiaTheme="minorHAnsi"/>
        </w:rPr>
        <w:t xml:space="preserve">The net </w:t>
      </w:r>
      <w:r>
        <w:rPr>
          <w:rFonts w:eastAsiaTheme="minorHAnsi"/>
        </w:rPr>
        <w:t>income</w:t>
      </w:r>
      <w:r w:rsidRPr="007A2AF5">
        <w:rPr>
          <w:rFonts w:eastAsiaTheme="minorHAnsi"/>
        </w:rPr>
        <w:t xml:space="preserve"> for the </w:t>
      </w:r>
      <w:r>
        <w:rPr>
          <w:rFonts w:eastAsiaTheme="minorHAnsi"/>
        </w:rPr>
        <w:t>three</w:t>
      </w:r>
      <w:r w:rsidRPr="007A2AF5">
        <w:rPr>
          <w:rFonts w:eastAsiaTheme="minorHAnsi"/>
        </w:rPr>
        <w:t xml:space="preserve"> months ended </w:t>
      </w:r>
      <w:r>
        <w:rPr>
          <w:rFonts w:eastAsiaTheme="minorHAnsi"/>
        </w:rPr>
        <w:t>June 30</w:t>
      </w:r>
      <w:r w:rsidRPr="007A2AF5">
        <w:rPr>
          <w:rFonts w:eastAsiaTheme="minorHAnsi"/>
        </w:rPr>
        <w:t xml:space="preserve">, </w:t>
      </w:r>
      <w:proofErr w:type="gramStart"/>
      <w:r w:rsidRPr="007A2AF5">
        <w:rPr>
          <w:rFonts w:eastAsiaTheme="minorHAnsi"/>
        </w:rPr>
        <w:t>2022</w:t>
      </w:r>
      <w:proofErr w:type="gramEnd"/>
      <w:r w:rsidRPr="007A2AF5">
        <w:rPr>
          <w:rFonts w:eastAsiaTheme="minorHAnsi"/>
        </w:rPr>
        <w:t xml:space="preserve"> </w:t>
      </w:r>
      <w:r>
        <w:rPr>
          <w:rFonts w:eastAsiaTheme="minorHAnsi"/>
        </w:rPr>
        <w:t>decreased</w:t>
      </w:r>
      <w:r w:rsidRPr="007A2AF5">
        <w:rPr>
          <w:rFonts w:eastAsiaTheme="minorHAnsi"/>
        </w:rPr>
        <w:t xml:space="preserve"> by </w:t>
      </w:r>
      <w:r>
        <w:rPr>
          <w:rFonts w:eastAsiaTheme="minorHAnsi"/>
        </w:rPr>
        <w:t>98</w:t>
      </w:r>
      <w:r w:rsidRPr="007A2AF5">
        <w:rPr>
          <w:rFonts w:eastAsiaTheme="minorHAnsi"/>
        </w:rPr>
        <w:t xml:space="preserve">% compared to the net </w:t>
      </w:r>
      <w:r>
        <w:rPr>
          <w:rFonts w:eastAsiaTheme="minorHAnsi"/>
        </w:rPr>
        <w:t>income</w:t>
      </w:r>
      <w:r w:rsidRPr="007A2AF5">
        <w:rPr>
          <w:rFonts w:eastAsiaTheme="minorHAnsi"/>
        </w:rPr>
        <w:t xml:space="preserve"> for the </w:t>
      </w:r>
      <w:r>
        <w:rPr>
          <w:rFonts w:eastAsiaTheme="minorHAnsi"/>
        </w:rPr>
        <w:t>three</w:t>
      </w:r>
      <w:r w:rsidRPr="007A2AF5">
        <w:rPr>
          <w:rFonts w:eastAsiaTheme="minorHAnsi"/>
        </w:rPr>
        <w:t xml:space="preserve"> months ended </w:t>
      </w:r>
      <w:r>
        <w:rPr>
          <w:rFonts w:eastAsiaTheme="minorHAnsi"/>
        </w:rPr>
        <w:t>June 30</w:t>
      </w:r>
      <w:r w:rsidRPr="007A2AF5">
        <w:rPr>
          <w:rFonts w:eastAsiaTheme="minorHAnsi"/>
        </w:rPr>
        <w:t>, 2021 with $</w:t>
      </w:r>
      <w:r>
        <w:rPr>
          <w:rFonts w:eastAsiaTheme="minorHAnsi"/>
        </w:rPr>
        <w:t>46,246</w:t>
      </w:r>
      <w:r w:rsidRPr="007A2AF5">
        <w:rPr>
          <w:rFonts w:eastAsiaTheme="minorHAnsi"/>
        </w:rPr>
        <w:t xml:space="preserve"> recognized during the </w:t>
      </w:r>
      <w:r>
        <w:rPr>
          <w:rFonts w:eastAsiaTheme="minorHAnsi"/>
        </w:rPr>
        <w:t xml:space="preserve">three months ended June 30, 2022 </w:t>
      </w:r>
      <w:r w:rsidRPr="007A2AF5">
        <w:rPr>
          <w:rFonts w:eastAsiaTheme="minorHAnsi"/>
        </w:rPr>
        <w:t xml:space="preserve">as compared to a net </w:t>
      </w:r>
      <w:r>
        <w:rPr>
          <w:rFonts w:eastAsiaTheme="minorHAnsi"/>
        </w:rPr>
        <w:t>income</w:t>
      </w:r>
      <w:r w:rsidRPr="007A2AF5">
        <w:rPr>
          <w:rFonts w:eastAsiaTheme="minorHAnsi"/>
        </w:rPr>
        <w:t xml:space="preserve"> of $</w:t>
      </w:r>
      <w:r>
        <w:rPr>
          <w:rFonts w:eastAsiaTheme="minorHAnsi"/>
        </w:rPr>
        <w:t>1,912,161</w:t>
      </w:r>
      <w:r w:rsidRPr="007A2AF5">
        <w:rPr>
          <w:rFonts w:eastAsiaTheme="minorHAnsi"/>
        </w:rPr>
        <w:t xml:space="preserve"> for the </w:t>
      </w:r>
      <w:r>
        <w:rPr>
          <w:rFonts w:eastAsiaTheme="minorHAnsi"/>
        </w:rPr>
        <w:t>three months ended June 30, 2021</w:t>
      </w:r>
      <w:r w:rsidRPr="007A2AF5">
        <w:rPr>
          <w:rFonts w:eastAsiaTheme="minorHAnsi"/>
        </w:rPr>
        <w:t xml:space="preserve">. </w:t>
      </w:r>
    </w:p>
    <w:p w14:paraId="40B1153B" w14:textId="77777777" w:rsidR="00566302" w:rsidRDefault="0069460F" w:rsidP="00C95A74">
      <w:pPr>
        <w:jc w:val="both"/>
        <w:rPr>
          <w:rFonts w:eastAsiaTheme="minorHAnsi"/>
        </w:rPr>
      </w:pPr>
      <w:r w:rsidRPr="007A2AF5">
        <w:rPr>
          <w:rFonts w:eastAsiaTheme="minorHAnsi"/>
        </w:rPr>
        <w:t xml:space="preserve">The net loss for the </w:t>
      </w:r>
      <w:r w:rsidR="00993BD3">
        <w:rPr>
          <w:rFonts w:eastAsiaTheme="minorHAnsi"/>
        </w:rPr>
        <w:t>six</w:t>
      </w:r>
      <w:r w:rsidR="00515D32" w:rsidRPr="007A2AF5">
        <w:rPr>
          <w:rFonts w:eastAsiaTheme="minorHAnsi"/>
        </w:rPr>
        <w:t xml:space="preserve"> months ended </w:t>
      </w:r>
      <w:r w:rsidR="00993BD3">
        <w:rPr>
          <w:rFonts w:eastAsiaTheme="minorHAnsi"/>
        </w:rPr>
        <w:t>June 30</w:t>
      </w:r>
      <w:r w:rsidRPr="007A2AF5">
        <w:rPr>
          <w:rFonts w:eastAsiaTheme="minorHAnsi"/>
        </w:rPr>
        <w:t xml:space="preserve">, </w:t>
      </w:r>
      <w:proofErr w:type="gramStart"/>
      <w:r w:rsidRPr="007A2AF5">
        <w:rPr>
          <w:rFonts w:eastAsiaTheme="minorHAnsi"/>
        </w:rPr>
        <w:t>202</w:t>
      </w:r>
      <w:r w:rsidR="00515D32" w:rsidRPr="007A2AF5">
        <w:rPr>
          <w:rFonts w:eastAsiaTheme="minorHAnsi"/>
        </w:rPr>
        <w:t>2</w:t>
      </w:r>
      <w:proofErr w:type="gramEnd"/>
      <w:r w:rsidRPr="007A2AF5">
        <w:rPr>
          <w:rFonts w:eastAsiaTheme="minorHAnsi"/>
        </w:rPr>
        <w:t xml:space="preserve"> </w:t>
      </w:r>
      <w:r w:rsidR="0026655A">
        <w:rPr>
          <w:rFonts w:eastAsiaTheme="minorHAnsi"/>
        </w:rPr>
        <w:t>decreased</w:t>
      </w:r>
      <w:r w:rsidR="00F77AE1" w:rsidRPr="007A2AF5">
        <w:rPr>
          <w:rFonts w:eastAsiaTheme="minorHAnsi"/>
        </w:rPr>
        <w:t xml:space="preserve"> </w:t>
      </w:r>
      <w:r w:rsidR="00D25F7D" w:rsidRPr="007A2AF5">
        <w:rPr>
          <w:rFonts w:eastAsiaTheme="minorHAnsi"/>
        </w:rPr>
        <w:t xml:space="preserve">by </w:t>
      </w:r>
      <w:r w:rsidR="007D1C16">
        <w:rPr>
          <w:rFonts w:eastAsiaTheme="minorHAnsi"/>
        </w:rPr>
        <w:t>7</w:t>
      </w:r>
      <w:r w:rsidR="00A74798">
        <w:rPr>
          <w:rFonts w:eastAsiaTheme="minorHAnsi"/>
        </w:rPr>
        <w:t>5</w:t>
      </w:r>
      <w:r w:rsidR="00D25F7D" w:rsidRPr="007A2AF5">
        <w:rPr>
          <w:rFonts w:eastAsiaTheme="minorHAnsi"/>
        </w:rPr>
        <w:t>%</w:t>
      </w:r>
      <w:r w:rsidR="00515D32" w:rsidRPr="007A2AF5">
        <w:rPr>
          <w:rFonts w:eastAsiaTheme="minorHAnsi"/>
        </w:rPr>
        <w:t xml:space="preserve"> compared to the net loss for the </w:t>
      </w:r>
      <w:r w:rsidR="0026655A">
        <w:rPr>
          <w:rFonts w:eastAsiaTheme="minorHAnsi"/>
        </w:rPr>
        <w:t>six</w:t>
      </w:r>
      <w:r w:rsidR="00515D32" w:rsidRPr="007A2AF5">
        <w:rPr>
          <w:rFonts w:eastAsiaTheme="minorHAnsi"/>
        </w:rPr>
        <w:t xml:space="preserve"> months ended </w:t>
      </w:r>
      <w:r w:rsidR="0026655A">
        <w:rPr>
          <w:rFonts w:eastAsiaTheme="minorHAnsi"/>
        </w:rPr>
        <w:t>June 30</w:t>
      </w:r>
      <w:r w:rsidR="00515D32" w:rsidRPr="007A2AF5">
        <w:rPr>
          <w:rFonts w:eastAsiaTheme="minorHAnsi"/>
        </w:rPr>
        <w:t>, 2021</w:t>
      </w:r>
      <w:r w:rsidR="00D25F7D" w:rsidRPr="007A2AF5">
        <w:rPr>
          <w:rFonts w:eastAsiaTheme="minorHAnsi"/>
        </w:rPr>
        <w:t xml:space="preserve"> with </w:t>
      </w:r>
      <w:r w:rsidRPr="007A2AF5">
        <w:rPr>
          <w:rFonts w:eastAsiaTheme="minorHAnsi"/>
        </w:rPr>
        <w:t>$</w:t>
      </w:r>
      <w:r w:rsidR="00A74798">
        <w:rPr>
          <w:rFonts w:eastAsiaTheme="minorHAnsi"/>
        </w:rPr>
        <w:t>1</w:t>
      </w:r>
      <w:r w:rsidR="0026655A">
        <w:rPr>
          <w:rFonts w:eastAsiaTheme="minorHAnsi"/>
        </w:rPr>
        <w:t>,</w:t>
      </w:r>
      <w:r w:rsidR="00A74798">
        <w:rPr>
          <w:rFonts w:eastAsiaTheme="minorHAnsi"/>
        </w:rPr>
        <w:t>88</w:t>
      </w:r>
      <w:r w:rsidR="00F93627">
        <w:rPr>
          <w:rFonts w:eastAsiaTheme="minorHAnsi"/>
        </w:rPr>
        <w:t>4</w:t>
      </w:r>
      <w:r w:rsidR="0026655A">
        <w:rPr>
          <w:rFonts w:eastAsiaTheme="minorHAnsi"/>
        </w:rPr>
        <w:t>,</w:t>
      </w:r>
      <w:r w:rsidR="00F93627">
        <w:rPr>
          <w:rFonts w:eastAsiaTheme="minorHAnsi"/>
        </w:rPr>
        <w:t>929</w:t>
      </w:r>
      <w:r w:rsidRPr="007A2AF5">
        <w:rPr>
          <w:rFonts w:eastAsiaTheme="minorHAnsi"/>
        </w:rPr>
        <w:t xml:space="preserve"> </w:t>
      </w:r>
      <w:r w:rsidR="00D25F7D" w:rsidRPr="007A2AF5">
        <w:rPr>
          <w:rFonts w:eastAsiaTheme="minorHAnsi"/>
        </w:rPr>
        <w:t xml:space="preserve">recognized during the </w:t>
      </w:r>
      <w:r w:rsidR="0026655A">
        <w:rPr>
          <w:rFonts w:eastAsiaTheme="minorHAnsi"/>
        </w:rPr>
        <w:t xml:space="preserve">six months ended June 30, 2022 </w:t>
      </w:r>
      <w:r w:rsidR="00D25F7D" w:rsidRPr="007A2AF5">
        <w:rPr>
          <w:rFonts w:eastAsiaTheme="minorHAnsi"/>
        </w:rPr>
        <w:t>as compared to a net loss of $</w:t>
      </w:r>
      <w:r w:rsidR="0026655A">
        <w:rPr>
          <w:rFonts w:eastAsiaTheme="minorHAnsi"/>
        </w:rPr>
        <w:t>7,442,627</w:t>
      </w:r>
      <w:r w:rsidR="00D25F7D" w:rsidRPr="007A2AF5">
        <w:rPr>
          <w:rFonts w:eastAsiaTheme="minorHAnsi"/>
        </w:rPr>
        <w:t xml:space="preserve"> for the </w:t>
      </w:r>
      <w:r w:rsidR="0026655A">
        <w:rPr>
          <w:rFonts w:eastAsiaTheme="minorHAnsi"/>
        </w:rPr>
        <w:t>six months ended June 30, 2021</w:t>
      </w:r>
      <w:r w:rsidR="00D25F7D" w:rsidRPr="007A2AF5">
        <w:rPr>
          <w:rFonts w:eastAsiaTheme="minorHAnsi"/>
        </w:rPr>
        <w:t xml:space="preserve">. </w:t>
      </w:r>
    </w:p>
    <w:p w14:paraId="64AF37D6" w14:textId="1F45B3F5" w:rsidR="00566302" w:rsidRPr="007A2AF5" w:rsidRDefault="00D25F7D" w:rsidP="00C95A74">
      <w:pPr>
        <w:jc w:val="both"/>
        <w:rPr>
          <w:rFonts w:eastAsiaTheme="minorHAnsi"/>
          <w:i/>
          <w:iCs/>
        </w:rPr>
      </w:pPr>
      <w:r w:rsidRPr="007A2AF5">
        <w:rPr>
          <w:rFonts w:eastAsiaTheme="minorHAnsi"/>
        </w:rPr>
        <w:lastRenderedPageBreak/>
        <w:t xml:space="preserve">Factors contributing to the net </w:t>
      </w:r>
      <w:r w:rsidR="00566302">
        <w:rPr>
          <w:rFonts w:eastAsiaTheme="minorHAnsi"/>
        </w:rPr>
        <w:t>income/</w:t>
      </w:r>
      <w:r w:rsidRPr="007A2AF5">
        <w:rPr>
          <w:rFonts w:eastAsiaTheme="minorHAnsi"/>
        </w:rPr>
        <w:t xml:space="preserve">loss for the </w:t>
      </w:r>
      <w:proofErr w:type="gramStart"/>
      <w:r w:rsidR="00566302">
        <w:rPr>
          <w:rFonts w:eastAsiaTheme="minorHAnsi"/>
        </w:rPr>
        <w:t>three and six month</w:t>
      </w:r>
      <w:proofErr w:type="gramEnd"/>
      <w:r w:rsidR="00566302">
        <w:rPr>
          <w:rFonts w:eastAsiaTheme="minorHAnsi"/>
        </w:rPr>
        <w:t xml:space="preserve"> </w:t>
      </w:r>
      <w:r w:rsidR="0026655A">
        <w:rPr>
          <w:rFonts w:eastAsiaTheme="minorHAnsi"/>
        </w:rPr>
        <w:t>period</w:t>
      </w:r>
      <w:r w:rsidRPr="007A2AF5">
        <w:rPr>
          <w:rFonts w:eastAsiaTheme="minorHAnsi"/>
        </w:rPr>
        <w:t xml:space="preserve"> included the following:</w:t>
      </w:r>
      <w:r w:rsidR="0069460F" w:rsidRPr="007A2AF5">
        <w:rPr>
          <w:rFonts w:eastAsiaTheme="minorHAnsi"/>
        </w:rPr>
        <w:t xml:space="preserve"> </w:t>
      </w:r>
    </w:p>
    <w:p w14:paraId="4D6D7465" w14:textId="259E2FA3" w:rsidR="00E43F8A" w:rsidRPr="007A2AF5" w:rsidRDefault="00E43F8A" w:rsidP="00C95A74">
      <w:pPr>
        <w:rPr>
          <w:rFonts w:eastAsiaTheme="minorHAnsi"/>
          <w:b/>
          <w:bCs/>
          <w:i/>
          <w:iCs/>
          <w:lang w:val="en-CA"/>
        </w:rPr>
      </w:pPr>
      <w:r w:rsidRPr="007A2AF5">
        <w:rPr>
          <w:rFonts w:eastAsiaTheme="minorHAnsi"/>
          <w:b/>
          <w:bCs/>
          <w:i/>
          <w:iCs/>
          <w:lang w:val="en-CA"/>
        </w:rPr>
        <w:t>Revenue</w:t>
      </w:r>
    </w:p>
    <w:p w14:paraId="7A1EB56A" w14:textId="68EE636E" w:rsidR="00566302" w:rsidRPr="007A2AF5" w:rsidRDefault="00566302" w:rsidP="00566302">
      <w:pPr>
        <w:jc w:val="both"/>
        <w:rPr>
          <w:color w:val="000000"/>
        </w:rPr>
      </w:pPr>
      <w:r w:rsidRPr="007A2AF5">
        <w:rPr>
          <w:color w:val="000000"/>
        </w:rPr>
        <w:t>Revenues increased by $</w:t>
      </w:r>
      <w:r>
        <w:rPr>
          <w:color w:val="000000"/>
        </w:rPr>
        <w:t>484,718</w:t>
      </w:r>
      <w:r w:rsidRPr="007A2AF5">
        <w:rPr>
          <w:color w:val="000000"/>
        </w:rPr>
        <w:t xml:space="preserve"> from $</w:t>
      </w:r>
      <w:r>
        <w:rPr>
          <w:color w:val="000000"/>
        </w:rPr>
        <w:t>1,013,255</w:t>
      </w:r>
      <w:r w:rsidRPr="007A2AF5">
        <w:rPr>
          <w:color w:val="000000"/>
        </w:rPr>
        <w:t xml:space="preserve"> for the </w:t>
      </w:r>
      <w:r>
        <w:rPr>
          <w:color w:val="000000"/>
        </w:rPr>
        <w:t>three</w:t>
      </w:r>
      <w:r w:rsidRPr="007A2AF5">
        <w:rPr>
          <w:color w:val="000000"/>
        </w:rPr>
        <w:t xml:space="preserve"> months ended </w:t>
      </w:r>
      <w:r>
        <w:rPr>
          <w:color w:val="000000"/>
        </w:rPr>
        <w:t>June 30</w:t>
      </w:r>
      <w:r w:rsidRPr="007A2AF5">
        <w:rPr>
          <w:color w:val="000000"/>
        </w:rPr>
        <w:t xml:space="preserve">, </w:t>
      </w:r>
      <w:proofErr w:type="gramStart"/>
      <w:r w:rsidRPr="007A2AF5">
        <w:rPr>
          <w:color w:val="000000"/>
        </w:rPr>
        <w:t>2021</w:t>
      </w:r>
      <w:proofErr w:type="gramEnd"/>
      <w:r w:rsidRPr="007A2AF5">
        <w:rPr>
          <w:color w:val="000000"/>
        </w:rPr>
        <w:t xml:space="preserve"> to $</w:t>
      </w:r>
      <w:r>
        <w:rPr>
          <w:color w:val="000000"/>
        </w:rPr>
        <w:t>1,497,973</w:t>
      </w:r>
      <w:r w:rsidRPr="007A2AF5">
        <w:rPr>
          <w:color w:val="000000"/>
        </w:rPr>
        <w:t xml:space="preserve"> for the </w:t>
      </w:r>
      <w:r>
        <w:rPr>
          <w:color w:val="000000"/>
        </w:rPr>
        <w:t>three</w:t>
      </w:r>
      <w:r w:rsidRPr="007A2AF5">
        <w:rPr>
          <w:color w:val="000000"/>
        </w:rPr>
        <w:t xml:space="preserve"> months ended </w:t>
      </w:r>
      <w:r>
        <w:rPr>
          <w:color w:val="000000"/>
        </w:rPr>
        <w:t>June 30</w:t>
      </w:r>
      <w:r w:rsidRPr="007A2AF5">
        <w:rPr>
          <w:color w:val="000000"/>
        </w:rPr>
        <w:t xml:space="preserve">, 2022. The increase is primarily due to an increase in the sale price of oil and gas realized in </w:t>
      </w:r>
      <w:r>
        <w:rPr>
          <w:color w:val="000000"/>
        </w:rPr>
        <w:t>the first half of</w:t>
      </w:r>
      <w:r w:rsidRPr="007A2AF5">
        <w:rPr>
          <w:color w:val="000000"/>
        </w:rPr>
        <w:t xml:space="preserve"> 2022 compared to </w:t>
      </w:r>
      <w:r>
        <w:rPr>
          <w:color w:val="000000"/>
        </w:rPr>
        <w:t>the first half of</w:t>
      </w:r>
      <w:r w:rsidRPr="007A2AF5">
        <w:rPr>
          <w:color w:val="000000"/>
        </w:rPr>
        <w:t xml:space="preserve"> 2021</w:t>
      </w:r>
      <w:r>
        <w:rPr>
          <w:color w:val="000000"/>
        </w:rPr>
        <w:t>. This is partially offset by a decrease in sales volume for the first half of 2022 compared to the first half of 2021.</w:t>
      </w:r>
    </w:p>
    <w:p w14:paraId="1147254A" w14:textId="5C808B6F" w:rsidR="00E43F8A" w:rsidRPr="007A2AF5" w:rsidRDefault="00E43F8A" w:rsidP="00C95A74">
      <w:pPr>
        <w:jc w:val="both"/>
        <w:rPr>
          <w:color w:val="000000"/>
        </w:rPr>
      </w:pPr>
      <w:r w:rsidRPr="007A2AF5">
        <w:rPr>
          <w:color w:val="000000"/>
        </w:rPr>
        <w:t>Revenues increased by $</w:t>
      </w:r>
      <w:r w:rsidR="0026655A">
        <w:rPr>
          <w:color w:val="000000"/>
        </w:rPr>
        <w:t>553,781</w:t>
      </w:r>
      <w:r w:rsidRPr="007A2AF5">
        <w:rPr>
          <w:color w:val="000000"/>
        </w:rPr>
        <w:t xml:space="preserve"> from $</w:t>
      </w:r>
      <w:r w:rsidR="0026655A">
        <w:rPr>
          <w:color w:val="000000"/>
        </w:rPr>
        <w:t>1,957,817</w:t>
      </w:r>
      <w:r w:rsidRPr="007A2AF5">
        <w:rPr>
          <w:color w:val="000000"/>
        </w:rPr>
        <w:t xml:space="preserve"> </w:t>
      </w:r>
      <w:r w:rsidR="005F3E35" w:rsidRPr="007A2AF5">
        <w:rPr>
          <w:color w:val="000000"/>
        </w:rPr>
        <w:t xml:space="preserve">for the </w:t>
      </w:r>
      <w:r w:rsidR="0026655A">
        <w:rPr>
          <w:color w:val="000000"/>
        </w:rPr>
        <w:t>six</w:t>
      </w:r>
      <w:r w:rsidR="005F3E35" w:rsidRPr="007A2AF5">
        <w:rPr>
          <w:color w:val="000000"/>
        </w:rPr>
        <w:t xml:space="preserve"> months ended </w:t>
      </w:r>
      <w:r w:rsidR="0026655A">
        <w:rPr>
          <w:color w:val="000000"/>
        </w:rPr>
        <w:t>June 30</w:t>
      </w:r>
      <w:r w:rsidR="005F3E35" w:rsidRPr="007A2AF5">
        <w:rPr>
          <w:color w:val="000000"/>
        </w:rPr>
        <w:t xml:space="preserve">, </w:t>
      </w:r>
      <w:proofErr w:type="gramStart"/>
      <w:r w:rsidR="005F3E35" w:rsidRPr="007A2AF5">
        <w:rPr>
          <w:color w:val="000000"/>
        </w:rPr>
        <w:t>2021</w:t>
      </w:r>
      <w:proofErr w:type="gramEnd"/>
      <w:r w:rsidRPr="007A2AF5">
        <w:rPr>
          <w:color w:val="000000"/>
        </w:rPr>
        <w:t xml:space="preserve"> to $</w:t>
      </w:r>
      <w:r w:rsidR="0026655A">
        <w:rPr>
          <w:color w:val="000000"/>
        </w:rPr>
        <w:t>2,511,598</w:t>
      </w:r>
      <w:r w:rsidR="005F3E35" w:rsidRPr="007A2AF5">
        <w:rPr>
          <w:color w:val="000000"/>
        </w:rPr>
        <w:t xml:space="preserve"> for the </w:t>
      </w:r>
      <w:r w:rsidR="0026655A">
        <w:rPr>
          <w:color w:val="000000"/>
        </w:rPr>
        <w:t>six</w:t>
      </w:r>
      <w:r w:rsidR="0026655A" w:rsidRPr="007A2AF5">
        <w:rPr>
          <w:color w:val="000000"/>
        </w:rPr>
        <w:t xml:space="preserve"> </w:t>
      </w:r>
      <w:r w:rsidR="005F3E35" w:rsidRPr="007A2AF5">
        <w:rPr>
          <w:color w:val="000000"/>
        </w:rPr>
        <w:t xml:space="preserve">months ended </w:t>
      </w:r>
      <w:r w:rsidR="0026655A">
        <w:rPr>
          <w:color w:val="000000"/>
        </w:rPr>
        <w:t>June 30</w:t>
      </w:r>
      <w:r w:rsidR="005F3E35" w:rsidRPr="007A2AF5">
        <w:rPr>
          <w:color w:val="000000"/>
        </w:rPr>
        <w:t>, 2022</w:t>
      </w:r>
      <w:r w:rsidRPr="007A2AF5">
        <w:rPr>
          <w:color w:val="000000"/>
        </w:rPr>
        <w:t xml:space="preserve">. The increase is primarily due to </w:t>
      </w:r>
      <w:r w:rsidR="005F3E35" w:rsidRPr="007A2AF5">
        <w:rPr>
          <w:color w:val="000000"/>
        </w:rPr>
        <w:t xml:space="preserve">an increase in the sale price of oil and gas realized in </w:t>
      </w:r>
      <w:r w:rsidR="0026655A">
        <w:rPr>
          <w:color w:val="000000"/>
        </w:rPr>
        <w:t>the first half of</w:t>
      </w:r>
      <w:r w:rsidR="005F3E35" w:rsidRPr="007A2AF5">
        <w:rPr>
          <w:color w:val="000000"/>
        </w:rPr>
        <w:t xml:space="preserve"> 2022 compared to </w:t>
      </w:r>
      <w:r w:rsidR="0026655A">
        <w:rPr>
          <w:color w:val="000000"/>
        </w:rPr>
        <w:t>the first half of</w:t>
      </w:r>
      <w:r w:rsidR="005F3E35" w:rsidRPr="007A2AF5">
        <w:rPr>
          <w:color w:val="000000"/>
        </w:rPr>
        <w:t xml:space="preserve"> 2021</w:t>
      </w:r>
      <w:r w:rsidR="00B16C64">
        <w:rPr>
          <w:color w:val="000000"/>
        </w:rPr>
        <w:t xml:space="preserve">. This is </w:t>
      </w:r>
      <w:r w:rsidR="00880FBC">
        <w:rPr>
          <w:color w:val="000000"/>
        </w:rPr>
        <w:t xml:space="preserve">partially </w:t>
      </w:r>
      <w:r w:rsidR="00B16C64">
        <w:rPr>
          <w:color w:val="000000"/>
        </w:rPr>
        <w:t>offset by a decrease in sales volume for the first half of 2022 compared to the first half of 2021.</w:t>
      </w:r>
    </w:p>
    <w:p w14:paraId="253FA6FA" w14:textId="19217776" w:rsidR="00E43F8A" w:rsidRPr="007A2AF5" w:rsidRDefault="00E43F8A" w:rsidP="00C95A74">
      <w:pPr>
        <w:pStyle w:val="NormalWeb"/>
        <w:spacing w:before="0" w:beforeAutospacing="0" w:after="0" w:afterAutospacing="0"/>
        <w:jc w:val="both"/>
        <w:rPr>
          <w:b/>
          <w:bCs/>
          <w:i/>
          <w:iCs/>
          <w:sz w:val="20"/>
          <w:szCs w:val="20"/>
        </w:rPr>
      </w:pPr>
      <w:r w:rsidRPr="007A2AF5">
        <w:rPr>
          <w:b/>
          <w:bCs/>
          <w:i/>
          <w:iCs/>
          <w:sz w:val="20"/>
          <w:szCs w:val="20"/>
        </w:rPr>
        <w:t>Expenses</w:t>
      </w:r>
    </w:p>
    <w:p w14:paraId="33F0B3E6" w14:textId="77777777" w:rsidR="0084196A" w:rsidRPr="007A2AF5" w:rsidRDefault="0084196A" w:rsidP="00C95A74">
      <w:pPr>
        <w:pStyle w:val="NormalWeb"/>
        <w:spacing w:before="0" w:beforeAutospacing="0" w:after="0" w:afterAutospacing="0"/>
        <w:jc w:val="both"/>
        <w:rPr>
          <w:sz w:val="20"/>
          <w:szCs w:val="20"/>
        </w:rPr>
      </w:pPr>
    </w:p>
    <w:p w14:paraId="20F6D7EC" w14:textId="177D843F" w:rsidR="00161810" w:rsidRPr="007A2AF5" w:rsidRDefault="00161810" w:rsidP="00161810">
      <w:pPr>
        <w:pStyle w:val="NormalWeb"/>
        <w:spacing w:before="0" w:beforeAutospacing="0" w:after="0" w:afterAutospacing="0"/>
        <w:jc w:val="both"/>
        <w:rPr>
          <w:sz w:val="20"/>
          <w:szCs w:val="20"/>
        </w:rPr>
      </w:pPr>
      <w:r w:rsidRPr="007A2AF5">
        <w:rPr>
          <w:sz w:val="20"/>
          <w:szCs w:val="20"/>
        </w:rPr>
        <w:t xml:space="preserve">For the </w:t>
      </w:r>
      <w:r>
        <w:rPr>
          <w:sz w:val="20"/>
          <w:szCs w:val="20"/>
        </w:rPr>
        <w:t>three</w:t>
      </w:r>
      <w:r w:rsidRPr="007A2AF5">
        <w:rPr>
          <w:sz w:val="20"/>
          <w:szCs w:val="20"/>
        </w:rPr>
        <w:t xml:space="preserve"> months ended </w:t>
      </w:r>
      <w:r>
        <w:rPr>
          <w:sz w:val="20"/>
          <w:szCs w:val="20"/>
        </w:rPr>
        <w:t>June 30</w:t>
      </w:r>
      <w:r w:rsidRPr="007A2AF5">
        <w:rPr>
          <w:sz w:val="20"/>
          <w:szCs w:val="20"/>
        </w:rPr>
        <w:t>, 2022, the Company incurred production expenses related to its Turkey operations of $</w:t>
      </w:r>
      <w:r>
        <w:rPr>
          <w:sz w:val="20"/>
          <w:szCs w:val="20"/>
        </w:rPr>
        <w:t>735,087</w:t>
      </w:r>
      <w:r w:rsidRPr="007A2AF5">
        <w:rPr>
          <w:sz w:val="20"/>
          <w:szCs w:val="20"/>
        </w:rPr>
        <w:t xml:space="preserve"> (2021 - $</w:t>
      </w:r>
      <w:r>
        <w:rPr>
          <w:sz w:val="20"/>
          <w:szCs w:val="20"/>
        </w:rPr>
        <w:t>601,633</w:t>
      </w:r>
      <w:r w:rsidRPr="007A2AF5">
        <w:rPr>
          <w:sz w:val="20"/>
          <w:szCs w:val="20"/>
        </w:rPr>
        <w:t>), depletion charges of $</w:t>
      </w:r>
      <w:r>
        <w:rPr>
          <w:sz w:val="20"/>
          <w:szCs w:val="20"/>
        </w:rPr>
        <w:t>82,324</w:t>
      </w:r>
      <w:r w:rsidRPr="007A2AF5">
        <w:rPr>
          <w:sz w:val="20"/>
          <w:szCs w:val="20"/>
        </w:rPr>
        <w:t xml:space="preserve"> (2021 - $</w:t>
      </w:r>
      <w:r>
        <w:rPr>
          <w:sz w:val="20"/>
          <w:szCs w:val="20"/>
        </w:rPr>
        <w:t>124,612</w:t>
      </w:r>
      <w:r w:rsidRPr="007A2AF5">
        <w:rPr>
          <w:sz w:val="20"/>
          <w:szCs w:val="20"/>
        </w:rPr>
        <w:t>), depreciation expense of $</w:t>
      </w:r>
      <w:r>
        <w:rPr>
          <w:sz w:val="20"/>
          <w:szCs w:val="20"/>
        </w:rPr>
        <w:t>32,796</w:t>
      </w:r>
      <w:r w:rsidRPr="007A2AF5">
        <w:rPr>
          <w:sz w:val="20"/>
          <w:szCs w:val="20"/>
        </w:rPr>
        <w:t xml:space="preserve"> (2021 - $</w:t>
      </w:r>
      <w:r>
        <w:rPr>
          <w:sz w:val="20"/>
          <w:szCs w:val="20"/>
        </w:rPr>
        <w:t>6,801</w:t>
      </w:r>
      <w:r w:rsidRPr="007A2AF5">
        <w:rPr>
          <w:sz w:val="20"/>
          <w:szCs w:val="20"/>
        </w:rPr>
        <w:t xml:space="preserve">) and asset retirement obligation accretion </w:t>
      </w:r>
      <w:r>
        <w:rPr>
          <w:sz w:val="20"/>
          <w:szCs w:val="20"/>
        </w:rPr>
        <w:t>recovery</w:t>
      </w:r>
      <w:r w:rsidRPr="007A2AF5">
        <w:rPr>
          <w:sz w:val="20"/>
          <w:szCs w:val="20"/>
        </w:rPr>
        <w:t xml:space="preserve"> of $</w:t>
      </w:r>
      <w:r>
        <w:rPr>
          <w:sz w:val="20"/>
          <w:szCs w:val="20"/>
        </w:rPr>
        <w:t>141,923</w:t>
      </w:r>
      <w:r w:rsidRPr="007A2AF5">
        <w:rPr>
          <w:sz w:val="20"/>
          <w:szCs w:val="20"/>
        </w:rPr>
        <w:t xml:space="preserve"> (2021 </w:t>
      </w:r>
      <w:r>
        <w:rPr>
          <w:sz w:val="20"/>
          <w:szCs w:val="20"/>
        </w:rPr>
        <w:t>–</w:t>
      </w:r>
      <w:r w:rsidRPr="007A2AF5">
        <w:rPr>
          <w:sz w:val="20"/>
          <w:szCs w:val="20"/>
        </w:rPr>
        <w:t xml:space="preserve"> </w:t>
      </w:r>
      <w:r>
        <w:rPr>
          <w:sz w:val="20"/>
          <w:szCs w:val="20"/>
        </w:rPr>
        <w:t xml:space="preserve">expense of </w:t>
      </w:r>
      <w:r w:rsidRPr="007A2AF5">
        <w:rPr>
          <w:sz w:val="20"/>
          <w:szCs w:val="20"/>
        </w:rPr>
        <w:t>$</w:t>
      </w:r>
      <w:r>
        <w:rPr>
          <w:sz w:val="20"/>
          <w:szCs w:val="20"/>
        </w:rPr>
        <w:t>22,954</w:t>
      </w:r>
      <w:r w:rsidRPr="007A2AF5">
        <w:rPr>
          <w:sz w:val="20"/>
          <w:szCs w:val="20"/>
        </w:rPr>
        <w:t xml:space="preserve">). Production expenses </w:t>
      </w:r>
      <w:r>
        <w:rPr>
          <w:sz w:val="20"/>
          <w:szCs w:val="20"/>
        </w:rPr>
        <w:t>increased</w:t>
      </w:r>
      <w:r w:rsidRPr="007A2AF5">
        <w:rPr>
          <w:sz w:val="20"/>
          <w:szCs w:val="20"/>
        </w:rPr>
        <w:t xml:space="preserve"> by $</w:t>
      </w:r>
      <w:r>
        <w:rPr>
          <w:sz w:val="20"/>
          <w:szCs w:val="20"/>
        </w:rPr>
        <w:t>133,454</w:t>
      </w:r>
      <w:r w:rsidR="004C2EE0">
        <w:rPr>
          <w:sz w:val="20"/>
          <w:szCs w:val="20"/>
        </w:rPr>
        <w:t xml:space="preserve"> due to workovers</w:t>
      </w:r>
      <w:r>
        <w:rPr>
          <w:sz w:val="20"/>
          <w:szCs w:val="20"/>
        </w:rPr>
        <w:t xml:space="preserve">. </w:t>
      </w:r>
      <w:r w:rsidRPr="007A2AF5">
        <w:rPr>
          <w:sz w:val="20"/>
          <w:szCs w:val="20"/>
        </w:rPr>
        <w:t xml:space="preserve">Depletion </w:t>
      </w:r>
      <w:r>
        <w:rPr>
          <w:sz w:val="20"/>
          <w:szCs w:val="20"/>
        </w:rPr>
        <w:t xml:space="preserve">decreased by $42,288 </w:t>
      </w:r>
      <w:proofErr w:type="gramStart"/>
      <w:r>
        <w:rPr>
          <w:sz w:val="20"/>
          <w:szCs w:val="20"/>
        </w:rPr>
        <w:t>as a result of</w:t>
      </w:r>
      <w:proofErr w:type="gramEnd"/>
      <w:r>
        <w:rPr>
          <w:sz w:val="20"/>
          <w:szCs w:val="20"/>
        </w:rPr>
        <w:t xml:space="preserve"> production levels</w:t>
      </w:r>
      <w:r w:rsidR="00CC7921">
        <w:rPr>
          <w:sz w:val="20"/>
          <w:szCs w:val="20"/>
        </w:rPr>
        <w:t xml:space="preserve"> decreasing</w:t>
      </w:r>
      <w:r>
        <w:rPr>
          <w:sz w:val="20"/>
          <w:szCs w:val="20"/>
        </w:rPr>
        <w:t xml:space="preserve">, while </w:t>
      </w:r>
      <w:r w:rsidRPr="007A2AF5">
        <w:rPr>
          <w:sz w:val="20"/>
          <w:szCs w:val="20"/>
        </w:rPr>
        <w:t xml:space="preserve">depreciation expenses </w:t>
      </w:r>
      <w:r>
        <w:rPr>
          <w:sz w:val="20"/>
          <w:szCs w:val="20"/>
        </w:rPr>
        <w:t>increased due to the purchase of additional equipment during the first half of 2022</w:t>
      </w:r>
      <w:r w:rsidRPr="007A2AF5">
        <w:rPr>
          <w:sz w:val="20"/>
          <w:szCs w:val="20"/>
        </w:rPr>
        <w:t xml:space="preserve">. </w:t>
      </w:r>
      <w:r>
        <w:rPr>
          <w:sz w:val="20"/>
          <w:szCs w:val="20"/>
        </w:rPr>
        <w:t>A recovery of a</w:t>
      </w:r>
      <w:r w:rsidRPr="007A2AF5">
        <w:rPr>
          <w:sz w:val="20"/>
          <w:szCs w:val="20"/>
        </w:rPr>
        <w:t xml:space="preserve">ccretion of asset retirement costs </w:t>
      </w:r>
      <w:r>
        <w:rPr>
          <w:sz w:val="20"/>
          <w:szCs w:val="20"/>
        </w:rPr>
        <w:t>of</w:t>
      </w:r>
      <w:r w:rsidRPr="007A2AF5">
        <w:rPr>
          <w:sz w:val="20"/>
          <w:szCs w:val="20"/>
        </w:rPr>
        <w:t xml:space="preserve"> $</w:t>
      </w:r>
      <w:r>
        <w:rPr>
          <w:sz w:val="20"/>
          <w:szCs w:val="20"/>
        </w:rPr>
        <w:t xml:space="preserve">141,923 was recognized due to </w:t>
      </w:r>
      <w:r w:rsidR="006C0DB4">
        <w:rPr>
          <w:sz w:val="20"/>
          <w:szCs w:val="20"/>
        </w:rPr>
        <w:t xml:space="preserve">a change in estimate for the three months ended June 30, </w:t>
      </w:r>
      <w:proofErr w:type="gramStart"/>
      <w:r w:rsidR="006C0DB4">
        <w:rPr>
          <w:sz w:val="20"/>
          <w:szCs w:val="20"/>
        </w:rPr>
        <w:t>2022</w:t>
      </w:r>
      <w:proofErr w:type="gramEnd"/>
      <w:r w:rsidR="006C0DB4">
        <w:rPr>
          <w:sz w:val="20"/>
          <w:szCs w:val="20"/>
        </w:rPr>
        <w:t xml:space="preserve"> from the three months ended March 31, 2022.</w:t>
      </w:r>
    </w:p>
    <w:p w14:paraId="38C6453D" w14:textId="77777777" w:rsidR="00161810" w:rsidRPr="007A2AF5" w:rsidRDefault="00161810" w:rsidP="00161810">
      <w:pPr>
        <w:spacing w:after="0"/>
        <w:rPr>
          <w:rFonts w:eastAsiaTheme="minorHAnsi"/>
        </w:rPr>
      </w:pPr>
    </w:p>
    <w:p w14:paraId="295AFA19" w14:textId="78115C80" w:rsidR="00161810" w:rsidRPr="007A2AF5" w:rsidRDefault="00161810" w:rsidP="00161810">
      <w:pPr>
        <w:pStyle w:val="NormalWeb"/>
        <w:spacing w:before="0" w:beforeAutospacing="0" w:after="0" w:afterAutospacing="0"/>
        <w:jc w:val="both"/>
        <w:rPr>
          <w:sz w:val="20"/>
          <w:szCs w:val="20"/>
        </w:rPr>
      </w:pPr>
      <w:r w:rsidRPr="007A2AF5">
        <w:rPr>
          <w:sz w:val="20"/>
          <w:szCs w:val="20"/>
        </w:rPr>
        <w:t xml:space="preserve">For the </w:t>
      </w:r>
      <w:r w:rsidR="006C0DB4">
        <w:rPr>
          <w:sz w:val="20"/>
          <w:szCs w:val="20"/>
        </w:rPr>
        <w:t>three</w:t>
      </w:r>
      <w:r w:rsidRPr="007A2AF5">
        <w:rPr>
          <w:sz w:val="20"/>
          <w:szCs w:val="20"/>
        </w:rPr>
        <w:t xml:space="preserve"> months ended </w:t>
      </w:r>
      <w:r>
        <w:rPr>
          <w:sz w:val="20"/>
          <w:szCs w:val="20"/>
        </w:rPr>
        <w:t>June 30</w:t>
      </w:r>
      <w:r w:rsidRPr="007A2AF5">
        <w:rPr>
          <w:sz w:val="20"/>
          <w:szCs w:val="20"/>
        </w:rPr>
        <w:t>, 2022, the Company had general and administrative expenses of $</w:t>
      </w:r>
      <w:r w:rsidR="006C0DB4">
        <w:rPr>
          <w:sz w:val="20"/>
          <w:szCs w:val="20"/>
        </w:rPr>
        <w:t>1</w:t>
      </w:r>
      <w:r>
        <w:rPr>
          <w:sz w:val="20"/>
          <w:szCs w:val="20"/>
        </w:rPr>
        <w:t>,</w:t>
      </w:r>
      <w:r w:rsidR="006C0DB4">
        <w:rPr>
          <w:sz w:val="20"/>
          <w:szCs w:val="20"/>
        </w:rPr>
        <w:t>222</w:t>
      </w:r>
      <w:r>
        <w:rPr>
          <w:sz w:val="20"/>
          <w:szCs w:val="20"/>
        </w:rPr>
        <w:t>,</w:t>
      </w:r>
      <w:r w:rsidR="006C0DB4">
        <w:rPr>
          <w:sz w:val="20"/>
          <w:szCs w:val="20"/>
        </w:rPr>
        <w:t>650</w:t>
      </w:r>
      <w:r w:rsidRPr="007A2AF5">
        <w:rPr>
          <w:sz w:val="20"/>
          <w:szCs w:val="20"/>
        </w:rPr>
        <w:t>, compared to $</w:t>
      </w:r>
      <w:r w:rsidR="006C0DB4">
        <w:rPr>
          <w:sz w:val="20"/>
          <w:szCs w:val="20"/>
        </w:rPr>
        <w:t>547</w:t>
      </w:r>
      <w:r>
        <w:rPr>
          <w:sz w:val="20"/>
          <w:szCs w:val="20"/>
        </w:rPr>
        <w:t>,</w:t>
      </w:r>
      <w:r w:rsidR="006C0DB4">
        <w:rPr>
          <w:sz w:val="20"/>
          <w:szCs w:val="20"/>
        </w:rPr>
        <w:t>179</w:t>
      </w:r>
      <w:r w:rsidRPr="007A2AF5">
        <w:rPr>
          <w:sz w:val="20"/>
          <w:szCs w:val="20"/>
        </w:rPr>
        <w:t xml:space="preserve"> for the </w:t>
      </w:r>
      <w:r w:rsidR="006C0DB4">
        <w:rPr>
          <w:sz w:val="20"/>
          <w:szCs w:val="20"/>
        </w:rPr>
        <w:t>three</w:t>
      </w:r>
      <w:r w:rsidRPr="007A2AF5">
        <w:rPr>
          <w:sz w:val="20"/>
          <w:szCs w:val="20"/>
        </w:rPr>
        <w:t xml:space="preserve"> months ended </w:t>
      </w:r>
      <w:r>
        <w:rPr>
          <w:sz w:val="20"/>
          <w:szCs w:val="20"/>
        </w:rPr>
        <w:t>June 30</w:t>
      </w:r>
      <w:r w:rsidRPr="007A2AF5">
        <w:rPr>
          <w:sz w:val="20"/>
          <w:szCs w:val="20"/>
        </w:rPr>
        <w:t>, 2021.</w:t>
      </w:r>
      <w:r>
        <w:rPr>
          <w:sz w:val="20"/>
          <w:szCs w:val="20"/>
        </w:rPr>
        <w:t xml:space="preserve"> The increase is primarily due to an increase in management fees of $</w:t>
      </w:r>
      <w:r w:rsidR="00D32B58">
        <w:rPr>
          <w:sz w:val="20"/>
          <w:szCs w:val="20"/>
        </w:rPr>
        <w:t>53</w:t>
      </w:r>
      <w:r>
        <w:rPr>
          <w:sz w:val="20"/>
          <w:szCs w:val="20"/>
        </w:rPr>
        <w:t>,</w:t>
      </w:r>
      <w:r w:rsidR="00D32B58">
        <w:rPr>
          <w:sz w:val="20"/>
          <w:szCs w:val="20"/>
        </w:rPr>
        <w:t>239</w:t>
      </w:r>
      <w:r>
        <w:rPr>
          <w:sz w:val="20"/>
          <w:szCs w:val="20"/>
        </w:rPr>
        <w:t>, coupled with increases in advertising expenses of $2</w:t>
      </w:r>
      <w:r w:rsidR="00D32B58">
        <w:rPr>
          <w:sz w:val="20"/>
          <w:szCs w:val="20"/>
        </w:rPr>
        <w:t>86</w:t>
      </w:r>
      <w:r>
        <w:rPr>
          <w:sz w:val="20"/>
          <w:szCs w:val="20"/>
        </w:rPr>
        <w:t>,</w:t>
      </w:r>
      <w:r w:rsidR="00D32B58">
        <w:rPr>
          <w:sz w:val="20"/>
          <w:szCs w:val="20"/>
        </w:rPr>
        <w:t>779</w:t>
      </w:r>
      <w:r>
        <w:rPr>
          <w:sz w:val="20"/>
          <w:szCs w:val="20"/>
        </w:rPr>
        <w:t>, consulting expenses of $</w:t>
      </w:r>
      <w:r w:rsidR="00D32B58">
        <w:rPr>
          <w:sz w:val="20"/>
          <w:szCs w:val="20"/>
        </w:rPr>
        <w:t>54,016</w:t>
      </w:r>
      <w:r>
        <w:rPr>
          <w:sz w:val="20"/>
          <w:szCs w:val="20"/>
        </w:rPr>
        <w:t xml:space="preserve"> and </w:t>
      </w:r>
      <w:r w:rsidR="00D32B58">
        <w:rPr>
          <w:sz w:val="20"/>
          <w:szCs w:val="20"/>
        </w:rPr>
        <w:t>accounting fees</w:t>
      </w:r>
      <w:r>
        <w:rPr>
          <w:sz w:val="20"/>
          <w:szCs w:val="20"/>
        </w:rPr>
        <w:t xml:space="preserve"> of $</w:t>
      </w:r>
      <w:r w:rsidR="00D32B58">
        <w:rPr>
          <w:sz w:val="20"/>
          <w:szCs w:val="20"/>
        </w:rPr>
        <w:t>47,599</w:t>
      </w:r>
      <w:r>
        <w:rPr>
          <w:sz w:val="20"/>
          <w:szCs w:val="20"/>
        </w:rPr>
        <w:t xml:space="preserve">. </w:t>
      </w:r>
      <w:r w:rsidR="00CC7921">
        <w:rPr>
          <w:sz w:val="20"/>
          <w:szCs w:val="20"/>
        </w:rPr>
        <w:t>The increases are in line with the Company’s increased activities in financing activities.</w:t>
      </w:r>
      <w:r w:rsidRPr="007A2AF5">
        <w:rPr>
          <w:sz w:val="20"/>
          <w:szCs w:val="20"/>
        </w:rPr>
        <w:t xml:space="preserve"> $</w:t>
      </w:r>
      <w:r w:rsidR="006E22E7">
        <w:rPr>
          <w:sz w:val="20"/>
          <w:szCs w:val="20"/>
        </w:rPr>
        <w:t>807,473</w:t>
      </w:r>
      <w:r w:rsidRPr="007A2AF5">
        <w:rPr>
          <w:sz w:val="20"/>
          <w:szCs w:val="20"/>
        </w:rPr>
        <w:t xml:space="preserve"> (2021 – $</w:t>
      </w:r>
      <w:r w:rsidR="006E22E7">
        <w:rPr>
          <w:sz w:val="20"/>
          <w:szCs w:val="20"/>
        </w:rPr>
        <w:t>197</w:t>
      </w:r>
      <w:r>
        <w:rPr>
          <w:sz w:val="20"/>
          <w:szCs w:val="20"/>
        </w:rPr>
        <w:t>,</w:t>
      </w:r>
      <w:r w:rsidR="006E22E7">
        <w:rPr>
          <w:sz w:val="20"/>
          <w:szCs w:val="20"/>
        </w:rPr>
        <w:t>754</w:t>
      </w:r>
      <w:r w:rsidRPr="007A2AF5">
        <w:rPr>
          <w:sz w:val="20"/>
          <w:szCs w:val="20"/>
        </w:rPr>
        <w:t>) in expenses were from the North American head office and $</w:t>
      </w:r>
      <w:r w:rsidR="006E22E7">
        <w:rPr>
          <w:sz w:val="20"/>
          <w:szCs w:val="20"/>
        </w:rPr>
        <w:t>415</w:t>
      </w:r>
      <w:r w:rsidRPr="007A2AF5">
        <w:rPr>
          <w:sz w:val="20"/>
          <w:szCs w:val="20"/>
        </w:rPr>
        <w:t>,</w:t>
      </w:r>
      <w:r w:rsidR="006E22E7">
        <w:rPr>
          <w:sz w:val="20"/>
          <w:szCs w:val="20"/>
        </w:rPr>
        <w:t>177</w:t>
      </w:r>
      <w:r w:rsidRPr="007A2AF5">
        <w:rPr>
          <w:sz w:val="20"/>
          <w:szCs w:val="20"/>
        </w:rPr>
        <w:t xml:space="preserve"> (2021 - $</w:t>
      </w:r>
      <w:r w:rsidR="006E22E7">
        <w:rPr>
          <w:sz w:val="20"/>
          <w:szCs w:val="20"/>
        </w:rPr>
        <w:t>349,425</w:t>
      </w:r>
      <w:r w:rsidRPr="007A2AF5">
        <w:rPr>
          <w:sz w:val="20"/>
          <w:szCs w:val="20"/>
        </w:rPr>
        <w:t>) for the Turkey office.</w:t>
      </w:r>
    </w:p>
    <w:p w14:paraId="223948C2" w14:textId="77777777" w:rsidR="00161810" w:rsidRPr="007A2AF5" w:rsidRDefault="00161810" w:rsidP="00161810">
      <w:pPr>
        <w:spacing w:after="0"/>
        <w:rPr>
          <w:rFonts w:eastAsiaTheme="minorHAnsi"/>
        </w:rPr>
      </w:pPr>
    </w:p>
    <w:p w14:paraId="3FA507B0" w14:textId="0CDA2E0A" w:rsidR="00161810" w:rsidRDefault="00161810" w:rsidP="00161810">
      <w:pPr>
        <w:pStyle w:val="NormalWeb"/>
        <w:spacing w:before="0" w:beforeAutospacing="0" w:after="0" w:afterAutospacing="0"/>
        <w:jc w:val="both"/>
        <w:rPr>
          <w:sz w:val="20"/>
          <w:szCs w:val="20"/>
        </w:rPr>
      </w:pPr>
      <w:r w:rsidRPr="007A2AF5">
        <w:rPr>
          <w:sz w:val="20"/>
          <w:szCs w:val="20"/>
        </w:rPr>
        <w:t xml:space="preserve">For the </w:t>
      </w:r>
      <w:r w:rsidR="006E22E7">
        <w:rPr>
          <w:sz w:val="20"/>
          <w:szCs w:val="20"/>
        </w:rPr>
        <w:t>three</w:t>
      </w:r>
      <w:r w:rsidRPr="007A2AF5">
        <w:rPr>
          <w:sz w:val="20"/>
          <w:szCs w:val="20"/>
        </w:rPr>
        <w:t xml:space="preserve"> months ended </w:t>
      </w:r>
      <w:r>
        <w:rPr>
          <w:sz w:val="20"/>
          <w:szCs w:val="20"/>
        </w:rPr>
        <w:t>June 30</w:t>
      </w:r>
      <w:r w:rsidRPr="007A2AF5">
        <w:rPr>
          <w:sz w:val="20"/>
          <w:szCs w:val="20"/>
        </w:rPr>
        <w:t>, 2022, the Company had investor relations expenses of $</w:t>
      </w:r>
      <w:r w:rsidR="006E22E7">
        <w:rPr>
          <w:sz w:val="20"/>
          <w:szCs w:val="20"/>
        </w:rPr>
        <w:t>183,700</w:t>
      </w:r>
      <w:r w:rsidRPr="007A2AF5">
        <w:rPr>
          <w:sz w:val="20"/>
          <w:szCs w:val="20"/>
        </w:rPr>
        <w:t>, compared to $</w:t>
      </w:r>
      <w:r>
        <w:rPr>
          <w:sz w:val="20"/>
          <w:szCs w:val="20"/>
        </w:rPr>
        <w:t xml:space="preserve">723,574 </w:t>
      </w:r>
      <w:r w:rsidRPr="007A2AF5">
        <w:rPr>
          <w:sz w:val="20"/>
          <w:szCs w:val="20"/>
        </w:rPr>
        <w:t xml:space="preserve">for the </w:t>
      </w:r>
      <w:r w:rsidR="006E22E7">
        <w:rPr>
          <w:sz w:val="20"/>
          <w:szCs w:val="20"/>
        </w:rPr>
        <w:t>three</w:t>
      </w:r>
      <w:r w:rsidRPr="007A2AF5">
        <w:rPr>
          <w:sz w:val="20"/>
          <w:szCs w:val="20"/>
        </w:rPr>
        <w:t xml:space="preserve"> months ended </w:t>
      </w:r>
      <w:r>
        <w:rPr>
          <w:sz w:val="20"/>
          <w:szCs w:val="20"/>
        </w:rPr>
        <w:t>June 30</w:t>
      </w:r>
      <w:r w:rsidRPr="007A2AF5">
        <w:rPr>
          <w:sz w:val="20"/>
          <w:szCs w:val="20"/>
        </w:rPr>
        <w:t>, 2021.</w:t>
      </w:r>
      <w:r>
        <w:rPr>
          <w:sz w:val="20"/>
          <w:szCs w:val="20"/>
        </w:rPr>
        <w:t xml:space="preserve"> </w:t>
      </w:r>
      <w:r w:rsidR="00684CE6">
        <w:rPr>
          <w:sz w:val="20"/>
          <w:szCs w:val="20"/>
        </w:rPr>
        <w:t xml:space="preserve">The decrease is </w:t>
      </w:r>
      <w:r w:rsidR="0061333E">
        <w:rPr>
          <w:sz w:val="20"/>
          <w:szCs w:val="20"/>
        </w:rPr>
        <w:t xml:space="preserve">primarily </w:t>
      </w:r>
      <w:r w:rsidR="00684CE6">
        <w:rPr>
          <w:sz w:val="20"/>
          <w:szCs w:val="20"/>
        </w:rPr>
        <w:t>due to a one-time expense</w:t>
      </w:r>
      <w:r w:rsidR="00CC7921">
        <w:rPr>
          <w:sz w:val="20"/>
          <w:szCs w:val="20"/>
        </w:rPr>
        <w:t xml:space="preserve"> </w:t>
      </w:r>
      <w:r w:rsidR="00684CE6">
        <w:rPr>
          <w:sz w:val="20"/>
          <w:szCs w:val="20"/>
        </w:rPr>
        <w:t xml:space="preserve">compensated through the issuance of shares during the three months ended June 30, </w:t>
      </w:r>
      <w:proofErr w:type="gramStart"/>
      <w:r w:rsidR="00684CE6">
        <w:rPr>
          <w:sz w:val="20"/>
          <w:szCs w:val="20"/>
        </w:rPr>
        <w:t>2021</w:t>
      </w:r>
      <w:proofErr w:type="gramEnd"/>
      <w:r w:rsidR="00684CE6">
        <w:rPr>
          <w:sz w:val="20"/>
          <w:szCs w:val="20"/>
        </w:rPr>
        <w:t xml:space="preserve"> 000 which does not re-occur in 2022.</w:t>
      </w:r>
    </w:p>
    <w:p w14:paraId="052B3050" w14:textId="77777777" w:rsidR="00161810" w:rsidRDefault="00161810" w:rsidP="00161810">
      <w:pPr>
        <w:pStyle w:val="NormalWeb"/>
        <w:spacing w:before="0" w:beforeAutospacing="0" w:after="0" w:afterAutospacing="0"/>
        <w:jc w:val="both"/>
        <w:rPr>
          <w:sz w:val="20"/>
          <w:szCs w:val="20"/>
        </w:rPr>
      </w:pPr>
    </w:p>
    <w:p w14:paraId="59D948B6" w14:textId="18C88C12" w:rsidR="0084196A" w:rsidRPr="007A2AF5" w:rsidRDefault="0084196A" w:rsidP="00C95A74">
      <w:pPr>
        <w:pStyle w:val="NormalWeb"/>
        <w:spacing w:before="0" w:beforeAutospacing="0" w:after="0" w:afterAutospacing="0"/>
        <w:jc w:val="both"/>
        <w:rPr>
          <w:sz w:val="20"/>
          <w:szCs w:val="20"/>
        </w:rPr>
      </w:pPr>
      <w:r w:rsidRPr="007A2AF5">
        <w:rPr>
          <w:sz w:val="20"/>
          <w:szCs w:val="20"/>
        </w:rPr>
        <w:t xml:space="preserve">For the </w:t>
      </w:r>
      <w:r w:rsidR="0026655A">
        <w:rPr>
          <w:sz w:val="20"/>
          <w:szCs w:val="20"/>
        </w:rPr>
        <w:t>six</w:t>
      </w:r>
      <w:r w:rsidR="005F3E35" w:rsidRPr="007A2AF5">
        <w:rPr>
          <w:sz w:val="20"/>
          <w:szCs w:val="20"/>
        </w:rPr>
        <w:t xml:space="preserve"> months ended</w:t>
      </w:r>
      <w:r w:rsidRPr="007A2AF5">
        <w:rPr>
          <w:sz w:val="20"/>
          <w:szCs w:val="20"/>
        </w:rPr>
        <w:t xml:space="preserve"> </w:t>
      </w:r>
      <w:r w:rsidR="0026655A">
        <w:rPr>
          <w:sz w:val="20"/>
          <w:szCs w:val="20"/>
        </w:rPr>
        <w:t>June 30</w:t>
      </w:r>
      <w:r w:rsidRPr="007A2AF5">
        <w:rPr>
          <w:sz w:val="20"/>
          <w:szCs w:val="20"/>
        </w:rPr>
        <w:t>, 202</w:t>
      </w:r>
      <w:r w:rsidR="005F3E35" w:rsidRPr="007A2AF5">
        <w:rPr>
          <w:sz w:val="20"/>
          <w:szCs w:val="20"/>
        </w:rPr>
        <w:t>2</w:t>
      </w:r>
      <w:r w:rsidRPr="007A2AF5">
        <w:rPr>
          <w:sz w:val="20"/>
          <w:szCs w:val="20"/>
        </w:rPr>
        <w:t>, the Company incurred production expenses related to its Turkey operations of $</w:t>
      </w:r>
      <w:r w:rsidR="0026655A">
        <w:rPr>
          <w:sz w:val="20"/>
          <w:szCs w:val="20"/>
        </w:rPr>
        <w:t>1,357,405</w:t>
      </w:r>
      <w:r w:rsidRPr="007A2AF5">
        <w:rPr>
          <w:sz w:val="20"/>
          <w:szCs w:val="20"/>
        </w:rPr>
        <w:t xml:space="preserve"> (202</w:t>
      </w:r>
      <w:r w:rsidR="005F3E35" w:rsidRPr="007A2AF5">
        <w:rPr>
          <w:sz w:val="20"/>
          <w:szCs w:val="20"/>
        </w:rPr>
        <w:t>1</w:t>
      </w:r>
      <w:r w:rsidRPr="007A2AF5">
        <w:rPr>
          <w:sz w:val="20"/>
          <w:szCs w:val="20"/>
        </w:rPr>
        <w:t xml:space="preserve"> - $</w:t>
      </w:r>
      <w:r w:rsidR="0026655A">
        <w:rPr>
          <w:sz w:val="20"/>
          <w:szCs w:val="20"/>
        </w:rPr>
        <w:t>1,234,134</w:t>
      </w:r>
      <w:r w:rsidRPr="007A2AF5">
        <w:rPr>
          <w:sz w:val="20"/>
          <w:szCs w:val="20"/>
        </w:rPr>
        <w:t>), depletion charges of $</w:t>
      </w:r>
      <w:r w:rsidR="0026655A">
        <w:rPr>
          <w:sz w:val="20"/>
          <w:szCs w:val="20"/>
        </w:rPr>
        <w:t>148,873</w:t>
      </w:r>
      <w:r w:rsidRPr="007A2AF5">
        <w:rPr>
          <w:sz w:val="20"/>
          <w:szCs w:val="20"/>
        </w:rPr>
        <w:t xml:space="preserve"> (202</w:t>
      </w:r>
      <w:r w:rsidR="00831052" w:rsidRPr="007A2AF5">
        <w:rPr>
          <w:sz w:val="20"/>
          <w:szCs w:val="20"/>
        </w:rPr>
        <w:t>1</w:t>
      </w:r>
      <w:r w:rsidRPr="007A2AF5">
        <w:rPr>
          <w:sz w:val="20"/>
          <w:szCs w:val="20"/>
        </w:rPr>
        <w:t xml:space="preserve"> - $</w:t>
      </w:r>
      <w:r w:rsidR="0026655A">
        <w:rPr>
          <w:sz w:val="20"/>
          <w:szCs w:val="20"/>
        </w:rPr>
        <w:t>233,713</w:t>
      </w:r>
      <w:r w:rsidRPr="007A2AF5">
        <w:rPr>
          <w:sz w:val="20"/>
          <w:szCs w:val="20"/>
        </w:rPr>
        <w:t>), depreciation expense of $</w:t>
      </w:r>
      <w:r w:rsidR="0026655A">
        <w:rPr>
          <w:sz w:val="20"/>
          <w:szCs w:val="20"/>
        </w:rPr>
        <w:t>4</w:t>
      </w:r>
      <w:r w:rsidR="00A74798">
        <w:rPr>
          <w:sz w:val="20"/>
          <w:szCs w:val="20"/>
        </w:rPr>
        <w:t>3</w:t>
      </w:r>
      <w:r w:rsidR="0026655A">
        <w:rPr>
          <w:sz w:val="20"/>
          <w:szCs w:val="20"/>
        </w:rPr>
        <w:t>,</w:t>
      </w:r>
      <w:r w:rsidR="00A74798">
        <w:rPr>
          <w:sz w:val="20"/>
          <w:szCs w:val="20"/>
        </w:rPr>
        <w:t>976</w:t>
      </w:r>
      <w:r w:rsidRPr="007A2AF5">
        <w:rPr>
          <w:sz w:val="20"/>
          <w:szCs w:val="20"/>
        </w:rPr>
        <w:t xml:space="preserve"> (202</w:t>
      </w:r>
      <w:r w:rsidR="00831052" w:rsidRPr="007A2AF5">
        <w:rPr>
          <w:sz w:val="20"/>
          <w:szCs w:val="20"/>
        </w:rPr>
        <w:t>1</w:t>
      </w:r>
      <w:r w:rsidRPr="007A2AF5">
        <w:rPr>
          <w:sz w:val="20"/>
          <w:szCs w:val="20"/>
        </w:rPr>
        <w:t xml:space="preserve"> - $</w:t>
      </w:r>
      <w:r w:rsidR="0026655A">
        <w:rPr>
          <w:sz w:val="20"/>
          <w:szCs w:val="20"/>
        </w:rPr>
        <w:t>13,808</w:t>
      </w:r>
      <w:r w:rsidRPr="007A2AF5">
        <w:rPr>
          <w:sz w:val="20"/>
          <w:szCs w:val="20"/>
        </w:rPr>
        <w:t>) and asset retirement obligation accretion expense of $</w:t>
      </w:r>
      <w:r w:rsidR="0026655A">
        <w:rPr>
          <w:sz w:val="20"/>
          <w:szCs w:val="20"/>
        </w:rPr>
        <w:t>82,905</w:t>
      </w:r>
      <w:r w:rsidRPr="007A2AF5">
        <w:rPr>
          <w:sz w:val="20"/>
          <w:szCs w:val="20"/>
        </w:rPr>
        <w:t xml:space="preserve"> (202</w:t>
      </w:r>
      <w:r w:rsidR="00831052" w:rsidRPr="007A2AF5">
        <w:rPr>
          <w:sz w:val="20"/>
          <w:szCs w:val="20"/>
        </w:rPr>
        <w:t>1</w:t>
      </w:r>
      <w:r w:rsidRPr="007A2AF5">
        <w:rPr>
          <w:sz w:val="20"/>
          <w:szCs w:val="20"/>
        </w:rPr>
        <w:t xml:space="preserve"> - $</w:t>
      </w:r>
      <w:r w:rsidR="0026655A">
        <w:rPr>
          <w:sz w:val="20"/>
          <w:szCs w:val="20"/>
        </w:rPr>
        <w:t>45,827</w:t>
      </w:r>
      <w:r w:rsidRPr="007A2AF5">
        <w:rPr>
          <w:sz w:val="20"/>
          <w:szCs w:val="20"/>
        </w:rPr>
        <w:t xml:space="preserve">). Production expenses </w:t>
      </w:r>
      <w:r w:rsidR="00B16C64">
        <w:rPr>
          <w:sz w:val="20"/>
          <w:szCs w:val="20"/>
        </w:rPr>
        <w:t>increased</w:t>
      </w:r>
      <w:r w:rsidR="00831052" w:rsidRPr="007A2AF5">
        <w:rPr>
          <w:sz w:val="20"/>
          <w:szCs w:val="20"/>
        </w:rPr>
        <w:t xml:space="preserve"> </w:t>
      </w:r>
      <w:r w:rsidRPr="007A2AF5">
        <w:rPr>
          <w:sz w:val="20"/>
          <w:szCs w:val="20"/>
        </w:rPr>
        <w:t>by $</w:t>
      </w:r>
      <w:r w:rsidR="00B16C64">
        <w:rPr>
          <w:sz w:val="20"/>
          <w:szCs w:val="20"/>
        </w:rPr>
        <w:t>123,271</w:t>
      </w:r>
      <w:r w:rsidR="007D1C16">
        <w:rPr>
          <w:sz w:val="20"/>
          <w:szCs w:val="20"/>
        </w:rPr>
        <w:t xml:space="preserve"> </w:t>
      </w:r>
      <w:r w:rsidRPr="0061333E">
        <w:rPr>
          <w:sz w:val="20"/>
          <w:szCs w:val="20"/>
        </w:rPr>
        <w:t xml:space="preserve">due </w:t>
      </w:r>
      <w:r w:rsidR="0061333E" w:rsidRPr="0061333E">
        <w:rPr>
          <w:sz w:val="20"/>
          <w:szCs w:val="20"/>
        </w:rPr>
        <w:t>w</w:t>
      </w:r>
      <w:r w:rsidR="0061333E">
        <w:rPr>
          <w:sz w:val="20"/>
          <w:szCs w:val="20"/>
        </w:rPr>
        <w:t>ell workovers</w:t>
      </w:r>
      <w:r w:rsidR="002B1213">
        <w:rPr>
          <w:sz w:val="20"/>
          <w:szCs w:val="20"/>
        </w:rPr>
        <w:t xml:space="preserve">. </w:t>
      </w:r>
      <w:r w:rsidRPr="007A2AF5">
        <w:rPr>
          <w:sz w:val="20"/>
          <w:szCs w:val="20"/>
        </w:rPr>
        <w:t xml:space="preserve">Depletion </w:t>
      </w:r>
      <w:r w:rsidR="007D1C16">
        <w:rPr>
          <w:sz w:val="20"/>
          <w:szCs w:val="20"/>
        </w:rPr>
        <w:t>decreased by $</w:t>
      </w:r>
      <w:r w:rsidR="00B16C64">
        <w:rPr>
          <w:sz w:val="20"/>
          <w:szCs w:val="20"/>
        </w:rPr>
        <w:t xml:space="preserve">84,840 </w:t>
      </w:r>
      <w:proofErr w:type="gramStart"/>
      <w:r w:rsidR="00E87AAE">
        <w:rPr>
          <w:sz w:val="20"/>
          <w:szCs w:val="20"/>
        </w:rPr>
        <w:t>as a result of</w:t>
      </w:r>
      <w:proofErr w:type="gramEnd"/>
      <w:r w:rsidR="00E87AAE">
        <w:rPr>
          <w:sz w:val="20"/>
          <w:szCs w:val="20"/>
        </w:rPr>
        <w:t xml:space="preserve"> </w:t>
      </w:r>
      <w:r w:rsidR="00CC7921">
        <w:rPr>
          <w:sz w:val="20"/>
          <w:szCs w:val="20"/>
        </w:rPr>
        <w:t xml:space="preserve">a decrease in </w:t>
      </w:r>
      <w:r w:rsidR="005210F7">
        <w:rPr>
          <w:sz w:val="20"/>
          <w:szCs w:val="20"/>
        </w:rPr>
        <w:t>production level</w:t>
      </w:r>
      <w:r w:rsidR="0038742E">
        <w:rPr>
          <w:sz w:val="20"/>
          <w:szCs w:val="20"/>
        </w:rPr>
        <w:t>s</w:t>
      </w:r>
      <w:r w:rsidR="00E87AAE">
        <w:rPr>
          <w:sz w:val="20"/>
          <w:szCs w:val="20"/>
        </w:rPr>
        <w:t xml:space="preserve">, while </w:t>
      </w:r>
      <w:r w:rsidRPr="007A2AF5">
        <w:rPr>
          <w:sz w:val="20"/>
          <w:szCs w:val="20"/>
        </w:rPr>
        <w:t xml:space="preserve">depreciation expenses </w:t>
      </w:r>
      <w:r w:rsidR="00B16C64">
        <w:rPr>
          <w:sz w:val="20"/>
          <w:szCs w:val="20"/>
        </w:rPr>
        <w:t>increased due to the purchase of additional equipment during the first half of 2022</w:t>
      </w:r>
      <w:r w:rsidRPr="007A2AF5">
        <w:rPr>
          <w:sz w:val="20"/>
          <w:szCs w:val="20"/>
        </w:rPr>
        <w:t>. Accretion of asset retirement costs increased by $</w:t>
      </w:r>
      <w:r w:rsidR="00B16C64">
        <w:rPr>
          <w:sz w:val="20"/>
          <w:szCs w:val="20"/>
        </w:rPr>
        <w:t>37,078</w:t>
      </w:r>
      <w:r w:rsidRPr="007A2AF5">
        <w:rPr>
          <w:sz w:val="20"/>
          <w:szCs w:val="20"/>
        </w:rPr>
        <w:t xml:space="preserve"> for the </w:t>
      </w:r>
      <w:r w:rsidR="00B16C64">
        <w:rPr>
          <w:sz w:val="20"/>
          <w:szCs w:val="20"/>
        </w:rPr>
        <w:t>six</w:t>
      </w:r>
      <w:r w:rsidR="00831052" w:rsidRPr="007A2AF5">
        <w:rPr>
          <w:sz w:val="20"/>
          <w:szCs w:val="20"/>
        </w:rPr>
        <w:t xml:space="preserve"> months ended </w:t>
      </w:r>
      <w:r w:rsidR="00B16C64">
        <w:rPr>
          <w:sz w:val="20"/>
          <w:szCs w:val="20"/>
        </w:rPr>
        <w:t>June 30</w:t>
      </w:r>
      <w:r w:rsidR="00831052" w:rsidRPr="007A2AF5">
        <w:rPr>
          <w:sz w:val="20"/>
          <w:szCs w:val="20"/>
        </w:rPr>
        <w:t xml:space="preserve">, </w:t>
      </w:r>
      <w:proofErr w:type="gramStart"/>
      <w:r w:rsidR="00831052" w:rsidRPr="007A2AF5">
        <w:rPr>
          <w:sz w:val="20"/>
          <w:szCs w:val="20"/>
        </w:rPr>
        <w:t>2022</w:t>
      </w:r>
      <w:proofErr w:type="gramEnd"/>
      <w:r w:rsidRPr="007A2AF5">
        <w:rPr>
          <w:sz w:val="20"/>
          <w:szCs w:val="20"/>
        </w:rPr>
        <w:t xml:space="preserve"> primarily due to </w:t>
      </w:r>
      <w:r w:rsidR="00831052" w:rsidRPr="007A2AF5">
        <w:rPr>
          <w:sz w:val="20"/>
          <w:szCs w:val="20"/>
        </w:rPr>
        <w:t xml:space="preserve">a change in </w:t>
      </w:r>
      <w:r w:rsidR="0038742E">
        <w:rPr>
          <w:sz w:val="20"/>
          <w:szCs w:val="20"/>
        </w:rPr>
        <w:t xml:space="preserve">the </w:t>
      </w:r>
      <w:r w:rsidR="00831052" w:rsidRPr="007A2AF5">
        <w:rPr>
          <w:sz w:val="20"/>
          <w:szCs w:val="20"/>
        </w:rPr>
        <w:t>estimate</w:t>
      </w:r>
      <w:r w:rsidR="0038742E">
        <w:rPr>
          <w:sz w:val="20"/>
          <w:szCs w:val="20"/>
        </w:rPr>
        <w:t>d</w:t>
      </w:r>
      <w:r w:rsidR="00CA5192">
        <w:rPr>
          <w:sz w:val="20"/>
          <w:szCs w:val="20"/>
        </w:rPr>
        <w:t xml:space="preserve"> risk free discount rate. </w:t>
      </w:r>
    </w:p>
    <w:p w14:paraId="4096467F" w14:textId="231D319A" w:rsidR="00E43F8A" w:rsidRPr="007A2AF5" w:rsidRDefault="00E43F8A" w:rsidP="00C95A74">
      <w:pPr>
        <w:spacing w:after="0"/>
        <w:rPr>
          <w:rFonts w:eastAsiaTheme="minorHAnsi"/>
        </w:rPr>
      </w:pPr>
    </w:p>
    <w:p w14:paraId="0CA0EBD1" w14:textId="3DC35784" w:rsidR="0084196A" w:rsidRPr="007A2AF5" w:rsidRDefault="0084196A" w:rsidP="00C95A74">
      <w:pPr>
        <w:pStyle w:val="NormalWeb"/>
        <w:spacing w:before="0" w:beforeAutospacing="0" w:after="0" w:afterAutospacing="0"/>
        <w:jc w:val="both"/>
        <w:rPr>
          <w:sz w:val="20"/>
          <w:szCs w:val="20"/>
        </w:rPr>
      </w:pPr>
      <w:r w:rsidRPr="007A2AF5">
        <w:rPr>
          <w:sz w:val="20"/>
          <w:szCs w:val="20"/>
        </w:rPr>
        <w:t xml:space="preserve">For the </w:t>
      </w:r>
      <w:r w:rsidR="00D2445F">
        <w:rPr>
          <w:sz w:val="20"/>
          <w:szCs w:val="20"/>
        </w:rPr>
        <w:t>six</w:t>
      </w:r>
      <w:r w:rsidR="00831052" w:rsidRPr="007A2AF5">
        <w:rPr>
          <w:sz w:val="20"/>
          <w:szCs w:val="20"/>
        </w:rPr>
        <w:t xml:space="preserve"> months ended </w:t>
      </w:r>
      <w:r w:rsidR="00D2445F">
        <w:rPr>
          <w:sz w:val="20"/>
          <w:szCs w:val="20"/>
        </w:rPr>
        <w:t>June 30</w:t>
      </w:r>
      <w:r w:rsidRPr="007A2AF5">
        <w:rPr>
          <w:sz w:val="20"/>
          <w:szCs w:val="20"/>
        </w:rPr>
        <w:t>, 202</w:t>
      </w:r>
      <w:r w:rsidR="00831052" w:rsidRPr="007A2AF5">
        <w:rPr>
          <w:sz w:val="20"/>
          <w:szCs w:val="20"/>
        </w:rPr>
        <w:t>2</w:t>
      </w:r>
      <w:r w:rsidRPr="007A2AF5">
        <w:rPr>
          <w:sz w:val="20"/>
          <w:szCs w:val="20"/>
        </w:rPr>
        <w:t>, the Company had general and administrative expenses of $</w:t>
      </w:r>
      <w:r w:rsidR="00D2445F">
        <w:rPr>
          <w:sz w:val="20"/>
          <w:szCs w:val="20"/>
        </w:rPr>
        <w:t>2,</w:t>
      </w:r>
      <w:r w:rsidR="00A74798">
        <w:rPr>
          <w:sz w:val="20"/>
          <w:szCs w:val="20"/>
        </w:rPr>
        <w:t>334</w:t>
      </w:r>
      <w:r w:rsidR="00D2445F">
        <w:rPr>
          <w:sz w:val="20"/>
          <w:szCs w:val="20"/>
        </w:rPr>
        <w:t>,</w:t>
      </w:r>
      <w:r w:rsidR="00A74798">
        <w:rPr>
          <w:sz w:val="20"/>
          <w:szCs w:val="20"/>
        </w:rPr>
        <w:t>550</w:t>
      </w:r>
      <w:r w:rsidRPr="007A2AF5">
        <w:rPr>
          <w:sz w:val="20"/>
          <w:szCs w:val="20"/>
        </w:rPr>
        <w:t>, compared to $</w:t>
      </w:r>
      <w:r w:rsidR="006D0D95">
        <w:rPr>
          <w:sz w:val="20"/>
          <w:szCs w:val="20"/>
        </w:rPr>
        <w:t>1,030,809</w:t>
      </w:r>
      <w:r w:rsidRPr="007A2AF5">
        <w:rPr>
          <w:sz w:val="20"/>
          <w:szCs w:val="20"/>
        </w:rPr>
        <w:t xml:space="preserve"> for the </w:t>
      </w:r>
      <w:r w:rsidR="00D2445F">
        <w:rPr>
          <w:sz w:val="20"/>
          <w:szCs w:val="20"/>
        </w:rPr>
        <w:t>six</w:t>
      </w:r>
      <w:r w:rsidR="00831052" w:rsidRPr="007A2AF5">
        <w:rPr>
          <w:sz w:val="20"/>
          <w:szCs w:val="20"/>
        </w:rPr>
        <w:t xml:space="preserve"> months ended</w:t>
      </w:r>
      <w:r w:rsidRPr="007A2AF5">
        <w:rPr>
          <w:sz w:val="20"/>
          <w:szCs w:val="20"/>
        </w:rPr>
        <w:t xml:space="preserve"> </w:t>
      </w:r>
      <w:r w:rsidR="00D2445F">
        <w:rPr>
          <w:sz w:val="20"/>
          <w:szCs w:val="20"/>
        </w:rPr>
        <w:t>June 30</w:t>
      </w:r>
      <w:r w:rsidRPr="007A2AF5">
        <w:rPr>
          <w:sz w:val="20"/>
          <w:szCs w:val="20"/>
        </w:rPr>
        <w:t>, 202</w:t>
      </w:r>
      <w:r w:rsidR="00831052" w:rsidRPr="007A2AF5">
        <w:rPr>
          <w:sz w:val="20"/>
          <w:szCs w:val="20"/>
        </w:rPr>
        <w:t>1</w:t>
      </w:r>
      <w:r w:rsidRPr="007A2AF5">
        <w:rPr>
          <w:sz w:val="20"/>
          <w:szCs w:val="20"/>
        </w:rPr>
        <w:t>.</w:t>
      </w:r>
      <w:r w:rsidR="00396680">
        <w:rPr>
          <w:sz w:val="20"/>
          <w:szCs w:val="20"/>
        </w:rPr>
        <w:t xml:space="preserve"> The increase is primarily due to an increase in management fees </w:t>
      </w:r>
      <w:r w:rsidR="00AC76C3">
        <w:rPr>
          <w:sz w:val="20"/>
          <w:szCs w:val="20"/>
        </w:rPr>
        <w:t>of $339,276, coupled with increases in advertising expenses of $296,582, consulting expenses of $214,498 and legal fees of $160,145.</w:t>
      </w:r>
      <w:r w:rsidR="00396680">
        <w:rPr>
          <w:sz w:val="20"/>
          <w:szCs w:val="20"/>
        </w:rPr>
        <w:t xml:space="preserve"> </w:t>
      </w:r>
      <w:r w:rsidRPr="007A2AF5">
        <w:rPr>
          <w:sz w:val="20"/>
          <w:szCs w:val="20"/>
        </w:rPr>
        <w:t xml:space="preserve"> </w:t>
      </w:r>
      <w:r w:rsidR="00CC7921">
        <w:rPr>
          <w:sz w:val="20"/>
          <w:szCs w:val="20"/>
        </w:rPr>
        <w:t xml:space="preserve">The increases </w:t>
      </w:r>
      <w:r w:rsidR="0061333E">
        <w:rPr>
          <w:sz w:val="20"/>
          <w:szCs w:val="20"/>
        </w:rPr>
        <w:t xml:space="preserve">correspond </w:t>
      </w:r>
      <w:r w:rsidR="00CC7921">
        <w:rPr>
          <w:sz w:val="20"/>
          <w:szCs w:val="20"/>
        </w:rPr>
        <w:t>with the Company’s increased activities in financing activities</w:t>
      </w:r>
      <w:r w:rsidR="0061333E">
        <w:rPr>
          <w:sz w:val="20"/>
          <w:szCs w:val="20"/>
        </w:rPr>
        <w:t xml:space="preserve"> and planned production ramp up</w:t>
      </w:r>
      <w:r w:rsidR="00CC7921">
        <w:rPr>
          <w:sz w:val="20"/>
          <w:szCs w:val="20"/>
        </w:rPr>
        <w:t>.</w:t>
      </w:r>
      <w:r w:rsidR="00CC7921" w:rsidRPr="007A2AF5">
        <w:rPr>
          <w:sz w:val="20"/>
          <w:szCs w:val="20"/>
        </w:rPr>
        <w:t xml:space="preserve"> </w:t>
      </w:r>
      <w:r w:rsidR="00CC7921">
        <w:rPr>
          <w:sz w:val="20"/>
          <w:szCs w:val="20"/>
        </w:rPr>
        <w:t xml:space="preserve"> </w:t>
      </w:r>
      <w:r w:rsidRPr="007A2AF5">
        <w:rPr>
          <w:sz w:val="20"/>
          <w:szCs w:val="20"/>
        </w:rPr>
        <w:t>$</w:t>
      </w:r>
      <w:r w:rsidR="00D2445F">
        <w:rPr>
          <w:sz w:val="20"/>
          <w:szCs w:val="20"/>
        </w:rPr>
        <w:t>1,</w:t>
      </w:r>
      <w:r w:rsidR="00A74798">
        <w:rPr>
          <w:sz w:val="20"/>
          <w:szCs w:val="20"/>
        </w:rPr>
        <w:t>680</w:t>
      </w:r>
      <w:r w:rsidR="00D2445F">
        <w:rPr>
          <w:sz w:val="20"/>
          <w:szCs w:val="20"/>
        </w:rPr>
        <w:t>,</w:t>
      </w:r>
      <w:r w:rsidR="00A74798">
        <w:rPr>
          <w:sz w:val="20"/>
          <w:szCs w:val="20"/>
        </w:rPr>
        <w:t>304</w:t>
      </w:r>
      <w:r w:rsidR="00FA2776" w:rsidRPr="007A2AF5">
        <w:rPr>
          <w:sz w:val="20"/>
          <w:szCs w:val="20"/>
        </w:rPr>
        <w:t xml:space="preserve"> </w:t>
      </w:r>
      <w:r w:rsidR="007A2AF5" w:rsidRPr="007A2AF5">
        <w:rPr>
          <w:sz w:val="20"/>
          <w:szCs w:val="20"/>
        </w:rPr>
        <w:t>(2021 – $</w:t>
      </w:r>
      <w:r w:rsidR="006D0D95">
        <w:rPr>
          <w:sz w:val="20"/>
          <w:szCs w:val="20"/>
        </w:rPr>
        <w:t>602,986</w:t>
      </w:r>
      <w:r w:rsidR="00FA2776" w:rsidRPr="007A2AF5">
        <w:rPr>
          <w:sz w:val="20"/>
          <w:szCs w:val="20"/>
        </w:rPr>
        <w:t>)</w:t>
      </w:r>
      <w:r w:rsidRPr="007A2AF5">
        <w:rPr>
          <w:sz w:val="20"/>
          <w:szCs w:val="20"/>
        </w:rPr>
        <w:t xml:space="preserve"> in expenses were from the North American head office and $</w:t>
      </w:r>
      <w:r w:rsidR="00D2445F">
        <w:rPr>
          <w:sz w:val="20"/>
          <w:szCs w:val="20"/>
        </w:rPr>
        <w:t>654</w:t>
      </w:r>
      <w:r w:rsidR="007A2AF5" w:rsidRPr="007A2AF5">
        <w:rPr>
          <w:sz w:val="20"/>
          <w:szCs w:val="20"/>
        </w:rPr>
        <w:t>,</w:t>
      </w:r>
      <w:r w:rsidR="00D2445F">
        <w:rPr>
          <w:sz w:val="20"/>
          <w:szCs w:val="20"/>
        </w:rPr>
        <w:t>246</w:t>
      </w:r>
      <w:r w:rsidR="00FA2776" w:rsidRPr="007A2AF5">
        <w:rPr>
          <w:sz w:val="20"/>
          <w:szCs w:val="20"/>
        </w:rPr>
        <w:t xml:space="preserve"> (</w:t>
      </w:r>
      <w:r w:rsidR="007A2AF5" w:rsidRPr="007A2AF5">
        <w:rPr>
          <w:sz w:val="20"/>
          <w:szCs w:val="20"/>
        </w:rPr>
        <w:t xml:space="preserve">2021 - </w:t>
      </w:r>
      <w:r w:rsidR="00FA2776" w:rsidRPr="007A2AF5">
        <w:rPr>
          <w:sz w:val="20"/>
          <w:szCs w:val="20"/>
        </w:rPr>
        <w:t>$</w:t>
      </w:r>
      <w:r w:rsidR="00D2445F">
        <w:rPr>
          <w:sz w:val="20"/>
          <w:szCs w:val="20"/>
        </w:rPr>
        <w:t>427,823</w:t>
      </w:r>
      <w:r w:rsidR="00FA2776" w:rsidRPr="007A2AF5">
        <w:rPr>
          <w:sz w:val="20"/>
          <w:szCs w:val="20"/>
        </w:rPr>
        <w:t>)</w:t>
      </w:r>
      <w:r w:rsidRPr="007A2AF5">
        <w:rPr>
          <w:sz w:val="20"/>
          <w:szCs w:val="20"/>
        </w:rPr>
        <w:t xml:space="preserve"> for the Turkey office.</w:t>
      </w:r>
    </w:p>
    <w:p w14:paraId="3204B0F8" w14:textId="77777777" w:rsidR="0084196A" w:rsidRPr="007A2AF5" w:rsidRDefault="0084196A" w:rsidP="00C95A74">
      <w:pPr>
        <w:spacing w:after="0"/>
        <w:rPr>
          <w:rFonts w:eastAsiaTheme="minorHAnsi"/>
        </w:rPr>
      </w:pPr>
    </w:p>
    <w:p w14:paraId="10B5DF3B" w14:textId="6DB48249" w:rsidR="0084196A" w:rsidRDefault="0084196A" w:rsidP="00C95A74">
      <w:pPr>
        <w:pStyle w:val="NormalWeb"/>
        <w:spacing w:before="0" w:beforeAutospacing="0" w:after="0" w:afterAutospacing="0"/>
        <w:jc w:val="both"/>
        <w:rPr>
          <w:sz w:val="20"/>
          <w:szCs w:val="20"/>
        </w:rPr>
      </w:pPr>
      <w:r w:rsidRPr="007A2AF5">
        <w:rPr>
          <w:sz w:val="20"/>
          <w:szCs w:val="20"/>
        </w:rPr>
        <w:t xml:space="preserve">For the </w:t>
      </w:r>
      <w:r w:rsidR="00D2445F">
        <w:rPr>
          <w:sz w:val="20"/>
          <w:szCs w:val="20"/>
        </w:rPr>
        <w:t>six</w:t>
      </w:r>
      <w:r w:rsidR="007A2AF5" w:rsidRPr="007A2AF5">
        <w:rPr>
          <w:sz w:val="20"/>
          <w:szCs w:val="20"/>
        </w:rPr>
        <w:t xml:space="preserve"> months ended </w:t>
      </w:r>
      <w:r w:rsidR="00D2445F">
        <w:rPr>
          <w:sz w:val="20"/>
          <w:szCs w:val="20"/>
        </w:rPr>
        <w:t>June 30</w:t>
      </w:r>
      <w:r w:rsidRPr="007A2AF5">
        <w:rPr>
          <w:sz w:val="20"/>
          <w:szCs w:val="20"/>
        </w:rPr>
        <w:t>, 202</w:t>
      </w:r>
      <w:r w:rsidR="007A2AF5" w:rsidRPr="007A2AF5">
        <w:rPr>
          <w:sz w:val="20"/>
          <w:szCs w:val="20"/>
        </w:rPr>
        <w:t>2</w:t>
      </w:r>
      <w:r w:rsidRPr="007A2AF5">
        <w:rPr>
          <w:sz w:val="20"/>
          <w:szCs w:val="20"/>
        </w:rPr>
        <w:t>, the Company had investor relations expenses of $</w:t>
      </w:r>
      <w:r w:rsidR="00AA1DAA">
        <w:rPr>
          <w:sz w:val="20"/>
          <w:szCs w:val="20"/>
        </w:rPr>
        <w:t>360</w:t>
      </w:r>
      <w:r w:rsidR="006D0D95">
        <w:rPr>
          <w:sz w:val="20"/>
          <w:szCs w:val="20"/>
        </w:rPr>
        <w:t>,</w:t>
      </w:r>
      <w:r w:rsidR="00AA1DAA">
        <w:rPr>
          <w:sz w:val="20"/>
          <w:szCs w:val="20"/>
        </w:rPr>
        <w:t>102</w:t>
      </w:r>
      <w:r w:rsidRPr="007A2AF5">
        <w:rPr>
          <w:sz w:val="20"/>
          <w:szCs w:val="20"/>
        </w:rPr>
        <w:t>, compared to $</w:t>
      </w:r>
      <w:r w:rsidR="00D2445F">
        <w:rPr>
          <w:sz w:val="20"/>
          <w:szCs w:val="20"/>
        </w:rPr>
        <w:t xml:space="preserve">723,574 </w:t>
      </w:r>
      <w:r w:rsidRPr="007A2AF5">
        <w:rPr>
          <w:sz w:val="20"/>
          <w:szCs w:val="20"/>
        </w:rPr>
        <w:t xml:space="preserve">for </w:t>
      </w:r>
      <w:r w:rsidR="007A2AF5" w:rsidRPr="007A2AF5">
        <w:rPr>
          <w:sz w:val="20"/>
          <w:szCs w:val="20"/>
        </w:rPr>
        <w:t xml:space="preserve">the </w:t>
      </w:r>
      <w:r w:rsidR="00D2445F">
        <w:rPr>
          <w:sz w:val="20"/>
          <w:szCs w:val="20"/>
        </w:rPr>
        <w:t>six</w:t>
      </w:r>
      <w:r w:rsidR="00D2445F" w:rsidRPr="007A2AF5">
        <w:rPr>
          <w:sz w:val="20"/>
          <w:szCs w:val="20"/>
        </w:rPr>
        <w:t xml:space="preserve"> </w:t>
      </w:r>
      <w:r w:rsidR="007A2AF5" w:rsidRPr="007A2AF5">
        <w:rPr>
          <w:sz w:val="20"/>
          <w:szCs w:val="20"/>
        </w:rPr>
        <w:t xml:space="preserve">months ended </w:t>
      </w:r>
      <w:r w:rsidR="00D2445F">
        <w:rPr>
          <w:sz w:val="20"/>
          <w:szCs w:val="20"/>
        </w:rPr>
        <w:t>June 30</w:t>
      </w:r>
      <w:r w:rsidR="007A2AF5" w:rsidRPr="007A2AF5">
        <w:rPr>
          <w:sz w:val="20"/>
          <w:szCs w:val="20"/>
        </w:rPr>
        <w:t>, 2021</w:t>
      </w:r>
      <w:r w:rsidRPr="007A2AF5">
        <w:rPr>
          <w:sz w:val="20"/>
          <w:szCs w:val="20"/>
        </w:rPr>
        <w:t>.</w:t>
      </w:r>
      <w:r w:rsidR="00AC76C3">
        <w:rPr>
          <w:sz w:val="20"/>
          <w:szCs w:val="20"/>
        </w:rPr>
        <w:t xml:space="preserve"> The </w:t>
      </w:r>
      <w:r w:rsidR="00C313BF">
        <w:rPr>
          <w:sz w:val="20"/>
          <w:szCs w:val="20"/>
        </w:rPr>
        <w:t>decrease</w:t>
      </w:r>
      <w:r w:rsidR="00AC76C3">
        <w:rPr>
          <w:sz w:val="20"/>
          <w:szCs w:val="20"/>
        </w:rPr>
        <w:t xml:space="preserve"> is due to </w:t>
      </w:r>
      <w:r w:rsidR="00C313BF">
        <w:rPr>
          <w:sz w:val="20"/>
          <w:szCs w:val="20"/>
        </w:rPr>
        <w:t xml:space="preserve">a one-time expense compensated through the issuance of shares during the </w:t>
      </w:r>
      <w:r w:rsidR="00684CE6">
        <w:rPr>
          <w:sz w:val="20"/>
          <w:szCs w:val="20"/>
        </w:rPr>
        <w:t>six</w:t>
      </w:r>
      <w:r w:rsidR="00C313BF">
        <w:rPr>
          <w:sz w:val="20"/>
          <w:szCs w:val="20"/>
        </w:rPr>
        <w:t xml:space="preserve"> months ended June 30, </w:t>
      </w:r>
      <w:proofErr w:type="gramStart"/>
      <w:r w:rsidR="00C313BF">
        <w:rPr>
          <w:sz w:val="20"/>
          <w:szCs w:val="20"/>
        </w:rPr>
        <w:t>2021</w:t>
      </w:r>
      <w:proofErr w:type="gramEnd"/>
      <w:r w:rsidR="00C313BF">
        <w:rPr>
          <w:sz w:val="20"/>
          <w:szCs w:val="20"/>
        </w:rPr>
        <w:t xml:space="preserve"> valued at approximately $560,000.</w:t>
      </w:r>
    </w:p>
    <w:p w14:paraId="6446EE55" w14:textId="205CD2EB" w:rsidR="00E43F8A" w:rsidRDefault="00E43F8A" w:rsidP="00C95A74">
      <w:pPr>
        <w:rPr>
          <w:rFonts w:eastAsiaTheme="minorHAnsi"/>
        </w:rPr>
      </w:pPr>
    </w:p>
    <w:p w14:paraId="24144EB3" w14:textId="77777777" w:rsidR="00684CE6" w:rsidRDefault="00684CE6" w:rsidP="00C95A74">
      <w:pPr>
        <w:rPr>
          <w:rFonts w:eastAsiaTheme="minorHAnsi"/>
        </w:rPr>
      </w:pPr>
    </w:p>
    <w:p w14:paraId="61743967" w14:textId="7B5E78DF" w:rsidR="00E43F8A" w:rsidRPr="00CC017A" w:rsidRDefault="00E43F8A" w:rsidP="00C95A74">
      <w:pPr>
        <w:pStyle w:val="NormalWeb"/>
        <w:spacing w:before="0" w:beforeAutospacing="0" w:after="0" w:afterAutospacing="0"/>
        <w:jc w:val="both"/>
        <w:rPr>
          <w:b/>
          <w:bCs/>
          <w:i/>
          <w:iCs/>
          <w:sz w:val="20"/>
          <w:szCs w:val="20"/>
        </w:rPr>
      </w:pPr>
      <w:r w:rsidRPr="00CC017A">
        <w:rPr>
          <w:b/>
          <w:bCs/>
          <w:i/>
          <w:iCs/>
          <w:sz w:val="20"/>
          <w:szCs w:val="20"/>
        </w:rPr>
        <w:lastRenderedPageBreak/>
        <w:t>Other Income (Expense)</w:t>
      </w:r>
    </w:p>
    <w:p w14:paraId="724FF114" w14:textId="77777777" w:rsidR="00B634F3" w:rsidRPr="00CC017A" w:rsidRDefault="00B634F3" w:rsidP="00C95A74">
      <w:pPr>
        <w:pStyle w:val="NormalWeb"/>
        <w:spacing w:before="0" w:beforeAutospacing="0" w:after="0" w:afterAutospacing="0"/>
        <w:jc w:val="both"/>
        <w:rPr>
          <w:sz w:val="20"/>
          <w:szCs w:val="20"/>
        </w:rPr>
      </w:pPr>
    </w:p>
    <w:p w14:paraId="3E7286F1" w14:textId="6855631E" w:rsidR="00684CE6" w:rsidRPr="00CC017A" w:rsidRDefault="00684CE6" w:rsidP="00684CE6">
      <w:pPr>
        <w:pStyle w:val="NormalWeb"/>
        <w:spacing w:before="0" w:beforeAutospacing="0" w:after="0" w:afterAutospacing="0"/>
        <w:jc w:val="both"/>
        <w:rPr>
          <w:sz w:val="20"/>
          <w:szCs w:val="20"/>
        </w:rPr>
      </w:pPr>
      <w:r w:rsidRPr="00CC017A">
        <w:rPr>
          <w:sz w:val="20"/>
          <w:szCs w:val="20"/>
        </w:rPr>
        <w:t xml:space="preserve">For the </w:t>
      </w:r>
      <w:r>
        <w:rPr>
          <w:sz w:val="20"/>
          <w:szCs w:val="20"/>
        </w:rPr>
        <w:t>three</w:t>
      </w:r>
      <w:r w:rsidRPr="00CC017A">
        <w:rPr>
          <w:sz w:val="20"/>
          <w:szCs w:val="20"/>
        </w:rPr>
        <w:t xml:space="preserve"> months ended </w:t>
      </w:r>
      <w:r>
        <w:rPr>
          <w:sz w:val="20"/>
          <w:szCs w:val="20"/>
        </w:rPr>
        <w:t>June 30</w:t>
      </w:r>
      <w:r w:rsidRPr="00CC017A">
        <w:rPr>
          <w:sz w:val="20"/>
          <w:szCs w:val="20"/>
        </w:rPr>
        <w:t xml:space="preserve">, 2022, the Company had other </w:t>
      </w:r>
      <w:r>
        <w:rPr>
          <w:sz w:val="20"/>
          <w:szCs w:val="20"/>
        </w:rPr>
        <w:t>income</w:t>
      </w:r>
      <w:r w:rsidRPr="00CC017A">
        <w:rPr>
          <w:sz w:val="20"/>
          <w:szCs w:val="20"/>
        </w:rPr>
        <w:t xml:space="preserve"> of $</w:t>
      </w:r>
      <w:r>
        <w:rPr>
          <w:sz w:val="20"/>
          <w:szCs w:val="20"/>
        </w:rPr>
        <w:t>662,907</w:t>
      </w:r>
      <w:r w:rsidRPr="00CC017A">
        <w:rPr>
          <w:sz w:val="20"/>
          <w:szCs w:val="20"/>
        </w:rPr>
        <w:t xml:space="preserve"> compared to other </w:t>
      </w:r>
      <w:r>
        <w:rPr>
          <w:sz w:val="20"/>
          <w:szCs w:val="20"/>
        </w:rPr>
        <w:t>income</w:t>
      </w:r>
      <w:r w:rsidRPr="00CC017A">
        <w:rPr>
          <w:sz w:val="20"/>
          <w:szCs w:val="20"/>
        </w:rPr>
        <w:t xml:space="preserve"> of $</w:t>
      </w:r>
      <w:r>
        <w:rPr>
          <w:sz w:val="20"/>
          <w:szCs w:val="20"/>
        </w:rPr>
        <w:t>2,965,901</w:t>
      </w:r>
      <w:r w:rsidRPr="00CC017A">
        <w:rPr>
          <w:sz w:val="20"/>
          <w:szCs w:val="20"/>
        </w:rPr>
        <w:t xml:space="preserve"> for the </w:t>
      </w:r>
      <w:r>
        <w:rPr>
          <w:sz w:val="20"/>
          <w:szCs w:val="20"/>
        </w:rPr>
        <w:t>three</w:t>
      </w:r>
      <w:r w:rsidRPr="00CC017A">
        <w:rPr>
          <w:sz w:val="20"/>
          <w:szCs w:val="20"/>
        </w:rPr>
        <w:t xml:space="preserve"> months ended </w:t>
      </w:r>
      <w:r>
        <w:rPr>
          <w:sz w:val="20"/>
          <w:szCs w:val="20"/>
        </w:rPr>
        <w:t>June 30</w:t>
      </w:r>
      <w:r w:rsidRPr="00CC017A">
        <w:rPr>
          <w:sz w:val="20"/>
          <w:szCs w:val="20"/>
        </w:rPr>
        <w:t xml:space="preserve">, 2021. Other </w:t>
      </w:r>
      <w:r>
        <w:rPr>
          <w:sz w:val="20"/>
          <w:szCs w:val="20"/>
        </w:rPr>
        <w:t>income</w:t>
      </w:r>
      <w:r w:rsidRPr="00CC017A">
        <w:rPr>
          <w:sz w:val="20"/>
          <w:szCs w:val="20"/>
        </w:rPr>
        <w:t xml:space="preserve"> for the </w:t>
      </w:r>
      <w:r>
        <w:rPr>
          <w:sz w:val="20"/>
          <w:szCs w:val="20"/>
        </w:rPr>
        <w:t>three</w:t>
      </w:r>
      <w:r w:rsidRPr="00CC017A">
        <w:rPr>
          <w:sz w:val="20"/>
          <w:szCs w:val="20"/>
        </w:rPr>
        <w:t xml:space="preserve"> months ended </w:t>
      </w:r>
      <w:r>
        <w:rPr>
          <w:sz w:val="20"/>
          <w:szCs w:val="20"/>
        </w:rPr>
        <w:t>June 30</w:t>
      </w:r>
      <w:r w:rsidRPr="00CC017A">
        <w:rPr>
          <w:sz w:val="20"/>
          <w:szCs w:val="20"/>
        </w:rPr>
        <w:t xml:space="preserve">, </w:t>
      </w:r>
      <w:proofErr w:type="gramStart"/>
      <w:r w:rsidRPr="00CC017A">
        <w:rPr>
          <w:sz w:val="20"/>
          <w:szCs w:val="20"/>
        </w:rPr>
        <w:t>2022</w:t>
      </w:r>
      <w:proofErr w:type="gramEnd"/>
      <w:r w:rsidRPr="00CC017A">
        <w:rPr>
          <w:sz w:val="20"/>
          <w:szCs w:val="20"/>
        </w:rPr>
        <w:t xml:space="preserve"> consists mainly of the </w:t>
      </w:r>
      <w:r>
        <w:rPr>
          <w:sz w:val="20"/>
          <w:szCs w:val="20"/>
        </w:rPr>
        <w:t>gain</w:t>
      </w:r>
      <w:r w:rsidRPr="00CC017A">
        <w:rPr>
          <w:sz w:val="20"/>
          <w:szCs w:val="20"/>
        </w:rPr>
        <w:t xml:space="preserve"> from the change in the fair value of the derivative liability of $</w:t>
      </w:r>
      <w:r>
        <w:rPr>
          <w:sz w:val="20"/>
          <w:szCs w:val="20"/>
        </w:rPr>
        <w:t>207,603</w:t>
      </w:r>
      <w:r w:rsidRPr="00CC017A">
        <w:rPr>
          <w:sz w:val="20"/>
          <w:szCs w:val="20"/>
        </w:rPr>
        <w:t xml:space="preserve"> (2021 – $</w:t>
      </w:r>
      <w:r>
        <w:rPr>
          <w:sz w:val="20"/>
          <w:szCs w:val="20"/>
        </w:rPr>
        <w:t>3,032,128</w:t>
      </w:r>
      <w:r w:rsidRPr="00CC017A">
        <w:rPr>
          <w:sz w:val="20"/>
          <w:szCs w:val="20"/>
        </w:rPr>
        <w:t>)</w:t>
      </w:r>
      <w:r>
        <w:rPr>
          <w:sz w:val="20"/>
          <w:szCs w:val="20"/>
        </w:rPr>
        <w:t xml:space="preserve"> and </w:t>
      </w:r>
      <w:r w:rsidRPr="00CC017A">
        <w:rPr>
          <w:sz w:val="20"/>
          <w:szCs w:val="20"/>
        </w:rPr>
        <w:t xml:space="preserve">foreign exchange </w:t>
      </w:r>
      <w:r>
        <w:rPr>
          <w:sz w:val="20"/>
          <w:szCs w:val="20"/>
        </w:rPr>
        <w:t>gain</w:t>
      </w:r>
      <w:r w:rsidRPr="00CC017A">
        <w:rPr>
          <w:sz w:val="20"/>
          <w:szCs w:val="20"/>
        </w:rPr>
        <w:t xml:space="preserve"> of $</w:t>
      </w:r>
      <w:r>
        <w:rPr>
          <w:sz w:val="20"/>
          <w:szCs w:val="20"/>
        </w:rPr>
        <w:t>449,745</w:t>
      </w:r>
      <w:r w:rsidRPr="00CC017A">
        <w:rPr>
          <w:sz w:val="20"/>
          <w:szCs w:val="20"/>
        </w:rPr>
        <w:t xml:space="preserve"> (2021 </w:t>
      </w:r>
      <w:r>
        <w:rPr>
          <w:sz w:val="20"/>
          <w:szCs w:val="20"/>
        </w:rPr>
        <w:t>–</w:t>
      </w:r>
      <w:r w:rsidRPr="00CC017A">
        <w:rPr>
          <w:sz w:val="20"/>
          <w:szCs w:val="20"/>
        </w:rPr>
        <w:t xml:space="preserve"> </w:t>
      </w:r>
      <w:r>
        <w:rPr>
          <w:sz w:val="20"/>
          <w:szCs w:val="20"/>
        </w:rPr>
        <w:t>65,527</w:t>
      </w:r>
      <w:r w:rsidRPr="00CC017A">
        <w:rPr>
          <w:sz w:val="20"/>
          <w:szCs w:val="20"/>
        </w:rPr>
        <w:t>)</w:t>
      </w:r>
      <w:r>
        <w:rPr>
          <w:sz w:val="20"/>
          <w:szCs w:val="20"/>
        </w:rPr>
        <w:t xml:space="preserve">, offset by </w:t>
      </w:r>
      <w:r w:rsidRPr="00CC017A">
        <w:rPr>
          <w:sz w:val="20"/>
          <w:szCs w:val="20"/>
        </w:rPr>
        <w:t>finance costs of $</w:t>
      </w:r>
      <w:r w:rsidR="00C52F34">
        <w:rPr>
          <w:sz w:val="20"/>
          <w:szCs w:val="20"/>
        </w:rPr>
        <w:t>2,936</w:t>
      </w:r>
      <w:r w:rsidRPr="00CC017A">
        <w:rPr>
          <w:sz w:val="20"/>
          <w:szCs w:val="20"/>
        </w:rPr>
        <w:t xml:space="preserve"> (2021 - $</w:t>
      </w:r>
      <w:r w:rsidR="00C52F34">
        <w:rPr>
          <w:sz w:val="20"/>
          <w:szCs w:val="20"/>
        </w:rPr>
        <w:t>38,083</w:t>
      </w:r>
      <w:r w:rsidRPr="00CC017A">
        <w:rPr>
          <w:sz w:val="20"/>
          <w:szCs w:val="20"/>
        </w:rPr>
        <w:t>)</w:t>
      </w:r>
      <w:r w:rsidR="00C52F34">
        <w:rPr>
          <w:sz w:val="20"/>
          <w:szCs w:val="20"/>
        </w:rPr>
        <w:t xml:space="preserve"> and</w:t>
      </w:r>
      <w:r w:rsidRPr="00CC017A">
        <w:rPr>
          <w:sz w:val="20"/>
          <w:szCs w:val="20"/>
        </w:rPr>
        <w:t xml:space="preserve"> a </w:t>
      </w:r>
      <w:r w:rsidR="00C52F34">
        <w:rPr>
          <w:sz w:val="20"/>
          <w:szCs w:val="20"/>
        </w:rPr>
        <w:t>loss</w:t>
      </w:r>
      <w:r w:rsidRPr="00CC017A">
        <w:rPr>
          <w:sz w:val="20"/>
          <w:szCs w:val="20"/>
        </w:rPr>
        <w:t xml:space="preserve"> on debt extinguishment of $</w:t>
      </w:r>
      <w:r w:rsidR="00C52F34">
        <w:rPr>
          <w:sz w:val="20"/>
          <w:szCs w:val="20"/>
        </w:rPr>
        <w:t>46</w:t>
      </w:r>
      <w:r w:rsidRPr="00CC017A">
        <w:rPr>
          <w:sz w:val="20"/>
          <w:szCs w:val="20"/>
        </w:rPr>
        <w:t xml:space="preserve"> (2021 – $</w:t>
      </w:r>
      <w:r w:rsidR="00C52F34">
        <w:rPr>
          <w:sz w:val="20"/>
          <w:szCs w:val="20"/>
        </w:rPr>
        <w:t>73,560</w:t>
      </w:r>
      <w:r w:rsidRPr="00CC017A">
        <w:rPr>
          <w:sz w:val="20"/>
          <w:szCs w:val="20"/>
        </w:rPr>
        <w:t xml:space="preserve">). For the </w:t>
      </w:r>
      <w:r w:rsidR="00C52F34">
        <w:rPr>
          <w:sz w:val="20"/>
          <w:szCs w:val="20"/>
        </w:rPr>
        <w:t>three</w:t>
      </w:r>
      <w:r w:rsidRPr="00CC017A">
        <w:rPr>
          <w:sz w:val="20"/>
          <w:szCs w:val="20"/>
        </w:rPr>
        <w:t xml:space="preserve"> months ended </w:t>
      </w:r>
      <w:r>
        <w:rPr>
          <w:sz w:val="20"/>
          <w:szCs w:val="20"/>
        </w:rPr>
        <w:t>June 30</w:t>
      </w:r>
      <w:r w:rsidRPr="00CC017A">
        <w:rPr>
          <w:sz w:val="20"/>
          <w:szCs w:val="20"/>
        </w:rPr>
        <w:t xml:space="preserve">, 2022, the derivative liability arises from the Company’s warrants which are exercisable in US dollars as they have an exercise price denominated in a currency other than the Company’s functional currency of the Canadian dollar. Over the period, the value of the derivative liability </w:t>
      </w:r>
      <w:r w:rsidR="00C52F34">
        <w:rPr>
          <w:sz w:val="20"/>
          <w:szCs w:val="20"/>
        </w:rPr>
        <w:t>decreased</w:t>
      </w:r>
      <w:r w:rsidRPr="00CC017A">
        <w:rPr>
          <w:sz w:val="20"/>
          <w:szCs w:val="20"/>
        </w:rPr>
        <w:t xml:space="preserve"> as a result of the</w:t>
      </w:r>
      <w:r w:rsidR="00C52F34">
        <w:rPr>
          <w:sz w:val="20"/>
          <w:szCs w:val="20"/>
        </w:rPr>
        <w:t xml:space="preserve"> decrease</w:t>
      </w:r>
      <w:r w:rsidRPr="00CC017A">
        <w:rPr>
          <w:sz w:val="20"/>
          <w:szCs w:val="20"/>
        </w:rPr>
        <w:t xml:space="preserve"> in the Company’s share price from $0.</w:t>
      </w:r>
      <w:r w:rsidR="00C52F34">
        <w:rPr>
          <w:sz w:val="20"/>
          <w:szCs w:val="20"/>
        </w:rPr>
        <w:t>2</w:t>
      </w:r>
      <w:r w:rsidR="00DE7882">
        <w:rPr>
          <w:sz w:val="20"/>
          <w:szCs w:val="20"/>
        </w:rPr>
        <w:t>8</w:t>
      </w:r>
      <w:r w:rsidRPr="00CC017A">
        <w:rPr>
          <w:sz w:val="20"/>
          <w:szCs w:val="20"/>
        </w:rPr>
        <w:t xml:space="preserve"> as </w:t>
      </w:r>
      <w:proofErr w:type="gramStart"/>
      <w:r w:rsidRPr="00CC017A">
        <w:rPr>
          <w:sz w:val="20"/>
          <w:szCs w:val="20"/>
        </w:rPr>
        <w:t>at</w:t>
      </w:r>
      <w:proofErr w:type="gramEnd"/>
      <w:r w:rsidRPr="00CC017A">
        <w:rPr>
          <w:sz w:val="20"/>
          <w:szCs w:val="20"/>
        </w:rPr>
        <w:t xml:space="preserve"> </w:t>
      </w:r>
      <w:r w:rsidR="00C52F34">
        <w:rPr>
          <w:sz w:val="20"/>
          <w:szCs w:val="20"/>
        </w:rPr>
        <w:t>April</w:t>
      </w:r>
      <w:r w:rsidRPr="00CC017A">
        <w:rPr>
          <w:sz w:val="20"/>
          <w:szCs w:val="20"/>
        </w:rPr>
        <w:t xml:space="preserve"> 1, 2022 to $0.</w:t>
      </w:r>
      <w:r>
        <w:rPr>
          <w:sz w:val="20"/>
          <w:szCs w:val="20"/>
        </w:rPr>
        <w:t>195</w:t>
      </w:r>
      <w:r w:rsidRPr="00CC017A">
        <w:rPr>
          <w:sz w:val="20"/>
          <w:szCs w:val="20"/>
        </w:rPr>
        <w:t xml:space="preserve"> as at </w:t>
      </w:r>
      <w:r>
        <w:rPr>
          <w:sz w:val="20"/>
          <w:szCs w:val="20"/>
        </w:rPr>
        <w:t>June 30</w:t>
      </w:r>
      <w:r w:rsidRPr="00CC017A">
        <w:rPr>
          <w:sz w:val="20"/>
          <w:szCs w:val="20"/>
        </w:rPr>
        <w:t xml:space="preserve">, 2022. </w:t>
      </w:r>
    </w:p>
    <w:p w14:paraId="4F857B1E" w14:textId="77777777" w:rsidR="00684CE6" w:rsidRDefault="00684CE6" w:rsidP="00C95A74">
      <w:pPr>
        <w:pStyle w:val="NormalWeb"/>
        <w:spacing w:before="0" w:beforeAutospacing="0" w:after="0" w:afterAutospacing="0"/>
        <w:jc w:val="both"/>
        <w:rPr>
          <w:sz w:val="20"/>
          <w:szCs w:val="20"/>
        </w:rPr>
      </w:pPr>
    </w:p>
    <w:p w14:paraId="0B16D814" w14:textId="00A9A392" w:rsidR="00B634F3" w:rsidRPr="00CC017A" w:rsidRDefault="00B634F3" w:rsidP="00C95A74">
      <w:pPr>
        <w:pStyle w:val="NormalWeb"/>
        <w:spacing w:before="0" w:beforeAutospacing="0" w:after="0" w:afterAutospacing="0"/>
        <w:jc w:val="both"/>
        <w:rPr>
          <w:sz w:val="20"/>
          <w:szCs w:val="20"/>
        </w:rPr>
      </w:pPr>
      <w:r w:rsidRPr="00CC017A">
        <w:rPr>
          <w:sz w:val="20"/>
          <w:szCs w:val="20"/>
        </w:rPr>
        <w:t xml:space="preserve">For the </w:t>
      </w:r>
      <w:r w:rsidR="00811228">
        <w:rPr>
          <w:sz w:val="20"/>
          <w:szCs w:val="20"/>
        </w:rPr>
        <w:t>six</w:t>
      </w:r>
      <w:r w:rsidR="009E1252" w:rsidRPr="00CC017A">
        <w:rPr>
          <w:sz w:val="20"/>
          <w:szCs w:val="20"/>
        </w:rPr>
        <w:t xml:space="preserve"> months ended</w:t>
      </w:r>
      <w:r w:rsidRPr="00CC017A">
        <w:rPr>
          <w:sz w:val="20"/>
          <w:szCs w:val="20"/>
        </w:rPr>
        <w:t xml:space="preserve"> </w:t>
      </w:r>
      <w:r w:rsidR="00811228">
        <w:rPr>
          <w:sz w:val="20"/>
          <w:szCs w:val="20"/>
        </w:rPr>
        <w:t>June 30</w:t>
      </w:r>
      <w:r w:rsidR="009E1252" w:rsidRPr="00CC017A">
        <w:rPr>
          <w:sz w:val="20"/>
          <w:szCs w:val="20"/>
        </w:rPr>
        <w:t>, 2022</w:t>
      </w:r>
      <w:r w:rsidRPr="00CC017A">
        <w:rPr>
          <w:sz w:val="20"/>
          <w:szCs w:val="20"/>
        </w:rPr>
        <w:t xml:space="preserve">, the Company had other </w:t>
      </w:r>
      <w:r w:rsidR="00811228">
        <w:rPr>
          <w:sz w:val="20"/>
          <w:szCs w:val="20"/>
        </w:rPr>
        <w:t>income</w:t>
      </w:r>
      <w:r w:rsidRPr="00CC017A">
        <w:rPr>
          <w:sz w:val="20"/>
          <w:szCs w:val="20"/>
        </w:rPr>
        <w:t xml:space="preserve"> of $</w:t>
      </w:r>
      <w:r w:rsidR="00AA1DAA">
        <w:rPr>
          <w:sz w:val="20"/>
          <w:szCs w:val="20"/>
        </w:rPr>
        <w:t>1</w:t>
      </w:r>
      <w:r w:rsidR="00AC76C3">
        <w:rPr>
          <w:sz w:val="20"/>
          <w:szCs w:val="20"/>
        </w:rPr>
        <w:t>6</w:t>
      </w:r>
      <w:r w:rsidR="00AA1DAA">
        <w:rPr>
          <w:sz w:val="20"/>
          <w:szCs w:val="20"/>
        </w:rPr>
        <w:t>,</w:t>
      </w:r>
      <w:r w:rsidR="00AC76C3">
        <w:rPr>
          <w:sz w:val="20"/>
          <w:szCs w:val="20"/>
        </w:rPr>
        <w:t>005</w:t>
      </w:r>
      <w:r w:rsidRPr="00CC017A">
        <w:rPr>
          <w:sz w:val="20"/>
          <w:szCs w:val="20"/>
        </w:rPr>
        <w:t xml:space="preserve"> compared to other expenses of $</w:t>
      </w:r>
      <w:r w:rsidR="00811228">
        <w:rPr>
          <w:sz w:val="20"/>
          <w:szCs w:val="20"/>
        </w:rPr>
        <w:t>5,957,294</w:t>
      </w:r>
      <w:r w:rsidRPr="00CC017A">
        <w:rPr>
          <w:sz w:val="20"/>
          <w:szCs w:val="20"/>
        </w:rPr>
        <w:t xml:space="preserve"> for the </w:t>
      </w:r>
      <w:r w:rsidR="00811228">
        <w:rPr>
          <w:sz w:val="20"/>
          <w:szCs w:val="20"/>
        </w:rPr>
        <w:t>six</w:t>
      </w:r>
      <w:r w:rsidR="0066555C" w:rsidRPr="00CC017A">
        <w:rPr>
          <w:sz w:val="20"/>
          <w:szCs w:val="20"/>
        </w:rPr>
        <w:t xml:space="preserve"> months ended </w:t>
      </w:r>
      <w:r w:rsidR="00765ACE">
        <w:rPr>
          <w:sz w:val="20"/>
          <w:szCs w:val="20"/>
        </w:rPr>
        <w:t>June 30</w:t>
      </w:r>
      <w:r w:rsidR="0066555C" w:rsidRPr="00CC017A">
        <w:rPr>
          <w:sz w:val="20"/>
          <w:szCs w:val="20"/>
        </w:rPr>
        <w:t>, 2021</w:t>
      </w:r>
      <w:r w:rsidRPr="00CC017A">
        <w:rPr>
          <w:sz w:val="20"/>
          <w:szCs w:val="20"/>
        </w:rPr>
        <w:t xml:space="preserve">. Other </w:t>
      </w:r>
      <w:r w:rsidR="00811228">
        <w:rPr>
          <w:sz w:val="20"/>
          <w:szCs w:val="20"/>
        </w:rPr>
        <w:t>income</w:t>
      </w:r>
      <w:r w:rsidR="00811228" w:rsidRPr="00CC017A">
        <w:rPr>
          <w:sz w:val="20"/>
          <w:szCs w:val="20"/>
        </w:rPr>
        <w:t xml:space="preserve"> </w:t>
      </w:r>
      <w:r w:rsidRPr="00CC017A">
        <w:rPr>
          <w:sz w:val="20"/>
          <w:szCs w:val="20"/>
        </w:rPr>
        <w:t xml:space="preserve">for the </w:t>
      </w:r>
      <w:r w:rsidR="00811228">
        <w:rPr>
          <w:sz w:val="20"/>
          <w:szCs w:val="20"/>
        </w:rPr>
        <w:t>six</w:t>
      </w:r>
      <w:r w:rsidR="0066555C" w:rsidRPr="00CC017A">
        <w:rPr>
          <w:sz w:val="20"/>
          <w:szCs w:val="20"/>
        </w:rPr>
        <w:t xml:space="preserve"> months ended</w:t>
      </w:r>
      <w:r w:rsidRPr="00CC017A">
        <w:rPr>
          <w:sz w:val="20"/>
          <w:szCs w:val="20"/>
        </w:rPr>
        <w:t xml:space="preserve"> </w:t>
      </w:r>
      <w:r w:rsidR="00811228">
        <w:rPr>
          <w:sz w:val="20"/>
          <w:szCs w:val="20"/>
        </w:rPr>
        <w:t>June 30</w:t>
      </w:r>
      <w:r w:rsidRPr="00CC017A">
        <w:rPr>
          <w:sz w:val="20"/>
          <w:szCs w:val="20"/>
        </w:rPr>
        <w:t xml:space="preserve">, </w:t>
      </w:r>
      <w:proofErr w:type="gramStart"/>
      <w:r w:rsidRPr="00CC017A">
        <w:rPr>
          <w:sz w:val="20"/>
          <w:szCs w:val="20"/>
        </w:rPr>
        <w:t>202</w:t>
      </w:r>
      <w:r w:rsidR="0066555C" w:rsidRPr="00CC017A">
        <w:rPr>
          <w:sz w:val="20"/>
          <w:szCs w:val="20"/>
        </w:rPr>
        <w:t>2</w:t>
      </w:r>
      <w:proofErr w:type="gramEnd"/>
      <w:r w:rsidRPr="00CC017A">
        <w:rPr>
          <w:sz w:val="20"/>
          <w:szCs w:val="20"/>
        </w:rPr>
        <w:t xml:space="preserve"> consists mainly of the </w:t>
      </w:r>
      <w:r w:rsidR="0066555C" w:rsidRPr="00CC017A">
        <w:rPr>
          <w:sz w:val="20"/>
          <w:szCs w:val="20"/>
        </w:rPr>
        <w:t>loss</w:t>
      </w:r>
      <w:r w:rsidRPr="00CC017A">
        <w:rPr>
          <w:sz w:val="20"/>
          <w:szCs w:val="20"/>
        </w:rPr>
        <w:t xml:space="preserve"> from the change in the fair value of the derivative liability of $</w:t>
      </w:r>
      <w:r w:rsidR="00811228">
        <w:rPr>
          <w:sz w:val="20"/>
          <w:szCs w:val="20"/>
        </w:rPr>
        <w:t>361,1</w:t>
      </w:r>
      <w:r w:rsidR="00F93627">
        <w:rPr>
          <w:sz w:val="20"/>
          <w:szCs w:val="20"/>
        </w:rPr>
        <w:t>70</w:t>
      </w:r>
      <w:r w:rsidR="00010F46" w:rsidRPr="00CC017A">
        <w:rPr>
          <w:sz w:val="20"/>
          <w:szCs w:val="20"/>
        </w:rPr>
        <w:t xml:space="preserve"> (</w:t>
      </w:r>
      <w:r w:rsidR="0066555C" w:rsidRPr="00CC017A">
        <w:rPr>
          <w:sz w:val="20"/>
          <w:szCs w:val="20"/>
        </w:rPr>
        <w:t>2021 – $</w:t>
      </w:r>
      <w:r w:rsidR="00811228">
        <w:rPr>
          <w:sz w:val="20"/>
          <w:szCs w:val="20"/>
        </w:rPr>
        <w:t>5,698,468</w:t>
      </w:r>
      <w:r w:rsidR="00010F46" w:rsidRPr="00CC017A">
        <w:rPr>
          <w:sz w:val="20"/>
          <w:szCs w:val="20"/>
        </w:rPr>
        <w:t>)</w:t>
      </w:r>
      <w:r w:rsidR="00E9162F">
        <w:rPr>
          <w:sz w:val="20"/>
          <w:szCs w:val="20"/>
        </w:rPr>
        <w:t xml:space="preserve"> and</w:t>
      </w:r>
      <w:r w:rsidRPr="00CC017A">
        <w:rPr>
          <w:sz w:val="20"/>
          <w:szCs w:val="20"/>
        </w:rPr>
        <w:t xml:space="preserve"> finance costs of $</w:t>
      </w:r>
      <w:r w:rsidR="00811228">
        <w:rPr>
          <w:sz w:val="20"/>
          <w:szCs w:val="20"/>
        </w:rPr>
        <w:t>29,448</w:t>
      </w:r>
      <w:r w:rsidR="00010F46" w:rsidRPr="00CC017A">
        <w:rPr>
          <w:sz w:val="20"/>
          <w:szCs w:val="20"/>
        </w:rPr>
        <w:t xml:space="preserve"> (</w:t>
      </w:r>
      <w:r w:rsidR="0066555C" w:rsidRPr="00CC017A">
        <w:rPr>
          <w:sz w:val="20"/>
          <w:szCs w:val="20"/>
        </w:rPr>
        <w:t>2021 - $</w:t>
      </w:r>
      <w:r w:rsidR="00E9162F">
        <w:rPr>
          <w:sz w:val="20"/>
          <w:szCs w:val="20"/>
        </w:rPr>
        <w:t>49,382</w:t>
      </w:r>
      <w:r w:rsidR="00010F46" w:rsidRPr="00CC017A">
        <w:rPr>
          <w:sz w:val="20"/>
          <w:szCs w:val="20"/>
        </w:rPr>
        <w:t>)</w:t>
      </w:r>
      <w:r w:rsidRPr="00CC017A">
        <w:rPr>
          <w:sz w:val="20"/>
          <w:szCs w:val="20"/>
        </w:rPr>
        <w:t xml:space="preserve">, </w:t>
      </w:r>
      <w:r w:rsidR="0066555C" w:rsidRPr="00CC017A">
        <w:rPr>
          <w:sz w:val="20"/>
          <w:szCs w:val="20"/>
        </w:rPr>
        <w:t>offset by a gain on debt extinguishment of $71,</w:t>
      </w:r>
      <w:r w:rsidR="00263145">
        <w:rPr>
          <w:sz w:val="20"/>
          <w:szCs w:val="20"/>
        </w:rPr>
        <w:t>2</w:t>
      </w:r>
      <w:r w:rsidR="00E9162F">
        <w:rPr>
          <w:sz w:val="20"/>
          <w:szCs w:val="20"/>
        </w:rPr>
        <w:t>36</w:t>
      </w:r>
      <w:r w:rsidR="0066555C" w:rsidRPr="00CC017A">
        <w:rPr>
          <w:sz w:val="20"/>
          <w:szCs w:val="20"/>
        </w:rPr>
        <w:t xml:space="preserve"> (2021 – loss of $</w:t>
      </w:r>
      <w:r w:rsidR="00E9162F">
        <w:rPr>
          <w:sz w:val="20"/>
          <w:szCs w:val="20"/>
        </w:rPr>
        <w:t>145,665</w:t>
      </w:r>
      <w:r w:rsidR="0066555C" w:rsidRPr="00CC017A">
        <w:rPr>
          <w:sz w:val="20"/>
          <w:szCs w:val="20"/>
        </w:rPr>
        <w:t>)</w:t>
      </w:r>
      <w:r w:rsidR="00E9162F">
        <w:rPr>
          <w:sz w:val="20"/>
          <w:szCs w:val="20"/>
        </w:rPr>
        <w:t xml:space="preserve"> and </w:t>
      </w:r>
      <w:r w:rsidR="00E9162F" w:rsidRPr="00CC017A">
        <w:rPr>
          <w:sz w:val="20"/>
          <w:szCs w:val="20"/>
        </w:rPr>
        <w:t xml:space="preserve">foreign exchange </w:t>
      </w:r>
      <w:r w:rsidR="00E9162F">
        <w:rPr>
          <w:sz w:val="20"/>
          <w:szCs w:val="20"/>
        </w:rPr>
        <w:t>gain</w:t>
      </w:r>
      <w:r w:rsidR="00E9162F" w:rsidRPr="00CC017A">
        <w:rPr>
          <w:sz w:val="20"/>
          <w:szCs w:val="20"/>
        </w:rPr>
        <w:t xml:space="preserve"> of $</w:t>
      </w:r>
      <w:r w:rsidR="00E9162F">
        <w:rPr>
          <w:sz w:val="20"/>
          <w:szCs w:val="20"/>
        </w:rPr>
        <w:t>32</w:t>
      </w:r>
      <w:r w:rsidR="00684CE6">
        <w:rPr>
          <w:sz w:val="20"/>
          <w:szCs w:val="20"/>
        </w:rPr>
        <w:t>8</w:t>
      </w:r>
      <w:r w:rsidR="00E9162F">
        <w:rPr>
          <w:sz w:val="20"/>
          <w:szCs w:val="20"/>
        </w:rPr>
        <w:t>,</w:t>
      </w:r>
      <w:r w:rsidR="00684CE6">
        <w:rPr>
          <w:sz w:val="20"/>
          <w:szCs w:val="20"/>
        </w:rPr>
        <w:t>620</w:t>
      </w:r>
      <w:r w:rsidR="00E9162F" w:rsidRPr="00CC017A">
        <w:rPr>
          <w:sz w:val="20"/>
          <w:szCs w:val="20"/>
        </w:rPr>
        <w:t xml:space="preserve"> (2021 </w:t>
      </w:r>
      <w:r w:rsidR="00E9162F">
        <w:rPr>
          <w:sz w:val="20"/>
          <w:szCs w:val="20"/>
        </w:rPr>
        <w:t>–</w:t>
      </w:r>
      <w:r w:rsidR="00E9162F" w:rsidRPr="00CC017A">
        <w:rPr>
          <w:sz w:val="20"/>
          <w:szCs w:val="20"/>
        </w:rPr>
        <w:t xml:space="preserve"> </w:t>
      </w:r>
      <w:r w:rsidR="00E9162F">
        <w:rPr>
          <w:sz w:val="20"/>
          <w:szCs w:val="20"/>
        </w:rPr>
        <w:t xml:space="preserve">loss of </w:t>
      </w:r>
      <w:r w:rsidR="00E9162F" w:rsidRPr="00CC017A">
        <w:rPr>
          <w:sz w:val="20"/>
          <w:szCs w:val="20"/>
        </w:rPr>
        <w:t>$</w:t>
      </w:r>
      <w:r w:rsidR="00E9162F">
        <w:rPr>
          <w:sz w:val="20"/>
          <w:szCs w:val="20"/>
        </w:rPr>
        <w:t>918</w:t>
      </w:r>
      <w:r w:rsidR="00E9162F" w:rsidRPr="00CC017A">
        <w:rPr>
          <w:sz w:val="20"/>
          <w:szCs w:val="20"/>
        </w:rPr>
        <w:t>)</w:t>
      </w:r>
      <w:r w:rsidRPr="00CC017A">
        <w:rPr>
          <w:sz w:val="20"/>
          <w:szCs w:val="20"/>
        </w:rPr>
        <w:t xml:space="preserve">. </w:t>
      </w:r>
      <w:r w:rsidR="0066555C" w:rsidRPr="00CC017A">
        <w:rPr>
          <w:sz w:val="20"/>
          <w:szCs w:val="20"/>
        </w:rPr>
        <w:t xml:space="preserve">For the </w:t>
      </w:r>
      <w:r w:rsidR="00E9162F">
        <w:rPr>
          <w:sz w:val="20"/>
          <w:szCs w:val="20"/>
        </w:rPr>
        <w:t>six</w:t>
      </w:r>
      <w:r w:rsidR="0066555C" w:rsidRPr="00CC017A">
        <w:rPr>
          <w:sz w:val="20"/>
          <w:szCs w:val="20"/>
        </w:rPr>
        <w:t xml:space="preserve"> months ended </w:t>
      </w:r>
      <w:r w:rsidR="00E9162F">
        <w:rPr>
          <w:sz w:val="20"/>
          <w:szCs w:val="20"/>
        </w:rPr>
        <w:t>June 30</w:t>
      </w:r>
      <w:r w:rsidR="0066555C" w:rsidRPr="00CC017A">
        <w:rPr>
          <w:sz w:val="20"/>
          <w:szCs w:val="20"/>
        </w:rPr>
        <w:t>, 2022, t</w:t>
      </w:r>
      <w:r w:rsidRPr="00CC017A">
        <w:rPr>
          <w:sz w:val="20"/>
          <w:szCs w:val="20"/>
        </w:rPr>
        <w:t xml:space="preserve">he derivative liability arises from the Company’s warrants which are exercisable in </w:t>
      </w:r>
      <w:r w:rsidR="0066555C" w:rsidRPr="00CC017A">
        <w:rPr>
          <w:sz w:val="20"/>
          <w:szCs w:val="20"/>
        </w:rPr>
        <w:t>US dollars</w:t>
      </w:r>
      <w:r w:rsidRPr="00CC017A">
        <w:rPr>
          <w:sz w:val="20"/>
          <w:szCs w:val="20"/>
        </w:rPr>
        <w:t xml:space="preserve"> as they have an exercise price denominated in a currency other than the Company’s functional currency of the </w:t>
      </w:r>
      <w:r w:rsidR="0066555C" w:rsidRPr="00CC017A">
        <w:rPr>
          <w:sz w:val="20"/>
          <w:szCs w:val="20"/>
        </w:rPr>
        <w:t xml:space="preserve">Canadian </w:t>
      </w:r>
      <w:r w:rsidRPr="00CC017A">
        <w:rPr>
          <w:sz w:val="20"/>
          <w:szCs w:val="20"/>
        </w:rPr>
        <w:t>dollar. Over the period, the value of the derivative liability increased substantially as a result of the increase in the Company’s share price from $0.</w:t>
      </w:r>
      <w:r w:rsidR="00C80685" w:rsidRPr="00CC017A">
        <w:rPr>
          <w:sz w:val="20"/>
          <w:szCs w:val="20"/>
        </w:rPr>
        <w:t>1</w:t>
      </w:r>
      <w:r w:rsidR="00E9162F">
        <w:rPr>
          <w:sz w:val="20"/>
          <w:szCs w:val="20"/>
        </w:rPr>
        <w:t>5</w:t>
      </w:r>
      <w:r w:rsidRPr="00CC017A">
        <w:rPr>
          <w:sz w:val="20"/>
          <w:szCs w:val="20"/>
        </w:rPr>
        <w:t xml:space="preserve"> as </w:t>
      </w:r>
      <w:proofErr w:type="gramStart"/>
      <w:r w:rsidRPr="00CC017A">
        <w:rPr>
          <w:sz w:val="20"/>
          <w:szCs w:val="20"/>
        </w:rPr>
        <w:t>at</w:t>
      </w:r>
      <w:proofErr w:type="gramEnd"/>
      <w:r w:rsidRPr="00CC017A">
        <w:rPr>
          <w:sz w:val="20"/>
          <w:szCs w:val="20"/>
        </w:rPr>
        <w:t xml:space="preserve"> </w:t>
      </w:r>
      <w:r w:rsidR="00C80685" w:rsidRPr="00CC017A">
        <w:rPr>
          <w:sz w:val="20"/>
          <w:szCs w:val="20"/>
        </w:rPr>
        <w:t>January 1</w:t>
      </w:r>
      <w:r w:rsidRPr="00CC017A">
        <w:rPr>
          <w:sz w:val="20"/>
          <w:szCs w:val="20"/>
        </w:rPr>
        <w:t>, 202</w:t>
      </w:r>
      <w:r w:rsidR="00C80685" w:rsidRPr="00CC017A">
        <w:rPr>
          <w:sz w:val="20"/>
          <w:szCs w:val="20"/>
        </w:rPr>
        <w:t>2</w:t>
      </w:r>
      <w:r w:rsidRPr="00CC017A">
        <w:rPr>
          <w:sz w:val="20"/>
          <w:szCs w:val="20"/>
        </w:rPr>
        <w:t xml:space="preserve"> to $0</w:t>
      </w:r>
      <w:r w:rsidR="00C80685" w:rsidRPr="00CC017A">
        <w:rPr>
          <w:sz w:val="20"/>
          <w:szCs w:val="20"/>
        </w:rPr>
        <w:t>.</w:t>
      </w:r>
      <w:r w:rsidR="00E9162F">
        <w:rPr>
          <w:sz w:val="20"/>
          <w:szCs w:val="20"/>
        </w:rPr>
        <w:t>195</w:t>
      </w:r>
      <w:r w:rsidRPr="00CC017A">
        <w:rPr>
          <w:sz w:val="20"/>
          <w:szCs w:val="20"/>
        </w:rPr>
        <w:t xml:space="preserve"> as </w:t>
      </w:r>
      <w:r w:rsidR="00C80685" w:rsidRPr="00CC017A">
        <w:rPr>
          <w:sz w:val="20"/>
          <w:szCs w:val="20"/>
        </w:rPr>
        <w:t xml:space="preserve">at </w:t>
      </w:r>
      <w:r w:rsidR="00E9162F">
        <w:rPr>
          <w:sz w:val="20"/>
          <w:szCs w:val="20"/>
        </w:rPr>
        <w:t>June 30</w:t>
      </w:r>
      <w:r w:rsidR="00C80685" w:rsidRPr="00CC017A">
        <w:rPr>
          <w:sz w:val="20"/>
          <w:szCs w:val="20"/>
        </w:rPr>
        <w:t>, 2022</w:t>
      </w:r>
      <w:r w:rsidRPr="00CC017A">
        <w:rPr>
          <w:sz w:val="20"/>
          <w:szCs w:val="20"/>
        </w:rPr>
        <w:t xml:space="preserve">. </w:t>
      </w:r>
    </w:p>
    <w:p w14:paraId="61D9414A" w14:textId="3AA8CAC0" w:rsidR="00E43F8A" w:rsidRPr="00CC017A" w:rsidRDefault="00E43F8A" w:rsidP="00C95A74">
      <w:pPr>
        <w:pStyle w:val="NormalWeb"/>
        <w:spacing w:before="0" w:beforeAutospacing="0" w:after="0" w:afterAutospacing="0"/>
        <w:jc w:val="both"/>
        <w:rPr>
          <w:sz w:val="20"/>
          <w:szCs w:val="20"/>
        </w:rPr>
      </w:pPr>
    </w:p>
    <w:p w14:paraId="2E182B38" w14:textId="76525713" w:rsidR="00E43F8A" w:rsidRPr="00CC017A" w:rsidRDefault="00E43F8A" w:rsidP="00C95A74">
      <w:pPr>
        <w:rPr>
          <w:b/>
          <w:bCs/>
          <w:i/>
          <w:iCs/>
        </w:rPr>
      </w:pPr>
      <w:r w:rsidRPr="00CC017A">
        <w:rPr>
          <w:b/>
          <w:bCs/>
          <w:i/>
          <w:iCs/>
        </w:rPr>
        <w:t xml:space="preserve">Total Assets </w:t>
      </w:r>
    </w:p>
    <w:p w14:paraId="6F3E3696" w14:textId="61FF091F" w:rsidR="001A24A7" w:rsidRDefault="00684CE6" w:rsidP="00C95A74">
      <w:pPr>
        <w:jc w:val="both"/>
        <w:rPr>
          <w:color w:val="000000"/>
        </w:rPr>
      </w:pPr>
      <w:r>
        <w:rPr>
          <w:color w:val="000000"/>
        </w:rPr>
        <w:t xml:space="preserve">As </w:t>
      </w:r>
      <w:proofErr w:type="gramStart"/>
      <w:r>
        <w:rPr>
          <w:color w:val="000000"/>
        </w:rPr>
        <w:t>at</w:t>
      </w:r>
      <w:proofErr w:type="gramEnd"/>
      <w:r w:rsidR="00CC017A" w:rsidRPr="00CC017A">
        <w:rPr>
          <w:color w:val="000000"/>
        </w:rPr>
        <w:t xml:space="preserve"> </w:t>
      </w:r>
      <w:r w:rsidR="00E9162F">
        <w:rPr>
          <w:color w:val="000000"/>
        </w:rPr>
        <w:t>June 30</w:t>
      </w:r>
      <w:r w:rsidR="00CC017A" w:rsidRPr="00CC017A">
        <w:rPr>
          <w:color w:val="000000"/>
        </w:rPr>
        <w:t>, 2022, total assets</w:t>
      </w:r>
      <w:r w:rsidR="001A24A7" w:rsidRPr="00CC017A">
        <w:rPr>
          <w:color w:val="000000"/>
        </w:rPr>
        <w:t xml:space="preserve"> </w:t>
      </w:r>
      <w:r w:rsidR="00F24A01" w:rsidRPr="00CC017A">
        <w:rPr>
          <w:color w:val="000000"/>
        </w:rPr>
        <w:t>increased by $</w:t>
      </w:r>
      <w:r w:rsidR="00E9162F">
        <w:rPr>
          <w:color w:val="000000"/>
        </w:rPr>
        <w:t>26</w:t>
      </w:r>
      <w:r w:rsidR="00CC017A" w:rsidRPr="00CC017A">
        <w:rPr>
          <w:color w:val="000000"/>
        </w:rPr>
        <w:t>,</w:t>
      </w:r>
      <w:r w:rsidR="00AA1DAA">
        <w:rPr>
          <w:color w:val="000000"/>
        </w:rPr>
        <w:t>607</w:t>
      </w:r>
      <w:r w:rsidR="00796905">
        <w:rPr>
          <w:color w:val="000000"/>
        </w:rPr>
        <w:t>,</w:t>
      </w:r>
      <w:r w:rsidR="00AA1DAA">
        <w:rPr>
          <w:color w:val="000000"/>
        </w:rPr>
        <w:t>283</w:t>
      </w:r>
      <w:r w:rsidR="00F24A01" w:rsidRPr="00CC017A">
        <w:rPr>
          <w:color w:val="000000"/>
        </w:rPr>
        <w:t xml:space="preserve"> from $</w:t>
      </w:r>
      <w:r w:rsidR="00CC017A" w:rsidRPr="00CC017A">
        <w:rPr>
          <w:color w:val="000000"/>
        </w:rPr>
        <w:t>6,</w:t>
      </w:r>
      <w:r w:rsidR="00644DBD">
        <w:rPr>
          <w:color w:val="000000"/>
        </w:rPr>
        <w:t>521,629</w:t>
      </w:r>
      <w:r w:rsidR="00F24A01" w:rsidRPr="00CC017A">
        <w:rPr>
          <w:color w:val="000000"/>
        </w:rPr>
        <w:t xml:space="preserve"> </w:t>
      </w:r>
      <w:r w:rsidR="00CC017A" w:rsidRPr="00CC017A">
        <w:rPr>
          <w:color w:val="000000"/>
        </w:rPr>
        <w:t>as at December 31, 2021</w:t>
      </w:r>
      <w:r w:rsidR="001A24A7" w:rsidRPr="00CC017A">
        <w:rPr>
          <w:color w:val="000000"/>
        </w:rPr>
        <w:t xml:space="preserve"> </w:t>
      </w:r>
      <w:r w:rsidR="00F24A01" w:rsidRPr="00CC017A">
        <w:rPr>
          <w:color w:val="000000"/>
        </w:rPr>
        <w:t>to</w:t>
      </w:r>
      <w:r w:rsidR="001A24A7" w:rsidRPr="00CC017A">
        <w:rPr>
          <w:color w:val="000000"/>
        </w:rPr>
        <w:t xml:space="preserve"> $</w:t>
      </w:r>
      <w:r w:rsidR="00E9162F">
        <w:rPr>
          <w:color w:val="000000"/>
        </w:rPr>
        <w:t>33,</w:t>
      </w:r>
      <w:r w:rsidR="00AA1DAA">
        <w:rPr>
          <w:color w:val="000000"/>
        </w:rPr>
        <w:t>128</w:t>
      </w:r>
      <w:r w:rsidR="00E9162F">
        <w:rPr>
          <w:color w:val="000000"/>
        </w:rPr>
        <w:t>,</w:t>
      </w:r>
      <w:r w:rsidR="00AA1DAA">
        <w:rPr>
          <w:color w:val="000000"/>
        </w:rPr>
        <w:t>912</w:t>
      </w:r>
      <w:r w:rsidR="00CC017A" w:rsidRPr="00CC017A">
        <w:rPr>
          <w:color w:val="000000"/>
        </w:rPr>
        <w:t xml:space="preserve"> as at </w:t>
      </w:r>
      <w:r w:rsidR="00E9162F">
        <w:rPr>
          <w:color w:val="000000"/>
        </w:rPr>
        <w:t>June 30</w:t>
      </w:r>
      <w:r w:rsidR="00CC017A" w:rsidRPr="00CC017A">
        <w:rPr>
          <w:color w:val="000000"/>
        </w:rPr>
        <w:t>, 2022</w:t>
      </w:r>
      <w:r w:rsidR="001A24A7" w:rsidRPr="00CC017A">
        <w:rPr>
          <w:color w:val="000000"/>
        </w:rPr>
        <w:t>. The increase in total assets was primarily a result of an increase in cash of $</w:t>
      </w:r>
      <w:r w:rsidR="00E9162F">
        <w:rPr>
          <w:color w:val="000000"/>
        </w:rPr>
        <w:t>22,4</w:t>
      </w:r>
      <w:r w:rsidR="00AA1DAA">
        <w:rPr>
          <w:color w:val="000000"/>
        </w:rPr>
        <w:t>75</w:t>
      </w:r>
      <w:r w:rsidR="00E9162F">
        <w:rPr>
          <w:color w:val="000000"/>
        </w:rPr>
        <w:t>,</w:t>
      </w:r>
      <w:r w:rsidR="00AA1DAA">
        <w:rPr>
          <w:color w:val="000000"/>
        </w:rPr>
        <w:t>529</w:t>
      </w:r>
      <w:r w:rsidR="00587060">
        <w:rPr>
          <w:color w:val="000000"/>
        </w:rPr>
        <w:t xml:space="preserve"> coupled by an increase in the Company’s </w:t>
      </w:r>
      <w:r w:rsidR="00AA1DAA">
        <w:rPr>
          <w:color w:val="000000"/>
        </w:rPr>
        <w:t xml:space="preserve">prepaid </w:t>
      </w:r>
      <w:r w:rsidR="00A666A0">
        <w:rPr>
          <w:color w:val="000000"/>
        </w:rPr>
        <w:t>expenses. The</w:t>
      </w:r>
      <w:r w:rsidR="001A24A7" w:rsidRPr="00CC017A">
        <w:rPr>
          <w:color w:val="000000"/>
        </w:rPr>
        <w:t xml:space="preserve"> increase in cash is </w:t>
      </w:r>
      <w:r w:rsidR="00BD1778" w:rsidRPr="00CC017A">
        <w:rPr>
          <w:color w:val="000000"/>
        </w:rPr>
        <w:t xml:space="preserve">primarily </w:t>
      </w:r>
      <w:r w:rsidR="001A24A7" w:rsidRPr="00CC017A">
        <w:rPr>
          <w:color w:val="000000"/>
        </w:rPr>
        <w:t xml:space="preserve">a result of </w:t>
      </w:r>
      <w:r w:rsidR="00BD1778" w:rsidRPr="00CC017A">
        <w:rPr>
          <w:color w:val="000000"/>
        </w:rPr>
        <w:t xml:space="preserve">aggregate proceeds received of approximately </w:t>
      </w:r>
      <w:r w:rsidR="00644DBD">
        <w:rPr>
          <w:color w:val="000000"/>
        </w:rPr>
        <w:t>$</w:t>
      </w:r>
      <w:r w:rsidR="00CC017A" w:rsidRPr="00CC017A">
        <w:rPr>
          <w:color w:val="000000"/>
        </w:rPr>
        <w:t>18</w:t>
      </w:r>
      <w:r w:rsidR="00644DBD">
        <w:rPr>
          <w:color w:val="000000"/>
        </w:rPr>
        <w:t xml:space="preserve"> million</w:t>
      </w:r>
      <w:r w:rsidR="00CC017A" w:rsidRPr="00CC017A">
        <w:rPr>
          <w:color w:val="000000"/>
        </w:rPr>
        <w:t xml:space="preserve"> CAD</w:t>
      </w:r>
      <w:r w:rsidR="00BD1778" w:rsidRPr="00CC017A">
        <w:rPr>
          <w:color w:val="000000"/>
        </w:rPr>
        <w:t xml:space="preserve"> </w:t>
      </w:r>
      <w:r w:rsidR="00CC017A" w:rsidRPr="00CC017A">
        <w:rPr>
          <w:color w:val="000000"/>
        </w:rPr>
        <w:t>in gross proceeds pursuant to private placements closed in March 2022</w:t>
      </w:r>
      <w:r w:rsidR="00587060">
        <w:rPr>
          <w:color w:val="000000"/>
        </w:rPr>
        <w:t xml:space="preserve"> and aggregate proceeds received of approximately $22 million CAD in gross proceeds pursuant to a prospectus closed in June 2022.</w:t>
      </w:r>
      <w:r w:rsidR="00A666A0">
        <w:rPr>
          <w:color w:val="000000"/>
        </w:rPr>
        <w:t xml:space="preserve"> The increase in prepaid expenses relates to advances made for drilling work that is expected to commence in Q3 2022.</w:t>
      </w:r>
    </w:p>
    <w:p w14:paraId="4CE4F05E" w14:textId="77777777" w:rsidR="00E86FF9" w:rsidRDefault="00E86FF9" w:rsidP="00C95A74">
      <w:pPr>
        <w:jc w:val="both"/>
        <w:rPr>
          <w:color w:val="000000"/>
        </w:rPr>
      </w:pPr>
    </w:p>
    <w:p w14:paraId="4DD6C2E3" w14:textId="2617313D" w:rsidR="00E43F8A" w:rsidRPr="00583A17" w:rsidRDefault="00E43F8A" w:rsidP="00C95A74">
      <w:pPr>
        <w:rPr>
          <w:b/>
          <w:bCs/>
          <w:i/>
          <w:iCs/>
        </w:rPr>
      </w:pPr>
      <w:r w:rsidRPr="00583A17">
        <w:rPr>
          <w:b/>
          <w:bCs/>
          <w:i/>
          <w:iCs/>
        </w:rPr>
        <w:t>Total Non-current Liabilities</w:t>
      </w:r>
    </w:p>
    <w:p w14:paraId="39CF3F3E" w14:textId="36093D47" w:rsidR="009C5051" w:rsidRDefault="001A24A7" w:rsidP="00C95A74">
      <w:pPr>
        <w:jc w:val="both"/>
        <w:rPr>
          <w:color w:val="000000"/>
        </w:rPr>
      </w:pPr>
      <w:r w:rsidRPr="00583A17">
        <w:rPr>
          <w:color w:val="000000"/>
        </w:rPr>
        <w:t xml:space="preserve">Total non-current liabilities as </w:t>
      </w:r>
      <w:proofErr w:type="gramStart"/>
      <w:r w:rsidRPr="00583A17">
        <w:rPr>
          <w:color w:val="000000"/>
        </w:rPr>
        <w:t>at</w:t>
      </w:r>
      <w:proofErr w:type="gramEnd"/>
      <w:r w:rsidRPr="00583A17">
        <w:rPr>
          <w:color w:val="000000"/>
        </w:rPr>
        <w:t xml:space="preserve"> </w:t>
      </w:r>
      <w:r w:rsidR="00587060">
        <w:rPr>
          <w:color w:val="000000"/>
        </w:rPr>
        <w:t>June 30</w:t>
      </w:r>
      <w:r w:rsidR="00CC017A">
        <w:rPr>
          <w:color w:val="000000"/>
        </w:rPr>
        <w:t>, 2022</w:t>
      </w:r>
      <w:r w:rsidR="00BD1778" w:rsidRPr="00583A17">
        <w:rPr>
          <w:color w:val="000000"/>
        </w:rPr>
        <w:t xml:space="preserve"> decreased by $</w:t>
      </w:r>
      <w:r w:rsidR="00AA1DAA">
        <w:rPr>
          <w:color w:val="000000"/>
        </w:rPr>
        <w:t>473</w:t>
      </w:r>
      <w:r w:rsidR="00CC017A">
        <w:rPr>
          <w:color w:val="000000"/>
        </w:rPr>
        <w:t>,</w:t>
      </w:r>
      <w:r w:rsidR="00AA1DAA">
        <w:rPr>
          <w:color w:val="000000"/>
        </w:rPr>
        <w:t>7</w:t>
      </w:r>
      <w:r w:rsidR="00F93627">
        <w:rPr>
          <w:color w:val="000000"/>
        </w:rPr>
        <w:t>1</w:t>
      </w:r>
      <w:r w:rsidR="00AA1DAA">
        <w:rPr>
          <w:color w:val="000000"/>
        </w:rPr>
        <w:t>9</w:t>
      </w:r>
      <w:r w:rsidR="00BD1778" w:rsidRPr="00583A17">
        <w:rPr>
          <w:color w:val="000000"/>
        </w:rPr>
        <w:t xml:space="preserve"> from $</w:t>
      </w:r>
      <w:r w:rsidR="00CC017A">
        <w:rPr>
          <w:color w:val="000000"/>
        </w:rPr>
        <w:t>9,493,112</w:t>
      </w:r>
      <w:r w:rsidRPr="00583A17">
        <w:rPr>
          <w:color w:val="000000"/>
        </w:rPr>
        <w:t xml:space="preserve"> </w:t>
      </w:r>
      <w:r w:rsidR="00CC017A">
        <w:rPr>
          <w:color w:val="000000"/>
        </w:rPr>
        <w:t>as at December 31, 2021</w:t>
      </w:r>
      <w:r w:rsidRPr="00583A17">
        <w:rPr>
          <w:color w:val="000000"/>
        </w:rPr>
        <w:t xml:space="preserve"> </w:t>
      </w:r>
      <w:r w:rsidR="00BD1778" w:rsidRPr="00583A17">
        <w:rPr>
          <w:color w:val="000000"/>
        </w:rPr>
        <w:t xml:space="preserve">to </w:t>
      </w:r>
      <w:r w:rsidRPr="00583A17">
        <w:rPr>
          <w:color w:val="000000"/>
        </w:rPr>
        <w:t>$</w:t>
      </w:r>
      <w:r w:rsidR="00CC017A">
        <w:rPr>
          <w:color w:val="000000"/>
        </w:rPr>
        <w:t>9</w:t>
      </w:r>
      <w:r w:rsidR="009C5051">
        <w:rPr>
          <w:color w:val="000000"/>
        </w:rPr>
        <w:t>,</w:t>
      </w:r>
      <w:r w:rsidR="00AA1DAA">
        <w:rPr>
          <w:color w:val="000000"/>
        </w:rPr>
        <w:t>019</w:t>
      </w:r>
      <w:r w:rsidR="009C5051">
        <w:rPr>
          <w:color w:val="000000"/>
        </w:rPr>
        <w:t>,</w:t>
      </w:r>
      <w:r w:rsidR="00AA1DAA">
        <w:rPr>
          <w:color w:val="000000"/>
        </w:rPr>
        <w:t>3</w:t>
      </w:r>
      <w:r w:rsidR="00F93627">
        <w:rPr>
          <w:color w:val="000000"/>
        </w:rPr>
        <w:t>9</w:t>
      </w:r>
      <w:r w:rsidR="00AA1DAA">
        <w:rPr>
          <w:color w:val="000000"/>
        </w:rPr>
        <w:t>3</w:t>
      </w:r>
      <w:r w:rsidR="00BD1778" w:rsidRPr="00583A17">
        <w:rPr>
          <w:color w:val="000000"/>
        </w:rPr>
        <w:t xml:space="preserve"> </w:t>
      </w:r>
      <w:r w:rsidR="009C5051">
        <w:rPr>
          <w:color w:val="000000"/>
        </w:rPr>
        <w:t xml:space="preserve">as at </w:t>
      </w:r>
      <w:r w:rsidR="00587060">
        <w:rPr>
          <w:color w:val="000000"/>
        </w:rPr>
        <w:t>June 30</w:t>
      </w:r>
      <w:r w:rsidR="009C5051">
        <w:rPr>
          <w:color w:val="000000"/>
        </w:rPr>
        <w:t>, 2022</w:t>
      </w:r>
      <w:r w:rsidRPr="00583A17">
        <w:rPr>
          <w:color w:val="000000"/>
        </w:rPr>
        <w:t>. The decrease in total non-current financial liabilities was primarily a result of</w:t>
      </w:r>
      <w:r w:rsidR="007B4BB0" w:rsidRPr="00583A17">
        <w:rPr>
          <w:color w:val="000000"/>
        </w:rPr>
        <w:t xml:space="preserve"> a </w:t>
      </w:r>
      <w:r w:rsidRPr="00583A17">
        <w:rPr>
          <w:color w:val="000000"/>
        </w:rPr>
        <w:t>$</w:t>
      </w:r>
      <w:r w:rsidR="00587060">
        <w:rPr>
          <w:color w:val="000000"/>
        </w:rPr>
        <w:t xml:space="preserve">561,475 </w:t>
      </w:r>
      <w:r w:rsidR="007B4BB0" w:rsidRPr="00583A17">
        <w:rPr>
          <w:color w:val="000000"/>
        </w:rPr>
        <w:t xml:space="preserve">decrease in </w:t>
      </w:r>
      <w:r w:rsidR="009C5051">
        <w:rPr>
          <w:color w:val="000000"/>
        </w:rPr>
        <w:t xml:space="preserve">asset retirement obligation </w:t>
      </w:r>
      <w:proofErr w:type="gramStart"/>
      <w:r w:rsidR="009C5051">
        <w:rPr>
          <w:color w:val="000000"/>
        </w:rPr>
        <w:t>as a result of</w:t>
      </w:r>
      <w:proofErr w:type="gramEnd"/>
      <w:r w:rsidR="009C5051">
        <w:rPr>
          <w:color w:val="000000"/>
        </w:rPr>
        <w:t xml:space="preserve"> changes in estimates </w:t>
      </w:r>
      <w:r w:rsidR="0052179C">
        <w:rPr>
          <w:color w:val="000000"/>
        </w:rPr>
        <w:t>in risk free discount rate</w:t>
      </w:r>
      <w:r w:rsidR="009C5051">
        <w:rPr>
          <w:color w:val="000000"/>
        </w:rPr>
        <w:t>. This decrease was offset by an increase in derivative liabilities of $</w:t>
      </w:r>
      <w:r w:rsidR="00587060">
        <w:rPr>
          <w:color w:val="000000"/>
        </w:rPr>
        <w:t>44,004</w:t>
      </w:r>
      <w:r w:rsidR="009C5051">
        <w:rPr>
          <w:color w:val="000000"/>
        </w:rPr>
        <w:t xml:space="preserve"> resulting from the change in functional currency from US dollars to Canadian dollars</w:t>
      </w:r>
      <w:r w:rsidR="00AA1DAA">
        <w:rPr>
          <w:color w:val="000000"/>
        </w:rPr>
        <w:t>.</w:t>
      </w:r>
    </w:p>
    <w:p w14:paraId="67EAE591" w14:textId="323FBBE8" w:rsidR="005B71BA" w:rsidRDefault="00D12C06" w:rsidP="00501AA6">
      <w:pPr>
        <w:pStyle w:val="Heading1"/>
      </w:pPr>
      <w:bookmarkStart w:id="11" w:name="_Toc103780854"/>
      <w:bookmarkEnd w:id="10"/>
      <w:r w:rsidRPr="00583A17">
        <w:t>Summary of Quarterly Results</w:t>
      </w:r>
      <w:bookmarkEnd w:id="11"/>
    </w:p>
    <w:p w14:paraId="521885A0" w14:textId="77777777" w:rsidR="00542C36" w:rsidRPr="00583A17" w:rsidRDefault="00542C36" w:rsidP="00583A17">
      <w:pPr>
        <w:spacing w:after="0"/>
      </w:pPr>
    </w:p>
    <w:p w14:paraId="7CE27437" w14:textId="0C267068" w:rsidR="00496DE4" w:rsidRDefault="00496DE4" w:rsidP="00C95A74">
      <w:pPr>
        <w:spacing w:after="0"/>
        <w:jc w:val="both"/>
        <w:rPr>
          <w:rFonts w:eastAsiaTheme="minorHAnsi"/>
          <w:lang w:val="en-CA"/>
        </w:rPr>
      </w:pPr>
      <w:r w:rsidRPr="00583A17">
        <w:rPr>
          <w:rFonts w:eastAsiaTheme="minorHAnsi"/>
          <w:lang w:val="en-CA"/>
        </w:rPr>
        <w:t>The financial information in the following tables summarizes selected financial information for the</w:t>
      </w:r>
      <w:r>
        <w:rPr>
          <w:rFonts w:eastAsiaTheme="minorHAnsi"/>
          <w:lang w:val="en-CA"/>
        </w:rPr>
        <w:t xml:space="preserve"> </w:t>
      </w:r>
      <w:r w:rsidRPr="00583A17">
        <w:rPr>
          <w:rFonts w:eastAsiaTheme="minorHAnsi"/>
          <w:lang w:val="en-CA"/>
        </w:rPr>
        <w:t xml:space="preserve">Company for the last eight quarters which was derived from annual financial statements prepared </w:t>
      </w:r>
      <w:r w:rsidR="00C34020" w:rsidRPr="00BC255F">
        <w:rPr>
          <w:rFonts w:eastAsiaTheme="minorHAnsi"/>
          <w:lang w:val="en-CA"/>
        </w:rPr>
        <w:t xml:space="preserve">in accordance with </w:t>
      </w:r>
      <w:r w:rsidR="00AB5340">
        <w:rPr>
          <w:rFonts w:eastAsiaTheme="minorHAnsi"/>
          <w:lang w:val="en-CA"/>
        </w:rPr>
        <w:t>IFRS</w:t>
      </w:r>
      <w:r w:rsidR="00C34020" w:rsidRPr="00BC255F">
        <w:rPr>
          <w:rFonts w:eastAsiaTheme="minorHAnsi"/>
          <w:lang w:val="en-CA"/>
        </w:rPr>
        <w:t xml:space="preserve"> and are expressed in United States dollars.</w:t>
      </w:r>
    </w:p>
    <w:p w14:paraId="5D9411DE" w14:textId="77777777" w:rsidR="004165B6" w:rsidRDefault="004165B6" w:rsidP="00496DE4">
      <w:pPr>
        <w:spacing w:after="0"/>
        <w:rPr>
          <w:rFonts w:eastAsiaTheme="minorHAnsi"/>
          <w:lang w:val="en-CA"/>
        </w:rPr>
      </w:pPr>
    </w:p>
    <w:tbl>
      <w:tblPr>
        <w:tblpPr w:leftFromText="180" w:rightFromText="180" w:vertAnchor="text" w:horzAnchor="margin" w:tblpY="76"/>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530"/>
        <w:gridCol w:w="1868"/>
        <w:gridCol w:w="1984"/>
        <w:gridCol w:w="1399"/>
      </w:tblGrid>
      <w:tr w:rsidR="00587060" w14:paraId="56EF2324" w14:textId="77777777" w:rsidTr="00A44638">
        <w:trPr>
          <w:trHeight w:val="288"/>
        </w:trPr>
        <w:tc>
          <w:tcPr>
            <w:tcW w:w="3256" w:type="dxa"/>
            <w:tcBorders>
              <w:top w:val="single" w:sz="4" w:space="0" w:color="auto"/>
            </w:tcBorders>
            <w:shd w:val="clear" w:color="auto" w:fill="D9D9D9" w:themeFill="background1" w:themeFillShade="D9"/>
            <w:vAlign w:val="bottom"/>
          </w:tcPr>
          <w:p w14:paraId="0ED34641" w14:textId="2D39E64A" w:rsidR="00587060" w:rsidRPr="007627E0" w:rsidRDefault="00587060" w:rsidP="00587060">
            <w:pPr>
              <w:pStyle w:val="Headingext1"/>
              <w:spacing w:before="60"/>
              <w:rPr>
                <w:rFonts w:ascii="Calibri" w:eastAsia="MS Mincho" w:hAnsi="Calibri" w:cs="Calibri"/>
                <w:sz w:val="20"/>
                <w:szCs w:val="20"/>
                <w:lang w:eastAsia="ja-JP"/>
              </w:rPr>
            </w:pPr>
          </w:p>
        </w:tc>
        <w:tc>
          <w:tcPr>
            <w:tcW w:w="1530" w:type="dxa"/>
            <w:shd w:val="clear" w:color="auto" w:fill="D9D9D9" w:themeFill="background1" w:themeFillShade="D9"/>
          </w:tcPr>
          <w:p w14:paraId="49DC1684" w14:textId="77777777" w:rsidR="00587060" w:rsidRDefault="00587060" w:rsidP="00587060">
            <w:pPr>
              <w:pStyle w:val="Headingext1"/>
              <w:spacing w:before="60"/>
              <w:jc w:val="center"/>
              <w:rPr>
                <w:rFonts w:ascii="Calibri" w:eastAsia="MS Mincho" w:hAnsi="Calibri" w:cs="Calibri"/>
                <w:b/>
                <w:sz w:val="20"/>
                <w:szCs w:val="20"/>
                <w:lang w:eastAsia="ja-JP"/>
              </w:rPr>
            </w:pPr>
          </w:p>
          <w:p w14:paraId="4AFF764B" w14:textId="1B80A942" w:rsidR="00587060" w:rsidRDefault="00587060" w:rsidP="00587060">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June 30, 2022</w:t>
            </w:r>
          </w:p>
          <w:p w14:paraId="5A3ADCFD" w14:textId="198629D4" w:rsidR="00587060" w:rsidRPr="008C29BE" w:rsidRDefault="00587060" w:rsidP="00587060">
            <w:pPr>
              <w:pStyle w:val="Headingext1"/>
              <w:spacing w:before="60"/>
              <w:jc w:val="center"/>
              <w:rPr>
                <w:rFonts w:ascii="Calibri" w:eastAsia="MS Mincho" w:hAnsi="Calibri" w:cs="Calibri"/>
                <w:b/>
                <w:sz w:val="20"/>
                <w:szCs w:val="20"/>
                <w:lang w:eastAsia="ja-JP"/>
              </w:rPr>
            </w:pPr>
            <w:r w:rsidRPr="008C29BE">
              <w:rPr>
                <w:rFonts w:ascii="Calibri" w:eastAsia="MS Mincho" w:hAnsi="Calibri" w:cs="Calibri"/>
                <w:b/>
                <w:sz w:val="20"/>
                <w:szCs w:val="20"/>
                <w:lang w:eastAsia="ja-JP"/>
              </w:rPr>
              <w:t>($)</w:t>
            </w:r>
          </w:p>
        </w:tc>
        <w:tc>
          <w:tcPr>
            <w:tcW w:w="1868" w:type="dxa"/>
            <w:shd w:val="clear" w:color="auto" w:fill="D9D9D9"/>
          </w:tcPr>
          <w:p w14:paraId="6F06BBBD" w14:textId="77777777" w:rsidR="00587060" w:rsidRDefault="00587060" w:rsidP="00587060">
            <w:pPr>
              <w:pStyle w:val="Headingext1"/>
              <w:spacing w:before="60"/>
              <w:jc w:val="center"/>
              <w:rPr>
                <w:rFonts w:ascii="Calibri" w:eastAsia="MS Mincho" w:hAnsi="Calibri" w:cs="Calibri"/>
                <w:b/>
                <w:sz w:val="20"/>
                <w:szCs w:val="20"/>
                <w:lang w:eastAsia="ja-JP"/>
              </w:rPr>
            </w:pPr>
          </w:p>
          <w:p w14:paraId="705D27B6" w14:textId="77777777" w:rsidR="00587060" w:rsidRDefault="00587060" w:rsidP="00587060">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March 31, 2022</w:t>
            </w:r>
          </w:p>
          <w:p w14:paraId="1F3CCAA7" w14:textId="14A4F8F3" w:rsidR="00587060" w:rsidRPr="008C29BE" w:rsidRDefault="00587060" w:rsidP="00587060">
            <w:pPr>
              <w:pStyle w:val="Headingext1"/>
              <w:spacing w:before="60"/>
              <w:jc w:val="center"/>
              <w:rPr>
                <w:rFonts w:ascii="Calibri" w:eastAsia="MS Mincho" w:hAnsi="Calibri" w:cs="Calibri"/>
                <w:b/>
                <w:sz w:val="20"/>
                <w:szCs w:val="20"/>
                <w:lang w:eastAsia="ja-JP"/>
              </w:rPr>
            </w:pPr>
            <w:r w:rsidRPr="008C29BE">
              <w:rPr>
                <w:rFonts w:ascii="Calibri" w:eastAsia="MS Mincho" w:hAnsi="Calibri" w:cs="Calibri"/>
                <w:b/>
                <w:sz w:val="20"/>
                <w:szCs w:val="20"/>
                <w:lang w:eastAsia="ja-JP"/>
              </w:rPr>
              <w:t>($)</w:t>
            </w:r>
          </w:p>
        </w:tc>
        <w:tc>
          <w:tcPr>
            <w:tcW w:w="1984" w:type="dxa"/>
            <w:shd w:val="clear" w:color="auto" w:fill="D9D9D9"/>
          </w:tcPr>
          <w:p w14:paraId="0A666E1C" w14:textId="77777777" w:rsidR="00587060" w:rsidRDefault="00587060" w:rsidP="00587060">
            <w:pPr>
              <w:pStyle w:val="Headingext1"/>
              <w:spacing w:before="60"/>
              <w:jc w:val="center"/>
              <w:rPr>
                <w:rFonts w:ascii="Calibri" w:eastAsia="MS Mincho" w:hAnsi="Calibri" w:cs="Calibri"/>
                <w:b/>
                <w:sz w:val="20"/>
                <w:szCs w:val="20"/>
                <w:lang w:eastAsia="ja-JP"/>
              </w:rPr>
            </w:pPr>
          </w:p>
          <w:p w14:paraId="7A371BFE" w14:textId="4F0D9D5D" w:rsidR="00587060" w:rsidRPr="008C29BE" w:rsidRDefault="00587060" w:rsidP="00587060">
            <w:pPr>
              <w:pStyle w:val="Headingext1"/>
              <w:spacing w:before="60"/>
              <w:jc w:val="center"/>
              <w:rPr>
                <w:rFonts w:ascii="Calibri" w:eastAsia="MS Mincho" w:hAnsi="Calibri" w:cs="Calibri"/>
                <w:b/>
                <w:sz w:val="20"/>
                <w:szCs w:val="20"/>
                <w:lang w:eastAsia="ja-JP"/>
              </w:rPr>
            </w:pPr>
            <w:r w:rsidRPr="008C29BE">
              <w:rPr>
                <w:rFonts w:ascii="Calibri" w:eastAsia="MS Mincho" w:hAnsi="Calibri" w:cs="Calibri"/>
                <w:b/>
                <w:sz w:val="20"/>
                <w:szCs w:val="20"/>
                <w:lang w:eastAsia="ja-JP"/>
              </w:rPr>
              <w:t>December 31</w:t>
            </w:r>
            <w:r>
              <w:rPr>
                <w:rFonts w:ascii="Calibri" w:eastAsia="MS Mincho" w:hAnsi="Calibri" w:cs="Calibri"/>
                <w:b/>
                <w:sz w:val="20"/>
                <w:szCs w:val="20"/>
                <w:lang w:eastAsia="ja-JP"/>
              </w:rPr>
              <w:t>, 2021</w:t>
            </w:r>
            <w:r w:rsidRPr="008C29BE">
              <w:rPr>
                <w:rFonts w:ascii="Calibri" w:eastAsia="MS Mincho" w:hAnsi="Calibri" w:cs="Calibri"/>
                <w:b/>
                <w:sz w:val="20"/>
                <w:szCs w:val="20"/>
                <w:lang w:eastAsia="ja-JP"/>
              </w:rPr>
              <w:br/>
              <w:t>($)</w:t>
            </w:r>
          </w:p>
        </w:tc>
        <w:tc>
          <w:tcPr>
            <w:tcW w:w="1399" w:type="dxa"/>
            <w:shd w:val="clear" w:color="auto" w:fill="D9D9D9"/>
            <w:vAlign w:val="bottom"/>
          </w:tcPr>
          <w:p w14:paraId="2F39C960" w14:textId="2E32829A" w:rsidR="00587060" w:rsidRPr="008C29BE" w:rsidRDefault="00587060" w:rsidP="00587060">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September 30, 2021</w:t>
            </w:r>
            <w:r>
              <w:rPr>
                <w:rFonts w:ascii="Calibri" w:eastAsia="MS Mincho" w:hAnsi="Calibri" w:cs="Calibri"/>
                <w:b/>
                <w:sz w:val="20"/>
                <w:szCs w:val="20"/>
                <w:lang w:eastAsia="ja-JP"/>
              </w:rPr>
              <w:br/>
            </w:r>
            <w:r w:rsidRPr="008C29BE">
              <w:rPr>
                <w:rFonts w:ascii="Calibri" w:eastAsia="MS Mincho" w:hAnsi="Calibri" w:cs="Calibri"/>
                <w:b/>
                <w:sz w:val="20"/>
                <w:szCs w:val="20"/>
                <w:lang w:eastAsia="ja-JP"/>
              </w:rPr>
              <w:t>($)</w:t>
            </w:r>
          </w:p>
        </w:tc>
      </w:tr>
      <w:tr w:rsidR="00587060" w14:paraId="5D98C3F8" w14:textId="77777777" w:rsidTr="00A44638">
        <w:trPr>
          <w:trHeight w:val="144"/>
        </w:trPr>
        <w:tc>
          <w:tcPr>
            <w:tcW w:w="3256" w:type="dxa"/>
          </w:tcPr>
          <w:p w14:paraId="2F240FEB" w14:textId="77777777" w:rsidR="00587060" w:rsidRPr="007627E0" w:rsidRDefault="00587060" w:rsidP="00587060">
            <w:pPr>
              <w:pStyle w:val="Headingext1"/>
              <w:spacing w:before="60"/>
              <w:rPr>
                <w:rFonts w:ascii="Calibri" w:eastAsia="MS Mincho" w:hAnsi="Calibri" w:cs="Calibri"/>
                <w:sz w:val="20"/>
                <w:szCs w:val="20"/>
                <w:lang w:eastAsia="ja-JP"/>
              </w:rPr>
            </w:pPr>
            <w:r w:rsidRPr="007627E0">
              <w:rPr>
                <w:rFonts w:ascii="Calibri" w:eastAsia="MS Mincho" w:hAnsi="Calibri" w:cs="Calibri"/>
                <w:sz w:val="20"/>
                <w:szCs w:val="20"/>
                <w:lang w:eastAsia="ja-JP"/>
              </w:rPr>
              <w:t>Revenue</w:t>
            </w:r>
          </w:p>
        </w:tc>
        <w:tc>
          <w:tcPr>
            <w:tcW w:w="1530" w:type="dxa"/>
            <w:shd w:val="clear" w:color="auto" w:fill="auto"/>
          </w:tcPr>
          <w:p w14:paraId="15837D2B" w14:textId="62C91952" w:rsidR="00587060" w:rsidRPr="00C95A74" w:rsidRDefault="004206E6"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1,497,973</w:t>
            </w:r>
          </w:p>
        </w:tc>
        <w:tc>
          <w:tcPr>
            <w:tcW w:w="1868" w:type="dxa"/>
          </w:tcPr>
          <w:p w14:paraId="7065A971" w14:textId="57DD54A6" w:rsidR="00587060" w:rsidRPr="00F9632B"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1,013,625</w:t>
            </w:r>
          </w:p>
        </w:tc>
        <w:tc>
          <w:tcPr>
            <w:tcW w:w="1984" w:type="dxa"/>
          </w:tcPr>
          <w:p w14:paraId="0722578E" w14:textId="610559CA" w:rsidR="00587060" w:rsidRPr="005D6609"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863,703</w:t>
            </w:r>
          </w:p>
        </w:tc>
        <w:tc>
          <w:tcPr>
            <w:tcW w:w="1399" w:type="dxa"/>
            <w:shd w:val="clear" w:color="auto" w:fill="auto"/>
            <w:vAlign w:val="bottom"/>
          </w:tcPr>
          <w:p w14:paraId="4B858DAB" w14:textId="25529365" w:rsidR="00587060" w:rsidRPr="00497847" w:rsidRDefault="00587060" w:rsidP="00587060">
            <w:pPr>
              <w:pStyle w:val="Headingext1"/>
              <w:spacing w:before="60"/>
              <w:jc w:val="right"/>
              <w:rPr>
                <w:rFonts w:ascii="Calibri" w:eastAsia="MS Mincho" w:hAnsi="Calibri" w:cs="Calibri"/>
                <w:sz w:val="20"/>
                <w:szCs w:val="20"/>
                <w:highlight w:val="yellow"/>
                <w:lang w:eastAsia="ja-JP"/>
              </w:rPr>
            </w:pPr>
            <w:r>
              <w:rPr>
                <w:rFonts w:ascii="Calibri" w:eastAsia="MS Mincho" w:hAnsi="Calibri" w:cs="Calibri"/>
                <w:sz w:val="20"/>
                <w:szCs w:val="20"/>
                <w:lang w:eastAsia="ja-JP"/>
              </w:rPr>
              <w:t>879,207</w:t>
            </w:r>
          </w:p>
        </w:tc>
      </w:tr>
      <w:tr w:rsidR="00587060" w14:paraId="6A75577A" w14:textId="77777777" w:rsidTr="00A44638">
        <w:trPr>
          <w:trHeight w:val="144"/>
        </w:trPr>
        <w:tc>
          <w:tcPr>
            <w:tcW w:w="3256" w:type="dxa"/>
            <w:tcBorders>
              <w:bottom w:val="single" w:sz="4" w:space="0" w:color="auto"/>
            </w:tcBorders>
          </w:tcPr>
          <w:p w14:paraId="5FD158E5" w14:textId="4EB1EC8B" w:rsidR="00587060" w:rsidRPr="007627E0" w:rsidRDefault="00587060" w:rsidP="00587060">
            <w:pPr>
              <w:pStyle w:val="Headingext1"/>
              <w:spacing w:before="60"/>
              <w:rPr>
                <w:rFonts w:ascii="Calibri" w:eastAsia="MS Mincho" w:hAnsi="Calibri" w:cs="Calibri"/>
                <w:sz w:val="20"/>
                <w:szCs w:val="20"/>
                <w:lang w:eastAsia="ja-JP"/>
              </w:rPr>
            </w:pPr>
            <w:r w:rsidRPr="007627E0">
              <w:rPr>
                <w:rFonts w:ascii="Calibri" w:eastAsia="MS Mincho" w:hAnsi="Calibri" w:cs="Calibri"/>
                <w:sz w:val="20"/>
                <w:szCs w:val="20"/>
                <w:lang w:eastAsia="ja-JP"/>
              </w:rPr>
              <w:t xml:space="preserve">Net </w:t>
            </w:r>
            <w:r>
              <w:rPr>
                <w:rFonts w:ascii="Calibri" w:eastAsia="MS Mincho" w:hAnsi="Calibri" w:cs="Calibri"/>
                <w:sz w:val="20"/>
                <w:szCs w:val="20"/>
                <w:lang w:eastAsia="ja-JP"/>
              </w:rPr>
              <w:t>Income (</w:t>
            </w:r>
            <w:r w:rsidRPr="007627E0">
              <w:rPr>
                <w:rFonts w:ascii="Calibri" w:eastAsia="MS Mincho" w:hAnsi="Calibri" w:cs="Calibri"/>
                <w:sz w:val="20"/>
                <w:szCs w:val="20"/>
                <w:lang w:eastAsia="ja-JP"/>
              </w:rPr>
              <w:t>Loss</w:t>
            </w:r>
            <w:r>
              <w:rPr>
                <w:rFonts w:ascii="Calibri" w:eastAsia="MS Mincho" w:hAnsi="Calibri" w:cs="Calibri"/>
                <w:sz w:val="20"/>
                <w:szCs w:val="20"/>
                <w:lang w:eastAsia="ja-JP"/>
              </w:rPr>
              <w:t>)</w:t>
            </w:r>
          </w:p>
        </w:tc>
        <w:tc>
          <w:tcPr>
            <w:tcW w:w="1530" w:type="dxa"/>
            <w:tcBorders>
              <w:bottom w:val="single" w:sz="4" w:space="0" w:color="auto"/>
            </w:tcBorders>
            <w:shd w:val="clear" w:color="auto" w:fill="auto"/>
          </w:tcPr>
          <w:p w14:paraId="7D4C4100" w14:textId="4E935D23" w:rsidR="00587060" w:rsidRPr="00C95A74" w:rsidRDefault="00AA1DAA"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4</w:t>
            </w:r>
            <w:r w:rsidR="00F93627">
              <w:rPr>
                <w:rFonts w:ascii="Calibri" w:eastAsia="MS Mincho" w:hAnsi="Calibri" w:cs="Calibri"/>
                <w:sz w:val="20"/>
                <w:szCs w:val="20"/>
                <w:lang w:eastAsia="ja-JP"/>
              </w:rPr>
              <w:t>6</w:t>
            </w:r>
            <w:r>
              <w:rPr>
                <w:rFonts w:ascii="Calibri" w:eastAsia="MS Mincho" w:hAnsi="Calibri" w:cs="Calibri"/>
                <w:sz w:val="20"/>
                <w:szCs w:val="20"/>
                <w:lang w:eastAsia="ja-JP"/>
              </w:rPr>
              <w:t>,</w:t>
            </w:r>
            <w:r w:rsidR="00F93627">
              <w:rPr>
                <w:rFonts w:ascii="Calibri" w:eastAsia="MS Mincho" w:hAnsi="Calibri" w:cs="Calibri"/>
                <w:sz w:val="20"/>
                <w:szCs w:val="20"/>
                <w:lang w:eastAsia="ja-JP"/>
              </w:rPr>
              <w:t>246</w:t>
            </w:r>
          </w:p>
        </w:tc>
        <w:tc>
          <w:tcPr>
            <w:tcW w:w="1868" w:type="dxa"/>
            <w:tcBorders>
              <w:bottom w:val="single" w:sz="4" w:space="0" w:color="auto"/>
            </w:tcBorders>
          </w:tcPr>
          <w:p w14:paraId="716687D8" w14:textId="0668F99C" w:rsidR="00587060" w:rsidRPr="00F9632B"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(1,931,175)</w:t>
            </w:r>
          </w:p>
        </w:tc>
        <w:tc>
          <w:tcPr>
            <w:tcW w:w="1984" w:type="dxa"/>
            <w:tcBorders>
              <w:bottom w:val="single" w:sz="4" w:space="0" w:color="auto"/>
            </w:tcBorders>
          </w:tcPr>
          <w:p w14:paraId="05766A93" w14:textId="100DC9F3" w:rsidR="00587060" w:rsidRPr="005D6609" w:rsidRDefault="008D140B"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76,656</w:t>
            </w:r>
          </w:p>
        </w:tc>
        <w:tc>
          <w:tcPr>
            <w:tcW w:w="1399" w:type="dxa"/>
            <w:tcBorders>
              <w:bottom w:val="single" w:sz="4" w:space="0" w:color="auto"/>
            </w:tcBorders>
            <w:shd w:val="clear" w:color="auto" w:fill="auto"/>
            <w:vAlign w:val="bottom"/>
          </w:tcPr>
          <w:p w14:paraId="2AE33BAE" w14:textId="7C092107" w:rsidR="00587060" w:rsidRPr="00182F7B" w:rsidRDefault="008D6181"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5,418,647</w:t>
            </w:r>
          </w:p>
        </w:tc>
      </w:tr>
      <w:tr w:rsidR="00587060" w14:paraId="46E2CC2B" w14:textId="77777777" w:rsidTr="00C82AA6">
        <w:trPr>
          <w:trHeight w:val="207"/>
        </w:trPr>
        <w:tc>
          <w:tcPr>
            <w:tcW w:w="3256" w:type="dxa"/>
          </w:tcPr>
          <w:p w14:paraId="32A9D849" w14:textId="25A3313F" w:rsidR="00587060" w:rsidRPr="007627E0" w:rsidRDefault="00587060" w:rsidP="00587060">
            <w:pPr>
              <w:pStyle w:val="Headingext1"/>
              <w:spacing w:before="60"/>
              <w:rPr>
                <w:rFonts w:ascii="Calibri" w:eastAsia="MS Mincho" w:hAnsi="Calibri" w:cs="Calibri"/>
                <w:sz w:val="20"/>
                <w:szCs w:val="20"/>
                <w:lang w:eastAsia="ja-JP"/>
              </w:rPr>
            </w:pPr>
            <w:r w:rsidRPr="007627E0">
              <w:rPr>
                <w:rFonts w:ascii="Calibri" w:eastAsia="MS Mincho" w:hAnsi="Calibri" w:cs="Calibri"/>
                <w:sz w:val="20"/>
                <w:szCs w:val="20"/>
                <w:lang w:eastAsia="ja-JP"/>
              </w:rPr>
              <w:lastRenderedPageBreak/>
              <w:t xml:space="preserve">Net </w:t>
            </w:r>
            <w:r>
              <w:rPr>
                <w:rFonts w:ascii="Calibri" w:eastAsia="MS Mincho" w:hAnsi="Calibri" w:cs="Calibri"/>
                <w:sz w:val="20"/>
                <w:szCs w:val="20"/>
                <w:lang w:eastAsia="ja-JP"/>
              </w:rPr>
              <w:t>Income (</w:t>
            </w:r>
            <w:r w:rsidRPr="007627E0">
              <w:rPr>
                <w:rFonts w:ascii="Calibri" w:eastAsia="MS Mincho" w:hAnsi="Calibri" w:cs="Calibri"/>
                <w:sz w:val="20"/>
                <w:szCs w:val="20"/>
                <w:lang w:eastAsia="ja-JP"/>
              </w:rPr>
              <w:t>Loss</w:t>
            </w:r>
            <w:r>
              <w:rPr>
                <w:rFonts w:ascii="Calibri" w:eastAsia="MS Mincho" w:hAnsi="Calibri" w:cs="Calibri"/>
                <w:sz w:val="20"/>
                <w:szCs w:val="20"/>
                <w:lang w:eastAsia="ja-JP"/>
              </w:rPr>
              <w:t>)</w:t>
            </w:r>
            <w:r w:rsidRPr="007627E0">
              <w:rPr>
                <w:rFonts w:ascii="Calibri" w:eastAsia="MS Mincho" w:hAnsi="Calibri" w:cs="Calibri"/>
                <w:sz w:val="20"/>
                <w:szCs w:val="20"/>
                <w:lang w:eastAsia="ja-JP"/>
              </w:rPr>
              <w:t xml:space="preserve"> per share (basic and diluted)</w:t>
            </w:r>
          </w:p>
        </w:tc>
        <w:tc>
          <w:tcPr>
            <w:tcW w:w="1530" w:type="dxa"/>
            <w:shd w:val="clear" w:color="auto" w:fill="auto"/>
          </w:tcPr>
          <w:p w14:paraId="38DB30C0" w14:textId="76D6F26E" w:rsidR="00587060" w:rsidRPr="00C95A74"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0.0</w:t>
            </w:r>
            <w:r w:rsidR="00F10F33">
              <w:rPr>
                <w:rFonts w:ascii="Calibri" w:eastAsia="MS Mincho" w:hAnsi="Calibri" w:cs="Calibri"/>
                <w:sz w:val="20"/>
                <w:szCs w:val="20"/>
                <w:lang w:eastAsia="ja-JP"/>
              </w:rPr>
              <w:t>0</w:t>
            </w:r>
          </w:p>
        </w:tc>
        <w:tc>
          <w:tcPr>
            <w:tcW w:w="1868" w:type="dxa"/>
          </w:tcPr>
          <w:p w14:paraId="4BEA137C" w14:textId="2F1F60B2" w:rsidR="00587060" w:rsidRPr="002A1678"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(0.01)</w:t>
            </w:r>
          </w:p>
        </w:tc>
        <w:tc>
          <w:tcPr>
            <w:tcW w:w="1984" w:type="dxa"/>
          </w:tcPr>
          <w:p w14:paraId="6DFA5ECD" w14:textId="61CD5485" w:rsidR="00587060" w:rsidRPr="002A1678" w:rsidRDefault="00587060" w:rsidP="00587060">
            <w:pPr>
              <w:pStyle w:val="Headingext1"/>
              <w:spacing w:before="60"/>
              <w:jc w:val="right"/>
              <w:rPr>
                <w:rFonts w:ascii="Calibri" w:eastAsia="MS Mincho" w:hAnsi="Calibri" w:cs="Calibri"/>
                <w:sz w:val="20"/>
                <w:szCs w:val="20"/>
                <w:lang w:eastAsia="ja-JP"/>
              </w:rPr>
            </w:pPr>
            <w:r w:rsidRPr="00583A17">
              <w:rPr>
                <w:rFonts w:ascii="Calibri" w:eastAsia="MS Mincho" w:hAnsi="Calibri" w:cs="Calibri"/>
                <w:sz w:val="20"/>
                <w:szCs w:val="20"/>
                <w:lang w:eastAsia="ja-JP"/>
              </w:rPr>
              <w:t>0.00</w:t>
            </w:r>
          </w:p>
        </w:tc>
        <w:tc>
          <w:tcPr>
            <w:tcW w:w="1399" w:type="dxa"/>
            <w:shd w:val="clear" w:color="auto" w:fill="auto"/>
          </w:tcPr>
          <w:p w14:paraId="3913C7BF" w14:textId="1D305393" w:rsidR="00587060" w:rsidRPr="002A1678"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0.03</w:t>
            </w:r>
          </w:p>
        </w:tc>
      </w:tr>
      <w:tr w:rsidR="008D6181" w14:paraId="73C07621" w14:textId="77777777" w:rsidTr="001231AC">
        <w:trPr>
          <w:trHeight w:val="207"/>
        </w:trPr>
        <w:tc>
          <w:tcPr>
            <w:tcW w:w="3256" w:type="dxa"/>
            <w:tcBorders>
              <w:bottom w:val="single" w:sz="4" w:space="0" w:color="auto"/>
            </w:tcBorders>
          </w:tcPr>
          <w:p w14:paraId="270A0EC4" w14:textId="0B39521B" w:rsidR="008D6181" w:rsidRPr="007627E0" w:rsidRDefault="008D6181" w:rsidP="00587060">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Net and comprehensive income (Loss)</w:t>
            </w:r>
          </w:p>
        </w:tc>
        <w:tc>
          <w:tcPr>
            <w:tcW w:w="1530" w:type="dxa"/>
            <w:tcBorders>
              <w:bottom w:val="single" w:sz="4" w:space="0" w:color="auto"/>
            </w:tcBorders>
            <w:shd w:val="clear" w:color="auto" w:fill="auto"/>
          </w:tcPr>
          <w:p w14:paraId="47E53C03" w14:textId="436CA943" w:rsidR="008D6181" w:rsidRPr="00C95A74" w:rsidRDefault="008D6181"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(820,751)</w:t>
            </w:r>
          </w:p>
        </w:tc>
        <w:tc>
          <w:tcPr>
            <w:tcW w:w="1868" w:type="dxa"/>
            <w:tcBorders>
              <w:bottom w:val="single" w:sz="4" w:space="0" w:color="auto"/>
            </w:tcBorders>
          </w:tcPr>
          <w:p w14:paraId="403C1705" w14:textId="42C413BE" w:rsidR="008D6181" w:rsidRPr="00C95A74" w:rsidRDefault="008D6181"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(1,789,064)</w:t>
            </w:r>
          </w:p>
        </w:tc>
        <w:tc>
          <w:tcPr>
            <w:tcW w:w="1984" w:type="dxa"/>
            <w:tcBorders>
              <w:bottom w:val="single" w:sz="4" w:space="0" w:color="auto"/>
            </w:tcBorders>
          </w:tcPr>
          <w:p w14:paraId="5C4BE764" w14:textId="627E6BD3" w:rsidR="008D6181" w:rsidRPr="00583A17" w:rsidRDefault="008D140B"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(104,740)</w:t>
            </w:r>
          </w:p>
        </w:tc>
        <w:tc>
          <w:tcPr>
            <w:tcW w:w="1399" w:type="dxa"/>
            <w:tcBorders>
              <w:bottom w:val="single" w:sz="4" w:space="0" w:color="auto"/>
            </w:tcBorders>
            <w:shd w:val="clear" w:color="auto" w:fill="auto"/>
          </w:tcPr>
          <w:p w14:paraId="66F8D997" w14:textId="28580035" w:rsidR="008D6181" w:rsidRDefault="008D6181"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5,</w:t>
            </w:r>
            <w:r w:rsidR="008D140B">
              <w:rPr>
                <w:rFonts w:ascii="Calibri" w:eastAsia="MS Mincho" w:hAnsi="Calibri" w:cs="Calibri"/>
                <w:sz w:val="20"/>
                <w:szCs w:val="20"/>
                <w:lang w:eastAsia="ja-JP"/>
              </w:rPr>
              <w:t>315</w:t>
            </w:r>
            <w:r>
              <w:rPr>
                <w:rFonts w:ascii="Calibri" w:eastAsia="MS Mincho" w:hAnsi="Calibri" w:cs="Calibri"/>
                <w:sz w:val="20"/>
                <w:szCs w:val="20"/>
                <w:lang w:eastAsia="ja-JP"/>
              </w:rPr>
              <w:t>,</w:t>
            </w:r>
            <w:r w:rsidR="008D140B">
              <w:rPr>
                <w:rFonts w:ascii="Calibri" w:eastAsia="MS Mincho" w:hAnsi="Calibri" w:cs="Calibri"/>
                <w:sz w:val="20"/>
                <w:szCs w:val="20"/>
                <w:lang w:eastAsia="ja-JP"/>
              </w:rPr>
              <w:t>420</w:t>
            </w:r>
          </w:p>
        </w:tc>
      </w:tr>
    </w:tbl>
    <w:p w14:paraId="639E3E97" w14:textId="33DAC374" w:rsidR="00496DE4" w:rsidRDefault="00496DE4" w:rsidP="00496DE4">
      <w:pPr>
        <w:spacing w:after="0"/>
        <w:rPr>
          <w:rFonts w:eastAsiaTheme="minorHAnsi"/>
          <w:lang w:val="en-CA"/>
        </w:rPr>
      </w:pPr>
    </w:p>
    <w:tbl>
      <w:tblPr>
        <w:tblpPr w:leftFromText="180" w:rightFromText="180" w:vertAnchor="text" w:horzAnchor="margin" w:tblpY="7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530"/>
        <w:gridCol w:w="1872"/>
        <w:gridCol w:w="1984"/>
        <w:gridCol w:w="1399"/>
        <w:gridCol w:w="23"/>
      </w:tblGrid>
      <w:tr w:rsidR="002A1678" w14:paraId="36440158" w14:textId="77777777" w:rsidTr="001231AC">
        <w:trPr>
          <w:trHeight w:val="288"/>
        </w:trPr>
        <w:tc>
          <w:tcPr>
            <w:tcW w:w="3256" w:type="dxa"/>
            <w:tcBorders>
              <w:bottom w:val="nil"/>
            </w:tcBorders>
            <w:shd w:val="clear" w:color="auto" w:fill="D9D9D9" w:themeFill="background1" w:themeFillShade="D9"/>
            <w:vAlign w:val="bottom"/>
          </w:tcPr>
          <w:p w14:paraId="6BD9BB55" w14:textId="77777777" w:rsidR="002A1678" w:rsidRPr="007627E0" w:rsidRDefault="002A1678" w:rsidP="001B46D2">
            <w:pPr>
              <w:pStyle w:val="NoSpacing"/>
              <w:jc w:val="center"/>
              <w:rPr>
                <w:rFonts w:ascii="Calibri" w:eastAsia="MS Mincho" w:hAnsi="Calibri" w:cs="Calibri"/>
                <w:color w:val="auto"/>
                <w:sz w:val="22"/>
                <w:lang w:val="en-US" w:eastAsia="ja-JP"/>
              </w:rPr>
            </w:pPr>
          </w:p>
        </w:tc>
        <w:tc>
          <w:tcPr>
            <w:tcW w:w="6808" w:type="dxa"/>
            <w:gridSpan w:val="5"/>
            <w:shd w:val="clear" w:color="auto" w:fill="D9D9D9"/>
            <w:vAlign w:val="bottom"/>
          </w:tcPr>
          <w:p w14:paraId="1AF4A3FE" w14:textId="65F668F9" w:rsidR="002A1678" w:rsidRPr="008C29BE" w:rsidRDefault="002A1678" w:rsidP="001B46D2">
            <w:pPr>
              <w:pStyle w:val="Headingext1"/>
              <w:spacing w:before="60"/>
              <w:jc w:val="center"/>
              <w:rPr>
                <w:rFonts w:ascii="Calibri" w:eastAsia="MS Mincho" w:hAnsi="Calibri" w:cs="Calibri"/>
                <w:b/>
                <w:sz w:val="20"/>
                <w:szCs w:val="20"/>
                <w:lang w:eastAsia="ja-JP"/>
              </w:rPr>
            </w:pPr>
            <w:r w:rsidRPr="00B05284">
              <w:rPr>
                <w:rFonts w:ascii="Calibri" w:eastAsia="MS Mincho" w:hAnsi="Calibri" w:cs="Calibri"/>
                <w:b/>
                <w:lang w:eastAsia="ja-JP"/>
              </w:rPr>
              <w:t>20</w:t>
            </w:r>
            <w:r>
              <w:rPr>
                <w:rFonts w:ascii="Calibri" w:eastAsia="MS Mincho" w:hAnsi="Calibri" w:cs="Calibri"/>
                <w:b/>
                <w:lang w:eastAsia="ja-JP"/>
              </w:rPr>
              <w:t>20</w:t>
            </w:r>
          </w:p>
        </w:tc>
      </w:tr>
      <w:tr w:rsidR="00587060" w14:paraId="49149296" w14:textId="77777777" w:rsidTr="00A44638">
        <w:trPr>
          <w:gridAfter w:val="1"/>
          <w:wAfter w:w="23" w:type="dxa"/>
          <w:trHeight w:val="288"/>
        </w:trPr>
        <w:tc>
          <w:tcPr>
            <w:tcW w:w="3256" w:type="dxa"/>
            <w:tcBorders>
              <w:top w:val="nil"/>
            </w:tcBorders>
            <w:shd w:val="clear" w:color="auto" w:fill="D9D9D9" w:themeFill="background1" w:themeFillShade="D9"/>
            <w:vAlign w:val="bottom"/>
          </w:tcPr>
          <w:p w14:paraId="69F45E0A" w14:textId="37AE8884" w:rsidR="00587060" w:rsidRPr="007627E0" w:rsidRDefault="00587060" w:rsidP="00587060">
            <w:pPr>
              <w:pStyle w:val="Headingext1"/>
              <w:spacing w:before="60"/>
              <w:rPr>
                <w:rFonts w:ascii="Calibri" w:eastAsia="MS Mincho" w:hAnsi="Calibri" w:cs="Calibri"/>
                <w:sz w:val="20"/>
                <w:szCs w:val="20"/>
                <w:lang w:eastAsia="ja-JP"/>
              </w:rPr>
            </w:pPr>
          </w:p>
        </w:tc>
        <w:tc>
          <w:tcPr>
            <w:tcW w:w="1530" w:type="dxa"/>
            <w:shd w:val="clear" w:color="auto" w:fill="D9D9D9" w:themeFill="background1" w:themeFillShade="D9"/>
            <w:vAlign w:val="bottom"/>
          </w:tcPr>
          <w:p w14:paraId="5EC89400" w14:textId="4C99DCE2" w:rsidR="00587060" w:rsidRPr="008C29BE" w:rsidRDefault="00587060" w:rsidP="00587060">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June 30, 2021</w:t>
            </w:r>
            <w:r>
              <w:rPr>
                <w:rFonts w:ascii="Calibri" w:eastAsia="MS Mincho" w:hAnsi="Calibri" w:cs="Calibri"/>
                <w:b/>
                <w:sz w:val="20"/>
                <w:szCs w:val="20"/>
                <w:lang w:eastAsia="ja-JP"/>
              </w:rPr>
              <w:br/>
            </w:r>
            <w:r w:rsidRPr="008C29BE">
              <w:rPr>
                <w:rFonts w:ascii="Calibri" w:eastAsia="MS Mincho" w:hAnsi="Calibri" w:cs="Calibri"/>
                <w:b/>
                <w:sz w:val="20"/>
                <w:szCs w:val="20"/>
                <w:lang w:eastAsia="ja-JP"/>
              </w:rPr>
              <w:t>($)</w:t>
            </w:r>
          </w:p>
        </w:tc>
        <w:tc>
          <w:tcPr>
            <w:tcW w:w="1872" w:type="dxa"/>
            <w:shd w:val="clear" w:color="auto" w:fill="D9D9D9"/>
            <w:vAlign w:val="bottom"/>
          </w:tcPr>
          <w:p w14:paraId="4FE2B331" w14:textId="2976A413" w:rsidR="00587060" w:rsidRPr="008C29BE" w:rsidRDefault="00587060" w:rsidP="00587060">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March</w:t>
            </w:r>
            <w:r w:rsidRPr="008C29BE">
              <w:rPr>
                <w:rFonts w:ascii="Calibri" w:eastAsia="MS Mincho" w:hAnsi="Calibri" w:cs="Calibri"/>
                <w:b/>
                <w:sz w:val="20"/>
                <w:szCs w:val="20"/>
                <w:lang w:eastAsia="ja-JP"/>
              </w:rPr>
              <w:t xml:space="preserve"> 31</w:t>
            </w:r>
            <w:r>
              <w:rPr>
                <w:rFonts w:ascii="Calibri" w:eastAsia="MS Mincho" w:hAnsi="Calibri" w:cs="Calibri"/>
                <w:b/>
                <w:sz w:val="20"/>
                <w:szCs w:val="20"/>
                <w:lang w:eastAsia="ja-JP"/>
              </w:rPr>
              <w:t>, 2021</w:t>
            </w:r>
            <w:r w:rsidRPr="008C29BE">
              <w:rPr>
                <w:rFonts w:ascii="Calibri" w:eastAsia="MS Mincho" w:hAnsi="Calibri" w:cs="Calibri"/>
                <w:b/>
                <w:sz w:val="20"/>
                <w:szCs w:val="20"/>
                <w:lang w:eastAsia="ja-JP"/>
              </w:rPr>
              <w:br/>
              <w:t>($)</w:t>
            </w:r>
          </w:p>
        </w:tc>
        <w:tc>
          <w:tcPr>
            <w:tcW w:w="1984" w:type="dxa"/>
            <w:shd w:val="clear" w:color="auto" w:fill="D9D9D9"/>
          </w:tcPr>
          <w:p w14:paraId="47014DEB" w14:textId="45A35746" w:rsidR="00587060" w:rsidRPr="008C29BE" w:rsidRDefault="00587060" w:rsidP="00587060">
            <w:pPr>
              <w:pStyle w:val="Headingext1"/>
              <w:spacing w:before="60"/>
              <w:jc w:val="center"/>
              <w:rPr>
                <w:rFonts w:ascii="Calibri" w:eastAsia="MS Mincho" w:hAnsi="Calibri" w:cs="Calibri"/>
                <w:b/>
                <w:sz w:val="20"/>
                <w:szCs w:val="20"/>
                <w:lang w:eastAsia="ja-JP"/>
              </w:rPr>
            </w:pPr>
            <w:r w:rsidRPr="008C29BE">
              <w:rPr>
                <w:rFonts w:ascii="Calibri" w:eastAsia="MS Mincho" w:hAnsi="Calibri" w:cs="Calibri"/>
                <w:b/>
                <w:sz w:val="20"/>
                <w:szCs w:val="20"/>
                <w:lang w:eastAsia="ja-JP"/>
              </w:rPr>
              <w:t>December 31</w:t>
            </w:r>
            <w:r>
              <w:rPr>
                <w:rFonts w:ascii="Calibri" w:eastAsia="MS Mincho" w:hAnsi="Calibri" w:cs="Calibri"/>
                <w:b/>
                <w:sz w:val="20"/>
                <w:szCs w:val="20"/>
                <w:lang w:eastAsia="ja-JP"/>
              </w:rPr>
              <w:t>, 2020</w:t>
            </w:r>
            <w:r w:rsidRPr="008C29BE">
              <w:rPr>
                <w:rFonts w:ascii="Calibri" w:eastAsia="MS Mincho" w:hAnsi="Calibri" w:cs="Calibri"/>
                <w:b/>
                <w:sz w:val="20"/>
                <w:szCs w:val="20"/>
                <w:lang w:eastAsia="ja-JP"/>
              </w:rPr>
              <w:br/>
              <w:t>($)</w:t>
            </w:r>
          </w:p>
        </w:tc>
        <w:tc>
          <w:tcPr>
            <w:tcW w:w="1399" w:type="dxa"/>
            <w:shd w:val="clear" w:color="auto" w:fill="D9D9D9"/>
            <w:vAlign w:val="bottom"/>
          </w:tcPr>
          <w:p w14:paraId="18171886" w14:textId="15D97F8B" w:rsidR="00587060" w:rsidRPr="008C29BE" w:rsidRDefault="00587060" w:rsidP="00587060">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September 30, 2020</w:t>
            </w:r>
            <w:r>
              <w:rPr>
                <w:rFonts w:ascii="Calibri" w:eastAsia="MS Mincho" w:hAnsi="Calibri" w:cs="Calibri"/>
                <w:b/>
                <w:sz w:val="20"/>
                <w:szCs w:val="20"/>
                <w:lang w:eastAsia="ja-JP"/>
              </w:rPr>
              <w:br/>
            </w:r>
            <w:r w:rsidRPr="008C29BE">
              <w:rPr>
                <w:rFonts w:ascii="Calibri" w:eastAsia="MS Mincho" w:hAnsi="Calibri" w:cs="Calibri"/>
                <w:b/>
                <w:sz w:val="20"/>
                <w:szCs w:val="20"/>
                <w:lang w:eastAsia="ja-JP"/>
              </w:rPr>
              <w:t>($)</w:t>
            </w:r>
          </w:p>
        </w:tc>
      </w:tr>
      <w:tr w:rsidR="00587060" w14:paraId="31AF9205" w14:textId="77777777" w:rsidTr="00A44638">
        <w:trPr>
          <w:gridAfter w:val="1"/>
          <w:wAfter w:w="23" w:type="dxa"/>
          <w:trHeight w:val="144"/>
        </w:trPr>
        <w:tc>
          <w:tcPr>
            <w:tcW w:w="3256" w:type="dxa"/>
          </w:tcPr>
          <w:p w14:paraId="35487064" w14:textId="0388CC4E" w:rsidR="00587060" w:rsidRPr="007627E0" w:rsidRDefault="00587060" w:rsidP="00587060">
            <w:pPr>
              <w:pStyle w:val="Headingext1"/>
              <w:spacing w:before="60"/>
              <w:rPr>
                <w:rFonts w:ascii="Calibri" w:eastAsia="MS Mincho" w:hAnsi="Calibri" w:cs="Calibri"/>
                <w:sz w:val="20"/>
                <w:szCs w:val="20"/>
                <w:lang w:eastAsia="ja-JP"/>
              </w:rPr>
            </w:pPr>
            <w:r w:rsidRPr="007627E0">
              <w:rPr>
                <w:rFonts w:ascii="Calibri" w:eastAsia="MS Mincho" w:hAnsi="Calibri" w:cs="Calibri"/>
                <w:sz w:val="20"/>
                <w:szCs w:val="20"/>
                <w:lang w:eastAsia="ja-JP"/>
              </w:rPr>
              <w:t>Revenue</w:t>
            </w:r>
          </w:p>
        </w:tc>
        <w:tc>
          <w:tcPr>
            <w:tcW w:w="1530" w:type="dxa"/>
            <w:shd w:val="clear" w:color="auto" w:fill="auto"/>
          </w:tcPr>
          <w:p w14:paraId="370C7562" w14:textId="53FEC2E0" w:rsidR="00587060" w:rsidRPr="008041FD" w:rsidRDefault="00587060" w:rsidP="00587060">
            <w:pPr>
              <w:pStyle w:val="Headingext1"/>
              <w:spacing w:before="60"/>
              <w:jc w:val="right"/>
              <w:rPr>
                <w:rFonts w:ascii="Calibri" w:eastAsia="MS Mincho" w:hAnsi="Calibri" w:cs="Calibri"/>
                <w:sz w:val="20"/>
                <w:szCs w:val="20"/>
                <w:highlight w:val="yellow"/>
                <w:lang w:eastAsia="ja-JP"/>
              </w:rPr>
            </w:pPr>
            <w:r>
              <w:rPr>
                <w:rFonts w:ascii="Calibri" w:eastAsia="MS Mincho" w:hAnsi="Calibri" w:cs="Calibri"/>
                <w:sz w:val="20"/>
                <w:szCs w:val="20"/>
                <w:lang w:eastAsia="ja-JP"/>
              </w:rPr>
              <w:t>1,013,255</w:t>
            </w:r>
          </w:p>
        </w:tc>
        <w:tc>
          <w:tcPr>
            <w:tcW w:w="1872" w:type="dxa"/>
          </w:tcPr>
          <w:p w14:paraId="74000E42" w14:textId="6F86DADF" w:rsidR="00587060" w:rsidRPr="00F9632B"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944,562</w:t>
            </w:r>
          </w:p>
        </w:tc>
        <w:tc>
          <w:tcPr>
            <w:tcW w:w="1984" w:type="dxa"/>
          </w:tcPr>
          <w:p w14:paraId="412FFC21" w14:textId="23879280" w:rsidR="00587060" w:rsidRPr="005D6609"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811,193</w:t>
            </w:r>
          </w:p>
        </w:tc>
        <w:tc>
          <w:tcPr>
            <w:tcW w:w="1399" w:type="dxa"/>
            <w:shd w:val="clear" w:color="auto" w:fill="auto"/>
            <w:vAlign w:val="bottom"/>
          </w:tcPr>
          <w:p w14:paraId="68E84518" w14:textId="230C0B26" w:rsidR="00587060" w:rsidRPr="00497847" w:rsidRDefault="00587060" w:rsidP="00587060">
            <w:pPr>
              <w:pStyle w:val="Headingext1"/>
              <w:spacing w:before="60"/>
              <w:jc w:val="right"/>
              <w:rPr>
                <w:rFonts w:ascii="Calibri" w:eastAsia="MS Mincho" w:hAnsi="Calibri" w:cs="Calibri"/>
                <w:sz w:val="20"/>
                <w:szCs w:val="20"/>
                <w:highlight w:val="yellow"/>
                <w:lang w:eastAsia="ja-JP"/>
              </w:rPr>
            </w:pPr>
            <w:r>
              <w:rPr>
                <w:rFonts w:ascii="Calibri" w:eastAsia="MS Mincho" w:hAnsi="Calibri" w:cs="Calibri"/>
                <w:sz w:val="20"/>
                <w:szCs w:val="20"/>
                <w:lang w:eastAsia="ja-JP"/>
              </w:rPr>
              <w:t>493,609</w:t>
            </w:r>
          </w:p>
        </w:tc>
      </w:tr>
      <w:tr w:rsidR="00587060" w14:paraId="4A216BE3" w14:textId="77777777" w:rsidTr="00A44638">
        <w:trPr>
          <w:gridAfter w:val="1"/>
          <w:wAfter w:w="23" w:type="dxa"/>
          <w:trHeight w:val="144"/>
        </w:trPr>
        <w:tc>
          <w:tcPr>
            <w:tcW w:w="3256" w:type="dxa"/>
            <w:tcBorders>
              <w:bottom w:val="single" w:sz="4" w:space="0" w:color="auto"/>
            </w:tcBorders>
          </w:tcPr>
          <w:p w14:paraId="217D4855" w14:textId="0D4AB9E0" w:rsidR="00587060" w:rsidRPr="007627E0" w:rsidRDefault="00587060" w:rsidP="00587060">
            <w:pPr>
              <w:pStyle w:val="Headingext1"/>
              <w:spacing w:before="60"/>
              <w:rPr>
                <w:rFonts w:ascii="Calibri" w:eastAsia="MS Mincho" w:hAnsi="Calibri" w:cs="Calibri"/>
                <w:sz w:val="20"/>
                <w:szCs w:val="20"/>
                <w:lang w:eastAsia="ja-JP"/>
              </w:rPr>
            </w:pPr>
            <w:r w:rsidRPr="007627E0">
              <w:rPr>
                <w:rFonts w:ascii="Calibri" w:eastAsia="MS Mincho" w:hAnsi="Calibri" w:cs="Calibri"/>
                <w:sz w:val="20"/>
                <w:szCs w:val="20"/>
                <w:lang w:eastAsia="ja-JP"/>
              </w:rPr>
              <w:t xml:space="preserve">Net </w:t>
            </w:r>
            <w:r>
              <w:rPr>
                <w:rFonts w:ascii="Calibri" w:eastAsia="MS Mincho" w:hAnsi="Calibri" w:cs="Calibri"/>
                <w:sz w:val="20"/>
                <w:szCs w:val="20"/>
                <w:lang w:eastAsia="ja-JP"/>
              </w:rPr>
              <w:t>Income (</w:t>
            </w:r>
            <w:r w:rsidRPr="007627E0">
              <w:rPr>
                <w:rFonts w:ascii="Calibri" w:eastAsia="MS Mincho" w:hAnsi="Calibri" w:cs="Calibri"/>
                <w:sz w:val="20"/>
                <w:szCs w:val="20"/>
                <w:lang w:eastAsia="ja-JP"/>
              </w:rPr>
              <w:t>Loss</w:t>
            </w:r>
            <w:r>
              <w:rPr>
                <w:rFonts w:ascii="Calibri" w:eastAsia="MS Mincho" w:hAnsi="Calibri" w:cs="Calibri"/>
                <w:sz w:val="20"/>
                <w:szCs w:val="20"/>
                <w:lang w:eastAsia="ja-JP"/>
              </w:rPr>
              <w:t>)</w:t>
            </w:r>
          </w:p>
        </w:tc>
        <w:tc>
          <w:tcPr>
            <w:tcW w:w="1530" w:type="dxa"/>
            <w:tcBorders>
              <w:bottom w:val="single" w:sz="4" w:space="0" w:color="auto"/>
            </w:tcBorders>
            <w:shd w:val="clear" w:color="auto" w:fill="auto"/>
            <w:vAlign w:val="center"/>
          </w:tcPr>
          <w:p w14:paraId="5E4CB427" w14:textId="4254D000" w:rsidR="00587060" w:rsidRPr="00C95A74"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w:t>
            </w:r>
            <w:r w:rsidR="003546A8">
              <w:rPr>
                <w:rFonts w:ascii="Calibri" w:eastAsia="MS Mincho" w:hAnsi="Calibri" w:cs="Calibri"/>
                <w:sz w:val="20"/>
                <w:szCs w:val="20"/>
                <w:lang w:eastAsia="ja-JP"/>
              </w:rPr>
              <w:t>912</w:t>
            </w:r>
            <w:r>
              <w:rPr>
                <w:rFonts w:ascii="Calibri" w:eastAsia="MS Mincho" w:hAnsi="Calibri" w:cs="Calibri"/>
                <w:sz w:val="20"/>
                <w:szCs w:val="20"/>
                <w:lang w:eastAsia="ja-JP"/>
              </w:rPr>
              <w:t>,</w:t>
            </w:r>
            <w:r w:rsidR="003546A8">
              <w:rPr>
                <w:rFonts w:ascii="Calibri" w:eastAsia="MS Mincho" w:hAnsi="Calibri" w:cs="Calibri"/>
                <w:sz w:val="20"/>
                <w:szCs w:val="20"/>
                <w:lang w:eastAsia="ja-JP"/>
              </w:rPr>
              <w:t>161</w:t>
            </w:r>
          </w:p>
        </w:tc>
        <w:tc>
          <w:tcPr>
            <w:tcW w:w="1872" w:type="dxa"/>
            <w:tcBorders>
              <w:bottom w:val="single" w:sz="4" w:space="0" w:color="auto"/>
            </w:tcBorders>
            <w:vAlign w:val="center"/>
          </w:tcPr>
          <w:p w14:paraId="3FA81CC0" w14:textId="1A5273EB" w:rsidR="00587060" w:rsidRPr="00F9632B"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(9,</w:t>
            </w:r>
            <w:r>
              <w:rPr>
                <w:rFonts w:ascii="Calibri" w:eastAsia="MS Mincho" w:hAnsi="Calibri" w:cs="Calibri"/>
                <w:sz w:val="20"/>
                <w:szCs w:val="20"/>
                <w:lang w:eastAsia="ja-JP"/>
              </w:rPr>
              <w:t>354</w:t>
            </w:r>
            <w:r w:rsidRPr="00C95A74">
              <w:rPr>
                <w:rFonts w:ascii="Calibri" w:eastAsia="MS Mincho" w:hAnsi="Calibri" w:cs="Calibri"/>
                <w:sz w:val="20"/>
                <w:szCs w:val="20"/>
                <w:lang w:eastAsia="ja-JP"/>
              </w:rPr>
              <w:t>,</w:t>
            </w:r>
            <w:r>
              <w:rPr>
                <w:rFonts w:ascii="Calibri" w:eastAsia="MS Mincho" w:hAnsi="Calibri" w:cs="Calibri"/>
                <w:sz w:val="20"/>
                <w:szCs w:val="20"/>
                <w:lang w:eastAsia="ja-JP"/>
              </w:rPr>
              <w:t>788</w:t>
            </w:r>
            <w:r w:rsidRPr="00C95A74">
              <w:rPr>
                <w:rFonts w:ascii="Calibri" w:eastAsia="MS Mincho" w:hAnsi="Calibri" w:cs="Calibri"/>
                <w:sz w:val="20"/>
                <w:szCs w:val="20"/>
                <w:lang w:eastAsia="ja-JP"/>
              </w:rPr>
              <w:t>)</w:t>
            </w:r>
          </w:p>
        </w:tc>
        <w:tc>
          <w:tcPr>
            <w:tcW w:w="1984" w:type="dxa"/>
            <w:tcBorders>
              <w:bottom w:val="single" w:sz="4" w:space="0" w:color="auto"/>
            </w:tcBorders>
          </w:tcPr>
          <w:p w14:paraId="2F63D0C3" w14:textId="6835AEEC" w:rsidR="00587060" w:rsidRPr="005D6609"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(1,129,624)</w:t>
            </w:r>
          </w:p>
        </w:tc>
        <w:tc>
          <w:tcPr>
            <w:tcW w:w="1399" w:type="dxa"/>
            <w:tcBorders>
              <w:bottom w:val="single" w:sz="4" w:space="0" w:color="auto"/>
            </w:tcBorders>
            <w:shd w:val="clear" w:color="auto" w:fill="auto"/>
            <w:vAlign w:val="bottom"/>
          </w:tcPr>
          <w:p w14:paraId="234C889B" w14:textId="6E84888C" w:rsidR="00587060" w:rsidRPr="00182F7B"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(1,183,375)</w:t>
            </w:r>
          </w:p>
        </w:tc>
      </w:tr>
      <w:tr w:rsidR="00587060" w14:paraId="111E2671" w14:textId="77777777" w:rsidTr="00C82AA6">
        <w:trPr>
          <w:gridAfter w:val="1"/>
          <w:wAfter w:w="23" w:type="dxa"/>
          <w:trHeight w:val="207"/>
        </w:trPr>
        <w:tc>
          <w:tcPr>
            <w:tcW w:w="3256" w:type="dxa"/>
          </w:tcPr>
          <w:p w14:paraId="7F34CB89" w14:textId="7A27E3DE" w:rsidR="00587060" w:rsidRPr="007627E0" w:rsidRDefault="00587060" w:rsidP="00587060">
            <w:pPr>
              <w:pStyle w:val="Headingext1"/>
              <w:spacing w:before="60"/>
              <w:rPr>
                <w:rFonts w:ascii="Calibri" w:eastAsia="MS Mincho" w:hAnsi="Calibri" w:cs="Calibri"/>
                <w:sz w:val="20"/>
                <w:szCs w:val="20"/>
                <w:lang w:eastAsia="ja-JP"/>
              </w:rPr>
            </w:pPr>
            <w:r w:rsidRPr="007627E0">
              <w:rPr>
                <w:rFonts w:ascii="Calibri" w:eastAsia="MS Mincho" w:hAnsi="Calibri" w:cs="Calibri"/>
                <w:sz w:val="20"/>
                <w:szCs w:val="20"/>
                <w:lang w:eastAsia="ja-JP"/>
              </w:rPr>
              <w:t xml:space="preserve">Net </w:t>
            </w:r>
            <w:r>
              <w:rPr>
                <w:rFonts w:ascii="Calibri" w:eastAsia="MS Mincho" w:hAnsi="Calibri" w:cs="Calibri"/>
                <w:sz w:val="20"/>
                <w:szCs w:val="20"/>
                <w:lang w:eastAsia="ja-JP"/>
              </w:rPr>
              <w:t>Income (</w:t>
            </w:r>
            <w:r w:rsidRPr="007627E0">
              <w:rPr>
                <w:rFonts w:ascii="Calibri" w:eastAsia="MS Mincho" w:hAnsi="Calibri" w:cs="Calibri"/>
                <w:sz w:val="20"/>
                <w:szCs w:val="20"/>
                <w:lang w:eastAsia="ja-JP"/>
              </w:rPr>
              <w:t>Loss</w:t>
            </w:r>
            <w:r>
              <w:rPr>
                <w:rFonts w:ascii="Calibri" w:eastAsia="MS Mincho" w:hAnsi="Calibri" w:cs="Calibri"/>
                <w:sz w:val="20"/>
                <w:szCs w:val="20"/>
                <w:lang w:eastAsia="ja-JP"/>
              </w:rPr>
              <w:t>)</w:t>
            </w:r>
            <w:r w:rsidRPr="007627E0">
              <w:rPr>
                <w:rFonts w:ascii="Calibri" w:eastAsia="MS Mincho" w:hAnsi="Calibri" w:cs="Calibri"/>
                <w:sz w:val="20"/>
                <w:szCs w:val="20"/>
                <w:lang w:eastAsia="ja-JP"/>
              </w:rPr>
              <w:t xml:space="preserve"> per share (basic and diluted)</w:t>
            </w:r>
          </w:p>
        </w:tc>
        <w:tc>
          <w:tcPr>
            <w:tcW w:w="1530" w:type="dxa"/>
            <w:shd w:val="clear" w:color="auto" w:fill="auto"/>
          </w:tcPr>
          <w:p w14:paraId="27715270" w14:textId="6D774384" w:rsidR="00587060" w:rsidRPr="00C95A74"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0.01</w:t>
            </w:r>
          </w:p>
        </w:tc>
        <w:tc>
          <w:tcPr>
            <w:tcW w:w="1872" w:type="dxa"/>
          </w:tcPr>
          <w:p w14:paraId="41745C58" w14:textId="13660515" w:rsidR="00587060" w:rsidRPr="00BD527A" w:rsidRDefault="00587060" w:rsidP="00587060">
            <w:pPr>
              <w:pStyle w:val="Headingext1"/>
              <w:spacing w:before="60"/>
              <w:jc w:val="right"/>
              <w:rPr>
                <w:rFonts w:ascii="Calibri" w:eastAsia="MS Mincho" w:hAnsi="Calibri" w:cs="Calibri"/>
                <w:sz w:val="20"/>
                <w:szCs w:val="20"/>
                <w:lang w:eastAsia="ja-JP"/>
              </w:rPr>
            </w:pPr>
            <w:r w:rsidRPr="00C95A74">
              <w:rPr>
                <w:rFonts w:ascii="Calibri" w:eastAsia="MS Mincho" w:hAnsi="Calibri" w:cs="Calibri"/>
                <w:sz w:val="20"/>
                <w:szCs w:val="20"/>
                <w:lang w:eastAsia="ja-JP"/>
              </w:rPr>
              <w:t>(0.07)</w:t>
            </w:r>
          </w:p>
        </w:tc>
        <w:tc>
          <w:tcPr>
            <w:tcW w:w="1984" w:type="dxa"/>
          </w:tcPr>
          <w:p w14:paraId="280764A7" w14:textId="4BDDC048" w:rsidR="00587060" w:rsidRPr="005D6609" w:rsidRDefault="00587060" w:rsidP="00587060">
            <w:pPr>
              <w:pStyle w:val="Headingext1"/>
              <w:spacing w:before="60"/>
              <w:jc w:val="right"/>
              <w:rPr>
                <w:rFonts w:ascii="Calibri" w:eastAsia="MS Mincho" w:hAnsi="Calibri" w:cs="Calibri"/>
                <w:sz w:val="20"/>
                <w:szCs w:val="20"/>
                <w:lang w:eastAsia="ja-JP"/>
              </w:rPr>
            </w:pPr>
            <w:r w:rsidRPr="00583A17">
              <w:rPr>
                <w:rFonts w:ascii="Calibri" w:eastAsia="MS Mincho" w:hAnsi="Calibri" w:cs="Calibri"/>
                <w:sz w:val="20"/>
                <w:szCs w:val="20"/>
                <w:lang w:eastAsia="ja-JP"/>
              </w:rPr>
              <w:t>(0.01)</w:t>
            </w:r>
          </w:p>
        </w:tc>
        <w:tc>
          <w:tcPr>
            <w:tcW w:w="1399" w:type="dxa"/>
            <w:shd w:val="clear" w:color="auto" w:fill="auto"/>
          </w:tcPr>
          <w:p w14:paraId="3EAD157D" w14:textId="15267934" w:rsidR="00587060" w:rsidRPr="00182F7B" w:rsidRDefault="00587060"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(0.01)</w:t>
            </w:r>
          </w:p>
        </w:tc>
      </w:tr>
      <w:tr w:rsidR="008D6181" w14:paraId="589383E9" w14:textId="77777777" w:rsidTr="001231AC">
        <w:trPr>
          <w:gridAfter w:val="1"/>
          <w:wAfter w:w="23" w:type="dxa"/>
          <w:trHeight w:val="207"/>
        </w:trPr>
        <w:tc>
          <w:tcPr>
            <w:tcW w:w="3256" w:type="dxa"/>
            <w:tcBorders>
              <w:bottom w:val="single" w:sz="4" w:space="0" w:color="auto"/>
            </w:tcBorders>
          </w:tcPr>
          <w:p w14:paraId="444383F4" w14:textId="6DB4240A" w:rsidR="008D6181" w:rsidRPr="007627E0" w:rsidRDefault="008D6181" w:rsidP="00587060">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Net and comprehensive income (Loss)</w:t>
            </w:r>
          </w:p>
        </w:tc>
        <w:tc>
          <w:tcPr>
            <w:tcW w:w="1530" w:type="dxa"/>
            <w:tcBorders>
              <w:bottom w:val="single" w:sz="4" w:space="0" w:color="auto"/>
            </w:tcBorders>
            <w:shd w:val="clear" w:color="auto" w:fill="auto"/>
          </w:tcPr>
          <w:p w14:paraId="6D29FFAE" w14:textId="53BC9F61" w:rsidR="008D6181" w:rsidRDefault="008D6181"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1,818,934</w:t>
            </w:r>
          </w:p>
        </w:tc>
        <w:tc>
          <w:tcPr>
            <w:tcW w:w="1872" w:type="dxa"/>
            <w:tcBorders>
              <w:bottom w:val="single" w:sz="4" w:space="0" w:color="auto"/>
            </w:tcBorders>
          </w:tcPr>
          <w:p w14:paraId="7F42A075" w14:textId="1AD59405" w:rsidR="008D6181" w:rsidRPr="00C95A74" w:rsidRDefault="008D6181"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(9,437,405)</w:t>
            </w:r>
          </w:p>
        </w:tc>
        <w:tc>
          <w:tcPr>
            <w:tcW w:w="1984" w:type="dxa"/>
            <w:tcBorders>
              <w:bottom w:val="single" w:sz="4" w:space="0" w:color="auto"/>
            </w:tcBorders>
          </w:tcPr>
          <w:p w14:paraId="3A129839" w14:textId="7055BEC6" w:rsidR="008D6181" w:rsidRPr="00583A17" w:rsidRDefault="00700134"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(1,077,756)</w:t>
            </w:r>
          </w:p>
        </w:tc>
        <w:tc>
          <w:tcPr>
            <w:tcW w:w="1399" w:type="dxa"/>
            <w:tcBorders>
              <w:bottom w:val="single" w:sz="4" w:space="0" w:color="auto"/>
            </w:tcBorders>
            <w:shd w:val="clear" w:color="auto" w:fill="auto"/>
          </w:tcPr>
          <w:p w14:paraId="766695F3" w14:textId="2FA2F63C" w:rsidR="008D6181" w:rsidRDefault="00700134" w:rsidP="00587060">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(1,258,182)</w:t>
            </w:r>
          </w:p>
        </w:tc>
      </w:tr>
    </w:tbl>
    <w:p w14:paraId="6A89118E" w14:textId="147E6AF6" w:rsidR="002A1678" w:rsidRDefault="002A1678" w:rsidP="00496DE4">
      <w:pPr>
        <w:spacing w:after="0"/>
        <w:rPr>
          <w:rFonts w:eastAsiaTheme="minorHAnsi"/>
          <w:lang w:val="en-CA"/>
        </w:rPr>
      </w:pPr>
    </w:p>
    <w:p w14:paraId="50DA15C4" w14:textId="5981D518" w:rsidR="004165B6" w:rsidRDefault="004165B6" w:rsidP="00496DE4">
      <w:pPr>
        <w:spacing w:after="0"/>
        <w:rPr>
          <w:rFonts w:eastAsiaTheme="minorHAnsi"/>
          <w:lang w:val="en-CA"/>
        </w:rPr>
      </w:pPr>
    </w:p>
    <w:p w14:paraId="2F8EE286" w14:textId="033D29C7" w:rsidR="005B71BA" w:rsidRPr="00583A17" w:rsidRDefault="00D12C06" w:rsidP="005B71BA">
      <w:pPr>
        <w:spacing w:before="240"/>
        <w:jc w:val="both"/>
        <w:rPr>
          <w:i/>
          <w:color w:val="000000"/>
        </w:rPr>
      </w:pPr>
      <w:r w:rsidRPr="00583A17">
        <w:rPr>
          <w:i/>
          <w:color w:val="000000"/>
        </w:rPr>
        <w:t xml:space="preserve">Summary of Results During Prior Eight Quarters </w:t>
      </w:r>
    </w:p>
    <w:p w14:paraId="57603576" w14:textId="122B7FA2" w:rsidR="00F10F33" w:rsidRPr="004C475E" w:rsidRDefault="00F10F33" w:rsidP="00F10F33">
      <w:pPr>
        <w:jc w:val="both"/>
        <w:rPr>
          <w:color w:val="000000"/>
        </w:rPr>
      </w:pPr>
      <w:r w:rsidRPr="00C95A74">
        <w:rPr>
          <w:color w:val="000000"/>
        </w:rPr>
        <w:t xml:space="preserve">Net loss </w:t>
      </w:r>
      <w:r>
        <w:rPr>
          <w:color w:val="000000"/>
        </w:rPr>
        <w:t xml:space="preserve">decreased </w:t>
      </w:r>
      <w:r w:rsidRPr="00C95A74">
        <w:rPr>
          <w:color w:val="000000"/>
        </w:rPr>
        <w:t xml:space="preserve">for the three months ended </w:t>
      </w:r>
      <w:r>
        <w:rPr>
          <w:color w:val="000000"/>
        </w:rPr>
        <w:t>June 30</w:t>
      </w:r>
      <w:r w:rsidRPr="00C95A74">
        <w:rPr>
          <w:color w:val="000000"/>
        </w:rPr>
        <w:t xml:space="preserve">, </w:t>
      </w:r>
      <w:proofErr w:type="gramStart"/>
      <w:r w:rsidRPr="00C95A74">
        <w:rPr>
          <w:color w:val="000000"/>
        </w:rPr>
        <w:t>2022</w:t>
      </w:r>
      <w:proofErr w:type="gramEnd"/>
      <w:r w:rsidRPr="00C95A74">
        <w:rPr>
          <w:color w:val="000000"/>
        </w:rPr>
        <w:t xml:space="preserve"> by $</w:t>
      </w:r>
      <w:r>
        <w:rPr>
          <w:color w:val="000000"/>
        </w:rPr>
        <w:t>1,</w:t>
      </w:r>
      <w:r w:rsidR="00AA1DAA">
        <w:rPr>
          <w:color w:val="000000"/>
        </w:rPr>
        <w:t>977</w:t>
      </w:r>
      <w:r>
        <w:rPr>
          <w:color w:val="000000"/>
        </w:rPr>
        <w:t>,</w:t>
      </w:r>
      <w:r w:rsidR="00F93627">
        <w:rPr>
          <w:color w:val="000000"/>
        </w:rPr>
        <w:t>421</w:t>
      </w:r>
      <w:r w:rsidRPr="00C95A74">
        <w:rPr>
          <w:color w:val="000000"/>
        </w:rPr>
        <w:t xml:space="preserve"> compared to the three months ended </w:t>
      </w:r>
      <w:r>
        <w:rPr>
          <w:color w:val="000000"/>
        </w:rPr>
        <w:t>March 31, 2022</w:t>
      </w:r>
      <w:r w:rsidRPr="00C95A74">
        <w:rPr>
          <w:color w:val="000000"/>
        </w:rPr>
        <w:t xml:space="preserve"> from a net </w:t>
      </w:r>
      <w:r>
        <w:rPr>
          <w:color w:val="000000"/>
        </w:rPr>
        <w:t>loss</w:t>
      </w:r>
      <w:r w:rsidRPr="00C95A74">
        <w:rPr>
          <w:color w:val="000000"/>
        </w:rPr>
        <w:t xml:space="preserve"> of $</w:t>
      </w:r>
      <w:r>
        <w:rPr>
          <w:color w:val="000000"/>
        </w:rPr>
        <w:t>1,931,175</w:t>
      </w:r>
      <w:r w:rsidRPr="00C95A74">
        <w:rPr>
          <w:color w:val="000000"/>
        </w:rPr>
        <w:t xml:space="preserve"> to a net </w:t>
      </w:r>
      <w:r w:rsidR="00AA1DAA">
        <w:rPr>
          <w:color w:val="000000"/>
        </w:rPr>
        <w:t>income</w:t>
      </w:r>
      <w:r w:rsidRPr="00C95A74">
        <w:rPr>
          <w:color w:val="000000"/>
        </w:rPr>
        <w:t xml:space="preserve"> of $</w:t>
      </w:r>
      <w:r w:rsidR="00AA1DAA">
        <w:rPr>
          <w:color w:val="000000"/>
        </w:rPr>
        <w:t>4</w:t>
      </w:r>
      <w:r w:rsidR="00F93627">
        <w:rPr>
          <w:color w:val="000000"/>
        </w:rPr>
        <w:t>6</w:t>
      </w:r>
      <w:r w:rsidR="00AA1DAA">
        <w:rPr>
          <w:color w:val="000000"/>
        </w:rPr>
        <w:t>,</w:t>
      </w:r>
      <w:r w:rsidR="00F93627">
        <w:rPr>
          <w:color w:val="000000"/>
        </w:rPr>
        <w:t>246</w:t>
      </w:r>
      <w:r w:rsidRPr="00C95A74">
        <w:rPr>
          <w:color w:val="000000"/>
        </w:rPr>
        <w:t xml:space="preserve">. The </w:t>
      </w:r>
      <w:r>
        <w:rPr>
          <w:color w:val="000000"/>
        </w:rPr>
        <w:t>decrease</w:t>
      </w:r>
      <w:r w:rsidRPr="00C95A74">
        <w:rPr>
          <w:color w:val="000000"/>
        </w:rPr>
        <w:t xml:space="preserve"> is primarily due to a </w:t>
      </w:r>
      <w:r>
        <w:rPr>
          <w:color w:val="000000"/>
        </w:rPr>
        <w:t>loss</w:t>
      </w:r>
      <w:r w:rsidRPr="00C95A74">
        <w:rPr>
          <w:color w:val="000000"/>
        </w:rPr>
        <w:t xml:space="preserve"> from the change in fair value of derivative liabilities of $</w:t>
      </w:r>
      <w:r>
        <w:rPr>
          <w:color w:val="000000"/>
        </w:rPr>
        <w:t>568,773</w:t>
      </w:r>
      <w:r w:rsidRPr="00C95A74">
        <w:rPr>
          <w:color w:val="000000"/>
        </w:rPr>
        <w:t xml:space="preserve"> recognized for the three months ended </w:t>
      </w:r>
      <w:r>
        <w:rPr>
          <w:color w:val="000000"/>
        </w:rPr>
        <w:t xml:space="preserve">March 31, </w:t>
      </w:r>
      <w:proofErr w:type="gramStart"/>
      <w:r>
        <w:rPr>
          <w:color w:val="000000"/>
        </w:rPr>
        <w:t>2022</w:t>
      </w:r>
      <w:proofErr w:type="gramEnd"/>
      <w:r w:rsidRPr="00C95A74">
        <w:rPr>
          <w:color w:val="000000"/>
        </w:rPr>
        <w:t xml:space="preserve"> </w:t>
      </w:r>
      <w:r>
        <w:rPr>
          <w:color w:val="000000"/>
        </w:rPr>
        <w:t>compared to</w:t>
      </w:r>
      <w:r w:rsidRPr="00C95A74">
        <w:rPr>
          <w:color w:val="000000"/>
        </w:rPr>
        <w:t xml:space="preserve"> a </w:t>
      </w:r>
      <w:r>
        <w:rPr>
          <w:color w:val="000000"/>
        </w:rPr>
        <w:t>gain</w:t>
      </w:r>
      <w:r w:rsidRPr="00C95A74">
        <w:rPr>
          <w:color w:val="000000"/>
        </w:rPr>
        <w:t xml:space="preserve"> of $</w:t>
      </w:r>
      <w:r>
        <w:rPr>
          <w:color w:val="000000"/>
        </w:rPr>
        <w:t>207,60</w:t>
      </w:r>
      <w:r w:rsidR="00AA1DAA">
        <w:rPr>
          <w:color w:val="000000"/>
        </w:rPr>
        <w:t>4</w:t>
      </w:r>
      <w:r w:rsidRPr="00C95A74">
        <w:rPr>
          <w:color w:val="000000"/>
        </w:rPr>
        <w:t xml:space="preserve"> from the change in fair value of derivative liabilities recognized for the three months ended </w:t>
      </w:r>
      <w:r>
        <w:rPr>
          <w:color w:val="000000"/>
        </w:rPr>
        <w:t>June 30, 2022</w:t>
      </w:r>
      <w:r w:rsidRPr="00C95A74">
        <w:rPr>
          <w:color w:val="000000"/>
        </w:rPr>
        <w:t>, representing a total change of $</w:t>
      </w:r>
      <w:r>
        <w:rPr>
          <w:color w:val="000000"/>
        </w:rPr>
        <w:t>776,37</w:t>
      </w:r>
      <w:r w:rsidR="001A716D">
        <w:rPr>
          <w:color w:val="000000"/>
        </w:rPr>
        <w:t>7</w:t>
      </w:r>
      <w:r w:rsidRPr="00C95A74">
        <w:rPr>
          <w:color w:val="000000"/>
        </w:rPr>
        <w:t xml:space="preserve">. </w:t>
      </w:r>
      <w:r w:rsidR="004C475E">
        <w:rPr>
          <w:color w:val="000000"/>
        </w:rPr>
        <w:t xml:space="preserve">This is coupled with a change in accretion on the Company’s ARO of $366,751, from recognizing an expense of $224,828 for the three months ended March 31, </w:t>
      </w:r>
      <w:proofErr w:type="gramStart"/>
      <w:r w:rsidR="004C475E">
        <w:rPr>
          <w:color w:val="000000"/>
        </w:rPr>
        <w:t>2022</w:t>
      </w:r>
      <w:proofErr w:type="gramEnd"/>
      <w:r w:rsidR="004C475E">
        <w:rPr>
          <w:color w:val="000000"/>
        </w:rPr>
        <w:t xml:space="preserve"> to recognizing a recovery of $141,923 for the three months ended June 30, 2022</w:t>
      </w:r>
      <w:r w:rsidR="008D6181">
        <w:rPr>
          <w:color w:val="000000"/>
        </w:rPr>
        <w:t xml:space="preserve"> as a result of changes in the estimated risk-free interest rate</w:t>
      </w:r>
      <w:r w:rsidR="004C475E">
        <w:rPr>
          <w:color w:val="000000"/>
        </w:rPr>
        <w:t>. Foreign exchange rates also fluctuated such that a gain of $44</w:t>
      </w:r>
      <w:r w:rsidR="00F93627">
        <w:rPr>
          <w:color w:val="000000"/>
        </w:rPr>
        <w:t>9</w:t>
      </w:r>
      <w:r w:rsidR="004C475E">
        <w:rPr>
          <w:color w:val="000000"/>
        </w:rPr>
        <w:t>,</w:t>
      </w:r>
      <w:r w:rsidR="00F93627">
        <w:rPr>
          <w:color w:val="000000"/>
        </w:rPr>
        <w:t>381</w:t>
      </w:r>
      <w:r w:rsidR="004C475E">
        <w:rPr>
          <w:color w:val="000000"/>
        </w:rPr>
        <w:t xml:space="preserve"> was recognized for the three months ended June 30, </w:t>
      </w:r>
      <w:proofErr w:type="gramStart"/>
      <w:r w:rsidR="004C475E">
        <w:rPr>
          <w:color w:val="000000"/>
        </w:rPr>
        <w:t>2022</w:t>
      </w:r>
      <w:proofErr w:type="gramEnd"/>
      <w:r w:rsidR="004C475E">
        <w:rPr>
          <w:color w:val="000000"/>
        </w:rPr>
        <w:t xml:space="preserve"> compared to a loss of $121,125 was recognized for the three months ended March 31, 2022</w:t>
      </w:r>
      <w:r w:rsidRPr="00C95A74">
        <w:rPr>
          <w:color w:val="000000"/>
        </w:rPr>
        <w:t>.</w:t>
      </w:r>
      <w:r w:rsidRPr="00C95A74">
        <w:rPr>
          <w:iCs/>
          <w:color w:val="000000"/>
        </w:rPr>
        <w:t xml:space="preserve"> Revenues increased by $</w:t>
      </w:r>
      <w:r w:rsidR="00F93627">
        <w:rPr>
          <w:iCs/>
          <w:color w:val="000000"/>
        </w:rPr>
        <w:t>484,348</w:t>
      </w:r>
      <w:r w:rsidRPr="00C95A74">
        <w:rPr>
          <w:iCs/>
          <w:color w:val="000000"/>
        </w:rPr>
        <w:t xml:space="preserve"> primarily </w:t>
      </w:r>
      <w:proofErr w:type="gramStart"/>
      <w:r w:rsidRPr="00C95A74">
        <w:rPr>
          <w:iCs/>
          <w:color w:val="000000"/>
        </w:rPr>
        <w:t>as a result of</w:t>
      </w:r>
      <w:proofErr w:type="gramEnd"/>
      <w:r w:rsidRPr="00C95A74">
        <w:rPr>
          <w:iCs/>
          <w:color w:val="000000"/>
        </w:rPr>
        <w:t xml:space="preserve"> fluctuating oil sales prices between Q</w:t>
      </w:r>
      <w:r w:rsidR="004C475E">
        <w:rPr>
          <w:iCs/>
          <w:color w:val="000000"/>
        </w:rPr>
        <w:t>1</w:t>
      </w:r>
      <w:r w:rsidRPr="00C95A74">
        <w:rPr>
          <w:iCs/>
          <w:color w:val="000000"/>
        </w:rPr>
        <w:t xml:space="preserve"> 202</w:t>
      </w:r>
      <w:r w:rsidR="004C475E">
        <w:rPr>
          <w:iCs/>
          <w:color w:val="000000"/>
        </w:rPr>
        <w:t>2</w:t>
      </w:r>
      <w:r w:rsidRPr="00C95A74">
        <w:rPr>
          <w:iCs/>
          <w:color w:val="000000"/>
        </w:rPr>
        <w:t xml:space="preserve"> and Q</w:t>
      </w:r>
      <w:r w:rsidR="004C475E">
        <w:rPr>
          <w:iCs/>
          <w:color w:val="000000"/>
        </w:rPr>
        <w:t>2</w:t>
      </w:r>
      <w:r w:rsidRPr="00C95A74">
        <w:rPr>
          <w:iCs/>
          <w:color w:val="000000"/>
        </w:rPr>
        <w:t xml:space="preserve"> 2022.</w:t>
      </w:r>
      <w:r>
        <w:rPr>
          <w:iCs/>
          <w:color w:val="000000"/>
        </w:rPr>
        <w:t xml:space="preserve"> </w:t>
      </w:r>
    </w:p>
    <w:p w14:paraId="14478493" w14:textId="31336E2A" w:rsidR="006F45E7" w:rsidRDefault="006F45E7" w:rsidP="006F45E7">
      <w:pPr>
        <w:jc w:val="both"/>
        <w:rPr>
          <w:iCs/>
          <w:color w:val="000000"/>
        </w:rPr>
      </w:pPr>
      <w:r w:rsidRPr="00C95A74">
        <w:rPr>
          <w:color w:val="000000"/>
        </w:rPr>
        <w:t xml:space="preserve">Net loss increased for the three months ended March 31, </w:t>
      </w:r>
      <w:proofErr w:type="gramStart"/>
      <w:r w:rsidRPr="00C95A74">
        <w:rPr>
          <w:color w:val="000000"/>
        </w:rPr>
        <w:t>202</w:t>
      </w:r>
      <w:r w:rsidR="007D1C16" w:rsidRPr="00C95A74">
        <w:rPr>
          <w:color w:val="000000"/>
        </w:rPr>
        <w:t>2</w:t>
      </w:r>
      <w:proofErr w:type="gramEnd"/>
      <w:r w:rsidRPr="00C95A74">
        <w:rPr>
          <w:color w:val="000000"/>
        </w:rPr>
        <w:t xml:space="preserve"> by $</w:t>
      </w:r>
      <w:r w:rsidR="00F77AE1">
        <w:rPr>
          <w:color w:val="000000"/>
        </w:rPr>
        <w:t>2,016,157</w:t>
      </w:r>
      <w:r w:rsidRPr="00C95A74">
        <w:rPr>
          <w:color w:val="000000"/>
        </w:rPr>
        <w:t xml:space="preserve"> compared to the three months ended December 31, 20</w:t>
      </w:r>
      <w:r w:rsidR="00E87AAE" w:rsidRPr="00C95A74">
        <w:rPr>
          <w:color w:val="000000"/>
        </w:rPr>
        <w:t>21</w:t>
      </w:r>
      <w:r w:rsidRPr="00C95A74">
        <w:rPr>
          <w:color w:val="000000"/>
        </w:rPr>
        <w:t xml:space="preserve"> </w:t>
      </w:r>
      <w:r w:rsidR="00E87AAE" w:rsidRPr="00C95A74">
        <w:rPr>
          <w:color w:val="000000"/>
        </w:rPr>
        <w:t>from a net income of $</w:t>
      </w:r>
      <w:r w:rsidR="002A28CC">
        <w:rPr>
          <w:color w:val="000000"/>
        </w:rPr>
        <w:t>84,982</w:t>
      </w:r>
      <w:r w:rsidR="00BA676F" w:rsidRPr="00C95A74">
        <w:rPr>
          <w:color w:val="000000"/>
        </w:rPr>
        <w:t xml:space="preserve"> to a net loss of $1,931,175. The increase is </w:t>
      </w:r>
      <w:r w:rsidRPr="00C95A74">
        <w:rPr>
          <w:color w:val="000000"/>
        </w:rPr>
        <w:t>primarily due to a</w:t>
      </w:r>
      <w:r w:rsidR="00BA676F" w:rsidRPr="00C95A74">
        <w:rPr>
          <w:color w:val="000000"/>
        </w:rPr>
        <w:t xml:space="preserve"> gain</w:t>
      </w:r>
      <w:r w:rsidRPr="00C95A74">
        <w:rPr>
          <w:color w:val="000000"/>
        </w:rPr>
        <w:t xml:space="preserve"> </w:t>
      </w:r>
      <w:r w:rsidR="00BA676F" w:rsidRPr="00C95A74">
        <w:rPr>
          <w:color w:val="000000"/>
        </w:rPr>
        <w:t xml:space="preserve">from the change in fair value of derivative liabilities of $966,192 recognized for the three months ended December 31, </w:t>
      </w:r>
      <w:proofErr w:type="gramStart"/>
      <w:r w:rsidR="00BA676F" w:rsidRPr="00C95A74">
        <w:rPr>
          <w:color w:val="000000"/>
        </w:rPr>
        <w:t>2021</w:t>
      </w:r>
      <w:proofErr w:type="gramEnd"/>
      <w:r w:rsidR="00BA676F" w:rsidRPr="00C95A74">
        <w:rPr>
          <w:color w:val="000000"/>
        </w:rPr>
        <w:t xml:space="preserve"> and a loss of $568,773 from the change in fair value of derivative liabilities recognized for the three months ended March 31, 2022</w:t>
      </w:r>
      <w:r w:rsidR="008C5763" w:rsidRPr="00C95A74">
        <w:rPr>
          <w:color w:val="000000"/>
        </w:rPr>
        <w:t xml:space="preserve">, representing a total change of $1,534,965. This is coupled with an increase of $403,874 in general and administrative expenses for the three months ended March 31, </w:t>
      </w:r>
      <w:proofErr w:type="gramStart"/>
      <w:r w:rsidR="008C5763" w:rsidRPr="00C95A74">
        <w:rPr>
          <w:color w:val="000000"/>
        </w:rPr>
        <w:t>2022</w:t>
      </w:r>
      <w:proofErr w:type="gramEnd"/>
      <w:r w:rsidR="008C5763" w:rsidRPr="00C95A74">
        <w:rPr>
          <w:color w:val="000000"/>
        </w:rPr>
        <w:t xml:space="preserve"> compared to the three months ended December 31, 2021.</w:t>
      </w:r>
      <w:r w:rsidRPr="00C95A74">
        <w:rPr>
          <w:iCs/>
          <w:color w:val="000000"/>
        </w:rPr>
        <w:t xml:space="preserve"> Revenues </w:t>
      </w:r>
      <w:r w:rsidR="008C5763" w:rsidRPr="00C95A74">
        <w:rPr>
          <w:iCs/>
          <w:color w:val="000000"/>
        </w:rPr>
        <w:t>increased</w:t>
      </w:r>
      <w:r w:rsidRPr="00C95A74">
        <w:rPr>
          <w:iCs/>
          <w:color w:val="000000"/>
        </w:rPr>
        <w:t xml:space="preserve"> by $</w:t>
      </w:r>
      <w:r w:rsidR="008C5763" w:rsidRPr="00C95A74">
        <w:rPr>
          <w:iCs/>
          <w:color w:val="000000"/>
        </w:rPr>
        <w:t>149,922</w:t>
      </w:r>
      <w:r w:rsidRPr="00C95A74">
        <w:rPr>
          <w:iCs/>
          <w:color w:val="000000"/>
        </w:rPr>
        <w:t xml:space="preserve"> primarily </w:t>
      </w:r>
      <w:proofErr w:type="gramStart"/>
      <w:r w:rsidRPr="00C95A74">
        <w:rPr>
          <w:iCs/>
          <w:color w:val="000000"/>
        </w:rPr>
        <w:t>as a result of</w:t>
      </w:r>
      <w:proofErr w:type="gramEnd"/>
      <w:r w:rsidRPr="00C95A74">
        <w:rPr>
          <w:iCs/>
          <w:color w:val="000000"/>
        </w:rPr>
        <w:t xml:space="preserve"> fluctuating oil sales prices between Q4 20</w:t>
      </w:r>
      <w:r w:rsidR="008C5763" w:rsidRPr="00C95A74">
        <w:rPr>
          <w:iCs/>
          <w:color w:val="000000"/>
        </w:rPr>
        <w:t>21</w:t>
      </w:r>
      <w:r w:rsidRPr="00C95A74">
        <w:rPr>
          <w:iCs/>
          <w:color w:val="000000"/>
        </w:rPr>
        <w:t xml:space="preserve"> and Q1 202</w:t>
      </w:r>
      <w:r w:rsidR="008C5763" w:rsidRPr="00C95A74">
        <w:rPr>
          <w:iCs/>
          <w:color w:val="000000"/>
        </w:rPr>
        <w:t>2</w:t>
      </w:r>
      <w:r w:rsidRPr="00C95A74">
        <w:rPr>
          <w:iCs/>
          <w:color w:val="000000"/>
        </w:rPr>
        <w:t>.</w:t>
      </w:r>
      <w:r w:rsidR="003B5FBA">
        <w:rPr>
          <w:iCs/>
          <w:color w:val="000000"/>
        </w:rPr>
        <w:t xml:space="preserve"> </w:t>
      </w:r>
    </w:p>
    <w:p w14:paraId="66B44E94" w14:textId="3E4B4F45" w:rsidR="00F37780" w:rsidRPr="00583A17" w:rsidRDefault="001A24A7" w:rsidP="003E175B">
      <w:pPr>
        <w:jc w:val="both"/>
        <w:rPr>
          <w:iCs/>
          <w:color w:val="000000"/>
        </w:rPr>
      </w:pPr>
      <w:r w:rsidRPr="00583A17">
        <w:rPr>
          <w:iCs/>
          <w:color w:val="000000"/>
        </w:rPr>
        <w:t xml:space="preserve">Net </w:t>
      </w:r>
      <w:r w:rsidR="006F7C6C" w:rsidRPr="00583A17">
        <w:rPr>
          <w:iCs/>
          <w:color w:val="000000"/>
        </w:rPr>
        <w:t>income</w:t>
      </w:r>
      <w:r w:rsidRPr="00583A17">
        <w:rPr>
          <w:iCs/>
          <w:color w:val="000000"/>
        </w:rPr>
        <w:t xml:space="preserve"> </w:t>
      </w:r>
      <w:r w:rsidR="0071235D" w:rsidRPr="00583A17">
        <w:rPr>
          <w:iCs/>
          <w:color w:val="000000"/>
        </w:rPr>
        <w:t>decreased</w:t>
      </w:r>
      <w:r w:rsidRPr="00583A17">
        <w:rPr>
          <w:iCs/>
          <w:color w:val="000000"/>
        </w:rPr>
        <w:t xml:space="preserve"> for the three months ended December 31, </w:t>
      </w:r>
      <w:proofErr w:type="gramStart"/>
      <w:r w:rsidRPr="00583A17">
        <w:rPr>
          <w:iCs/>
          <w:color w:val="000000"/>
        </w:rPr>
        <w:t>2021</w:t>
      </w:r>
      <w:proofErr w:type="gramEnd"/>
      <w:r w:rsidRPr="00583A17">
        <w:rPr>
          <w:iCs/>
          <w:color w:val="000000"/>
        </w:rPr>
        <w:t xml:space="preserve"> by $</w:t>
      </w:r>
      <w:r w:rsidR="006A0FFD" w:rsidRPr="00583A17">
        <w:rPr>
          <w:iCs/>
          <w:color w:val="000000"/>
        </w:rPr>
        <w:t>5,</w:t>
      </w:r>
      <w:r w:rsidR="00D01C26">
        <w:rPr>
          <w:iCs/>
          <w:color w:val="000000"/>
        </w:rPr>
        <w:t>279,906</w:t>
      </w:r>
      <w:r w:rsidRPr="00583A17">
        <w:rPr>
          <w:iCs/>
          <w:color w:val="000000"/>
        </w:rPr>
        <w:t xml:space="preserve"> compared to the three months ended </w:t>
      </w:r>
      <w:r w:rsidR="00B83794" w:rsidRPr="00583A17">
        <w:rPr>
          <w:iCs/>
          <w:color w:val="000000"/>
        </w:rPr>
        <w:t>September 30</w:t>
      </w:r>
      <w:r w:rsidRPr="00583A17">
        <w:rPr>
          <w:iCs/>
          <w:color w:val="000000"/>
        </w:rPr>
        <w:t xml:space="preserve">, 2021. This is </w:t>
      </w:r>
      <w:r w:rsidR="00B83794" w:rsidRPr="00583A17">
        <w:rPr>
          <w:iCs/>
          <w:color w:val="000000"/>
        </w:rPr>
        <w:t xml:space="preserve">mainly </w:t>
      </w:r>
      <w:r w:rsidRPr="00583A17">
        <w:rPr>
          <w:iCs/>
          <w:color w:val="000000"/>
        </w:rPr>
        <w:t xml:space="preserve">attributable to </w:t>
      </w:r>
      <w:r w:rsidR="00B83794" w:rsidRPr="00583A17">
        <w:rPr>
          <w:iCs/>
          <w:color w:val="000000"/>
        </w:rPr>
        <w:t xml:space="preserve">a decrease in </w:t>
      </w:r>
      <w:r w:rsidR="00F55849" w:rsidRPr="00583A17">
        <w:rPr>
          <w:iCs/>
          <w:color w:val="000000"/>
        </w:rPr>
        <w:t>the gain from the change in fair value of derivative liability of $5,</w:t>
      </w:r>
      <w:r w:rsidR="005335B2">
        <w:rPr>
          <w:iCs/>
          <w:color w:val="000000"/>
        </w:rPr>
        <w:t>239</w:t>
      </w:r>
      <w:r w:rsidR="00F55849" w:rsidRPr="00583A17">
        <w:rPr>
          <w:iCs/>
          <w:color w:val="000000"/>
        </w:rPr>
        <w:t>,7</w:t>
      </w:r>
      <w:r w:rsidR="005335B2">
        <w:rPr>
          <w:iCs/>
          <w:color w:val="000000"/>
        </w:rPr>
        <w:t>22</w:t>
      </w:r>
      <w:r w:rsidR="00F55849" w:rsidRPr="00583A17">
        <w:rPr>
          <w:iCs/>
          <w:color w:val="000000"/>
        </w:rPr>
        <w:t xml:space="preserve"> from $6,205,914 for the three months ended September 30, </w:t>
      </w:r>
      <w:proofErr w:type="gramStart"/>
      <w:r w:rsidR="00F55849" w:rsidRPr="00583A17">
        <w:rPr>
          <w:iCs/>
          <w:color w:val="000000"/>
        </w:rPr>
        <w:t>2021</w:t>
      </w:r>
      <w:proofErr w:type="gramEnd"/>
      <w:r w:rsidR="00F55849" w:rsidRPr="00583A17">
        <w:rPr>
          <w:iCs/>
          <w:color w:val="000000"/>
        </w:rPr>
        <w:t xml:space="preserve"> to $</w:t>
      </w:r>
      <w:r w:rsidR="005335B2">
        <w:rPr>
          <w:iCs/>
          <w:color w:val="000000"/>
        </w:rPr>
        <w:t>966</w:t>
      </w:r>
      <w:r w:rsidR="00F55849" w:rsidRPr="00583A17">
        <w:rPr>
          <w:iCs/>
          <w:color w:val="000000"/>
        </w:rPr>
        <w:t>,1</w:t>
      </w:r>
      <w:r w:rsidR="005335B2">
        <w:rPr>
          <w:iCs/>
          <w:color w:val="000000"/>
        </w:rPr>
        <w:t>92</w:t>
      </w:r>
      <w:r w:rsidR="00F55849" w:rsidRPr="00583A17">
        <w:rPr>
          <w:iCs/>
          <w:color w:val="000000"/>
        </w:rPr>
        <w:t xml:space="preserve"> for the three months ended December 31, 2021. This decrease is a result of the warrants </w:t>
      </w:r>
      <w:r w:rsidR="005C3B54" w:rsidRPr="00583A17">
        <w:rPr>
          <w:iCs/>
          <w:color w:val="000000"/>
        </w:rPr>
        <w:t xml:space="preserve">underlying the derivative liability expiring during the three months ended September 30, 2021. Revenues stayed </w:t>
      </w:r>
      <w:proofErr w:type="gramStart"/>
      <w:r w:rsidR="005C3B54" w:rsidRPr="00583A17">
        <w:rPr>
          <w:iCs/>
          <w:color w:val="000000"/>
        </w:rPr>
        <w:t>fairly consistent</w:t>
      </w:r>
      <w:proofErr w:type="gramEnd"/>
      <w:r w:rsidR="005C3B54" w:rsidRPr="00583A17">
        <w:rPr>
          <w:iCs/>
          <w:color w:val="000000"/>
        </w:rPr>
        <w:t xml:space="preserve"> between Q3 and Q4, 2021 with a slight decrease of $15,504.</w:t>
      </w:r>
    </w:p>
    <w:p w14:paraId="5F1993F6" w14:textId="59F488DE" w:rsidR="00930A35" w:rsidRPr="00583A17" w:rsidRDefault="003E175B" w:rsidP="003E175B">
      <w:pPr>
        <w:jc w:val="both"/>
        <w:rPr>
          <w:iCs/>
          <w:color w:val="000000"/>
        </w:rPr>
      </w:pPr>
      <w:r w:rsidRPr="00583A17">
        <w:rPr>
          <w:iCs/>
          <w:color w:val="000000"/>
        </w:rPr>
        <w:t xml:space="preserve">Net </w:t>
      </w:r>
      <w:r w:rsidR="005C3B54" w:rsidRPr="00583A17">
        <w:rPr>
          <w:iCs/>
          <w:color w:val="000000"/>
        </w:rPr>
        <w:t xml:space="preserve">income </w:t>
      </w:r>
      <w:r w:rsidR="00085025" w:rsidRPr="00583A17">
        <w:rPr>
          <w:iCs/>
          <w:color w:val="000000"/>
        </w:rPr>
        <w:t xml:space="preserve">increased </w:t>
      </w:r>
      <w:r w:rsidRPr="00583A17">
        <w:rPr>
          <w:iCs/>
          <w:color w:val="000000"/>
        </w:rPr>
        <w:t xml:space="preserve">for the three months ended </w:t>
      </w:r>
      <w:r w:rsidR="0056640A" w:rsidRPr="00583A17">
        <w:rPr>
          <w:iCs/>
          <w:color w:val="000000"/>
        </w:rPr>
        <w:t>September</w:t>
      </w:r>
      <w:r w:rsidRPr="00583A17">
        <w:rPr>
          <w:iCs/>
          <w:color w:val="000000"/>
        </w:rPr>
        <w:t xml:space="preserve"> 30, </w:t>
      </w:r>
      <w:proofErr w:type="gramStart"/>
      <w:r w:rsidRPr="00583A17">
        <w:rPr>
          <w:iCs/>
          <w:color w:val="000000"/>
        </w:rPr>
        <w:t>2021</w:t>
      </w:r>
      <w:proofErr w:type="gramEnd"/>
      <w:r w:rsidR="00085025" w:rsidRPr="00583A17">
        <w:rPr>
          <w:iCs/>
          <w:color w:val="000000"/>
        </w:rPr>
        <w:t xml:space="preserve"> by $</w:t>
      </w:r>
      <w:r w:rsidR="0070279F">
        <w:rPr>
          <w:iCs/>
          <w:color w:val="000000"/>
        </w:rPr>
        <w:t>3,5</w:t>
      </w:r>
      <w:r w:rsidR="00077B34">
        <w:rPr>
          <w:iCs/>
          <w:color w:val="000000"/>
        </w:rPr>
        <w:t>32</w:t>
      </w:r>
      <w:r w:rsidR="0070279F">
        <w:rPr>
          <w:iCs/>
          <w:color w:val="000000"/>
        </w:rPr>
        <w:t>,545</w:t>
      </w:r>
      <w:r w:rsidRPr="00583A17">
        <w:rPr>
          <w:iCs/>
          <w:color w:val="000000"/>
        </w:rPr>
        <w:t xml:space="preserve"> compared to the three months ended </w:t>
      </w:r>
      <w:r w:rsidR="0056640A" w:rsidRPr="00583A17">
        <w:rPr>
          <w:iCs/>
          <w:color w:val="000000"/>
        </w:rPr>
        <w:t>June</w:t>
      </w:r>
      <w:r w:rsidRPr="00583A17">
        <w:rPr>
          <w:iCs/>
          <w:color w:val="000000"/>
        </w:rPr>
        <w:t xml:space="preserve"> 3</w:t>
      </w:r>
      <w:r w:rsidR="0056640A" w:rsidRPr="00583A17">
        <w:rPr>
          <w:iCs/>
          <w:color w:val="000000"/>
        </w:rPr>
        <w:t>0</w:t>
      </w:r>
      <w:r w:rsidRPr="00583A17">
        <w:rPr>
          <w:iCs/>
          <w:color w:val="000000"/>
        </w:rPr>
        <w:t>, 202</w:t>
      </w:r>
      <w:r w:rsidR="004D377E" w:rsidRPr="00583A17">
        <w:rPr>
          <w:iCs/>
          <w:color w:val="000000"/>
        </w:rPr>
        <w:t>1</w:t>
      </w:r>
      <w:r w:rsidRPr="00583A17">
        <w:rPr>
          <w:iCs/>
          <w:color w:val="000000"/>
        </w:rPr>
        <w:t xml:space="preserve">. </w:t>
      </w:r>
      <w:r w:rsidR="005C3B54" w:rsidRPr="00583A17">
        <w:rPr>
          <w:iCs/>
          <w:color w:val="000000"/>
        </w:rPr>
        <w:t xml:space="preserve">This is mainly attributable to an increase in the gain from the change in fair value of derivative liability of $3,173,786 from $3,032,128 for the three months ended June 30, </w:t>
      </w:r>
      <w:proofErr w:type="gramStart"/>
      <w:r w:rsidR="005C3B54" w:rsidRPr="00583A17">
        <w:rPr>
          <w:iCs/>
          <w:color w:val="000000"/>
        </w:rPr>
        <w:t>2021</w:t>
      </w:r>
      <w:proofErr w:type="gramEnd"/>
      <w:r w:rsidR="005C3B54" w:rsidRPr="00583A17">
        <w:rPr>
          <w:iCs/>
          <w:color w:val="000000"/>
        </w:rPr>
        <w:t xml:space="preserve"> to $6,205,914 for the three months ended September 30, 2021. </w:t>
      </w:r>
      <w:r w:rsidR="009934D0" w:rsidRPr="00583A17">
        <w:rPr>
          <w:iCs/>
          <w:color w:val="000000"/>
        </w:rPr>
        <w:t xml:space="preserve">The increase is a result of the Company’s decreasing share price as </w:t>
      </w:r>
      <w:proofErr w:type="gramStart"/>
      <w:r w:rsidR="009934D0" w:rsidRPr="00583A17">
        <w:rPr>
          <w:iCs/>
          <w:color w:val="000000"/>
        </w:rPr>
        <w:t>at</w:t>
      </w:r>
      <w:proofErr w:type="gramEnd"/>
      <w:r w:rsidR="009934D0" w:rsidRPr="00583A17">
        <w:rPr>
          <w:iCs/>
          <w:color w:val="000000"/>
        </w:rPr>
        <w:t xml:space="preserve"> September 30, 2021 </w:t>
      </w:r>
      <w:r w:rsidR="009934D0" w:rsidRPr="00583A17">
        <w:rPr>
          <w:iCs/>
          <w:color w:val="000000"/>
        </w:rPr>
        <w:lastRenderedPageBreak/>
        <w:t>compared to June 30, 2021 which is used to re-value the derivative liability</w:t>
      </w:r>
      <w:r w:rsidR="00D524B0" w:rsidRPr="00583A17">
        <w:rPr>
          <w:iCs/>
          <w:color w:val="000000"/>
        </w:rPr>
        <w:t xml:space="preserve"> at period end</w:t>
      </w:r>
      <w:r w:rsidR="009934D0" w:rsidRPr="00583A17">
        <w:rPr>
          <w:iCs/>
          <w:color w:val="000000"/>
        </w:rPr>
        <w:t xml:space="preserve">. Revenues decreased by $134,048 primarily </w:t>
      </w:r>
      <w:proofErr w:type="gramStart"/>
      <w:r w:rsidR="009934D0" w:rsidRPr="00583A17">
        <w:rPr>
          <w:iCs/>
          <w:color w:val="000000"/>
        </w:rPr>
        <w:t>as a result of</w:t>
      </w:r>
      <w:proofErr w:type="gramEnd"/>
      <w:r w:rsidR="009934D0" w:rsidRPr="00583A17">
        <w:rPr>
          <w:iCs/>
          <w:color w:val="000000"/>
        </w:rPr>
        <w:t xml:space="preserve"> fluctuating oil sales prices between Q2 2021 and Q3 2021.</w:t>
      </w:r>
    </w:p>
    <w:p w14:paraId="63F1B0DC" w14:textId="5620D673" w:rsidR="007C5E48" w:rsidRPr="00583A17" w:rsidRDefault="007C5E48" w:rsidP="007C5E48">
      <w:pPr>
        <w:jc w:val="both"/>
        <w:rPr>
          <w:iCs/>
          <w:color w:val="000000"/>
        </w:rPr>
      </w:pPr>
      <w:r w:rsidRPr="00583A17">
        <w:rPr>
          <w:iCs/>
          <w:color w:val="000000"/>
        </w:rPr>
        <w:t>A net income of $1,</w:t>
      </w:r>
      <w:r w:rsidR="00D850C1">
        <w:rPr>
          <w:iCs/>
          <w:color w:val="000000"/>
        </w:rPr>
        <w:t>832,343</w:t>
      </w:r>
      <w:r w:rsidRPr="00583A17">
        <w:rPr>
          <w:iCs/>
          <w:color w:val="000000"/>
        </w:rPr>
        <w:t xml:space="preserve"> was recorded for the three months ended June 30, </w:t>
      </w:r>
      <w:proofErr w:type="gramStart"/>
      <w:r w:rsidRPr="00583A17">
        <w:rPr>
          <w:iCs/>
          <w:color w:val="000000"/>
        </w:rPr>
        <w:t>2021</w:t>
      </w:r>
      <w:proofErr w:type="gramEnd"/>
      <w:r w:rsidRPr="00583A17">
        <w:rPr>
          <w:iCs/>
          <w:color w:val="000000"/>
        </w:rPr>
        <w:t xml:space="preserve"> compared to a net loss of $9,</w:t>
      </w:r>
      <w:r w:rsidR="00E87AAE">
        <w:rPr>
          <w:iCs/>
          <w:color w:val="000000"/>
        </w:rPr>
        <w:t>354</w:t>
      </w:r>
      <w:r w:rsidRPr="00583A17">
        <w:rPr>
          <w:iCs/>
          <w:color w:val="000000"/>
        </w:rPr>
        <w:t>,</w:t>
      </w:r>
      <w:r w:rsidR="00E87AAE">
        <w:rPr>
          <w:iCs/>
          <w:color w:val="000000"/>
        </w:rPr>
        <w:t>788</w:t>
      </w:r>
      <w:r w:rsidRPr="00583A17">
        <w:rPr>
          <w:iCs/>
          <w:color w:val="000000"/>
        </w:rPr>
        <w:t xml:space="preserve"> for the three months ended March 31, 2021, representing a change of $11,</w:t>
      </w:r>
      <w:r w:rsidR="00E87AAE">
        <w:rPr>
          <w:iCs/>
          <w:color w:val="000000"/>
        </w:rPr>
        <w:t>254</w:t>
      </w:r>
      <w:r w:rsidRPr="00583A17">
        <w:rPr>
          <w:iCs/>
          <w:color w:val="000000"/>
        </w:rPr>
        <w:t>,</w:t>
      </w:r>
      <w:r w:rsidR="00E87AAE">
        <w:rPr>
          <w:iCs/>
          <w:color w:val="000000"/>
        </w:rPr>
        <w:t>389</w:t>
      </w:r>
      <w:r w:rsidRPr="00583A17">
        <w:rPr>
          <w:iCs/>
          <w:color w:val="000000"/>
        </w:rPr>
        <w:t>. This is mainly attributable to an increase in the gain from the change in fair value of derivative liability of $</w:t>
      </w:r>
      <w:r w:rsidR="00D524B0" w:rsidRPr="00583A17">
        <w:rPr>
          <w:iCs/>
          <w:color w:val="000000"/>
        </w:rPr>
        <w:t>11,762,724</w:t>
      </w:r>
      <w:r w:rsidRPr="00583A17">
        <w:rPr>
          <w:iCs/>
          <w:color w:val="000000"/>
        </w:rPr>
        <w:t xml:space="preserve"> from </w:t>
      </w:r>
      <w:r w:rsidR="00D524B0" w:rsidRPr="00583A17">
        <w:rPr>
          <w:iCs/>
          <w:color w:val="000000"/>
        </w:rPr>
        <w:t>($8,730,596)</w:t>
      </w:r>
      <w:r w:rsidRPr="00583A17">
        <w:rPr>
          <w:iCs/>
          <w:color w:val="000000"/>
        </w:rPr>
        <w:t xml:space="preserve"> for the three months ended </w:t>
      </w:r>
      <w:r w:rsidR="00D524B0" w:rsidRPr="00583A17">
        <w:rPr>
          <w:iCs/>
          <w:color w:val="000000"/>
        </w:rPr>
        <w:t>March 31</w:t>
      </w:r>
      <w:r w:rsidRPr="00583A17">
        <w:rPr>
          <w:iCs/>
          <w:color w:val="000000"/>
        </w:rPr>
        <w:t xml:space="preserve">, </w:t>
      </w:r>
      <w:proofErr w:type="gramStart"/>
      <w:r w:rsidRPr="00583A17">
        <w:rPr>
          <w:iCs/>
          <w:color w:val="000000"/>
        </w:rPr>
        <w:t>2021</w:t>
      </w:r>
      <w:proofErr w:type="gramEnd"/>
      <w:r w:rsidRPr="00583A17">
        <w:rPr>
          <w:iCs/>
          <w:color w:val="000000"/>
        </w:rPr>
        <w:t xml:space="preserve"> to $</w:t>
      </w:r>
      <w:r w:rsidR="00D524B0" w:rsidRPr="00583A17">
        <w:rPr>
          <w:iCs/>
          <w:color w:val="000000"/>
        </w:rPr>
        <w:t>3,032,128</w:t>
      </w:r>
      <w:r w:rsidRPr="00583A17">
        <w:rPr>
          <w:iCs/>
          <w:color w:val="000000"/>
        </w:rPr>
        <w:t xml:space="preserve"> for the three months ended </w:t>
      </w:r>
      <w:r w:rsidR="00D524B0" w:rsidRPr="00583A17">
        <w:rPr>
          <w:iCs/>
          <w:color w:val="000000"/>
        </w:rPr>
        <w:t>June</w:t>
      </w:r>
      <w:r w:rsidRPr="00583A17">
        <w:rPr>
          <w:iCs/>
          <w:color w:val="000000"/>
        </w:rPr>
        <w:t xml:space="preserve"> 30, 2021. The increase is a result of the Company’s decreasing share price as </w:t>
      </w:r>
      <w:proofErr w:type="gramStart"/>
      <w:r w:rsidRPr="00583A17">
        <w:rPr>
          <w:iCs/>
          <w:color w:val="000000"/>
        </w:rPr>
        <w:t>at</w:t>
      </w:r>
      <w:proofErr w:type="gramEnd"/>
      <w:r w:rsidRPr="00583A17">
        <w:rPr>
          <w:iCs/>
          <w:color w:val="000000"/>
        </w:rPr>
        <w:t xml:space="preserve"> </w:t>
      </w:r>
      <w:r w:rsidR="00D524B0" w:rsidRPr="00583A17">
        <w:rPr>
          <w:iCs/>
          <w:color w:val="000000"/>
        </w:rPr>
        <w:t>June 30</w:t>
      </w:r>
      <w:r w:rsidRPr="00583A17">
        <w:rPr>
          <w:iCs/>
          <w:color w:val="000000"/>
        </w:rPr>
        <w:t xml:space="preserve">, 2021 compared to </w:t>
      </w:r>
      <w:r w:rsidR="00D524B0" w:rsidRPr="00583A17">
        <w:rPr>
          <w:iCs/>
          <w:color w:val="000000"/>
        </w:rPr>
        <w:t>March</w:t>
      </w:r>
      <w:r w:rsidRPr="00583A17">
        <w:rPr>
          <w:iCs/>
          <w:color w:val="000000"/>
        </w:rPr>
        <w:t xml:space="preserve"> 3</w:t>
      </w:r>
      <w:r w:rsidR="00D524B0" w:rsidRPr="00583A17">
        <w:rPr>
          <w:iCs/>
          <w:color w:val="000000"/>
        </w:rPr>
        <w:t>1</w:t>
      </w:r>
      <w:r w:rsidRPr="00583A17">
        <w:rPr>
          <w:iCs/>
          <w:color w:val="000000"/>
        </w:rPr>
        <w:t>, 2021 which is used to re-value the derivative liability</w:t>
      </w:r>
      <w:r w:rsidR="00D524B0" w:rsidRPr="00583A17">
        <w:rPr>
          <w:iCs/>
          <w:color w:val="000000"/>
        </w:rPr>
        <w:t xml:space="preserve"> at period end</w:t>
      </w:r>
      <w:r w:rsidRPr="00583A17">
        <w:rPr>
          <w:iCs/>
          <w:color w:val="000000"/>
        </w:rPr>
        <w:t xml:space="preserve">. Revenues </w:t>
      </w:r>
      <w:r w:rsidR="0025229D" w:rsidRPr="00583A17">
        <w:rPr>
          <w:iCs/>
          <w:color w:val="000000"/>
        </w:rPr>
        <w:t>increased</w:t>
      </w:r>
      <w:r w:rsidRPr="00583A17">
        <w:rPr>
          <w:iCs/>
          <w:color w:val="000000"/>
        </w:rPr>
        <w:t xml:space="preserve"> by $</w:t>
      </w:r>
      <w:r w:rsidR="0025229D" w:rsidRPr="00583A17">
        <w:rPr>
          <w:iCs/>
          <w:color w:val="000000"/>
        </w:rPr>
        <w:t>68</w:t>
      </w:r>
      <w:r w:rsidRPr="00583A17">
        <w:rPr>
          <w:iCs/>
          <w:color w:val="000000"/>
        </w:rPr>
        <w:t>,</w:t>
      </w:r>
      <w:r w:rsidR="0025229D" w:rsidRPr="00583A17">
        <w:rPr>
          <w:iCs/>
          <w:color w:val="000000"/>
        </w:rPr>
        <w:t>693</w:t>
      </w:r>
      <w:r w:rsidRPr="00583A17">
        <w:rPr>
          <w:iCs/>
          <w:color w:val="000000"/>
        </w:rPr>
        <w:t xml:space="preserve"> primarily </w:t>
      </w:r>
      <w:proofErr w:type="gramStart"/>
      <w:r w:rsidRPr="00583A17">
        <w:rPr>
          <w:iCs/>
          <w:color w:val="000000"/>
        </w:rPr>
        <w:t>as a result of</w:t>
      </w:r>
      <w:proofErr w:type="gramEnd"/>
      <w:r w:rsidRPr="00583A17">
        <w:rPr>
          <w:iCs/>
          <w:color w:val="000000"/>
        </w:rPr>
        <w:t xml:space="preserve"> fluctuating oil sales prices between Q</w:t>
      </w:r>
      <w:r w:rsidR="0025229D" w:rsidRPr="00583A17">
        <w:rPr>
          <w:iCs/>
          <w:color w:val="000000"/>
        </w:rPr>
        <w:t>1</w:t>
      </w:r>
      <w:r w:rsidRPr="00583A17">
        <w:rPr>
          <w:iCs/>
          <w:color w:val="000000"/>
        </w:rPr>
        <w:t xml:space="preserve"> 2021 and Q</w:t>
      </w:r>
      <w:r w:rsidR="0025229D" w:rsidRPr="00583A17">
        <w:rPr>
          <w:iCs/>
          <w:color w:val="000000"/>
        </w:rPr>
        <w:t>2</w:t>
      </w:r>
      <w:r w:rsidRPr="00583A17">
        <w:rPr>
          <w:iCs/>
          <w:color w:val="000000"/>
        </w:rPr>
        <w:t xml:space="preserve"> 2021.</w:t>
      </w:r>
    </w:p>
    <w:p w14:paraId="4C0CC07B" w14:textId="757FF45A" w:rsidR="0025229D" w:rsidRPr="00583A17" w:rsidRDefault="0025229D" w:rsidP="0025229D">
      <w:pPr>
        <w:jc w:val="both"/>
        <w:rPr>
          <w:iCs/>
          <w:color w:val="000000"/>
        </w:rPr>
      </w:pPr>
      <w:r w:rsidRPr="00583A17">
        <w:rPr>
          <w:iCs/>
          <w:color w:val="000000"/>
        </w:rPr>
        <w:t xml:space="preserve">Net loss increased for the three months ended March 31, </w:t>
      </w:r>
      <w:proofErr w:type="gramStart"/>
      <w:r w:rsidRPr="00583A17">
        <w:rPr>
          <w:iCs/>
          <w:color w:val="000000"/>
        </w:rPr>
        <w:t>2021</w:t>
      </w:r>
      <w:proofErr w:type="gramEnd"/>
      <w:r w:rsidRPr="00583A17">
        <w:rPr>
          <w:iCs/>
          <w:color w:val="000000"/>
        </w:rPr>
        <w:t xml:space="preserve"> by $8,</w:t>
      </w:r>
      <w:r w:rsidR="00E87AAE">
        <w:rPr>
          <w:iCs/>
          <w:color w:val="000000"/>
        </w:rPr>
        <w:t>225</w:t>
      </w:r>
      <w:r w:rsidRPr="00583A17">
        <w:rPr>
          <w:iCs/>
          <w:color w:val="000000"/>
        </w:rPr>
        <w:t>,</w:t>
      </w:r>
      <w:r w:rsidR="00E87AAE">
        <w:rPr>
          <w:iCs/>
          <w:color w:val="000000"/>
        </w:rPr>
        <w:t>164</w:t>
      </w:r>
      <w:r w:rsidRPr="00583A17">
        <w:rPr>
          <w:iCs/>
          <w:color w:val="000000"/>
        </w:rPr>
        <w:t xml:space="preserve"> compared to the three months ended December 31, 2020.  This is mainly attributable to an increase in the </w:t>
      </w:r>
      <w:r w:rsidR="00856FAA" w:rsidRPr="00583A17">
        <w:rPr>
          <w:iCs/>
          <w:color w:val="000000"/>
        </w:rPr>
        <w:t>loss</w:t>
      </w:r>
      <w:r w:rsidRPr="00583A17">
        <w:rPr>
          <w:iCs/>
          <w:color w:val="000000"/>
        </w:rPr>
        <w:t xml:space="preserve"> from the change in fair value of derivative liability of $</w:t>
      </w:r>
      <w:r w:rsidR="00856FAA" w:rsidRPr="00583A17">
        <w:rPr>
          <w:iCs/>
          <w:color w:val="000000"/>
        </w:rPr>
        <w:t>8,887,164</w:t>
      </w:r>
      <w:r w:rsidRPr="00583A17">
        <w:rPr>
          <w:iCs/>
          <w:color w:val="000000"/>
        </w:rPr>
        <w:t xml:space="preserve"> from ($</w:t>
      </w:r>
      <w:r w:rsidR="00856FAA" w:rsidRPr="00583A17">
        <w:rPr>
          <w:iCs/>
          <w:color w:val="000000"/>
        </w:rPr>
        <w:t>156,568</w:t>
      </w:r>
      <w:r w:rsidRPr="00583A17">
        <w:rPr>
          <w:iCs/>
          <w:color w:val="000000"/>
        </w:rPr>
        <w:t xml:space="preserve">) for the three months ended </w:t>
      </w:r>
      <w:r w:rsidR="003A15DD">
        <w:rPr>
          <w:iCs/>
          <w:color w:val="000000"/>
        </w:rPr>
        <w:t>December</w:t>
      </w:r>
      <w:r w:rsidRPr="00583A17">
        <w:rPr>
          <w:iCs/>
          <w:color w:val="000000"/>
        </w:rPr>
        <w:t xml:space="preserve"> 31, </w:t>
      </w:r>
      <w:proofErr w:type="gramStart"/>
      <w:r w:rsidRPr="00583A17">
        <w:rPr>
          <w:iCs/>
          <w:color w:val="000000"/>
        </w:rPr>
        <w:t>202</w:t>
      </w:r>
      <w:r w:rsidR="003A15DD">
        <w:rPr>
          <w:iCs/>
          <w:color w:val="000000"/>
        </w:rPr>
        <w:t>0</w:t>
      </w:r>
      <w:proofErr w:type="gramEnd"/>
      <w:r w:rsidRPr="00583A17">
        <w:rPr>
          <w:iCs/>
          <w:color w:val="000000"/>
        </w:rPr>
        <w:t xml:space="preserve"> to </w:t>
      </w:r>
      <w:r w:rsidR="000E31DD" w:rsidRPr="00583A17">
        <w:rPr>
          <w:iCs/>
          <w:color w:val="000000"/>
        </w:rPr>
        <w:t>(</w:t>
      </w:r>
      <w:r w:rsidRPr="00583A17">
        <w:rPr>
          <w:iCs/>
          <w:color w:val="000000"/>
        </w:rPr>
        <w:t>$</w:t>
      </w:r>
      <w:r w:rsidR="000E31DD" w:rsidRPr="00583A17">
        <w:rPr>
          <w:iCs/>
          <w:color w:val="000000"/>
        </w:rPr>
        <w:t>8</w:t>
      </w:r>
      <w:r w:rsidRPr="00583A17">
        <w:rPr>
          <w:iCs/>
          <w:color w:val="000000"/>
        </w:rPr>
        <w:t>,</w:t>
      </w:r>
      <w:r w:rsidR="000E31DD" w:rsidRPr="00583A17">
        <w:rPr>
          <w:iCs/>
          <w:color w:val="000000"/>
        </w:rPr>
        <w:t>730</w:t>
      </w:r>
      <w:r w:rsidRPr="00583A17">
        <w:rPr>
          <w:iCs/>
          <w:color w:val="000000"/>
        </w:rPr>
        <w:t>,</w:t>
      </w:r>
      <w:r w:rsidR="000E31DD" w:rsidRPr="00583A17">
        <w:rPr>
          <w:iCs/>
          <w:color w:val="000000"/>
        </w:rPr>
        <w:t>596)</w:t>
      </w:r>
      <w:r w:rsidRPr="00583A17">
        <w:rPr>
          <w:iCs/>
          <w:color w:val="000000"/>
        </w:rPr>
        <w:t xml:space="preserve"> for the three months ended </w:t>
      </w:r>
      <w:r w:rsidR="000E31DD" w:rsidRPr="00583A17">
        <w:rPr>
          <w:iCs/>
          <w:color w:val="000000"/>
        </w:rPr>
        <w:t>March 31</w:t>
      </w:r>
      <w:r w:rsidRPr="00583A17">
        <w:rPr>
          <w:iCs/>
          <w:color w:val="000000"/>
        </w:rPr>
        <w:t xml:space="preserve">, 2021. The increase is a result of the Company’s </w:t>
      </w:r>
      <w:r w:rsidR="000E31DD" w:rsidRPr="00583A17">
        <w:rPr>
          <w:iCs/>
          <w:color w:val="000000"/>
        </w:rPr>
        <w:t>increasing</w:t>
      </w:r>
      <w:r w:rsidRPr="00583A17">
        <w:rPr>
          <w:iCs/>
          <w:color w:val="000000"/>
        </w:rPr>
        <w:t xml:space="preserve"> share price as </w:t>
      </w:r>
      <w:proofErr w:type="gramStart"/>
      <w:r w:rsidRPr="00583A17">
        <w:rPr>
          <w:iCs/>
          <w:color w:val="000000"/>
        </w:rPr>
        <w:t>at</w:t>
      </w:r>
      <w:proofErr w:type="gramEnd"/>
      <w:r w:rsidRPr="00583A17">
        <w:rPr>
          <w:iCs/>
          <w:color w:val="000000"/>
        </w:rPr>
        <w:t xml:space="preserve"> </w:t>
      </w:r>
      <w:r w:rsidR="000E31DD" w:rsidRPr="00583A17">
        <w:rPr>
          <w:iCs/>
          <w:color w:val="000000"/>
        </w:rPr>
        <w:t>March</w:t>
      </w:r>
      <w:r w:rsidRPr="00583A17">
        <w:rPr>
          <w:iCs/>
          <w:color w:val="000000"/>
        </w:rPr>
        <w:t xml:space="preserve"> 3</w:t>
      </w:r>
      <w:r w:rsidR="000E31DD" w:rsidRPr="00583A17">
        <w:rPr>
          <w:iCs/>
          <w:color w:val="000000"/>
        </w:rPr>
        <w:t>1</w:t>
      </w:r>
      <w:r w:rsidRPr="00583A17">
        <w:rPr>
          <w:iCs/>
          <w:color w:val="000000"/>
        </w:rPr>
        <w:t xml:space="preserve">, 2021 compared to </w:t>
      </w:r>
      <w:r w:rsidR="000E31DD" w:rsidRPr="00583A17">
        <w:rPr>
          <w:iCs/>
          <w:color w:val="000000"/>
        </w:rPr>
        <w:t>December</w:t>
      </w:r>
      <w:r w:rsidRPr="00583A17">
        <w:rPr>
          <w:iCs/>
          <w:color w:val="000000"/>
        </w:rPr>
        <w:t xml:space="preserve"> 31, 202</w:t>
      </w:r>
      <w:r w:rsidR="000E31DD" w:rsidRPr="00583A17">
        <w:rPr>
          <w:iCs/>
          <w:color w:val="000000"/>
        </w:rPr>
        <w:t>0</w:t>
      </w:r>
      <w:r w:rsidRPr="00583A17">
        <w:rPr>
          <w:iCs/>
          <w:color w:val="000000"/>
        </w:rPr>
        <w:t xml:space="preserve"> which is used to re-value the derivative liability at period end. Revenues increased by $</w:t>
      </w:r>
      <w:r w:rsidR="000E31DD" w:rsidRPr="00583A17">
        <w:rPr>
          <w:iCs/>
          <w:color w:val="000000"/>
        </w:rPr>
        <w:t>133,369</w:t>
      </w:r>
      <w:r w:rsidRPr="00583A17">
        <w:rPr>
          <w:iCs/>
          <w:color w:val="000000"/>
        </w:rPr>
        <w:t xml:space="preserve"> primarily </w:t>
      </w:r>
      <w:proofErr w:type="gramStart"/>
      <w:r w:rsidRPr="00583A17">
        <w:rPr>
          <w:iCs/>
          <w:color w:val="000000"/>
        </w:rPr>
        <w:t>as a result of</w:t>
      </w:r>
      <w:proofErr w:type="gramEnd"/>
      <w:r w:rsidRPr="00583A17">
        <w:rPr>
          <w:iCs/>
          <w:color w:val="000000"/>
        </w:rPr>
        <w:t xml:space="preserve"> fluctuating oil sales prices between </w:t>
      </w:r>
      <w:r w:rsidR="000E31DD" w:rsidRPr="00583A17">
        <w:rPr>
          <w:iCs/>
          <w:color w:val="000000"/>
        </w:rPr>
        <w:t>Q4</w:t>
      </w:r>
      <w:r w:rsidRPr="00583A17">
        <w:rPr>
          <w:iCs/>
          <w:color w:val="000000"/>
        </w:rPr>
        <w:t xml:space="preserve"> 202</w:t>
      </w:r>
      <w:r w:rsidR="000E31DD" w:rsidRPr="00583A17">
        <w:rPr>
          <w:iCs/>
          <w:color w:val="000000"/>
        </w:rPr>
        <w:t>0</w:t>
      </w:r>
      <w:r w:rsidRPr="00583A17">
        <w:rPr>
          <w:iCs/>
          <w:color w:val="000000"/>
        </w:rPr>
        <w:t xml:space="preserve"> and Q</w:t>
      </w:r>
      <w:r w:rsidR="000E31DD" w:rsidRPr="00583A17">
        <w:rPr>
          <w:iCs/>
          <w:color w:val="000000"/>
        </w:rPr>
        <w:t>1</w:t>
      </w:r>
      <w:r w:rsidRPr="00583A17">
        <w:rPr>
          <w:iCs/>
          <w:color w:val="000000"/>
        </w:rPr>
        <w:t xml:space="preserve"> 2021.</w:t>
      </w:r>
    </w:p>
    <w:p w14:paraId="2836B450" w14:textId="1FC1AF92" w:rsidR="000E31DD" w:rsidRPr="00583A17" w:rsidRDefault="000E31DD" w:rsidP="000E31DD">
      <w:pPr>
        <w:jc w:val="both"/>
        <w:rPr>
          <w:iCs/>
          <w:color w:val="000000"/>
        </w:rPr>
      </w:pPr>
      <w:r w:rsidRPr="00583A17">
        <w:rPr>
          <w:iCs/>
          <w:color w:val="000000"/>
        </w:rPr>
        <w:t xml:space="preserve">Net loss decreased for the three months ended December 31, </w:t>
      </w:r>
      <w:proofErr w:type="gramStart"/>
      <w:r w:rsidRPr="00583A17">
        <w:rPr>
          <w:iCs/>
          <w:color w:val="000000"/>
        </w:rPr>
        <w:t>2020</w:t>
      </w:r>
      <w:proofErr w:type="gramEnd"/>
      <w:r w:rsidRPr="00583A17">
        <w:rPr>
          <w:iCs/>
          <w:color w:val="000000"/>
        </w:rPr>
        <w:t xml:space="preserve"> by $53,751 compared to the three months ended </w:t>
      </w:r>
      <w:r w:rsidR="00DC127D" w:rsidRPr="00583A17">
        <w:rPr>
          <w:iCs/>
          <w:color w:val="000000"/>
        </w:rPr>
        <w:t>September 30</w:t>
      </w:r>
      <w:r w:rsidRPr="00583A17">
        <w:rPr>
          <w:iCs/>
          <w:color w:val="000000"/>
        </w:rPr>
        <w:t xml:space="preserve">, 2020.  This is mainly attributable to an increase </w:t>
      </w:r>
      <w:r w:rsidR="006D22F0" w:rsidRPr="00583A17">
        <w:rPr>
          <w:iCs/>
          <w:color w:val="000000"/>
        </w:rPr>
        <w:t xml:space="preserve">in </w:t>
      </w:r>
      <w:r w:rsidR="00DC127D" w:rsidRPr="00583A17">
        <w:rPr>
          <w:iCs/>
          <w:color w:val="000000"/>
        </w:rPr>
        <w:t>revenues of $</w:t>
      </w:r>
      <w:r w:rsidR="006D22F0" w:rsidRPr="00583A17">
        <w:rPr>
          <w:iCs/>
          <w:color w:val="000000"/>
        </w:rPr>
        <w:t xml:space="preserve">317,584 </w:t>
      </w:r>
      <w:proofErr w:type="gramStart"/>
      <w:r w:rsidR="006D22F0" w:rsidRPr="00583A17">
        <w:rPr>
          <w:iCs/>
          <w:color w:val="000000"/>
        </w:rPr>
        <w:t>as a result of</w:t>
      </w:r>
      <w:proofErr w:type="gramEnd"/>
      <w:r w:rsidR="006D22F0" w:rsidRPr="00583A17">
        <w:rPr>
          <w:iCs/>
          <w:color w:val="000000"/>
        </w:rPr>
        <w:t xml:space="preserve"> increasing oil sales prices between Q3 and Q4 2020. This is offset by an increase in </w:t>
      </w:r>
      <w:r w:rsidR="00874233" w:rsidRPr="00583A17">
        <w:rPr>
          <w:iCs/>
          <w:color w:val="000000"/>
        </w:rPr>
        <w:t xml:space="preserve">production costs of $201,354 and increase in </w:t>
      </w:r>
      <w:proofErr w:type="gramStart"/>
      <w:r w:rsidR="00874233" w:rsidRPr="00583A17">
        <w:rPr>
          <w:iCs/>
          <w:color w:val="000000"/>
        </w:rPr>
        <w:t>stock based</w:t>
      </w:r>
      <w:proofErr w:type="gramEnd"/>
      <w:r w:rsidR="00874233" w:rsidRPr="00583A17">
        <w:rPr>
          <w:iCs/>
          <w:color w:val="000000"/>
        </w:rPr>
        <w:t xml:space="preserve"> compensation of $76,177.</w:t>
      </w:r>
    </w:p>
    <w:p w14:paraId="05951E1A" w14:textId="74B6907A" w:rsidR="00874233" w:rsidRPr="00583A17" w:rsidRDefault="00874233" w:rsidP="00874233">
      <w:pPr>
        <w:jc w:val="both"/>
        <w:rPr>
          <w:iCs/>
          <w:color w:val="000000"/>
        </w:rPr>
      </w:pPr>
      <w:r w:rsidRPr="00583A17">
        <w:rPr>
          <w:iCs/>
          <w:color w:val="000000"/>
        </w:rPr>
        <w:t xml:space="preserve">Net loss increased for the three months ended September 30, </w:t>
      </w:r>
      <w:proofErr w:type="gramStart"/>
      <w:r w:rsidRPr="00583A17">
        <w:rPr>
          <w:iCs/>
          <w:color w:val="000000"/>
        </w:rPr>
        <w:t>2020</w:t>
      </w:r>
      <w:proofErr w:type="gramEnd"/>
      <w:r w:rsidRPr="00583A17">
        <w:rPr>
          <w:iCs/>
          <w:color w:val="000000"/>
        </w:rPr>
        <w:t xml:space="preserve"> by $390,918 compared to the three months ended June 30, 2020.  This is mainly attr</w:t>
      </w:r>
      <w:r w:rsidR="00134FE4" w:rsidRPr="00583A17">
        <w:rPr>
          <w:iCs/>
          <w:color w:val="000000"/>
        </w:rPr>
        <w:t xml:space="preserve">ibutable to an increase in </w:t>
      </w:r>
      <w:proofErr w:type="gramStart"/>
      <w:r w:rsidR="00134FE4" w:rsidRPr="00583A17">
        <w:rPr>
          <w:iCs/>
          <w:color w:val="000000"/>
        </w:rPr>
        <w:t>stock based</w:t>
      </w:r>
      <w:proofErr w:type="gramEnd"/>
      <w:r w:rsidR="00134FE4" w:rsidRPr="00583A17">
        <w:rPr>
          <w:iCs/>
          <w:color w:val="000000"/>
        </w:rPr>
        <w:t xml:space="preserve"> compensation of $167,189 in Q3 2020 compared to Q2 2020 as a result of the issuance of options in Q3 2020. Investor relation expense also increased by $149,505 during the three months ended September 30, </w:t>
      </w:r>
      <w:proofErr w:type="gramStart"/>
      <w:r w:rsidR="00134FE4" w:rsidRPr="00583A17">
        <w:rPr>
          <w:iCs/>
          <w:color w:val="000000"/>
        </w:rPr>
        <w:t>2020</w:t>
      </w:r>
      <w:proofErr w:type="gramEnd"/>
      <w:r w:rsidR="00134FE4" w:rsidRPr="00583A17">
        <w:rPr>
          <w:iCs/>
          <w:color w:val="000000"/>
        </w:rPr>
        <w:t xml:space="preserve"> compared to the three months ended June 30, 2020. Revenues decreased by $154,293 primarily </w:t>
      </w:r>
      <w:proofErr w:type="gramStart"/>
      <w:r w:rsidR="00134FE4" w:rsidRPr="00583A17">
        <w:rPr>
          <w:iCs/>
          <w:color w:val="000000"/>
        </w:rPr>
        <w:t>as a result of</w:t>
      </w:r>
      <w:proofErr w:type="gramEnd"/>
      <w:r w:rsidR="00134FE4" w:rsidRPr="00583A17">
        <w:rPr>
          <w:iCs/>
          <w:color w:val="000000"/>
        </w:rPr>
        <w:t xml:space="preserve"> fluctuating oil sales prices between Q2 2020 and Q3 2020.</w:t>
      </w:r>
    </w:p>
    <w:p w14:paraId="26208CA9" w14:textId="176E64C9" w:rsidR="005B71BA" w:rsidRDefault="00D12C06" w:rsidP="00583A17">
      <w:pPr>
        <w:pStyle w:val="Heading1"/>
        <w:spacing w:before="0"/>
      </w:pPr>
      <w:bookmarkStart w:id="12" w:name="_Toc103780855"/>
      <w:bookmarkEnd w:id="8"/>
      <w:r w:rsidRPr="00583A17">
        <w:t>Liquidity and Capital Resources</w:t>
      </w:r>
      <w:bookmarkEnd w:id="12"/>
    </w:p>
    <w:p w14:paraId="7B7B7871" w14:textId="77777777" w:rsidR="00AE1CF5" w:rsidRPr="00583A17" w:rsidRDefault="00AE1CF5" w:rsidP="00583A17">
      <w:pPr>
        <w:spacing w:after="0"/>
      </w:pPr>
    </w:p>
    <w:p w14:paraId="3FB8B212" w14:textId="1546CC8F" w:rsidR="00A03BEC" w:rsidRPr="00583A17" w:rsidRDefault="00A03BEC" w:rsidP="00583A17">
      <w:pPr>
        <w:jc w:val="both"/>
        <w:rPr>
          <w:color w:val="000000"/>
        </w:rPr>
      </w:pPr>
      <w:r w:rsidRPr="00583A17">
        <w:rPr>
          <w:color w:val="000000"/>
        </w:rPr>
        <w:t xml:space="preserve">The </w:t>
      </w:r>
      <w:bookmarkStart w:id="13" w:name="_Hlk99623318"/>
      <w:r w:rsidRPr="00583A17">
        <w:rPr>
          <w:color w:val="000000"/>
        </w:rPr>
        <w:t>following table summarizes our liquidity position</w:t>
      </w:r>
      <w:r w:rsidR="00EE4977">
        <w:rPr>
          <w:color w:val="000000"/>
        </w:rPr>
        <w:t xml:space="preserve"> in USD</w:t>
      </w:r>
      <w:r w:rsidRPr="00583A17">
        <w:rPr>
          <w:color w:val="000000"/>
        </w:rPr>
        <w:t>:</w:t>
      </w:r>
    </w:p>
    <w:tbl>
      <w:tblPr>
        <w:tblpPr w:leftFromText="180" w:rightFromText="180" w:vertAnchor="text" w:horzAnchor="margin" w:tblpY="76"/>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5"/>
        <w:gridCol w:w="2140"/>
        <w:gridCol w:w="1957"/>
      </w:tblGrid>
      <w:tr w:rsidR="004F39DF" w14:paraId="1C6B862C" w14:textId="77777777" w:rsidTr="001B46D2">
        <w:trPr>
          <w:trHeight w:val="270"/>
        </w:trPr>
        <w:tc>
          <w:tcPr>
            <w:tcW w:w="5155" w:type="dxa"/>
            <w:shd w:val="clear" w:color="auto" w:fill="D9D9D9" w:themeFill="background1" w:themeFillShade="D9"/>
            <w:vAlign w:val="bottom"/>
          </w:tcPr>
          <w:p w14:paraId="35B02B92" w14:textId="77777777" w:rsidR="004F39DF" w:rsidRPr="007627E0" w:rsidRDefault="004F39DF" w:rsidP="004F39DF">
            <w:pPr>
              <w:pStyle w:val="Headingext1"/>
              <w:spacing w:before="60"/>
              <w:rPr>
                <w:rFonts w:ascii="Calibri" w:eastAsia="MS Mincho" w:hAnsi="Calibri" w:cs="Calibri"/>
                <w:sz w:val="20"/>
                <w:szCs w:val="20"/>
                <w:lang w:eastAsia="ja-JP"/>
              </w:rPr>
            </w:pPr>
          </w:p>
        </w:tc>
        <w:tc>
          <w:tcPr>
            <w:tcW w:w="2140" w:type="dxa"/>
            <w:shd w:val="clear" w:color="auto" w:fill="D9D9D9" w:themeFill="background1" w:themeFillShade="D9"/>
          </w:tcPr>
          <w:p w14:paraId="264D0613" w14:textId="0ED58883" w:rsidR="004F39DF" w:rsidRDefault="00DD0560" w:rsidP="004F39DF">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June 30</w:t>
            </w:r>
            <w:r w:rsidR="004F39DF">
              <w:rPr>
                <w:rFonts w:ascii="Calibri" w:eastAsia="MS Mincho" w:hAnsi="Calibri" w:cs="Calibri"/>
                <w:b/>
                <w:sz w:val="20"/>
                <w:szCs w:val="20"/>
                <w:lang w:eastAsia="ja-JP"/>
              </w:rPr>
              <w:t xml:space="preserve">, </w:t>
            </w:r>
          </w:p>
          <w:p w14:paraId="42843D68" w14:textId="0F9B5A4B" w:rsidR="004F39DF" w:rsidRPr="008C29BE" w:rsidRDefault="004F39DF" w:rsidP="004F39DF">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2022</w:t>
            </w:r>
            <w:r w:rsidRPr="008C29BE">
              <w:rPr>
                <w:rFonts w:ascii="Calibri" w:eastAsia="MS Mincho" w:hAnsi="Calibri" w:cs="Calibri"/>
                <w:b/>
                <w:sz w:val="20"/>
                <w:szCs w:val="20"/>
                <w:lang w:eastAsia="ja-JP"/>
              </w:rPr>
              <w:br/>
              <w:t>(</w:t>
            </w:r>
            <w:r w:rsidR="00EE4977">
              <w:rPr>
                <w:rFonts w:ascii="Calibri" w:eastAsia="MS Mincho" w:hAnsi="Calibri" w:cs="Calibri"/>
                <w:b/>
                <w:sz w:val="20"/>
                <w:szCs w:val="20"/>
                <w:lang w:eastAsia="ja-JP"/>
              </w:rPr>
              <w:t>USD</w:t>
            </w:r>
            <w:r w:rsidRPr="008C29BE">
              <w:rPr>
                <w:rFonts w:ascii="Calibri" w:eastAsia="MS Mincho" w:hAnsi="Calibri" w:cs="Calibri"/>
                <w:b/>
                <w:sz w:val="20"/>
                <w:szCs w:val="20"/>
                <w:lang w:eastAsia="ja-JP"/>
              </w:rPr>
              <w:t>$)</w:t>
            </w:r>
          </w:p>
        </w:tc>
        <w:tc>
          <w:tcPr>
            <w:tcW w:w="1957" w:type="dxa"/>
            <w:shd w:val="clear" w:color="auto" w:fill="D9D9D9"/>
          </w:tcPr>
          <w:p w14:paraId="4426B7F2" w14:textId="4004DD33" w:rsidR="004F39DF" w:rsidRPr="008C29BE" w:rsidRDefault="004F39DF" w:rsidP="004F39DF">
            <w:pPr>
              <w:pStyle w:val="Headingext1"/>
              <w:spacing w:before="60"/>
              <w:jc w:val="center"/>
              <w:rPr>
                <w:rFonts w:ascii="Calibri" w:eastAsia="MS Mincho" w:hAnsi="Calibri" w:cs="Calibri"/>
                <w:b/>
                <w:sz w:val="20"/>
                <w:szCs w:val="20"/>
                <w:lang w:eastAsia="ja-JP"/>
              </w:rPr>
            </w:pPr>
            <w:r w:rsidRPr="000E015D">
              <w:t xml:space="preserve">December 31, </w:t>
            </w:r>
            <w:r>
              <w:t xml:space="preserve">2021                    </w:t>
            </w:r>
            <w:proofErr w:type="gramStart"/>
            <w:r>
              <w:t xml:space="preserve">   (</w:t>
            </w:r>
            <w:proofErr w:type="gramEnd"/>
            <w:r w:rsidR="00EE4977">
              <w:t>USD</w:t>
            </w:r>
            <w:r>
              <w:t>$)</w:t>
            </w:r>
          </w:p>
        </w:tc>
      </w:tr>
      <w:tr w:rsidR="004F39DF" w14:paraId="4A9C9CCA" w14:textId="77777777" w:rsidTr="00C95A74">
        <w:trPr>
          <w:trHeight w:val="135"/>
        </w:trPr>
        <w:tc>
          <w:tcPr>
            <w:tcW w:w="5155" w:type="dxa"/>
          </w:tcPr>
          <w:p w14:paraId="640715DB" w14:textId="28715D1F" w:rsidR="004F39DF" w:rsidRPr="007627E0" w:rsidRDefault="004F39DF" w:rsidP="004F39DF">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Cash</w:t>
            </w:r>
          </w:p>
        </w:tc>
        <w:tc>
          <w:tcPr>
            <w:tcW w:w="2140" w:type="dxa"/>
            <w:shd w:val="clear" w:color="auto" w:fill="auto"/>
          </w:tcPr>
          <w:p w14:paraId="7EDE6485" w14:textId="30E2AFCE" w:rsidR="004F39DF" w:rsidRPr="00C14A14" w:rsidRDefault="006C0813" w:rsidP="00810602">
            <w:pPr>
              <w:pStyle w:val="Headingext1"/>
              <w:spacing w:before="60"/>
              <w:jc w:val="right"/>
              <w:rPr>
                <w:rFonts w:ascii="Calibri" w:eastAsia="MS Mincho" w:hAnsi="Calibri" w:cs="Calibri"/>
                <w:sz w:val="20"/>
                <w:szCs w:val="20"/>
                <w:lang w:eastAsia="ja-JP"/>
              </w:rPr>
            </w:pPr>
            <w:bookmarkStart w:id="14" w:name="_Hlk111557027"/>
            <w:r>
              <w:rPr>
                <w:rFonts w:ascii="Calibri" w:eastAsia="MS Mincho" w:hAnsi="Calibri" w:cs="Calibri"/>
                <w:sz w:val="20"/>
                <w:szCs w:val="20"/>
                <w:lang w:eastAsia="ja-JP"/>
              </w:rPr>
              <w:t>23,</w:t>
            </w:r>
            <w:r w:rsidR="001A716D">
              <w:rPr>
                <w:rFonts w:ascii="Calibri" w:eastAsia="MS Mincho" w:hAnsi="Calibri" w:cs="Calibri"/>
                <w:sz w:val="20"/>
                <w:szCs w:val="20"/>
                <w:lang w:eastAsia="ja-JP"/>
              </w:rPr>
              <w:t>502,519</w:t>
            </w:r>
            <w:bookmarkEnd w:id="14"/>
          </w:p>
        </w:tc>
        <w:tc>
          <w:tcPr>
            <w:tcW w:w="1957" w:type="dxa"/>
            <w:shd w:val="clear" w:color="auto" w:fill="auto"/>
          </w:tcPr>
          <w:p w14:paraId="62434AE2" w14:textId="179AE82F" w:rsidR="004F39DF" w:rsidRPr="00497847" w:rsidRDefault="00FD0AF2" w:rsidP="00FD0AF2">
            <w:pPr>
              <w:pStyle w:val="Headingext1"/>
              <w:spacing w:before="60"/>
              <w:jc w:val="right"/>
              <w:rPr>
                <w:rFonts w:ascii="Calibri" w:eastAsia="MS Mincho" w:hAnsi="Calibri" w:cs="Calibri"/>
                <w:sz w:val="20"/>
                <w:szCs w:val="20"/>
                <w:highlight w:val="yellow"/>
                <w:lang w:eastAsia="ja-JP"/>
              </w:rPr>
            </w:pPr>
            <w:r>
              <w:rPr>
                <w:rFonts w:ascii="Calibri" w:eastAsia="MS Mincho" w:hAnsi="Calibri" w:cs="Calibri"/>
                <w:sz w:val="20"/>
                <w:szCs w:val="20"/>
                <w:lang w:eastAsia="ja-JP"/>
              </w:rPr>
              <w:t>1,026,990</w:t>
            </w:r>
          </w:p>
        </w:tc>
      </w:tr>
      <w:tr w:rsidR="004F39DF" w14:paraId="6F0E20BE" w14:textId="77777777" w:rsidTr="00C95A74">
        <w:trPr>
          <w:trHeight w:val="135"/>
        </w:trPr>
        <w:tc>
          <w:tcPr>
            <w:tcW w:w="5155" w:type="dxa"/>
          </w:tcPr>
          <w:p w14:paraId="7537BF4E" w14:textId="21060203" w:rsidR="004F39DF" w:rsidRPr="007627E0" w:rsidRDefault="004F39DF" w:rsidP="004F39DF">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Working capital</w:t>
            </w:r>
          </w:p>
        </w:tc>
        <w:tc>
          <w:tcPr>
            <w:tcW w:w="2140" w:type="dxa"/>
            <w:shd w:val="clear" w:color="auto" w:fill="auto"/>
          </w:tcPr>
          <w:p w14:paraId="76B30FF0" w14:textId="70ED9843" w:rsidR="004F39DF" w:rsidRPr="00C14A14" w:rsidRDefault="006C0813" w:rsidP="0081060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2</w:t>
            </w:r>
            <w:r w:rsidR="001A716D">
              <w:rPr>
                <w:rFonts w:ascii="Calibri" w:eastAsia="MS Mincho" w:hAnsi="Calibri" w:cs="Calibri"/>
                <w:sz w:val="20"/>
                <w:szCs w:val="20"/>
                <w:lang w:eastAsia="ja-JP"/>
              </w:rPr>
              <w:t>7</w:t>
            </w:r>
            <w:r>
              <w:rPr>
                <w:rFonts w:ascii="Calibri" w:eastAsia="MS Mincho" w:hAnsi="Calibri" w:cs="Calibri"/>
                <w:sz w:val="20"/>
                <w:szCs w:val="20"/>
                <w:lang w:eastAsia="ja-JP"/>
              </w:rPr>
              <w:t>,</w:t>
            </w:r>
            <w:r w:rsidR="001A716D">
              <w:rPr>
                <w:rFonts w:ascii="Calibri" w:eastAsia="MS Mincho" w:hAnsi="Calibri" w:cs="Calibri"/>
                <w:sz w:val="20"/>
                <w:szCs w:val="20"/>
                <w:lang w:eastAsia="ja-JP"/>
              </w:rPr>
              <w:t>640</w:t>
            </w:r>
            <w:r>
              <w:rPr>
                <w:rFonts w:ascii="Calibri" w:eastAsia="MS Mincho" w:hAnsi="Calibri" w:cs="Calibri"/>
                <w:sz w:val="20"/>
                <w:szCs w:val="20"/>
                <w:lang w:eastAsia="ja-JP"/>
              </w:rPr>
              <w:t>,</w:t>
            </w:r>
            <w:r w:rsidR="00F93627">
              <w:rPr>
                <w:rFonts w:ascii="Calibri" w:eastAsia="MS Mincho" w:hAnsi="Calibri" w:cs="Calibri"/>
                <w:sz w:val="20"/>
                <w:szCs w:val="20"/>
                <w:lang w:eastAsia="ja-JP"/>
              </w:rPr>
              <w:t>522</w:t>
            </w:r>
          </w:p>
        </w:tc>
        <w:tc>
          <w:tcPr>
            <w:tcW w:w="1957" w:type="dxa"/>
            <w:shd w:val="clear" w:color="auto" w:fill="auto"/>
          </w:tcPr>
          <w:p w14:paraId="71A8AD52" w14:textId="0987FC3F" w:rsidR="004F39DF" w:rsidRPr="00182F7B" w:rsidRDefault="00FD0AF2" w:rsidP="00FD0AF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342,551</w:t>
            </w:r>
          </w:p>
        </w:tc>
      </w:tr>
      <w:tr w:rsidR="00FD0AF2" w14:paraId="793168B0" w14:textId="77777777" w:rsidTr="00C95A74">
        <w:trPr>
          <w:trHeight w:val="194"/>
        </w:trPr>
        <w:tc>
          <w:tcPr>
            <w:tcW w:w="5155" w:type="dxa"/>
          </w:tcPr>
          <w:p w14:paraId="0C0AFFE7" w14:textId="1C2C7075" w:rsidR="00FD0AF2" w:rsidRPr="007627E0" w:rsidRDefault="00FD0AF2" w:rsidP="00FD0AF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Total assets</w:t>
            </w:r>
          </w:p>
        </w:tc>
        <w:tc>
          <w:tcPr>
            <w:tcW w:w="2140" w:type="dxa"/>
            <w:shd w:val="clear" w:color="auto" w:fill="auto"/>
          </w:tcPr>
          <w:p w14:paraId="1D080388" w14:textId="581173A4" w:rsidR="00FD0AF2" w:rsidRPr="00C14A14" w:rsidRDefault="001A716D" w:rsidP="0081060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33,128,912</w:t>
            </w:r>
          </w:p>
        </w:tc>
        <w:tc>
          <w:tcPr>
            <w:tcW w:w="1957" w:type="dxa"/>
            <w:shd w:val="clear" w:color="auto" w:fill="auto"/>
          </w:tcPr>
          <w:p w14:paraId="63BA3288" w14:textId="50554636" w:rsidR="00FD0AF2" w:rsidRPr="002A1678" w:rsidRDefault="00C42054" w:rsidP="00FD0AF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6,521,629</w:t>
            </w:r>
          </w:p>
        </w:tc>
      </w:tr>
      <w:tr w:rsidR="00FD0AF2" w14:paraId="733E6885" w14:textId="77777777" w:rsidTr="00C95A74">
        <w:trPr>
          <w:trHeight w:val="194"/>
        </w:trPr>
        <w:tc>
          <w:tcPr>
            <w:tcW w:w="5155" w:type="dxa"/>
          </w:tcPr>
          <w:p w14:paraId="5E152080" w14:textId="20413A78" w:rsidR="00FD0AF2" w:rsidRPr="007627E0" w:rsidRDefault="00FD0AF2" w:rsidP="00FD0AF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Total liabilities</w:t>
            </w:r>
          </w:p>
        </w:tc>
        <w:tc>
          <w:tcPr>
            <w:tcW w:w="2140" w:type="dxa"/>
            <w:shd w:val="clear" w:color="auto" w:fill="auto"/>
          </w:tcPr>
          <w:p w14:paraId="6B8CB06E" w14:textId="308E3F48" w:rsidR="00FD0AF2" w:rsidRPr="00C14A14" w:rsidRDefault="001A716D" w:rsidP="0081060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10,514,</w:t>
            </w:r>
            <w:r w:rsidR="00F93627">
              <w:rPr>
                <w:rFonts w:ascii="Calibri" w:eastAsia="MS Mincho" w:hAnsi="Calibri" w:cs="Calibri"/>
                <w:sz w:val="20"/>
                <w:szCs w:val="20"/>
                <w:lang w:eastAsia="ja-JP"/>
              </w:rPr>
              <w:t>50</w:t>
            </w:r>
            <w:r>
              <w:rPr>
                <w:rFonts w:ascii="Calibri" w:eastAsia="MS Mincho" w:hAnsi="Calibri" w:cs="Calibri"/>
                <w:sz w:val="20"/>
                <w:szCs w:val="20"/>
                <w:lang w:eastAsia="ja-JP"/>
              </w:rPr>
              <w:t>8</w:t>
            </w:r>
          </w:p>
        </w:tc>
        <w:tc>
          <w:tcPr>
            <w:tcW w:w="1957" w:type="dxa"/>
            <w:shd w:val="clear" w:color="auto" w:fill="auto"/>
          </w:tcPr>
          <w:p w14:paraId="0F59632D" w14:textId="72735616" w:rsidR="00FD0AF2" w:rsidRDefault="00C42054" w:rsidP="00FD0AF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10,982,859</w:t>
            </w:r>
          </w:p>
        </w:tc>
      </w:tr>
      <w:tr w:rsidR="00FD0AF2" w14:paraId="2693CC06" w14:textId="77777777" w:rsidTr="00C95A74">
        <w:trPr>
          <w:trHeight w:val="194"/>
        </w:trPr>
        <w:tc>
          <w:tcPr>
            <w:tcW w:w="5155" w:type="dxa"/>
          </w:tcPr>
          <w:p w14:paraId="2DA79B24" w14:textId="57089336" w:rsidR="00FD0AF2" w:rsidRPr="007627E0" w:rsidRDefault="00FD0AF2" w:rsidP="00FD0AF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Stockholders’ equity</w:t>
            </w:r>
            <w:r w:rsidR="00DE0E8D">
              <w:rPr>
                <w:rFonts w:ascii="Calibri" w:eastAsia="MS Mincho" w:hAnsi="Calibri" w:cs="Calibri"/>
                <w:sz w:val="20"/>
                <w:szCs w:val="20"/>
                <w:lang w:eastAsia="ja-JP"/>
              </w:rPr>
              <w:t xml:space="preserve"> (deficiency)</w:t>
            </w:r>
          </w:p>
        </w:tc>
        <w:tc>
          <w:tcPr>
            <w:tcW w:w="2140" w:type="dxa"/>
            <w:shd w:val="clear" w:color="auto" w:fill="auto"/>
          </w:tcPr>
          <w:p w14:paraId="11F78800" w14:textId="5C1E8BCA" w:rsidR="00FD0AF2" w:rsidRPr="00C14A14" w:rsidRDefault="001A716D" w:rsidP="0081060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22,614,</w:t>
            </w:r>
            <w:r w:rsidR="00263500">
              <w:rPr>
                <w:rFonts w:ascii="Calibri" w:eastAsia="MS Mincho" w:hAnsi="Calibri" w:cs="Calibri"/>
                <w:sz w:val="20"/>
                <w:szCs w:val="20"/>
                <w:lang w:eastAsia="ja-JP"/>
              </w:rPr>
              <w:t>40</w:t>
            </w:r>
            <w:r>
              <w:rPr>
                <w:rFonts w:ascii="Calibri" w:eastAsia="MS Mincho" w:hAnsi="Calibri" w:cs="Calibri"/>
                <w:sz w:val="20"/>
                <w:szCs w:val="20"/>
                <w:lang w:eastAsia="ja-JP"/>
              </w:rPr>
              <w:t>4</w:t>
            </w:r>
          </w:p>
        </w:tc>
        <w:tc>
          <w:tcPr>
            <w:tcW w:w="1957" w:type="dxa"/>
            <w:shd w:val="clear" w:color="auto" w:fill="auto"/>
          </w:tcPr>
          <w:p w14:paraId="60292C42" w14:textId="08CD2C7C" w:rsidR="00FD0AF2" w:rsidRDefault="00275B03" w:rsidP="00FD0AF2">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(4,461,230)</w:t>
            </w:r>
          </w:p>
        </w:tc>
      </w:tr>
    </w:tbl>
    <w:p w14:paraId="4815884A" w14:textId="20714418" w:rsidR="00A03BEC" w:rsidRDefault="00A03BEC" w:rsidP="00D640AA">
      <w:pPr>
        <w:jc w:val="both"/>
        <w:rPr>
          <w:b/>
          <w:bCs/>
          <w:color w:val="000000"/>
        </w:rPr>
      </w:pPr>
    </w:p>
    <w:p w14:paraId="49626B8F" w14:textId="060545DC" w:rsidR="004F0B65" w:rsidRPr="000706A8" w:rsidRDefault="00D12C06" w:rsidP="00C95A74">
      <w:pPr>
        <w:jc w:val="both"/>
        <w:rPr>
          <w:color w:val="000000"/>
        </w:rPr>
      </w:pPr>
      <w:r w:rsidRPr="00D640AA">
        <w:rPr>
          <w:color w:val="000000"/>
        </w:rPr>
        <w:t xml:space="preserve">During the </w:t>
      </w:r>
      <w:r w:rsidR="006C0813">
        <w:rPr>
          <w:color w:val="000000"/>
        </w:rPr>
        <w:t>six months ended June 30</w:t>
      </w:r>
      <w:r w:rsidR="00D640AA" w:rsidRPr="00D640AA">
        <w:rPr>
          <w:color w:val="000000"/>
        </w:rPr>
        <w:t>, 2022</w:t>
      </w:r>
      <w:r w:rsidRPr="00D640AA">
        <w:rPr>
          <w:color w:val="000000"/>
        </w:rPr>
        <w:t xml:space="preserve">, working capital </w:t>
      </w:r>
      <w:r w:rsidR="005A3165" w:rsidRPr="00D640AA">
        <w:rPr>
          <w:color w:val="000000"/>
        </w:rPr>
        <w:t>in</w:t>
      </w:r>
      <w:r w:rsidRPr="00D640AA">
        <w:rPr>
          <w:color w:val="000000"/>
        </w:rPr>
        <w:t>creased to $</w:t>
      </w:r>
      <w:r w:rsidR="001A716D">
        <w:rPr>
          <w:color w:val="000000"/>
        </w:rPr>
        <w:t>27,640,</w:t>
      </w:r>
      <w:r w:rsidR="00263500">
        <w:rPr>
          <w:color w:val="000000"/>
        </w:rPr>
        <w:t>522</w:t>
      </w:r>
      <w:r w:rsidR="00CA743F">
        <w:rPr>
          <w:color w:val="000000"/>
        </w:rPr>
        <w:t xml:space="preserve"> </w:t>
      </w:r>
      <w:r w:rsidR="00CA743F" w:rsidRPr="00D640AA">
        <w:rPr>
          <w:color w:val="000000"/>
        </w:rPr>
        <w:t>from</w:t>
      </w:r>
      <w:r w:rsidR="005A3165" w:rsidRPr="00D640AA">
        <w:rPr>
          <w:color w:val="000000"/>
        </w:rPr>
        <w:t xml:space="preserve"> a working capital of</w:t>
      </w:r>
      <w:r w:rsidRPr="00D640AA">
        <w:rPr>
          <w:color w:val="000000"/>
        </w:rPr>
        <w:t xml:space="preserve"> $</w:t>
      </w:r>
      <w:r w:rsidR="00D640AA" w:rsidRPr="00D640AA">
        <w:rPr>
          <w:color w:val="000000"/>
        </w:rPr>
        <w:t>342,551</w:t>
      </w:r>
      <w:r w:rsidRPr="00D640AA">
        <w:rPr>
          <w:color w:val="000000"/>
        </w:rPr>
        <w:t xml:space="preserve"> </w:t>
      </w:r>
      <w:r w:rsidR="005A755C" w:rsidRPr="00D640AA">
        <w:rPr>
          <w:color w:val="000000"/>
        </w:rPr>
        <w:t xml:space="preserve">as </w:t>
      </w:r>
      <w:proofErr w:type="gramStart"/>
      <w:r w:rsidRPr="00D640AA">
        <w:rPr>
          <w:color w:val="000000"/>
        </w:rPr>
        <w:t>at</w:t>
      </w:r>
      <w:proofErr w:type="gramEnd"/>
      <w:r w:rsidRPr="00D640AA">
        <w:rPr>
          <w:color w:val="000000"/>
        </w:rPr>
        <w:t xml:space="preserve"> December 31, 202</w:t>
      </w:r>
      <w:r w:rsidR="00D640AA" w:rsidRPr="00D640AA">
        <w:rPr>
          <w:color w:val="000000"/>
        </w:rPr>
        <w:t>1</w:t>
      </w:r>
      <w:r w:rsidRPr="00D640AA">
        <w:rPr>
          <w:color w:val="000000"/>
        </w:rPr>
        <w:t>. The $</w:t>
      </w:r>
      <w:r w:rsidR="001A716D">
        <w:rPr>
          <w:color w:val="000000"/>
        </w:rPr>
        <w:t>27,297,</w:t>
      </w:r>
      <w:r w:rsidR="00263500">
        <w:rPr>
          <w:color w:val="000000"/>
        </w:rPr>
        <w:t>97</w:t>
      </w:r>
      <w:r w:rsidR="001A716D">
        <w:rPr>
          <w:color w:val="000000"/>
        </w:rPr>
        <w:t>1</w:t>
      </w:r>
      <w:r w:rsidR="005A3165" w:rsidRPr="00D640AA">
        <w:rPr>
          <w:color w:val="000000"/>
        </w:rPr>
        <w:t xml:space="preserve"> in</w:t>
      </w:r>
      <w:r w:rsidRPr="00D640AA">
        <w:rPr>
          <w:color w:val="000000"/>
        </w:rPr>
        <w:t>crease in working capital is attributable to an increase in cash of $</w:t>
      </w:r>
      <w:r w:rsidR="006C0813">
        <w:rPr>
          <w:color w:val="000000"/>
        </w:rPr>
        <w:t>22,4</w:t>
      </w:r>
      <w:r w:rsidR="001A716D">
        <w:rPr>
          <w:color w:val="000000"/>
        </w:rPr>
        <w:t>75</w:t>
      </w:r>
      <w:r w:rsidR="006C0813">
        <w:rPr>
          <w:color w:val="000000"/>
        </w:rPr>
        <w:t>,</w:t>
      </w:r>
      <w:r w:rsidR="001A716D">
        <w:rPr>
          <w:color w:val="000000"/>
        </w:rPr>
        <w:t>529</w:t>
      </w:r>
      <w:r w:rsidR="008053BD" w:rsidRPr="00D640AA">
        <w:rPr>
          <w:color w:val="000000"/>
        </w:rPr>
        <w:t xml:space="preserve"> primarily from the proceeds </w:t>
      </w:r>
      <w:r w:rsidR="004F0B65" w:rsidRPr="00D640AA">
        <w:rPr>
          <w:color w:val="000000"/>
        </w:rPr>
        <w:t>received</w:t>
      </w:r>
      <w:r w:rsidR="005A3165" w:rsidRPr="00D640AA">
        <w:rPr>
          <w:color w:val="000000"/>
        </w:rPr>
        <w:t xml:space="preserve"> </w:t>
      </w:r>
      <w:r w:rsidR="004F0B65" w:rsidRPr="00D640AA">
        <w:rPr>
          <w:color w:val="000000"/>
        </w:rPr>
        <w:t xml:space="preserve">for </w:t>
      </w:r>
      <w:r w:rsidR="00D640AA" w:rsidRPr="00D640AA">
        <w:rPr>
          <w:color w:val="000000"/>
        </w:rPr>
        <w:t xml:space="preserve">private placements completed in March </w:t>
      </w:r>
      <w:r w:rsidR="006C0813">
        <w:rPr>
          <w:color w:val="000000"/>
        </w:rPr>
        <w:t>and June 2022</w:t>
      </w:r>
      <w:r w:rsidR="005A3165" w:rsidRPr="00D640AA">
        <w:rPr>
          <w:color w:val="000000"/>
        </w:rPr>
        <w:t>.</w:t>
      </w:r>
      <w:r w:rsidR="008053BD" w:rsidRPr="00D640AA">
        <w:rPr>
          <w:color w:val="000000"/>
        </w:rPr>
        <w:t xml:space="preserve"> </w:t>
      </w:r>
      <w:r w:rsidR="004165B6" w:rsidRPr="00D640AA">
        <w:rPr>
          <w:color w:val="000000"/>
        </w:rPr>
        <w:t>Furthermore, with the increase in cash, the Company p</w:t>
      </w:r>
      <w:r w:rsidR="004165B6" w:rsidRPr="000706A8">
        <w:rPr>
          <w:color w:val="000000"/>
        </w:rPr>
        <w:t>aid off current liabilities.</w:t>
      </w:r>
    </w:p>
    <w:p w14:paraId="4CD7102E" w14:textId="654EE752" w:rsidR="00B2631D" w:rsidRDefault="00C600C6" w:rsidP="00002221">
      <w:pPr>
        <w:jc w:val="both"/>
        <w:rPr>
          <w:b/>
          <w:bCs/>
          <w:i/>
          <w:iCs/>
          <w:color w:val="000000"/>
        </w:rPr>
      </w:pPr>
      <w:r w:rsidRPr="000706A8">
        <w:t xml:space="preserve">The Company </w:t>
      </w:r>
      <w:r w:rsidR="00440C6C" w:rsidRPr="000706A8">
        <w:t xml:space="preserve">is fully funded for its </w:t>
      </w:r>
      <w:r w:rsidRPr="000706A8">
        <w:t>next 12 months</w:t>
      </w:r>
      <w:r w:rsidR="00440C6C" w:rsidRPr="000706A8">
        <w:t xml:space="preserve"> operations</w:t>
      </w:r>
      <w:r w:rsidR="000706A8" w:rsidRPr="000706A8">
        <w:t>, which include its 7 well drilling program, as d</w:t>
      </w:r>
      <w:r w:rsidR="008205D6" w:rsidRPr="000706A8">
        <w:t xml:space="preserve">uring the </w:t>
      </w:r>
      <w:r w:rsidR="006C0813" w:rsidRPr="000706A8">
        <w:t xml:space="preserve">six </w:t>
      </w:r>
      <w:r w:rsidR="008205D6" w:rsidRPr="000706A8">
        <w:t xml:space="preserve">months ended </w:t>
      </w:r>
      <w:r w:rsidR="006C0813" w:rsidRPr="000706A8">
        <w:t>June 30</w:t>
      </w:r>
      <w:r w:rsidR="008205D6" w:rsidRPr="000706A8">
        <w:t>, 2022</w:t>
      </w:r>
      <w:r w:rsidRPr="000706A8">
        <w:t>, the Company completed a private placement</w:t>
      </w:r>
      <w:r w:rsidR="00431411" w:rsidRPr="000706A8">
        <w:t xml:space="preserve"> and prospectus </w:t>
      </w:r>
      <w:r w:rsidRPr="000706A8">
        <w:t>for approximately $</w:t>
      </w:r>
      <w:r w:rsidR="00431411" w:rsidRPr="000706A8">
        <w:t>4</w:t>
      </w:r>
      <w:r w:rsidR="00440C6C" w:rsidRPr="000706A8">
        <w:t>1.5</w:t>
      </w:r>
      <w:r w:rsidR="00431411" w:rsidRPr="000706A8">
        <w:t xml:space="preserve">M </w:t>
      </w:r>
      <w:r w:rsidRPr="000706A8">
        <w:t xml:space="preserve">CAD </w:t>
      </w:r>
      <w:r w:rsidR="00A666A0" w:rsidRPr="000706A8">
        <w:t xml:space="preserve">(US$31M) </w:t>
      </w:r>
      <w:r w:rsidRPr="000706A8">
        <w:t xml:space="preserve">in gross proceeds. </w:t>
      </w:r>
      <w:r w:rsidR="003E745C" w:rsidRPr="000706A8">
        <w:t xml:space="preserve">The Company also intended to </w:t>
      </w:r>
      <w:r w:rsidR="000706A8" w:rsidRPr="000706A8">
        <w:t xml:space="preserve">invest its cashflow from revenues generated by its 7 well drilling program into </w:t>
      </w:r>
      <w:r w:rsidR="000706A8">
        <w:t>additional</w:t>
      </w:r>
      <w:r w:rsidR="000706A8" w:rsidRPr="000706A8">
        <w:t xml:space="preserve"> wells</w:t>
      </w:r>
      <w:r w:rsidR="003E745C">
        <w:t xml:space="preserve">. </w:t>
      </w:r>
      <w:r w:rsidR="000706A8">
        <w:t xml:space="preserve"> </w:t>
      </w:r>
      <w:r w:rsidRPr="009905DD">
        <w:t xml:space="preserve"> </w:t>
      </w:r>
      <w:r w:rsidR="00B2631D">
        <w:rPr>
          <w:b/>
          <w:bCs/>
          <w:i/>
          <w:iCs/>
          <w:color w:val="000000"/>
        </w:rPr>
        <w:br w:type="page"/>
      </w:r>
    </w:p>
    <w:p w14:paraId="71D5F22D" w14:textId="6012D089" w:rsidR="005B71BA" w:rsidRDefault="00CC735A" w:rsidP="00226BF2">
      <w:pPr>
        <w:jc w:val="both"/>
        <w:rPr>
          <w:b/>
          <w:bCs/>
          <w:i/>
          <w:iCs/>
          <w:color w:val="000000"/>
        </w:rPr>
      </w:pPr>
      <w:r>
        <w:rPr>
          <w:b/>
          <w:bCs/>
          <w:i/>
          <w:iCs/>
          <w:color w:val="000000"/>
        </w:rPr>
        <w:lastRenderedPageBreak/>
        <w:t>Operating, Investing and Financing Activities</w:t>
      </w:r>
    </w:p>
    <w:p w14:paraId="60D84A85" w14:textId="66476E16" w:rsidR="00CC4712" w:rsidRPr="00583A17" w:rsidRDefault="00CC4712" w:rsidP="00226BF2">
      <w:pPr>
        <w:jc w:val="both"/>
        <w:rPr>
          <w:color w:val="000000"/>
        </w:rPr>
      </w:pPr>
      <w:r w:rsidRPr="00583A17">
        <w:rPr>
          <w:color w:val="000000"/>
        </w:rPr>
        <w:t>The chart below highlights the Company’s cash flows:</w:t>
      </w:r>
    </w:p>
    <w:tbl>
      <w:tblPr>
        <w:tblpPr w:leftFromText="180" w:rightFromText="180" w:vertAnchor="text" w:horzAnchor="margin" w:tblpY="76"/>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5"/>
        <w:gridCol w:w="2140"/>
        <w:gridCol w:w="1957"/>
      </w:tblGrid>
      <w:tr w:rsidR="00CC735A" w14:paraId="3AD8D580" w14:textId="77777777" w:rsidTr="001B46D2">
        <w:trPr>
          <w:trHeight w:val="270"/>
        </w:trPr>
        <w:tc>
          <w:tcPr>
            <w:tcW w:w="5155" w:type="dxa"/>
            <w:shd w:val="clear" w:color="auto" w:fill="D9D9D9" w:themeFill="background1" w:themeFillShade="D9"/>
            <w:vAlign w:val="bottom"/>
          </w:tcPr>
          <w:p w14:paraId="7361CAFE" w14:textId="77777777" w:rsidR="00CC735A" w:rsidRPr="007627E0" w:rsidRDefault="00CC735A" w:rsidP="001B46D2">
            <w:pPr>
              <w:pStyle w:val="Headingext1"/>
              <w:spacing w:before="60"/>
              <w:rPr>
                <w:rFonts w:ascii="Calibri" w:eastAsia="MS Mincho" w:hAnsi="Calibri" w:cs="Calibri"/>
                <w:sz w:val="20"/>
                <w:szCs w:val="20"/>
                <w:lang w:eastAsia="ja-JP"/>
              </w:rPr>
            </w:pPr>
          </w:p>
        </w:tc>
        <w:tc>
          <w:tcPr>
            <w:tcW w:w="2140" w:type="dxa"/>
            <w:shd w:val="clear" w:color="auto" w:fill="D9D9D9" w:themeFill="background1" w:themeFillShade="D9"/>
          </w:tcPr>
          <w:p w14:paraId="11E6F935" w14:textId="3EF2AFD5" w:rsidR="00CC735A" w:rsidRPr="008C29BE" w:rsidRDefault="00431411" w:rsidP="001B46D2">
            <w:pPr>
              <w:pStyle w:val="Headingext1"/>
              <w:spacing w:before="60"/>
              <w:jc w:val="center"/>
              <w:rPr>
                <w:rFonts w:ascii="Calibri" w:eastAsia="MS Mincho" w:hAnsi="Calibri" w:cs="Calibri"/>
                <w:b/>
                <w:sz w:val="20"/>
                <w:szCs w:val="20"/>
                <w:lang w:eastAsia="ja-JP"/>
              </w:rPr>
            </w:pPr>
            <w:r>
              <w:rPr>
                <w:rFonts w:ascii="Calibri" w:eastAsia="MS Mincho" w:hAnsi="Calibri" w:cs="Calibri"/>
                <w:b/>
                <w:sz w:val="20"/>
                <w:szCs w:val="20"/>
                <w:lang w:eastAsia="ja-JP"/>
              </w:rPr>
              <w:t>June 30</w:t>
            </w:r>
            <w:r w:rsidR="007D6E0B">
              <w:rPr>
                <w:rFonts w:ascii="Calibri" w:eastAsia="MS Mincho" w:hAnsi="Calibri" w:cs="Calibri"/>
                <w:b/>
                <w:sz w:val="20"/>
                <w:szCs w:val="20"/>
                <w:lang w:eastAsia="ja-JP"/>
              </w:rPr>
              <w:t>, 2022</w:t>
            </w:r>
            <w:r w:rsidR="00CC735A" w:rsidRPr="008C29BE">
              <w:rPr>
                <w:rFonts w:ascii="Calibri" w:eastAsia="MS Mincho" w:hAnsi="Calibri" w:cs="Calibri"/>
                <w:b/>
                <w:sz w:val="20"/>
                <w:szCs w:val="20"/>
                <w:lang w:eastAsia="ja-JP"/>
              </w:rPr>
              <w:br/>
              <w:t>($</w:t>
            </w:r>
            <w:r w:rsidR="00EE4977">
              <w:rPr>
                <w:rFonts w:ascii="Calibri" w:eastAsia="MS Mincho" w:hAnsi="Calibri" w:cs="Calibri"/>
                <w:b/>
                <w:sz w:val="20"/>
                <w:szCs w:val="20"/>
                <w:lang w:eastAsia="ja-JP"/>
              </w:rPr>
              <w:t>USD</w:t>
            </w:r>
            <w:r w:rsidR="00CC735A" w:rsidRPr="008C29BE">
              <w:rPr>
                <w:rFonts w:ascii="Calibri" w:eastAsia="MS Mincho" w:hAnsi="Calibri" w:cs="Calibri"/>
                <w:b/>
                <w:sz w:val="20"/>
                <w:szCs w:val="20"/>
                <w:lang w:eastAsia="ja-JP"/>
              </w:rPr>
              <w:t>)</w:t>
            </w:r>
          </w:p>
        </w:tc>
        <w:tc>
          <w:tcPr>
            <w:tcW w:w="1957" w:type="dxa"/>
            <w:shd w:val="clear" w:color="auto" w:fill="D9D9D9"/>
            <w:vAlign w:val="bottom"/>
          </w:tcPr>
          <w:p w14:paraId="5E0682E8" w14:textId="7F506181" w:rsidR="00CC735A" w:rsidRPr="008041FD" w:rsidRDefault="00D45F39" w:rsidP="001B46D2">
            <w:pPr>
              <w:pStyle w:val="Headingext1"/>
              <w:spacing w:before="60"/>
              <w:jc w:val="center"/>
              <w:rPr>
                <w:rFonts w:ascii="Calibri" w:eastAsia="MS Mincho" w:hAnsi="Calibri" w:cs="Calibri"/>
                <w:bCs/>
                <w:sz w:val="20"/>
                <w:szCs w:val="20"/>
                <w:lang w:eastAsia="ja-JP"/>
              </w:rPr>
            </w:pPr>
            <w:r>
              <w:rPr>
                <w:rFonts w:ascii="Calibri" w:eastAsia="MS Mincho" w:hAnsi="Calibri" w:cs="Calibri"/>
                <w:bCs/>
                <w:sz w:val="20"/>
                <w:szCs w:val="20"/>
                <w:lang w:eastAsia="ja-JP"/>
              </w:rPr>
              <w:t>June 30</w:t>
            </w:r>
            <w:r w:rsidR="007D6E0B" w:rsidRPr="008041FD">
              <w:rPr>
                <w:rFonts w:ascii="Calibri" w:eastAsia="MS Mincho" w:hAnsi="Calibri" w:cs="Calibri"/>
                <w:bCs/>
                <w:sz w:val="20"/>
                <w:szCs w:val="20"/>
                <w:lang w:eastAsia="ja-JP"/>
              </w:rPr>
              <w:t>, 2021</w:t>
            </w:r>
            <w:r w:rsidR="00CC735A" w:rsidRPr="008041FD">
              <w:rPr>
                <w:rFonts w:ascii="Calibri" w:eastAsia="MS Mincho" w:hAnsi="Calibri" w:cs="Calibri"/>
                <w:bCs/>
                <w:sz w:val="20"/>
                <w:szCs w:val="20"/>
                <w:lang w:eastAsia="ja-JP"/>
              </w:rPr>
              <w:br/>
              <w:t>($</w:t>
            </w:r>
            <w:r w:rsidR="00EE4977">
              <w:rPr>
                <w:rFonts w:ascii="Calibri" w:eastAsia="MS Mincho" w:hAnsi="Calibri" w:cs="Calibri"/>
                <w:bCs/>
                <w:sz w:val="20"/>
                <w:szCs w:val="20"/>
                <w:lang w:eastAsia="ja-JP"/>
              </w:rPr>
              <w:t>USD</w:t>
            </w:r>
            <w:r w:rsidR="00CC735A" w:rsidRPr="008041FD">
              <w:rPr>
                <w:rFonts w:ascii="Calibri" w:eastAsia="MS Mincho" w:hAnsi="Calibri" w:cs="Calibri"/>
                <w:bCs/>
                <w:sz w:val="20"/>
                <w:szCs w:val="20"/>
                <w:lang w:eastAsia="ja-JP"/>
              </w:rPr>
              <w:t>)</w:t>
            </w:r>
          </w:p>
        </w:tc>
      </w:tr>
      <w:tr w:rsidR="00CC735A" w14:paraId="7DB3C717" w14:textId="77777777" w:rsidTr="001B46D2">
        <w:trPr>
          <w:trHeight w:val="135"/>
        </w:trPr>
        <w:tc>
          <w:tcPr>
            <w:tcW w:w="5155" w:type="dxa"/>
          </w:tcPr>
          <w:p w14:paraId="2B835376" w14:textId="0BD17A38" w:rsidR="00CC735A" w:rsidRPr="007627E0" w:rsidRDefault="00CC735A"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Net cash provided by (used in):</w:t>
            </w:r>
          </w:p>
        </w:tc>
        <w:tc>
          <w:tcPr>
            <w:tcW w:w="2140" w:type="dxa"/>
            <w:shd w:val="clear" w:color="auto" w:fill="auto"/>
          </w:tcPr>
          <w:p w14:paraId="6825A60A" w14:textId="2734B60C" w:rsidR="00CC735A" w:rsidRPr="00C702C7" w:rsidRDefault="00CC735A" w:rsidP="001B46D2">
            <w:pPr>
              <w:pStyle w:val="Headingext1"/>
              <w:spacing w:before="60"/>
              <w:jc w:val="center"/>
              <w:rPr>
                <w:rFonts w:ascii="Calibri" w:eastAsia="MS Mincho" w:hAnsi="Calibri" w:cs="Calibri"/>
                <w:sz w:val="20"/>
                <w:szCs w:val="20"/>
                <w:lang w:eastAsia="ja-JP"/>
              </w:rPr>
            </w:pPr>
          </w:p>
        </w:tc>
        <w:tc>
          <w:tcPr>
            <w:tcW w:w="1957" w:type="dxa"/>
            <w:shd w:val="clear" w:color="auto" w:fill="auto"/>
          </w:tcPr>
          <w:p w14:paraId="075FB51D" w14:textId="1C92FE5E" w:rsidR="00CC735A" w:rsidRPr="00497847" w:rsidRDefault="00CC735A" w:rsidP="001B46D2">
            <w:pPr>
              <w:pStyle w:val="Headingext1"/>
              <w:spacing w:before="60"/>
              <w:jc w:val="center"/>
              <w:rPr>
                <w:rFonts w:ascii="Calibri" w:eastAsia="MS Mincho" w:hAnsi="Calibri" w:cs="Calibri"/>
                <w:sz w:val="20"/>
                <w:szCs w:val="20"/>
                <w:highlight w:val="yellow"/>
                <w:lang w:eastAsia="ja-JP"/>
              </w:rPr>
            </w:pPr>
          </w:p>
        </w:tc>
      </w:tr>
      <w:tr w:rsidR="00CC735A" w14:paraId="6421B6C1" w14:textId="77777777" w:rsidTr="00C95A74">
        <w:trPr>
          <w:trHeight w:val="135"/>
        </w:trPr>
        <w:tc>
          <w:tcPr>
            <w:tcW w:w="5155" w:type="dxa"/>
          </w:tcPr>
          <w:p w14:paraId="74E9A7FA" w14:textId="6934C6C2" w:rsidR="00CC735A" w:rsidRPr="007627E0" w:rsidRDefault="00CC735A"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Operating activities</w:t>
            </w:r>
          </w:p>
        </w:tc>
        <w:tc>
          <w:tcPr>
            <w:tcW w:w="2140" w:type="dxa"/>
            <w:shd w:val="clear" w:color="auto" w:fill="auto"/>
          </w:tcPr>
          <w:p w14:paraId="42DE0DF1" w14:textId="49B99DFB" w:rsidR="00CC735A" w:rsidRPr="00C702C7" w:rsidRDefault="00D640AA" w:rsidP="00C95A74">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w:t>
            </w:r>
            <w:r w:rsidR="001A716D">
              <w:rPr>
                <w:rFonts w:ascii="Calibri" w:eastAsia="MS Mincho" w:hAnsi="Calibri" w:cs="Calibri"/>
                <w:sz w:val="20"/>
                <w:szCs w:val="20"/>
                <w:lang w:eastAsia="ja-JP"/>
              </w:rPr>
              <w:t>5,798,41</w:t>
            </w:r>
            <w:r w:rsidR="00263500">
              <w:rPr>
                <w:rFonts w:ascii="Calibri" w:eastAsia="MS Mincho" w:hAnsi="Calibri" w:cs="Calibri"/>
                <w:sz w:val="20"/>
                <w:szCs w:val="20"/>
                <w:lang w:eastAsia="ja-JP"/>
              </w:rPr>
              <w:t>5</w:t>
            </w:r>
            <w:r w:rsidR="009E3192">
              <w:rPr>
                <w:rFonts w:ascii="Calibri" w:eastAsia="MS Mincho" w:hAnsi="Calibri" w:cs="Calibri"/>
                <w:sz w:val="20"/>
                <w:szCs w:val="20"/>
                <w:lang w:eastAsia="ja-JP"/>
              </w:rPr>
              <w:t>)</w:t>
            </w:r>
          </w:p>
        </w:tc>
        <w:tc>
          <w:tcPr>
            <w:tcW w:w="1957" w:type="dxa"/>
            <w:shd w:val="clear" w:color="auto" w:fill="auto"/>
            <w:vAlign w:val="center"/>
          </w:tcPr>
          <w:p w14:paraId="5BC9B496" w14:textId="01BD8966" w:rsidR="00CC735A" w:rsidRPr="00182F7B" w:rsidRDefault="00CC735A" w:rsidP="009662C6">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w:t>
            </w:r>
            <w:r w:rsidR="00D45F39">
              <w:rPr>
                <w:rFonts w:ascii="Calibri" w:eastAsia="MS Mincho" w:hAnsi="Calibri" w:cs="Calibri"/>
                <w:sz w:val="20"/>
                <w:szCs w:val="20"/>
                <w:lang w:eastAsia="ja-JP"/>
              </w:rPr>
              <w:t>643,369</w:t>
            </w:r>
            <w:r>
              <w:rPr>
                <w:rFonts w:ascii="Calibri" w:eastAsia="MS Mincho" w:hAnsi="Calibri" w:cs="Calibri"/>
                <w:sz w:val="20"/>
                <w:szCs w:val="20"/>
                <w:lang w:eastAsia="ja-JP"/>
              </w:rPr>
              <w:t>)</w:t>
            </w:r>
          </w:p>
        </w:tc>
      </w:tr>
      <w:tr w:rsidR="00CC735A" w14:paraId="12F4546C" w14:textId="77777777" w:rsidTr="00C95A74">
        <w:trPr>
          <w:trHeight w:val="194"/>
        </w:trPr>
        <w:tc>
          <w:tcPr>
            <w:tcW w:w="5155" w:type="dxa"/>
          </w:tcPr>
          <w:p w14:paraId="7C6D0943" w14:textId="480EEC35" w:rsidR="00CC735A" w:rsidRPr="007627E0" w:rsidRDefault="00CC735A"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Investing activities</w:t>
            </w:r>
          </w:p>
        </w:tc>
        <w:tc>
          <w:tcPr>
            <w:tcW w:w="2140" w:type="dxa"/>
            <w:shd w:val="clear" w:color="auto" w:fill="auto"/>
          </w:tcPr>
          <w:p w14:paraId="7E0958E8" w14:textId="5F4CBB62" w:rsidR="00CC735A" w:rsidRPr="00AA2644" w:rsidRDefault="009E3192" w:rsidP="00C95A74">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w:t>
            </w:r>
            <w:r w:rsidR="001A716D">
              <w:rPr>
                <w:rFonts w:ascii="Calibri" w:eastAsia="MS Mincho" w:hAnsi="Calibri" w:cs="Calibri"/>
                <w:sz w:val="20"/>
                <w:szCs w:val="20"/>
                <w:lang w:eastAsia="ja-JP"/>
              </w:rPr>
              <w:t>160,003</w:t>
            </w:r>
            <w:r>
              <w:rPr>
                <w:rFonts w:ascii="Calibri" w:eastAsia="MS Mincho" w:hAnsi="Calibri" w:cs="Calibri"/>
                <w:sz w:val="20"/>
                <w:szCs w:val="20"/>
                <w:lang w:eastAsia="ja-JP"/>
              </w:rPr>
              <w:t>)</w:t>
            </w:r>
          </w:p>
        </w:tc>
        <w:tc>
          <w:tcPr>
            <w:tcW w:w="1957" w:type="dxa"/>
            <w:shd w:val="clear" w:color="auto" w:fill="auto"/>
          </w:tcPr>
          <w:p w14:paraId="47A4A901" w14:textId="1DBD9AB0" w:rsidR="00CC735A" w:rsidRPr="002A1678" w:rsidRDefault="00CC735A" w:rsidP="009662C6">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w:t>
            </w:r>
            <w:r w:rsidR="00D45F39">
              <w:rPr>
                <w:rFonts w:ascii="Calibri" w:eastAsia="MS Mincho" w:hAnsi="Calibri" w:cs="Calibri"/>
                <w:sz w:val="20"/>
                <w:szCs w:val="20"/>
                <w:lang w:eastAsia="ja-JP"/>
              </w:rPr>
              <w:t>7,122</w:t>
            </w:r>
            <w:r>
              <w:rPr>
                <w:rFonts w:ascii="Calibri" w:eastAsia="MS Mincho" w:hAnsi="Calibri" w:cs="Calibri"/>
                <w:sz w:val="20"/>
                <w:szCs w:val="20"/>
                <w:lang w:eastAsia="ja-JP"/>
              </w:rPr>
              <w:t>)</w:t>
            </w:r>
          </w:p>
        </w:tc>
      </w:tr>
      <w:tr w:rsidR="00CC735A" w14:paraId="4256677F" w14:textId="77777777" w:rsidTr="00C95A74">
        <w:trPr>
          <w:trHeight w:val="194"/>
        </w:trPr>
        <w:tc>
          <w:tcPr>
            <w:tcW w:w="5155" w:type="dxa"/>
          </w:tcPr>
          <w:p w14:paraId="42576A88" w14:textId="3B966648" w:rsidR="00CC735A" w:rsidRPr="007627E0" w:rsidRDefault="00CC735A"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Financing activities</w:t>
            </w:r>
          </w:p>
        </w:tc>
        <w:tc>
          <w:tcPr>
            <w:tcW w:w="2140" w:type="dxa"/>
            <w:shd w:val="clear" w:color="auto" w:fill="auto"/>
          </w:tcPr>
          <w:p w14:paraId="2E9EBF32" w14:textId="459232E7" w:rsidR="00CC735A" w:rsidRPr="00AA2644" w:rsidRDefault="001A716D" w:rsidP="00C95A74">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28,20</w:t>
            </w:r>
            <w:r w:rsidR="00A666A0">
              <w:rPr>
                <w:rFonts w:ascii="Calibri" w:eastAsia="MS Mincho" w:hAnsi="Calibri" w:cs="Calibri"/>
                <w:sz w:val="20"/>
                <w:szCs w:val="20"/>
                <w:lang w:eastAsia="ja-JP"/>
              </w:rPr>
              <w:t>5</w:t>
            </w:r>
            <w:r>
              <w:rPr>
                <w:rFonts w:ascii="Calibri" w:eastAsia="MS Mincho" w:hAnsi="Calibri" w:cs="Calibri"/>
                <w:sz w:val="20"/>
                <w:szCs w:val="20"/>
                <w:lang w:eastAsia="ja-JP"/>
              </w:rPr>
              <w:t>,</w:t>
            </w:r>
            <w:r w:rsidR="00A666A0">
              <w:rPr>
                <w:rFonts w:ascii="Calibri" w:eastAsia="MS Mincho" w:hAnsi="Calibri" w:cs="Calibri"/>
                <w:sz w:val="20"/>
                <w:szCs w:val="20"/>
                <w:lang w:eastAsia="ja-JP"/>
              </w:rPr>
              <w:t>183</w:t>
            </w:r>
          </w:p>
        </w:tc>
        <w:tc>
          <w:tcPr>
            <w:tcW w:w="1957" w:type="dxa"/>
            <w:shd w:val="clear" w:color="auto" w:fill="auto"/>
          </w:tcPr>
          <w:p w14:paraId="1B19A833" w14:textId="4BBDBFD6" w:rsidR="00CC735A" w:rsidRDefault="00D45F39" w:rsidP="009662C6">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1,630,401</w:t>
            </w:r>
          </w:p>
        </w:tc>
      </w:tr>
      <w:tr w:rsidR="00CC735A" w14:paraId="4723A86D" w14:textId="77777777" w:rsidTr="00C95A74">
        <w:trPr>
          <w:trHeight w:val="194"/>
        </w:trPr>
        <w:tc>
          <w:tcPr>
            <w:tcW w:w="5155" w:type="dxa"/>
          </w:tcPr>
          <w:p w14:paraId="768B6BEC" w14:textId="3048BBB7" w:rsidR="00CC735A" w:rsidRDefault="00A8171B"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Effect of exchange rate on cash and cash equivalents</w:t>
            </w:r>
          </w:p>
        </w:tc>
        <w:tc>
          <w:tcPr>
            <w:tcW w:w="2140" w:type="dxa"/>
            <w:shd w:val="clear" w:color="auto" w:fill="auto"/>
          </w:tcPr>
          <w:p w14:paraId="5DB82FBF" w14:textId="0C7A4A83" w:rsidR="00CC735A" w:rsidRDefault="001A716D" w:rsidP="00C95A74">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22</w:t>
            </w:r>
            <w:r w:rsidR="00A666A0">
              <w:rPr>
                <w:rFonts w:ascii="Calibri" w:eastAsia="MS Mincho" w:hAnsi="Calibri" w:cs="Calibri"/>
                <w:sz w:val="20"/>
                <w:szCs w:val="20"/>
                <w:lang w:eastAsia="ja-JP"/>
              </w:rPr>
              <w:t>8</w:t>
            </w:r>
            <w:r>
              <w:rPr>
                <w:rFonts w:ascii="Calibri" w:eastAsia="MS Mincho" w:hAnsi="Calibri" w:cs="Calibri"/>
                <w:sz w:val="20"/>
                <w:szCs w:val="20"/>
                <w:lang w:eastAsia="ja-JP"/>
              </w:rPr>
              <w:t>,</w:t>
            </w:r>
            <w:r w:rsidR="00A666A0">
              <w:rPr>
                <w:rFonts w:ascii="Calibri" w:eastAsia="MS Mincho" w:hAnsi="Calibri" w:cs="Calibri"/>
                <w:sz w:val="20"/>
                <w:szCs w:val="20"/>
                <w:lang w:eastAsia="ja-JP"/>
              </w:rPr>
              <w:t>764</w:t>
            </w:r>
          </w:p>
        </w:tc>
        <w:tc>
          <w:tcPr>
            <w:tcW w:w="1957" w:type="dxa"/>
            <w:shd w:val="clear" w:color="auto" w:fill="auto"/>
          </w:tcPr>
          <w:p w14:paraId="7E0CABB1" w14:textId="32045671" w:rsidR="00CC735A" w:rsidRDefault="00A8171B" w:rsidP="009662C6">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w:t>
            </w:r>
            <w:r w:rsidR="00D45F39">
              <w:rPr>
                <w:rFonts w:ascii="Calibri" w:eastAsia="MS Mincho" w:hAnsi="Calibri" w:cs="Calibri"/>
                <w:sz w:val="20"/>
                <w:szCs w:val="20"/>
                <w:lang w:eastAsia="ja-JP"/>
              </w:rPr>
              <w:t>97,921</w:t>
            </w:r>
            <w:r w:rsidR="00A729A5">
              <w:rPr>
                <w:rFonts w:ascii="Calibri" w:eastAsia="MS Mincho" w:hAnsi="Calibri" w:cs="Calibri"/>
                <w:sz w:val="20"/>
                <w:szCs w:val="20"/>
                <w:lang w:eastAsia="ja-JP"/>
              </w:rPr>
              <w:t>)</w:t>
            </w:r>
          </w:p>
        </w:tc>
      </w:tr>
      <w:tr w:rsidR="00CC735A" w14:paraId="628BE84B" w14:textId="77777777" w:rsidTr="00C95A74">
        <w:trPr>
          <w:trHeight w:val="194"/>
        </w:trPr>
        <w:tc>
          <w:tcPr>
            <w:tcW w:w="5155" w:type="dxa"/>
          </w:tcPr>
          <w:p w14:paraId="56588463" w14:textId="6486CCF0" w:rsidR="00CC735A" w:rsidRDefault="00CC735A" w:rsidP="001B46D2">
            <w:pPr>
              <w:pStyle w:val="Headingext1"/>
              <w:spacing w:before="60"/>
              <w:rPr>
                <w:rFonts w:ascii="Calibri" w:eastAsia="MS Mincho" w:hAnsi="Calibri" w:cs="Calibri"/>
                <w:sz w:val="20"/>
                <w:szCs w:val="20"/>
                <w:lang w:eastAsia="ja-JP"/>
              </w:rPr>
            </w:pPr>
            <w:r>
              <w:rPr>
                <w:rFonts w:ascii="Calibri" w:eastAsia="MS Mincho" w:hAnsi="Calibri" w:cs="Calibri"/>
                <w:sz w:val="20"/>
                <w:szCs w:val="20"/>
                <w:lang w:eastAsia="ja-JP"/>
              </w:rPr>
              <w:t>Increase (decrease) in cash</w:t>
            </w:r>
            <w:r w:rsidR="00A8171B">
              <w:rPr>
                <w:rFonts w:ascii="Calibri" w:eastAsia="MS Mincho" w:hAnsi="Calibri" w:cs="Calibri"/>
                <w:sz w:val="20"/>
                <w:szCs w:val="20"/>
                <w:lang w:eastAsia="ja-JP"/>
              </w:rPr>
              <w:t>, cash equivalents, and restricted cash</w:t>
            </w:r>
          </w:p>
        </w:tc>
        <w:tc>
          <w:tcPr>
            <w:tcW w:w="2140" w:type="dxa"/>
            <w:shd w:val="clear" w:color="auto" w:fill="auto"/>
          </w:tcPr>
          <w:p w14:paraId="1CDBB26B" w14:textId="6B750B62" w:rsidR="00CC735A" w:rsidRDefault="001A716D" w:rsidP="00C95A74">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22,475,52</w:t>
            </w:r>
            <w:r w:rsidR="00263500">
              <w:rPr>
                <w:rFonts w:ascii="Calibri" w:eastAsia="MS Mincho" w:hAnsi="Calibri" w:cs="Calibri"/>
                <w:sz w:val="20"/>
                <w:szCs w:val="20"/>
                <w:lang w:eastAsia="ja-JP"/>
              </w:rPr>
              <w:t>9</w:t>
            </w:r>
          </w:p>
        </w:tc>
        <w:tc>
          <w:tcPr>
            <w:tcW w:w="1957" w:type="dxa"/>
            <w:shd w:val="clear" w:color="auto" w:fill="auto"/>
          </w:tcPr>
          <w:p w14:paraId="33586E4A" w14:textId="0963F8C3" w:rsidR="00CC735A" w:rsidRDefault="00D45F39" w:rsidP="009662C6">
            <w:pPr>
              <w:pStyle w:val="Headingext1"/>
              <w:spacing w:before="60"/>
              <w:jc w:val="right"/>
              <w:rPr>
                <w:rFonts w:ascii="Calibri" w:eastAsia="MS Mincho" w:hAnsi="Calibri" w:cs="Calibri"/>
                <w:sz w:val="20"/>
                <w:szCs w:val="20"/>
                <w:lang w:eastAsia="ja-JP"/>
              </w:rPr>
            </w:pPr>
            <w:r>
              <w:rPr>
                <w:rFonts w:ascii="Calibri" w:eastAsia="MS Mincho" w:hAnsi="Calibri" w:cs="Calibri"/>
                <w:sz w:val="20"/>
                <w:szCs w:val="20"/>
                <w:lang w:eastAsia="ja-JP"/>
              </w:rPr>
              <w:t>881,989</w:t>
            </w:r>
          </w:p>
        </w:tc>
      </w:tr>
    </w:tbl>
    <w:p w14:paraId="4A2DAFAC" w14:textId="11A40835" w:rsidR="00F219C2" w:rsidRDefault="00F219C2" w:rsidP="00226BF2">
      <w:pPr>
        <w:jc w:val="both"/>
        <w:rPr>
          <w:b/>
          <w:bCs/>
          <w:color w:val="000000"/>
        </w:rPr>
      </w:pPr>
    </w:p>
    <w:p w14:paraId="64C76C74" w14:textId="77777777" w:rsidR="006E158B" w:rsidRPr="003F1DCD" w:rsidRDefault="006E158B" w:rsidP="006E158B">
      <w:pPr>
        <w:pStyle w:val="NormalWeb"/>
        <w:spacing w:before="0" w:beforeAutospacing="0" w:after="0" w:afterAutospacing="0"/>
        <w:jc w:val="both"/>
        <w:rPr>
          <w:sz w:val="20"/>
          <w:szCs w:val="20"/>
        </w:rPr>
      </w:pPr>
      <w:r w:rsidRPr="003F1DCD">
        <w:rPr>
          <w:b/>
          <w:bCs/>
          <w:i/>
          <w:iCs/>
          <w:sz w:val="20"/>
          <w:szCs w:val="20"/>
        </w:rPr>
        <w:t>Cash Used in Operating Activities</w:t>
      </w:r>
    </w:p>
    <w:p w14:paraId="519884DE" w14:textId="77777777" w:rsidR="006E158B" w:rsidRPr="003F1DCD" w:rsidRDefault="006E158B" w:rsidP="006E158B">
      <w:pPr>
        <w:pStyle w:val="NormalWeb"/>
        <w:spacing w:before="0" w:beforeAutospacing="0" w:after="0" w:afterAutospacing="0"/>
        <w:jc w:val="both"/>
        <w:rPr>
          <w:sz w:val="20"/>
          <w:szCs w:val="20"/>
        </w:rPr>
      </w:pPr>
      <w:r w:rsidRPr="003F1DCD">
        <w:rPr>
          <w:sz w:val="20"/>
          <w:szCs w:val="20"/>
        </w:rPr>
        <w:t> </w:t>
      </w:r>
    </w:p>
    <w:p w14:paraId="26763468" w14:textId="75664552" w:rsidR="00C600C6" w:rsidRPr="006B1B6D" w:rsidRDefault="00C600C6" w:rsidP="00C95A74">
      <w:pPr>
        <w:pStyle w:val="NormalWeb"/>
        <w:spacing w:before="0" w:beforeAutospacing="0" w:after="0" w:afterAutospacing="0"/>
        <w:jc w:val="both"/>
        <w:rPr>
          <w:sz w:val="20"/>
          <w:szCs w:val="20"/>
        </w:rPr>
      </w:pPr>
      <w:r w:rsidRPr="003F1DCD">
        <w:rPr>
          <w:sz w:val="20"/>
          <w:szCs w:val="20"/>
        </w:rPr>
        <w:t xml:space="preserve">Net cash used in operating activities for the </w:t>
      </w:r>
      <w:r w:rsidR="001A716D">
        <w:rPr>
          <w:sz w:val="20"/>
          <w:szCs w:val="20"/>
        </w:rPr>
        <w:t>six</w:t>
      </w:r>
      <w:r w:rsidR="00A64029">
        <w:rPr>
          <w:sz w:val="20"/>
          <w:szCs w:val="20"/>
        </w:rPr>
        <w:t xml:space="preserve"> months </w:t>
      </w:r>
      <w:r w:rsidRPr="003F1DCD">
        <w:rPr>
          <w:sz w:val="20"/>
          <w:szCs w:val="20"/>
        </w:rPr>
        <w:t xml:space="preserve">ended </w:t>
      </w:r>
      <w:r w:rsidR="00D45F39">
        <w:rPr>
          <w:sz w:val="20"/>
          <w:szCs w:val="20"/>
        </w:rPr>
        <w:t>June 30</w:t>
      </w:r>
      <w:r w:rsidRPr="003F1DCD">
        <w:rPr>
          <w:sz w:val="20"/>
          <w:szCs w:val="20"/>
        </w:rPr>
        <w:t xml:space="preserve">, </w:t>
      </w:r>
      <w:proofErr w:type="gramStart"/>
      <w:r w:rsidRPr="009E3192">
        <w:rPr>
          <w:sz w:val="20"/>
          <w:szCs w:val="20"/>
        </w:rPr>
        <w:t>202</w:t>
      </w:r>
      <w:r w:rsidR="00A64029" w:rsidRPr="009E3192">
        <w:rPr>
          <w:sz w:val="20"/>
          <w:szCs w:val="20"/>
        </w:rPr>
        <w:t>2</w:t>
      </w:r>
      <w:proofErr w:type="gramEnd"/>
      <w:r w:rsidRPr="009E3192">
        <w:rPr>
          <w:sz w:val="20"/>
          <w:szCs w:val="20"/>
        </w:rPr>
        <w:t xml:space="preserve"> was </w:t>
      </w:r>
      <w:r w:rsidRPr="00C95A74">
        <w:rPr>
          <w:sz w:val="20"/>
          <w:szCs w:val="20"/>
        </w:rPr>
        <w:t>$</w:t>
      </w:r>
      <w:r w:rsidR="001A716D">
        <w:rPr>
          <w:sz w:val="20"/>
          <w:szCs w:val="20"/>
        </w:rPr>
        <w:t>5,798,41</w:t>
      </w:r>
      <w:r w:rsidR="00263500">
        <w:rPr>
          <w:sz w:val="20"/>
          <w:szCs w:val="20"/>
        </w:rPr>
        <w:t>5</w:t>
      </w:r>
      <w:r w:rsidRPr="009E3192">
        <w:rPr>
          <w:sz w:val="20"/>
          <w:szCs w:val="20"/>
        </w:rPr>
        <w:t>, compared</w:t>
      </w:r>
      <w:r w:rsidRPr="00C009A1">
        <w:rPr>
          <w:sz w:val="20"/>
          <w:szCs w:val="20"/>
        </w:rPr>
        <w:t xml:space="preserve"> to $</w:t>
      </w:r>
      <w:r w:rsidR="00D45F39">
        <w:rPr>
          <w:sz w:val="20"/>
          <w:szCs w:val="20"/>
        </w:rPr>
        <w:t>643,369</w:t>
      </w:r>
      <w:r w:rsidRPr="00C009A1">
        <w:rPr>
          <w:sz w:val="20"/>
          <w:szCs w:val="20"/>
        </w:rPr>
        <w:t xml:space="preserve"> cash used in operating activities for </w:t>
      </w:r>
      <w:r w:rsidR="00D45F39">
        <w:rPr>
          <w:sz w:val="20"/>
          <w:szCs w:val="20"/>
        </w:rPr>
        <w:t>six</w:t>
      </w:r>
      <w:r w:rsidR="009A0BB7" w:rsidRPr="00C009A1">
        <w:rPr>
          <w:sz w:val="20"/>
          <w:szCs w:val="20"/>
        </w:rPr>
        <w:t xml:space="preserve"> months ended </w:t>
      </w:r>
      <w:r w:rsidR="00D45F39">
        <w:rPr>
          <w:sz w:val="20"/>
          <w:szCs w:val="20"/>
        </w:rPr>
        <w:t>June 30</w:t>
      </w:r>
      <w:r w:rsidRPr="00C009A1">
        <w:rPr>
          <w:sz w:val="20"/>
          <w:szCs w:val="20"/>
        </w:rPr>
        <w:t>, 202</w:t>
      </w:r>
      <w:r w:rsidR="009A0BB7" w:rsidRPr="00C009A1">
        <w:rPr>
          <w:sz w:val="20"/>
          <w:szCs w:val="20"/>
        </w:rPr>
        <w:t>1</w:t>
      </w:r>
      <w:r w:rsidRPr="00C009A1">
        <w:rPr>
          <w:sz w:val="20"/>
          <w:szCs w:val="20"/>
        </w:rPr>
        <w:t>.</w:t>
      </w:r>
      <w:r w:rsidRPr="003F1DCD">
        <w:rPr>
          <w:sz w:val="20"/>
          <w:szCs w:val="20"/>
        </w:rPr>
        <w:t xml:space="preserve"> The current period loss of $</w:t>
      </w:r>
      <w:r w:rsidR="001A716D">
        <w:rPr>
          <w:sz w:val="20"/>
          <w:szCs w:val="20"/>
        </w:rPr>
        <w:t>1,88</w:t>
      </w:r>
      <w:r w:rsidR="00263500">
        <w:rPr>
          <w:sz w:val="20"/>
          <w:szCs w:val="20"/>
        </w:rPr>
        <w:t>4</w:t>
      </w:r>
      <w:r w:rsidR="001A716D">
        <w:rPr>
          <w:sz w:val="20"/>
          <w:szCs w:val="20"/>
        </w:rPr>
        <w:t>,</w:t>
      </w:r>
      <w:r w:rsidR="00263500">
        <w:rPr>
          <w:sz w:val="20"/>
          <w:szCs w:val="20"/>
        </w:rPr>
        <w:t>929</w:t>
      </w:r>
      <w:r w:rsidR="009E3192">
        <w:rPr>
          <w:sz w:val="20"/>
          <w:szCs w:val="20"/>
        </w:rPr>
        <w:t xml:space="preserve"> </w:t>
      </w:r>
      <w:r w:rsidRPr="003F1DCD">
        <w:rPr>
          <w:sz w:val="20"/>
          <w:szCs w:val="20"/>
        </w:rPr>
        <w:t xml:space="preserve">was </w:t>
      </w:r>
      <w:r w:rsidR="001A716D">
        <w:rPr>
          <w:sz w:val="20"/>
          <w:szCs w:val="20"/>
        </w:rPr>
        <w:t>coupled</w:t>
      </w:r>
      <w:r w:rsidRPr="003F1DCD">
        <w:rPr>
          <w:sz w:val="20"/>
          <w:szCs w:val="20"/>
        </w:rPr>
        <w:t xml:space="preserve"> </w:t>
      </w:r>
      <w:r w:rsidR="001A716D">
        <w:rPr>
          <w:sz w:val="20"/>
          <w:szCs w:val="20"/>
        </w:rPr>
        <w:t>with</w:t>
      </w:r>
      <w:r w:rsidRPr="003F1DCD">
        <w:rPr>
          <w:sz w:val="20"/>
          <w:szCs w:val="20"/>
        </w:rPr>
        <w:t xml:space="preserve"> $</w:t>
      </w:r>
      <w:r w:rsidR="001A716D">
        <w:rPr>
          <w:sz w:val="20"/>
          <w:szCs w:val="20"/>
        </w:rPr>
        <w:t>4,68</w:t>
      </w:r>
      <w:r w:rsidR="00263500">
        <w:rPr>
          <w:sz w:val="20"/>
          <w:szCs w:val="20"/>
        </w:rPr>
        <w:t>7</w:t>
      </w:r>
      <w:r w:rsidR="001A716D">
        <w:rPr>
          <w:sz w:val="20"/>
          <w:szCs w:val="20"/>
        </w:rPr>
        <w:t>,</w:t>
      </w:r>
      <w:r w:rsidR="00263500">
        <w:rPr>
          <w:sz w:val="20"/>
          <w:szCs w:val="20"/>
        </w:rPr>
        <w:t>288</w:t>
      </w:r>
      <w:r w:rsidRPr="003F1DCD">
        <w:rPr>
          <w:sz w:val="20"/>
          <w:szCs w:val="20"/>
        </w:rPr>
        <w:t xml:space="preserve"> in changes in working capital items and</w:t>
      </w:r>
      <w:r w:rsidR="001A716D">
        <w:rPr>
          <w:sz w:val="20"/>
          <w:szCs w:val="20"/>
        </w:rPr>
        <w:t xml:space="preserve"> offset</w:t>
      </w:r>
      <w:r w:rsidRPr="003F1DCD">
        <w:rPr>
          <w:sz w:val="20"/>
          <w:szCs w:val="20"/>
        </w:rPr>
        <w:t xml:space="preserve"> by $</w:t>
      </w:r>
      <w:r w:rsidR="00500F4B">
        <w:rPr>
          <w:sz w:val="20"/>
          <w:szCs w:val="20"/>
        </w:rPr>
        <w:t>773</w:t>
      </w:r>
      <w:r w:rsidR="00D45F39">
        <w:rPr>
          <w:sz w:val="20"/>
          <w:szCs w:val="20"/>
        </w:rPr>
        <w:t>,</w:t>
      </w:r>
      <w:r w:rsidR="00500F4B">
        <w:rPr>
          <w:sz w:val="20"/>
          <w:szCs w:val="20"/>
        </w:rPr>
        <w:t>80</w:t>
      </w:r>
      <w:r w:rsidR="00263500">
        <w:rPr>
          <w:sz w:val="20"/>
          <w:szCs w:val="20"/>
        </w:rPr>
        <w:t>2</w:t>
      </w:r>
      <w:r w:rsidRPr="003F1DCD">
        <w:rPr>
          <w:sz w:val="20"/>
          <w:szCs w:val="20"/>
        </w:rPr>
        <w:t xml:space="preserve"> in net non-cash items for the </w:t>
      </w:r>
      <w:r w:rsidR="00D45F39">
        <w:rPr>
          <w:sz w:val="20"/>
          <w:szCs w:val="20"/>
        </w:rPr>
        <w:t xml:space="preserve">six </w:t>
      </w:r>
      <w:r w:rsidR="009E3192">
        <w:rPr>
          <w:sz w:val="20"/>
          <w:szCs w:val="20"/>
        </w:rPr>
        <w:t xml:space="preserve">months ended </w:t>
      </w:r>
      <w:r w:rsidR="00D45F39">
        <w:rPr>
          <w:sz w:val="20"/>
          <w:szCs w:val="20"/>
        </w:rPr>
        <w:t>June 30</w:t>
      </w:r>
      <w:r w:rsidR="009E3192">
        <w:rPr>
          <w:sz w:val="20"/>
          <w:szCs w:val="20"/>
        </w:rPr>
        <w:t>, 2022</w:t>
      </w:r>
      <w:r w:rsidRPr="003F1DCD">
        <w:rPr>
          <w:sz w:val="20"/>
          <w:szCs w:val="20"/>
        </w:rPr>
        <w:t>. This compares to a loss of $</w:t>
      </w:r>
      <w:r w:rsidR="00D45F39">
        <w:rPr>
          <w:sz w:val="20"/>
          <w:szCs w:val="20"/>
        </w:rPr>
        <w:t>7,442,627</w:t>
      </w:r>
      <w:r w:rsidRPr="003F1DCD">
        <w:rPr>
          <w:sz w:val="20"/>
          <w:szCs w:val="20"/>
        </w:rPr>
        <w:t xml:space="preserve">, </w:t>
      </w:r>
      <w:r w:rsidR="00D45F39">
        <w:rPr>
          <w:sz w:val="20"/>
          <w:szCs w:val="20"/>
        </w:rPr>
        <w:t>coupled</w:t>
      </w:r>
      <w:r w:rsidRPr="003F1DCD">
        <w:rPr>
          <w:sz w:val="20"/>
          <w:szCs w:val="20"/>
        </w:rPr>
        <w:t xml:space="preserve"> by $</w:t>
      </w:r>
      <w:r w:rsidR="00D45F39">
        <w:rPr>
          <w:sz w:val="20"/>
          <w:szCs w:val="20"/>
        </w:rPr>
        <w:t>1,279</w:t>
      </w:r>
      <w:r w:rsidRPr="003F1DCD">
        <w:rPr>
          <w:sz w:val="20"/>
          <w:szCs w:val="20"/>
        </w:rPr>
        <w:t xml:space="preserve"> in net non-cash items and</w:t>
      </w:r>
      <w:r w:rsidR="00D45F39">
        <w:rPr>
          <w:sz w:val="20"/>
          <w:szCs w:val="20"/>
        </w:rPr>
        <w:t xml:space="preserve"> offset by</w:t>
      </w:r>
      <w:r w:rsidRPr="003F1DCD">
        <w:rPr>
          <w:sz w:val="20"/>
          <w:szCs w:val="20"/>
        </w:rPr>
        <w:t xml:space="preserve"> $</w:t>
      </w:r>
      <w:r w:rsidR="00D45F39">
        <w:rPr>
          <w:sz w:val="20"/>
          <w:szCs w:val="20"/>
        </w:rPr>
        <w:t>7,025,043</w:t>
      </w:r>
      <w:r w:rsidRPr="003F1DCD">
        <w:rPr>
          <w:sz w:val="20"/>
          <w:szCs w:val="20"/>
        </w:rPr>
        <w:t xml:space="preserve"> in changes in working capital items</w:t>
      </w:r>
      <w:r w:rsidR="009E3192">
        <w:rPr>
          <w:sz w:val="20"/>
          <w:szCs w:val="20"/>
        </w:rPr>
        <w:t xml:space="preserve"> for the </w:t>
      </w:r>
      <w:r w:rsidR="00D45F39">
        <w:rPr>
          <w:sz w:val="20"/>
          <w:szCs w:val="20"/>
        </w:rPr>
        <w:t>six</w:t>
      </w:r>
      <w:r w:rsidR="009E3192">
        <w:rPr>
          <w:sz w:val="20"/>
          <w:szCs w:val="20"/>
        </w:rPr>
        <w:t xml:space="preserve"> months ended </w:t>
      </w:r>
      <w:r w:rsidR="00D45F39">
        <w:rPr>
          <w:sz w:val="20"/>
          <w:szCs w:val="20"/>
        </w:rPr>
        <w:t>June 30</w:t>
      </w:r>
      <w:r w:rsidR="009E3192">
        <w:rPr>
          <w:sz w:val="20"/>
          <w:szCs w:val="20"/>
        </w:rPr>
        <w:t>, 202</w:t>
      </w:r>
      <w:r w:rsidR="007F0EAC">
        <w:rPr>
          <w:sz w:val="20"/>
          <w:szCs w:val="20"/>
        </w:rPr>
        <w:t>1.</w:t>
      </w:r>
    </w:p>
    <w:p w14:paraId="79B33524" w14:textId="528373D6" w:rsidR="006E158B" w:rsidRDefault="006E158B" w:rsidP="009E3192">
      <w:pPr>
        <w:pStyle w:val="NormalWeb"/>
        <w:spacing w:before="0" w:beforeAutospacing="0" w:after="0" w:afterAutospacing="0"/>
        <w:jc w:val="both"/>
        <w:rPr>
          <w:sz w:val="20"/>
          <w:szCs w:val="20"/>
        </w:rPr>
      </w:pPr>
      <w:r w:rsidRPr="003F1DCD">
        <w:rPr>
          <w:sz w:val="20"/>
          <w:szCs w:val="20"/>
        </w:rPr>
        <w:t> </w:t>
      </w:r>
    </w:p>
    <w:p w14:paraId="2C353DDE" w14:textId="77777777" w:rsidR="004165B6" w:rsidRPr="003F1DCD" w:rsidRDefault="004165B6" w:rsidP="009E3192">
      <w:pPr>
        <w:pStyle w:val="NormalWeb"/>
        <w:spacing w:before="0" w:beforeAutospacing="0" w:after="0" w:afterAutospacing="0"/>
        <w:jc w:val="both"/>
        <w:rPr>
          <w:sz w:val="20"/>
          <w:szCs w:val="20"/>
        </w:rPr>
      </w:pPr>
    </w:p>
    <w:p w14:paraId="6B0A8E60" w14:textId="77777777" w:rsidR="006E158B" w:rsidRPr="003F1DCD" w:rsidRDefault="006E158B" w:rsidP="006E158B">
      <w:pPr>
        <w:pStyle w:val="NormalWeb"/>
        <w:spacing w:before="0" w:beforeAutospacing="0" w:after="0" w:afterAutospacing="0"/>
        <w:jc w:val="both"/>
        <w:rPr>
          <w:sz w:val="20"/>
          <w:szCs w:val="20"/>
        </w:rPr>
      </w:pPr>
      <w:r w:rsidRPr="003F1DCD">
        <w:rPr>
          <w:b/>
          <w:bCs/>
          <w:i/>
          <w:iCs/>
          <w:sz w:val="20"/>
          <w:szCs w:val="20"/>
        </w:rPr>
        <w:t>Cash Used in Investing Activities</w:t>
      </w:r>
    </w:p>
    <w:p w14:paraId="0F04F316" w14:textId="77777777" w:rsidR="006E158B" w:rsidRPr="003F1DCD" w:rsidRDefault="006E158B" w:rsidP="006E158B">
      <w:pPr>
        <w:pStyle w:val="NormalWeb"/>
        <w:spacing w:before="0" w:beforeAutospacing="0" w:after="0" w:afterAutospacing="0"/>
        <w:jc w:val="both"/>
        <w:rPr>
          <w:sz w:val="20"/>
          <w:szCs w:val="20"/>
        </w:rPr>
      </w:pPr>
      <w:r w:rsidRPr="003F1DCD">
        <w:rPr>
          <w:sz w:val="20"/>
          <w:szCs w:val="20"/>
        </w:rPr>
        <w:t> </w:t>
      </w:r>
    </w:p>
    <w:p w14:paraId="268A26F8" w14:textId="7E2007E3" w:rsidR="00C600C6" w:rsidRDefault="00C600C6" w:rsidP="00C600C6">
      <w:pPr>
        <w:pStyle w:val="NormalWeb"/>
        <w:spacing w:before="0" w:beforeAutospacing="0" w:after="0" w:afterAutospacing="0"/>
        <w:jc w:val="both"/>
        <w:rPr>
          <w:sz w:val="20"/>
          <w:szCs w:val="20"/>
        </w:rPr>
      </w:pPr>
      <w:r w:rsidRPr="00B5460F">
        <w:rPr>
          <w:sz w:val="20"/>
          <w:szCs w:val="20"/>
        </w:rPr>
        <w:t xml:space="preserve">Net cash </w:t>
      </w:r>
      <w:r w:rsidRPr="00C95A74">
        <w:rPr>
          <w:sz w:val="20"/>
          <w:szCs w:val="20"/>
        </w:rPr>
        <w:t>used in</w:t>
      </w:r>
      <w:r w:rsidRPr="00B5460F">
        <w:rPr>
          <w:sz w:val="20"/>
          <w:szCs w:val="20"/>
        </w:rPr>
        <w:t xml:space="preserve"> investing activities for the </w:t>
      </w:r>
      <w:r w:rsidR="00D45F39">
        <w:rPr>
          <w:sz w:val="20"/>
          <w:szCs w:val="20"/>
        </w:rPr>
        <w:t>six</w:t>
      </w:r>
      <w:r w:rsidR="00D45F39" w:rsidRPr="00B5460F">
        <w:rPr>
          <w:sz w:val="20"/>
          <w:szCs w:val="20"/>
        </w:rPr>
        <w:t xml:space="preserve"> </w:t>
      </w:r>
      <w:r w:rsidR="009071BD" w:rsidRPr="00B5460F">
        <w:rPr>
          <w:sz w:val="20"/>
          <w:szCs w:val="20"/>
        </w:rPr>
        <w:t xml:space="preserve">months ended </w:t>
      </w:r>
      <w:r w:rsidR="00D45F39">
        <w:rPr>
          <w:sz w:val="20"/>
          <w:szCs w:val="20"/>
        </w:rPr>
        <w:t>June 30</w:t>
      </w:r>
      <w:r w:rsidR="009071BD" w:rsidRPr="00B5460F">
        <w:rPr>
          <w:sz w:val="20"/>
          <w:szCs w:val="20"/>
        </w:rPr>
        <w:t xml:space="preserve">, </w:t>
      </w:r>
      <w:proofErr w:type="gramStart"/>
      <w:r w:rsidR="009071BD" w:rsidRPr="00B5460F">
        <w:rPr>
          <w:sz w:val="20"/>
          <w:szCs w:val="20"/>
        </w:rPr>
        <w:t>2022</w:t>
      </w:r>
      <w:proofErr w:type="gramEnd"/>
      <w:r w:rsidRPr="00B5460F">
        <w:rPr>
          <w:sz w:val="20"/>
          <w:szCs w:val="20"/>
        </w:rPr>
        <w:t xml:space="preserve"> was </w:t>
      </w:r>
      <w:r w:rsidRPr="00C95A74">
        <w:rPr>
          <w:sz w:val="20"/>
          <w:szCs w:val="20"/>
        </w:rPr>
        <w:t>$</w:t>
      </w:r>
      <w:r w:rsidR="00500F4B">
        <w:rPr>
          <w:sz w:val="20"/>
          <w:szCs w:val="20"/>
        </w:rPr>
        <w:t>160,003</w:t>
      </w:r>
      <w:r w:rsidRPr="00B5460F">
        <w:rPr>
          <w:sz w:val="20"/>
          <w:szCs w:val="20"/>
        </w:rPr>
        <w:t>, compared to $</w:t>
      </w:r>
      <w:r w:rsidR="00175D50">
        <w:rPr>
          <w:sz w:val="20"/>
          <w:szCs w:val="20"/>
        </w:rPr>
        <w:t>7,122</w:t>
      </w:r>
      <w:r w:rsidR="00175D50" w:rsidRPr="00B5460F">
        <w:rPr>
          <w:sz w:val="20"/>
          <w:szCs w:val="20"/>
        </w:rPr>
        <w:t xml:space="preserve"> </w:t>
      </w:r>
      <w:r w:rsidRPr="00B5460F">
        <w:rPr>
          <w:sz w:val="20"/>
          <w:szCs w:val="20"/>
        </w:rPr>
        <w:t xml:space="preserve">used for the </w:t>
      </w:r>
      <w:r w:rsidR="00175D50">
        <w:rPr>
          <w:sz w:val="20"/>
          <w:szCs w:val="20"/>
        </w:rPr>
        <w:t>six</w:t>
      </w:r>
      <w:r w:rsidR="00A07BF5" w:rsidRPr="00B5460F">
        <w:rPr>
          <w:sz w:val="20"/>
          <w:szCs w:val="20"/>
        </w:rPr>
        <w:t xml:space="preserve"> months ended </w:t>
      </w:r>
      <w:r w:rsidR="00175D50">
        <w:rPr>
          <w:sz w:val="20"/>
          <w:szCs w:val="20"/>
        </w:rPr>
        <w:t>June 30</w:t>
      </w:r>
      <w:r w:rsidR="00A07BF5" w:rsidRPr="00B5460F">
        <w:rPr>
          <w:sz w:val="20"/>
          <w:szCs w:val="20"/>
        </w:rPr>
        <w:t>, 2021</w:t>
      </w:r>
      <w:r w:rsidRPr="00B5460F">
        <w:rPr>
          <w:sz w:val="20"/>
          <w:szCs w:val="20"/>
        </w:rPr>
        <w:t xml:space="preserve">. </w:t>
      </w:r>
      <w:r w:rsidRPr="00C95A74">
        <w:rPr>
          <w:sz w:val="20"/>
          <w:szCs w:val="20"/>
        </w:rPr>
        <w:t xml:space="preserve">Oil and gas properties expenditures </w:t>
      </w:r>
      <w:r w:rsidR="00500F4B">
        <w:rPr>
          <w:sz w:val="20"/>
          <w:szCs w:val="20"/>
        </w:rPr>
        <w:t>decreased</w:t>
      </w:r>
      <w:r w:rsidR="00500F4B" w:rsidRPr="00C95A74">
        <w:rPr>
          <w:sz w:val="20"/>
          <w:szCs w:val="20"/>
        </w:rPr>
        <w:t xml:space="preserve"> </w:t>
      </w:r>
      <w:r w:rsidRPr="00C95A74">
        <w:rPr>
          <w:sz w:val="20"/>
          <w:szCs w:val="20"/>
        </w:rPr>
        <w:t>to $</w:t>
      </w:r>
      <w:r w:rsidR="00500F4B">
        <w:rPr>
          <w:sz w:val="20"/>
          <w:szCs w:val="20"/>
        </w:rPr>
        <w:t>Nil</w:t>
      </w:r>
      <w:r w:rsidRPr="00C95A74">
        <w:rPr>
          <w:sz w:val="20"/>
          <w:szCs w:val="20"/>
        </w:rPr>
        <w:t xml:space="preserve"> from $</w:t>
      </w:r>
      <w:r w:rsidR="00175D50">
        <w:rPr>
          <w:sz w:val="20"/>
          <w:szCs w:val="20"/>
        </w:rPr>
        <w:t xml:space="preserve">6,800 </w:t>
      </w:r>
      <w:r w:rsidRPr="00C95A74">
        <w:rPr>
          <w:sz w:val="20"/>
          <w:szCs w:val="20"/>
        </w:rPr>
        <w:t>in the comparative period and property and equipment expenditures increased to $</w:t>
      </w:r>
      <w:r w:rsidR="00175D50">
        <w:rPr>
          <w:sz w:val="20"/>
          <w:szCs w:val="20"/>
        </w:rPr>
        <w:t>160,003</w:t>
      </w:r>
      <w:r w:rsidRPr="00C95A74">
        <w:rPr>
          <w:sz w:val="20"/>
          <w:szCs w:val="20"/>
        </w:rPr>
        <w:t xml:space="preserve"> from $</w:t>
      </w:r>
      <w:r w:rsidR="00B5460F" w:rsidRPr="00C95A74">
        <w:rPr>
          <w:sz w:val="20"/>
          <w:szCs w:val="20"/>
        </w:rPr>
        <w:t>3</w:t>
      </w:r>
      <w:r w:rsidR="00175D50">
        <w:rPr>
          <w:sz w:val="20"/>
          <w:szCs w:val="20"/>
        </w:rPr>
        <w:t>22</w:t>
      </w:r>
      <w:r w:rsidRPr="00C95A74">
        <w:rPr>
          <w:sz w:val="20"/>
          <w:szCs w:val="20"/>
        </w:rPr>
        <w:t xml:space="preserve"> in the comparative period.</w:t>
      </w:r>
    </w:p>
    <w:p w14:paraId="108DAA33" w14:textId="77777777" w:rsidR="006E158B" w:rsidRPr="003F1DCD" w:rsidRDefault="006E158B" w:rsidP="006E158B">
      <w:pPr>
        <w:pStyle w:val="NormalWeb"/>
        <w:spacing w:before="0" w:beforeAutospacing="0" w:after="0" w:afterAutospacing="0"/>
        <w:jc w:val="both"/>
        <w:rPr>
          <w:sz w:val="20"/>
          <w:szCs w:val="20"/>
        </w:rPr>
      </w:pPr>
      <w:r w:rsidRPr="003F1DCD">
        <w:rPr>
          <w:sz w:val="20"/>
          <w:szCs w:val="20"/>
        </w:rPr>
        <w:t> </w:t>
      </w:r>
    </w:p>
    <w:p w14:paraId="25C712A9" w14:textId="77777777" w:rsidR="006E158B" w:rsidRPr="003F1DCD" w:rsidRDefault="006E158B" w:rsidP="006E158B">
      <w:pPr>
        <w:pStyle w:val="NormalWeb"/>
        <w:spacing w:before="0" w:beforeAutospacing="0" w:after="0" w:afterAutospacing="0"/>
        <w:jc w:val="both"/>
        <w:rPr>
          <w:sz w:val="20"/>
          <w:szCs w:val="20"/>
        </w:rPr>
      </w:pPr>
      <w:r w:rsidRPr="003F1DCD">
        <w:rPr>
          <w:b/>
          <w:bCs/>
          <w:i/>
          <w:iCs/>
          <w:sz w:val="20"/>
          <w:szCs w:val="20"/>
        </w:rPr>
        <w:t>Cash Provided by Financing Activities</w:t>
      </w:r>
    </w:p>
    <w:p w14:paraId="6123B6B5" w14:textId="77777777" w:rsidR="006E158B" w:rsidRPr="003F1DCD" w:rsidRDefault="006E158B" w:rsidP="006E158B">
      <w:pPr>
        <w:pStyle w:val="NormalWeb"/>
        <w:spacing w:before="0" w:beforeAutospacing="0" w:after="0" w:afterAutospacing="0"/>
        <w:jc w:val="both"/>
        <w:rPr>
          <w:sz w:val="20"/>
          <w:szCs w:val="20"/>
        </w:rPr>
      </w:pPr>
      <w:r w:rsidRPr="003F1DCD">
        <w:rPr>
          <w:sz w:val="20"/>
          <w:szCs w:val="20"/>
        </w:rPr>
        <w:t> </w:t>
      </w:r>
    </w:p>
    <w:p w14:paraId="32252B60" w14:textId="77777777" w:rsidR="006E158B" w:rsidRPr="003F1DCD" w:rsidRDefault="006E158B" w:rsidP="006E158B">
      <w:pPr>
        <w:pStyle w:val="NormalWeb"/>
        <w:spacing w:before="0" w:beforeAutospacing="0" w:after="0" w:afterAutospacing="0"/>
        <w:jc w:val="both"/>
        <w:rPr>
          <w:sz w:val="20"/>
          <w:szCs w:val="20"/>
        </w:rPr>
      </w:pPr>
      <w:r w:rsidRPr="003F1DCD">
        <w:rPr>
          <w:sz w:val="20"/>
          <w:szCs w:val="20"/>
        </w:rPr>
        <w:t>We have funded our business to date from sales of our common stock through private placements and loans from shareholders.</w:t>
      </w:r>
    </w:p>
    <w:p w14:paraId="56FDD1BF" w14:textId="77777777" w:rsidR="006E158B" w:rsidRPr="003F1DCD" w:rsidRDefault="006E158B" w:rsidP="006E158B">
      <w:pPr>
        <w:pStyle w:val="NormalWeb"/>
        <w:spacing w:before="0" w:beforeAutospacing="0" w:after="0" w:afterAutospacing="0"/>
        <w:jc w:val="both"/>
        <w:rPr>
          <w:sz w:val="20"/>
          <w:szCs w:val="20"/>
        </w:rPr>
      </w:pPr>
      <w:r w:rsidRPr="003F1DCD">
        <w:rPr>
          <w:sz w:val="20"/>
          <w:szCs w:val="20"/>
        </w:rPr>
        <w:t> </w:t>
      </w:r>
    </w:p>
    <w:p w14:paraId="7B946781" w14:textId="07307C3A" w:rsidR="00C600C6" w:rsidRPr="00C95A74" w:rsidRDefault="00C600C6" w:rsidP="00C600C6">
      <w:pPr>
        <w:pStyle w:val="NormalWeb"/>
        <w:spacing w:before="0" w:beforeAutospacing="0" w:after="0" w:afterAutospacing="0"/>
        <w:jc w:val="both"/>
        <w:rPr>
          <w:sz w:val="20"/>
          <w:szCs w:val="20"/>
          <w:highlight w:val="yellow"/>
        </w:rPr>
      </w:pPr>
      <w:r w:rsidRPr="003F1DCD">
        <w:rPr>
          <w:sz w:val="20"/>
          <w:szCs w:val="20"/>
        </w:rPr>
        <w:t xml:space="preserve">Net </w:t>
      </w:r>
      <w:r w:rsidRPr="00B5460F">
        <w:rPr>
          <w:sz w:val="20"/>
          <w:szCs w:val="20"/>
        </w:rPr>
        <w:t xml:space="preserve">cash provided by financing activities for the </w:t>
      </w:r>
      <w:r w:rsidR="00175D50">
        <w:rPr>
          <w:sz w:val="20"/>
          <w:szCs w:val="20"/>
        </w:rPr>
        <w:t>six</w:t>
      </w:r>
      <w:r w:rsidR="00D805FB" w:rsidRPr="00B5460F">
        <w:rPr>
          <w:sz w:val="20"/>
          <w:szCs w:val="20"/>
        </w:rPr>
        <w:t xml:space="preserve"> months ended </w:t>
      </w:r>
      <w:r w:rsidR="00175D50">
        <w:rPr>
          <w:sz w:val="20"/>
          <w:szCs w:val="20"/>
        </w:rPr>
        <w:t>June 30</w:t>
      </w:r>
      <w:r w:rsidR="00D805FB" w:rsidRPr="00B5460F">
        <w:rPr>
          <w:sz w:val="20"/>
          <w:szCs w:val="20"/>
        </w:rPr>
        <w:t xml:space="preserve">, </w:t>
      </w:r>
      <w:proofErr w:type="gramStart"/>
      <w:r w:rsidR="00D805FB" w:rsidRPr="00B5460F">
        <w:rPr>
          <w:sz w:val="20"/>
          <w:szCs w:val="20"/>
        </w:rPr>
        <w:t>2022</w:t>
      </w:r>
      <w:proofErr w:type="gramEnd"/>
      <w:r w:rsidRPr="00B5460F">
        <w:rPr>
          <w:sz w:val="20"/>
          <w:szCs w:val="20"/>
        </w:rPr>
        <w:t xml:space="preserve"> was </w:t>
      </w:r>
      <w:r w:rsidRPr="00C95A74">
        <w:rPr>
          <w:sz w:val="20"/>
          <w:szCs w:val="20"/>
        </w:rPr>
        <w:t>$</w:t>
      </w:r>
      <w:r w:rsidR="00175D50">
        <w:rPr>
          <w:sz w:val="20"/>
          <w:szCs w:val="20"/>
        </w:rPr>
        <w:t>28,</w:t>
      </w:r>
      <w:r w:rsidR="00500F4B">
        <w:rPr>
          <w:sz w:val="20"/>
          <w:szCs w:val="20"/>
        </w:rPr>
        <w:t>20</w:t>
      </w:r>
      <w:r w:rsidR="00A666A0">
        <w:rPr>
          <w:sz w:val="20"/>
          <w:szCs w:val="20"/>
        </w:rPr>
        <w:t>5</w:t>
      </w:r>
      <w:r w:rsidR="00500F4B">
        <w:rPr>
          <w:sz w:val="20"/>
          <w:szCs w:val="20"/>
        </w:rPr>
        <w:t>,</w:t>
      </w:r>
      <w:r w:rsidR="00A666A0">
        <w:rPr>
          <w:sz w:val="20"/>
          <w:szCs w:val="20"/>
        </w:rPr>
        <w:t>183</w:t>
      </w:r>
      <w:r w:rsidRPr="00B5460F">
        <w:rPr>
          <w:sz w:val="20"/>
          <w:szCs w:val="20"/>
        </w:rPr>
        <w:t>, compared to $</w:t>
      </w:r>
      <w:r w:rsidR="00175D50">
        <w:rPr>
          <w:sz w:val="20"/>
          <w:szCs w:val="20"/>
        </w:rPr>
        <w:t>1,630,401</w:t>
      </w:r>
      <w:r w:rsidRPr="00B5460F">
        <w:rPr>
          <w:sz w:val="20"/>
          <w:szCs w:val="20"/>
        </w:rPr>
        <w:t xml:space="preserve"> for the </w:t>
      </w:r>
      <w:r w:rsidR="00175D50">
        <w:rPr>
          <w:sz w:val="20"/>
          <w:szCs w:val="20"/>
        </w:rPr>
        <w:t>six</w:t>
      </w:r>
      <w:r w:rsidR="00F76C7F" w:rsidRPr="00B5460F">
        <w:rPr>
          <w:sz w:val="20"/>
          <w:szCs w:val="20"/>
        </w:rPr>
        <w:t xml:space="preserve"> months ended </w:t>
      </w:r>
      <w:r w:rsidR="00175D50">
        <w:rPr>
          <w:sz w:val="20"/>
          <w:szCs w:val="20"/>
        </w:rPr>
        <w:t>June 30</w:t>
      </w:r>
      <w:r w:rsidR="00F76C7F" w:rsidRPr="00B5460F">
        <w:rPr>
          <w:sz w:val="20"/>
          <w:szCs w:val="20"/>
        </w:rPr>
        <w:t>, 2021</w:t>
      </w:r>
      <w:r w:rsidRPr="00B5460F">
        <w:rPr>
          <w:sz w:val="20"/>
          <w:szCs w:val="20"/>
        </w:rPr>
        <w:t xml:space="preserve">. </w:t>
      </w:r>
      <w:r w:rsidRPr="00C95A74">
        <w:rPr>
          <w:sz w:val="20"/>
          <w:szCs w:val="20"/>
        </w:rPr>
        <w:t>Cash provided by financing activities in the current period was primarily related to $</w:t>
      </w:r>
      <w:r w:rsidR="00175D50">
        <w:rPr>
          <w:sz w:val="20"/>
          <w:szCs w:val="20"/>
        </w:rPr>
        <w:t>28,</w:t>
      </w:r>
      <w:r w:rsidR="00500F4B">
        <w:rPr>
          <w:sz w:val="20"/>
          <w:szCs w:val="20"/>
        </w:rPr>
        <w:t>7</w:t>
      </w:r>
      <w:r w:rsidR="00034F5D">
        <w:rPr>
          <w:sz w:val="20"/>
          <w:szCs w:val="20"/>
        </w:rPr>
        <w:t>48</w:t>
      </w:r>
      <w:r w:rsidR="00500F4B">
        <w:rPr>
          <w:sz w:val="20"/>
          <w:szCs w:val="20"/>
        </w:rPr>
        <w:t>,</w:t>
      </w:r>
      <w:r w:rsidR="00034F5D">
        <w:rPr>
          <w:sz w:val="20"/>
          <w:szCs w:val="20"/>
        </w:rPr>
        <w:t>739</w:t>
      </w:r>
      <w:r w:rsidRPr="00C95A74">
        <w:rPr>
          <w:sz w:val="20"/>
          <w:szCs w:val="20"/>
        </w:rPr>
        <w:t xml:space="preserve"> in proceeds</w:t>
      </w:r>
      <w:r w:rsidR="00A944D3">
        <w:rPr>
          <w:sz w:val="20"/>
          <w:szCs w:val="20"/>
        </w:rPr>
        <w:t>, net of stock issuance costs,</w:t>
      </w:r>
      <w:r w:rsidRPr="00C95A74">
        <w:rPr>
          <w:sz w:val="20"/>
          <w:szCs w:val="20"/>
        </w:rPr>
        <w:t xml:space="preserve"> for the issuance of s</w:t>
      </w:r>
      <w:r w:rsidR="00A944D3">
        <w:rPr>
          <w:sz w:val="20"/>
          <w:szCs w:val="20"/>
        </w:rPr>
        <w:t>tock</w:t>
      </w:r>
      <w:r w:rsidRPr="00C95A74">
        <w:rPr>
          <w:sz w:val="20"/>
          <w:szCs w:val="20"/>
        </w:rPr>
        <w:t xml:space="preserve"> related to private placements and warrant and option exercises</w:t>
      </w:r>
      <w:r w:rsidR="00B5460F" w:rsidRPr="00C95A74">
        <w:rPr>
          <w:sz w:val="20"/>
          <w:szCs w:val="20"/>
        </w:rPr>
        <w:t xml:space="preserve"> offset by note repayments. </w:t>
      </w:r>
      <w:r w:rsidRPr="00C95A74">
        <w:rPr>
          <w:sz w:val="20"/>
          <w:szCs w:val="20"/>
        </w:rPr>
        <w:t xml:space="preserve">In the comparative period cash from financing activities was primarily related to the issuance of common shares, partially offset by repayment of </w:t>
      </w:r>
      <w:r w:rsidR="00B5460F" w:rsidRPr="00C95A74">
        <w:rPr>
          <w:sz w:val="20"/>
          <w:szCs w:val="20"/>
        </w:rPr>
        <w:t>note</w:t>
      </w:r>
      <w:r w:rsidRPr="00C95A74">
        <w:rPr>
          <w:sz w:val="20"/>
          <w:szCs w:val="20"/>
        </w:rPr>
        <w:t xml:space="preserve"> payable.</w:t>
      </w:r>
    </w:p>
    <w:p w14:paraId="42C0D166" w14:textId="0CAD4820" w:rsidR="006E158B" w:rsidRPr="003F1DCD" w:rsidRDefault="006E158B" w:rsidP="006E158B">
      <w:pPr>
        <w:pStyle w:val="NormalWeb"/>
        <w:spacing w:before="0" w:beforeAutospacing="0" w:after="0" w:afterAutospacing="0"/>
        <w:jc w:val="both"/>
        <w:rPr>
          <w:sz w:val="20"/>
          <w:szCs w:val="20"/>
        </w:rPr>
      </w:pPr>
    </w:p>
    <w:p w14:paraId="1D0275B7" w14:textId="77777777" w:rsidR="00B2631D" w:rsidRDefault="00B2631D">
      <w:pPr>
        <w:autoSpaceDE/>
        <w:autoSpaceDN/>
        <w:adjustRightInd/>
        <w:spacing w:after="160" w:line="259" w:lineRule="auto"/>
        <w:rPr>
          <w:b/>
          <w:bCs/>
          <w:i/>
          <w:iCs/>
        </w:rPr>
      </w:pPr>
      <w:r>
        <w:rPr>
          <w:b/>
          <w:bCs/>
          <w:i/>
          <w:iCs/>
        </w:rPr>
        <w:br w:type="page"/>
      </w:r>
    </w:p>
    <w:p w14:paraId="42DD64EE" w14:textId="6FB8BB9D" w:rsidR="006E158B" w:rsidRPr="0052343D" w:rsidRDefault="006E158B" w:rsidP="006E158B">
      <w:pPr>
        <w:pStyle w:val="NormalWeb"/>
        <w:spacing w:before="0" w:beforeAutospacing="0" w:after="0" w:afterAutospacing="0"/>
        <w:jc w:val="both"/>
        <w:rPr>
          <w:sz w:val="20"/>
          <w:szCs w:val="20"/>
        </w:rPr>
      </w:pPr>
      <w:r w:rsidRPr="0052343D">
        <w:rPr>
          <w:b/>
          <w:bCs/>
          <w:i/>
          <w:iCs/>
          <w:sz w:val="20"/>
          <w:szCs w:val="20"/>
        </w:rPr>
        <w:lastRenderedPageBreak/>
        <w:t>Future Operating Requirements</w:t>
      </w:r>
    </w:p>
    <w:p w14:paraId="4275E929" w14:textId="77777777" w:rsidR="006E158B" w:rsidRPr="0052343D" w:rsidRDefault="006E158B" w:rsidP="006E158B">
      <w:pPr>
        <w:pStyle w:val="NormalWeb"/>
        <w:spacing w:before="0" w:beforeAutospacing="0" w:after="0" w:afterAutospacing="0"/>
        <w:jc w:val="both"/>
        <w:rPr>
          <w:sz w:val="20"/>
          <w:szCs w:val="20"/>
        </w:rPr>
      </w:pPr>
      <w:r w:rsidRPr="0052343D">
        <w:rPr>
          <w:sz w:val="20"/>
          <w:szCs w:val="20"/>
        </w:rPr>
        <w:t> </w:t>
      </w:r>
    </w:p>
    <w:p w14:paraId="36AF3E60" w14:textId="6A3AA191" w:rsidR="00280D65" w:rsidRPr="008E7A78" w:rsidRDefault="00802E6F" w:rsidP="006341C4">
      <w:pPr>
        <w:pStyle w:val="NormalWeb"/>
        <w:spacing w:before="0" w:beforeAutospacing="0" w:after="0" w:afterAutospacing="0"/>
        <w:rPr>
          <w:sz w:val="20"/>
          <w:szCs w:val="20"/>
        </w:rPr>
      </w:pPr>
      <w:r w:rsidRPr="008E7A78">
        <w:rPr>
          <w:sz w:val="20"/>
          <w:szCs w:val="20"/>
        </w:rPr>
        <w:t>Based on our current plan of operations</w:t>
      </w:r>
      <w:r w:rsidR="008E7A78">
        <w:rPr>
          <w:sz w:val="20"/>
          <w:szCs w:val="20"/>
        </w:rPr>
        <w:t>,</w:t>
      </w:r>
      <w:r w:rsidR="000706A8" w:rsidRPr="008E7A78">
        <w:rPr>
          <w:sz w:val="20"/>
          <w:szCs w:val="20"/>
        </w:rPr>
        <w:t xml:space="preserve"> which includes seven additional </w:t>
      </w:r>
      <w:r w:rsidR="008E7A78">
        <w:rPr>
          <w:sz w:val="20"/>
          <w:szCs w:val="20"/>
        </w:rPr>
        <w:t xml:space="preserve">production </w:t>
      </w:r>
      <w:r w:rsidR="000706A8" w:rsidRPr="008E7A78">
        <w:rPr>
          <w:sz w:val="20"/>
          <w:szCs w:val="20"/>
        </w:rPr>
        <w:t>wells</w:t>
      </w:r>
      <w:r w:rsidRPr="008E7A78">
        <w:rPr>
          <w:sz w:val="20"/>
          <w:szCs w:val="20"/>
        </w:rPr>
        <w:t xml:space="preserve">, we estimate that we will </w:t>
      </w:r>
      <w:r w:rsidR="000706A8" w:rsidRPr="008E7A78">
        <w:rPr>
          <w:sz w:val="20"/>
          <w:szCs w:val="20"/>
        </w:rPr>
        <w:t xml:space="preserve">not </w:t>
      </w:r>
      <w:r w:rsidR="008E7A78">
        <w:rPr>
          <w:sz w:val="20"/>
          <w:szCs w:val="20"/>
        </w:rPr>
        <w:t xml:space="preserve">be </w:t>
      </w:r>
      <w:r w:rsidRPr="008E7A78">
        <w:rPr>
          <w:sz w:val="20"/>
          <w:szCs w:val="20"/>
        </w:rPr>
        <w:t>require</w:t>
      </w:r>
      <w:r w:rsidR="008E7A78">
        <w:rPr>
          <w:sz w:val="20"/>
          <w:szCs w:val="20"/>
        </w:rPr>
        <w:t>d</w:t>
      </w:r>
      <w:r w:rsidRPr="008E7A78">
        <w:rPr>
          <w:sz w:val="20"/>
          <w:szCs w:val="20"/>
        </w:rPr>
        <w:t xml:space="preserve"> </w:t>
      </w:r>
      <w:r w:rsidR="008E7A78">
        <w:rPr>
          <w:sz w:val="20"/>
          <w:szCs w:val="20"/>
        </w:rPr>
        <w:t xml:space="preserve">to raise </w:t>
      </w:r>
      <w:r w:rsidR="000706A8" w:rsidRPr="008E7A78">
        <w:rPr>
          <w:sz w:val="20"/>
          <w:szCs w:val="20"/>
        </w:rPr>
        <w:t xml:space="preserve">additional funds </w:t>
      </w:r>
      <w:r w:rsidRPr="008E7A78">
        <w:rPr>
          <w:sz w:val="20"/>
          <w:szCs w:val="20"/>
        </w:rPr>
        <w:t>to cover our plan of operations over the next 12 months</w:t>
      </w:r>
      <w:r w:rsidR="00215692" w:rsidRPr="008E7A78">
        <w:rPr>
          <w:sz w:val="20"/>
          <w:szCs w:val="20"/>
        </w:rPr>
        <w:t xml:space="preserve"> and that our cash on hand of </w:t>
      </w:r>
      <w:r w:rsidR="008E7A78">
        <w:rPr>
          <w:sz w:val="20"/>
          <w:szCs w:val="20"/>
        </w:rPr>
        <w:t>$</w:t>
      </w:r>
      <w:r w:rsidR="008E7A78" w:rsidRPr="008E7A78">
        <w:rPr>
          <w:sz w:val="20"/>
          <w:szCs w:val="20"/>
        </w:rPr>
        <w:t>23,502,519</w:t>
      </w:r>
      <w:r w:rsidR="00215692" w:rsidRPr="008E7A78">
        <w:rPr>
          <w:sz w:val="20"/>
          <w:szCs w:val="20"/>
        </w:rPr>
        <w:t xml:space="preserve"> along with our revenue generated from </w:t>
      </w:r>
      <w:r w:rsidR="008E7A78">
        <w:rPr>
          <w:sz w:val="20"/>
          <w:szCs w:val="20"/>
        </w:rPr>
        <w:t>seven</w:t>
      </w:r>
      <w:r w:rsidR="00215692" w:rsidRPr="008E7A78">
        <w:rPr>
          <w:sz w:val="20"/>
          <w:szCs w:val="20"/>
        </w:rPr>
        <w:t xml:space="preserve"> well</w:t>
      </w:r>
      <w:r w:rsidR="008E7A78">
        <w:rPr>
          <w:sz w:val="20"/>
          <w:szCs w:val="20"/>
        </w:rPr>
        <w:t xml:space="preserve"> drilling program</w:t>
      </w:r>
      <w:r w:rsidR="00215692" w:rsidRPr="008E7A78">
        <w:rPr>
          <w:sz w:val="20"/>
          <w:szCs w:val="20"/>
        </w:rPr>
        <w:t xml:space="preserve"> will be sufficient to fund our planned operations over the next 12 months</w:t>
      </w:r>
      <w:r w:rsidRPr="008E7A78">
        <w:rPr>
          <w:sz w:val="20"/>
          <w:szCs w:val="20"/>
        </w:rPr>
        <w:t xml:space="preserve">. </w:t>
      </w:r>
      <w:r w:rsidR="000706A8" w:rsidRPr="008E7A78">
        <w:rPr>
          <w:sz w:val="20"/>
          <w:szCs w:val="20"/>
        </w:rPr>
        <w:t xml:space="preserve"> </w:t>
      </w:r>
      <w:r w:rsidRPr="008E7A78">
        <w:rPr>
          <w:sz w:val="20"/>
          <w:szCs w:val="20"/>
        </w:rPr>
        <w:br/>
      </w:r>
      <w:r w:rsidRPr="008E7A78">
        <w:rPr>
          <w:sz w:val="20"/>
          <w:szCs w:val="20"/>
        </w:rPr>
        <w:br/>
        <w:t>Our current plan of operations is the drilling of five (5) new wells at SASB and to re</w:t>
      </w:r>
      <w:r w:rsidR="00455E2A" w:rsidRPr="008E7A78">
        <w:rPr>
          <w:sz w:val="20"/>
          <w:szCs w:val="20"/>
        </w:rPr>
        <w:t>-</w:t>
      </w:r>
      <w:r w:rsidRPr="008E7A78">
        <w:rPr>
          <w:sz w:val="20"/>
          <w:szCs w:val="20"/>
        </w:rPr>
        <w:t>enter two existing wells to perform workovers to increase gas production</w:t>
      </w:r>
      <w:r w:rsidR="00D975BF" w:rsidRPr="008E7A78">
        <w:rPr>
          <w:sz w:val="20"/>
          <w:szCs w:val="20"/>
        </w:rPr>
        <w:t xml:space="preserve"> (the “Initial Work Program”)</w:t>
      </w:r>
      <w:r w:rsidRPr="008E7A78">
        <w:rPr>
          <w:sz w:val="20"/>
          <w:szCs w:val="20"/>
        </w:rPr>
        <w:t xml:space="preserve">. </w:t>
      </w:r>
      <w:r w:rsidR="00D975BF" w:rsidRPr="008E7A78">
        <w:rPr>
          <w:sz w:val="20"/>
          <w:szCs w:val="20"/>
        </w:rPr>
        <w:t xml:space="preserve"> The Initial Work Program </w:t>
      </w:r>
      <w:r w:rsidR="000346E8" w:rsidRPr="008E7A78">
        <w:rPr>
          <w:sz w:val="20"/>
          <w:szCs w:val="20"/>
        </w:rPr>
        <w:t xml:space="preserve">is expected to </w:t>
      </w:r>
      <w:r w:rsidR="00280D65" w:rsidRPr="008E7A78">
        <w:rPr>
          <w:sz w:val="20"/>
          <w:szCs w:val="20"/>
        </w:rPr>
        <w:t xml:space="preserve">incur </w:t>
      </w:r>
      <w:r w:rsidR="00215692" w:rsidRPr="008E7A78">
        <w:rPr>
          <w:sz w:val="20"/>
          <w:szCs w:val="20"/>
        </w:rPr>
        <w:t xml:space="preserve">further </w:t>
      </w:r>
      <w:r w:rsidRPr="008E7A78">
        <w:rPr>
          <w:sz w:val="20"/>
          <w:szCs w:val="20"/>
        </w:rPr>
        <w:t>capital expenditures of approximately $2</w:t>
      </w:r>
      <w:r w:rsidR="00215692" w:rsidRPr="008E7A78">
        <w:rPr>
          <w:sz w:val="20"/>
          <w:szCs w:val="20"/>
        </w:rPr>
        <w:t>2</w:t>
      </w:r>
      <w:r w:rsidRPr="008E7A78">
        <w:rPr>
          <w:sz w:val="20"/>
          <w:szCs w:val="20"/>
        </w:rPr>
        <w:t>,000,000</w:t>
      </w:r>
      <w:r w:rsidR="00215692" w:rsidRPr="008E7A78">
        <w:rPr>
          <w:sz w:val="20"/>
          <w:szCs w:val="20"/>
        </w:rPr>
        <w:t xml:space="preserve"> (net of funds invested to date</w:t>
      </w:r>
      <w:r w:rsidR="008E7A78">
        <w:rPr>
          <w:sz w:val="20"/>
          <w:szCs w:val="20"/>
        </w:rPr>
        <w:t>)</w:t>
      </w:r>
      <w:r w:rsidR="00215692" w:rsidRPr="008E7A78">
        <w:rPr>
          <w:sz w:val="20"/>
          <w:szCs w:val="20"/>
        </w:rPr>
        <w:t xml:space="preserve"> </w:t>
      </w:r>
      <w:r w:rsidR="008E7A78">
        <w:rPr>
          <w:sz w:val="20"/>
          <w:szCs w:val="20"/>
        </w:rPr>
        <w:t xml:space="preserve">all </w:t>
      </w:r>
      <w:r w:rsidR="00215692" w:rsidRPr="008E7A78">
        <w:rPr>
          <w:sz w:val="20"/>
          <w:szCs w:val="20"/>
        </w:rPr>
        <w:t xml:space="preserve">which </w:t>
      </w:r>
      <w:r w:rsidRPr="008E7A78">
        <w:rPr>
          <w:sz w:val="20"/>
          <w:szCs w:val="20"/>
        </w:rPr>
        <w:t xml:space="preserve">will be incurred </w:t>
      </w:r>
      <w:r w:rsidR="008E7A78">
        <w:rPr>
          <w:sz w:val="20"/>
          <w:szCs w:val="20"/>
        </w:rPr>
        <w:t xml:space="preserve">within </w:t>
      </w:r>
      <w:r w:rsidRPr="008E7A78">
        <w:rPr>
          <w:sz w:val="20"/>
          <w:szCs w:val="20"/>
        </w:rPr>
        <w:t>the next 12 months</w:t>
      </w:r>
      <w:r w:rsidR="000346E8" w:rsidRPr="008E7A78">
        <w:rPr>
          <w:sz w:val="20"/>
          <w:szCs w:val="20"/>
        </w:rPr>
        <w:t>.</w:t>
      </w:r>
      <w:r w:rsidRPr="008E7A78">
        <w:rPr>
          <w:sz w:val="20"/>
          <w:szCs w:val="20"/>
        </w:rPr>
        <w:t xml:space="preserve"> </w:t>
      </w:r>
      <w:r w:rsidR="000346E8" w:rsidRPr="008E7A78">
        <w:rPr>
          <w:sz w:val="20"/>
          <w:szCs w:val="20"/>
        </w:rPr>
        <w:t xml:space="preserve"> </w:t>
      </w:r>
      <w:r w:rsidR="00B3071F" w:rsidRPr="008E7A78">
        <w:rPr>
          <w:sz w:val="20"/>
          <w:szCs w:val="20"/>
        </w:rPr>
        <w:t xml:space="preserve">Each </w:t>
      </w:r>
      <w:r w:rsidR="008E7A78">
        <w:rPr>
          <w:sz w:val="20"/>
          <w:szCs w:val="20"/>
        </w:rPr>
        <w:t xml:space="preserve">of the </w:t>
      </w:r>
      <w:r w:rsidR="006266F8" w:rsidRPr="008E7A78">
        <w:rPr>
          <w:sz w:val="20"/>
          <w:szCs w:val="20"/>
        </w:rPr>
        <w:t>well</w:t>
      </w:r>
      <w:r w:rsidR="008E7A78">
        <w:rPr>
          <w:sz w:val="20"/>
          <w:szCs w:val="20"/>
        </w:rPr>
        <w:t>s</w:t>
      </w:r>
      <w:r w:rsidR="006266F8" w:rsidRPr="008E7A78">
        <w:rPr>
          <w:sz w:val="20"/>
          <w:szCs w:val="20"/>
        </w:rPr>
        <w:t xml:space="preserve"> </w:t>
      </w:r>
      <w:r w:rsidR="008E7A78">
        <w:rPr>
          <w:sz w:val="20"/>
          <w:szCs w:val="20"/>
        </w:rPr>
        <w:t xml:space="preserve">put into production </w:t>
      </w:r>
      <w:r w:rsidR="00B3071F" w:rsidRPr="008E7A78">
        <w:rPr>
          <w:sz w:val="20"/>
          <w:szCs w:val="20"/>
        </w:rPr>
        <w:t xml:space="preserve">is </w:t>
      </w:r>
      <w:r w:rsidR="006266F8" w:rsidRPr="008E7A78">
        <w:rPr>
          <w:sz w:val="20"/>
          <w:szCs w:val="20"/>
        </w:rPr>
        <w:t xml:space="preserve">expected to generate cashflow as </w:t>
      </w:r>
      <w:r w:rsidR="008E7A78">
        <w:rPr>
          <w:sz w:val="20"/>
          <w:szCs w:val="20"/>
        </w:rPr>
        <w:t xml:space="preserve">they are </w:t>
      </w:r>
      <w:r w:rsidR="002E6A84" w:rsidRPr="008E7A78">
        <w:rPr>
          <w:sz w:val="20"/>
          <w:szCs w:val="20"/>
        </w:rPr>
        <w:t xml:space="preserve">brought online and </w:t>
      </w:r>
      <w:r w:rsidR="008E7A78">
        <w:rPr>
          <w:sz w:val="20"/>
          <w:szCs w:val="20"/>
        </w:rPr>
        <w:t xml:space="preserve">as cash receipts from </w:t>
      </w:r>
      <w:r w:rsidR="006266F8" w:rsidRPr="008E7A78">
        <w:rPr>
          <w:sz w:val="20"/>
          <w:szCs w:val="20"/>
        </w:rPr>
        <w:t xml:space="preserve">production </w:t>
      </w:r>
      <w:r w:rsidR="008E7A78">
        <w:rPr>
          <w:sz w:val="20"/>
          <w:szCs w:val="20"/>
        </w:rPr>
        <w:t xml:space="preserve">are obtained </w:t>
      </w:r>
      <w:proofErr w:type="gramStart"/>
      <w:r w:rsidR="008E7A78">
        <w:rPr>
          <w:sz w:val="20"/>
          <w:szCs w:val="20"/>
        </w:rPr>
        <w:t>on a monthly basis</w:t>
      </w:r>
      <w:proofErr w:type="gramEnd"/>
      <w:r w:rsidR="002E6A84" w:rsidRPr="008E7A78">
        <w:rPr>
          <w:sz w:val="20"/>
          <w:szCs w:val="20"/>
        </w:rPr>
        <w:t>,</w:t>
      </w:r>
      <w:r w:rsidR="006266F8" w:rsidRPr="008E7A78">
        <w:rPr>
          <w:sz w:val="20"/>
          <w:szCs w:val="20"/>
        </w:rPr>
        <w:t xml:space="preserve"> </w:t>
      </w:r>
      <w:r w:rsidR="008E7A78">
        <w:rPr>
          <w:sz w:val="20"/>
          <w:szCs w:val="20"/>
        </w:rPr>
        <w:t xml:space="preserve">our cash position will be enhanced and capital outlays will be covered, such that increasing sales revenue </w:t>
      </w:r>
      <w:r w:rsidR="006266F8" w:rsidRPr="008E7A78">
        <w:rPr>
          <w:sz w:val="20"/>
          <w:szCs w:val="20"/>
        </w:rPr>
        <w:t xml:space="preserve">will contribute </w:t>
      </w:r>
      <w:r w:rsidR="002E6A84" w:rsidRPr="008E7A78">
        <w:rPr>
          <w:sz w:val="20"/>
          <w:szCs w:val="20"/>
        </w:rPr>
        <w:t xml:space="preserve">positively </w:t>
      </w:r>
      <w:r w:rsidR="006266F8" w:rsidRPr="008E7A78">
        <w:rPr>
          <w:sz w:val="20"/>
          <w:szCs w:val="20"/>
        </w:rPr>
        <w:t xml:space="preserve">to </w:t>
      </w:r>
      <w:r w:rsidR="002E6A84" w:rsidRPr="008E7A78">
        <w:rPr>
          <w:sz w:val="20"/>
          <w:szCs w:val="20"/>
        </w:rPr>
        <w:t xml:space="preserve">the Company’s </w:t>
      </w:r>
      <w:r w:rsidR="006266F8" w:rsidRPr="008E7A78">
        <w:rPr>
          <w:sz w:val="20"/>
          <w:szCs w:val="20"/>
        </w:rPr>
        <w:t>working capital</w:t>
      </w:r>
      <w:r w:rsidR="00216DB7" w:rsidRPr="008E7A78">
        <w:rPr>
          <w:sz w:val="20"/>
          <w:szCs w:val="20"/>
        </w:rPr>
        <w:t xml:space="preserve"> and future </w:t>
      </w:r>
      <w:r w:rsidR="00A117CF" w:rsidRPr="008E7A78">
        <w:rPr>
          <w:sz w:val="20"/>
          <w:szCs w:val="20"/>
        </w:rPr>
        <w:t xml:space="preserve">anticipated </w:t>
      </w:r>
      <w:r w:rsidR="00216DB7" w:rsidRPr="008E7A78">
        <w:rPr>
          <w:sz w:val="20"/>
          <w:szCs w:val="20"/>
        </w:rPr>
        <w:t>capital expenditures</w:t>
      </w:r>
      <w:r w:rsidR="00462DCF" w:rsidRPr="008E7A78">
        <w:rPr>
          <w:sz w:val="20"/>
          <w:szCs w:val="20"/>
        </w:rPr>
        <w:t>.</w:t>
      </w:r>
    </w:p>
    <w:p w14:paraId="56E61B76" w14:textId="77777777" w:rsidR="00280D65" w:rsidRPr="008E7A78" w:rsidRDefault="00280D65" w:rsidP="00802E6F">
      <w:pPr>
        <w:pStyle w:val="NormalWeb"/>
        <w:spacing w:before="0" w:beforeAutospacing="0" w:after="0" w:afterAutospacing="0"/>
        <w:jc w:val="both"/>
        <w:rPr>
          <w:sz w:val="20"/>
          <w:szCs w:val="20"/>
        </w:rPr>
      </w:pPr>
    </w:p>
    <w:p w14:paraId="5D11FBAE" w14:textId="5EC169E7" w:rsidR="00802E6F" w:rsidRPr="009905DD" w:rsidRDefault="00280D65" w:rsidP="00802E6F">
      <w:pPr>
        <w:pStyle w:val="NormalWeb"/>
        <w:spacing w:before="0" w:beforeAutospacing="0" w:after="0" w:afterAutospacing="0"/>
        <w:jc w:val="both"/>
        <w:rPr>
          <w:sz w:val="20"/>
          <w:szCs w:val="20"/>
        </w:rPr>
      </w:pPr>
      <w:proofErr w:type="gramStart"/>
      <w:r w:rsidRPr="008E7A78">
        <w:rPr>
          <w:sz w:val="20"/>
          <w:szCs w:val="20"/>
        </w:rPr>
        <w:t>Subsequent to</w:t>
      </w:r>
      <w:proofErr w:type="gramEnd"/>
      <w:r w:rsidRPr="008E7A78">
        <w:rPr>
          <w:sz w:val="20"/>
          <w:szCs w:val="20"/>
        </w:rPr>
        <w:t xml:space="preserve"> the </w:t>
      </w:r>
      <w:r w:rsidR="00B1421A" w:rsidRPr="008E7A78">
        <w:rPr>
          <w:sz w:val="20"/>
          <w:szCs w:val="20"/>
        </w:rPr>
        <w:t xml:space="preserve">completion of the </w:t>
      </w:r>
      <w:r w:rsidRPr="008E7A78">
        <w:rPr>
          <w:sz w:val="20"/>
          <w:szCs w:val="20"/>
        </w:rPr>
        <w:t xml:space="preserve">Initial Work Program, </w:t>
      </w:r>
      <w:r w:rsidR="00462DCF" w:rsidRPr="008E7A78">
        <w:rPr>
          <w:sz w:val="20"/>
          <w:szCs w:val="20"/>
        </w:rPr>
        <w:t xml:space="preserve">the Company </w:t>
      </w:r>
      <w:proofErr w:type="spellStart"/>
      <w:r w:rsidR="00462DCF" w:rsidRPr="008E7A78">
        <w:rPr>
          <w:sz w:val="20"/>
          <w:szCs w:val="20"/>
        </w:rPr>
        <w:t>plants</w:t>
      </w:r>
      <w:proofErr w:type="spellEnd"/>
      <w:r w:rsidR="00462DCF" w:rsidRPr="008E7A78">
        <w:rPr>
          <w:sz w:val="20"/>
          <w:szCs w:val="20"/>
        </w:rPr>
        <w:t xml:space="preserve"> to d</w:t>
      </w:r>
      <w:r w:rsidR="00B3071F" w:rsidRPr="008E7A78">
        <w:rPr>
          <w:sz w:val="20"/>
          <w:szCs w:val="20"/>
        </w:rPr>
        <w:t>r</w:t>
      </w:r>
      <w:r w:rsidR="00462DCF" w:rsidRPr="008E7A78">
        <w:rPr>
          <w:sz w:val="20"/>
          <w:szCs w:val="20"/>
        </w:rPr>
        <w:t xml:space="preserve">ill up to </w:t>
      </w:r>
      <w:r w:rsidRPr="008E7A78">
        <w:rPr>
          <w:sz w:val="20"/>
          <w:szCs w:val="20"/>
        </w:rPr>
        <w:t xml:space="preserve">10 </w:t>
      </w:r>
      <w:r w:rsidR="00462DCF" w:rsidRPr="008E7A78">
        <w:rPr>
          <w:sz w:val="20"/>
          <w:szCs w:val="20"/>
        </w:rPr>
        <w:t xml:space="preserve">additional </w:t>
      </w:r>
      <w:r w:rsidRPr="008E7A78">
        <w:rPr>
          <w:sz w:val="20"/>
          <w:szCs w:val="20"/>
        </w:rPr>
        <w:t>wells</w:t>
      </w:r>
      <w:r w:rsidR="00462DCF" w:rsidRPr="008E7A78">
        <w:rPr>
          <w:sz w:val="20"/>
          <w:szCs w:val="20"/>
        </w:rPr>
        <w:t xml:space="preserve"> over the next 12 to 30 months</w:t>
      </w:r>
      <w:r w:rsidR="008E7A78">
        <w:rPr>
          <w:sz w:val="20"/>
          <w:szCs w:val="20"/>
        </w:rPr>
        <w:t xml:space="preserve"> using entirely cashflow from operations generated by the first seven wells</w:t>
      </w:r>
      <w:r w:rsidR="00462DCF" w:rsidRPr="008E7A78">
        <w:rPr>
          <w:sz w:val="20"/>
          <w:szCs w:val="20"/>
        </w:rPr>
        <w:t xml:space="preserve">.  </w:t>
      </w:r>
      <w:r w:rsidR="00527959" w:rsidRPr="008E7A78">
        <w:rPr>
          <w:sz w:val="20"/>
          <w:szCs w:val="20"/>
        </w:rPr>
        <w:t xml:space="preserve">Based on our 49% interest, we </w:t>
      </w:r>
      <w:r w:rsidRPr="008E7A78">
        <w:rPr>
          <w:sz w:val="20"/>
          <w:szCs w:val="20"/>
        </w:rPr>
        <w:t xml:space="preserve">project </w:t>
      </w:r>
      <w:r w:rsidR="00527959" w:rsidRPr="008E7A78">
        <w:rPr>
          <w:sz w:val="20"/>
          <w:szCs w:val="20"/>
        </w:rPr>
        <w:t xml:space="preserve">that </w:t>
      </w:r>
      <w:r w:rsidRPr="008E7A78">
        <w:rPr>
          <w:sz w:val="20"/>
          <w:szCs w:val="20"/>
        </w:rPr>
        <w:t xml:space="preserve">we will incur </w:t>
      </w:r>
      <w:r w:rsidR="00462DCF" w:rsidRPr="008E7A78">
        <w:rPr>
          <w:sz w:val="20"/>
          <w:szCs w:val="20"/>
        </w:rPr>
        <w:t>between</w:t>
      </w:r>
      <w:r w:rsidR="00527959" w:rsidRPr="008E7A78">
        <w:rPr>
          <w:sz w:val="20"/>
          <w:szCs w:val="20"/>
        </w:rPr>
        <w:t xml:space="preserve"> </w:t>
      </w:r>
      <w:r w:rsidR="00B3071F" w:rsidRPr="008E7A78">
        <w:rPr>
          <w:sz w:val="20"/>
          <w:szCs w:val="20"/>
        </w:rPr>
        <w:t xml:space="preserve">$50 </w:t>
      </w:r>
      <w:r w:rsidRPr="008E7A78">
        <w:rPr>
          <w:sz w:val="20"/>
          <w:szCs w:val="20"/>
        </w:rPr>
        <w:t>to $74 million</w:t>
      </w:r>
      <w:r w:rsidR="00527959" w:rsidRPr="008E7A78">
        <w:rPr>
          <w:sz w:val="20"/>
          <w:szCs w:val="20"/>
        </w:rPr>
        <w:t xml:space="preserve"> in additional capital expenditures</w:t>
      </w:r>
      <w:r w:rsidR="004A4B18" w:rsidRPr="008E7A78">
        <w:rPr>
          <w:sz w:val="20"/>
          <w:szCs w:val="20"/>
        </w:rPr>
        <w:t>, which include a mixture of production and exploration wells</w:t>
      </w:r>
      <w:r w:rsidR="00527959" w:rsidRPr="008E7A78">
        <w:rPr>
          <w:sz w:val="20"/>
          <w:szCs w:val="20"/>
        </w:rPr>
        <w:t xml:space="preserve">. Based on our current </w:t>
      </w:r>
      <w:r w:rsidR="004A4B18" w:rsidRPr="008E7A78">
        <w:rPr>
          <w:sz w:val="20"/>
          <w:szCs w:val="20"/>
        </w:rPr>
        <w:t xml:space="preserve">cost, production estimates </w:t>
      </w:r>
      <w:r w:rsidR="00527959" w:rsidRPr="008E7A78">
        <w:rPr>
          <w:sz w:val="20"/>
          <w:szCs w:val="20"/>
        </w:rPr>
        <w:t xml:space="preserve">and </w:t>
      </w:r>
      <w:r w:rsidR="004A4B18" w:rsidRPr="008E7A78">
        <w:rPr>
          <w:sz w:val="20"/>
          <w:szCs w:val="20"/>
        </w:rPr>
        <w:t xml:space="preserve">forecasted </w:t>
      </w:r>
      <w:r w:rsidR="00527959" w:rsidRPr="008E7A78">
        <w:rPr>
          <w:sz w:val="20"/>
          <w:szCs w:val="20"/>
        </w:rPr>
        <w:t xml:space="preserve">commodity prices, we expect that cashflow generated from the Initial Work Program will be sufficient to cover </w:t>
      </w:r>
      <w:proofErr w:type="gramStart"/>
      <w:r w:rsidR="003365AD" w:rsidRPr="008E7A78">
        <w:rPr>
          <w:sz w:val="20"/>
          <w:szCs w:val="20"/>
        </w:rPr>
        <w:t>all of</w:t>
      </w:r>
      <w:proofErr w:type="gramEnd"/>
      <w:r w:rsidR="003365AD" w:rsidRPr="008E7A78">
        <w:rPr>
          <w:sz w:val="20"/>
          <w:szCs w:val="20"/>
        </w:rPr>
        <w:t xml:space="preserve"> the </w:t>
      </w:r>
      <w:r w:rsidR="00527959" w:rsidRPr="008E7A78">
        <w:rPr>
          <w:sz w:val="20"/>
          <w:szCs w:val="20"/>
        </w:rPr>
        <w:t xml:space="preserve">capital cost of the second phase of drilling as described </w:t>
      </w:r>
      <w:r w:rsidR="003365AD" w:rsidRPr="008E7A78">
        <w:rPr>
          <w:sz w:val="20"/>
          <w:szCs w:val="20"/>
        </w:rPr>
        <w:t xml:space="preserve">within </w:t>
      </w:r>
      <w:r w:rsidR="00527959" w:rsidRPr="008E7A78">
        <w:rPr>
          <w:sz w:val="20"/>
          <w:szCs w:val="20"/>
        </w:rPr>
        <w:t>this paragraph.</w:t>
      </w:r>
    </w:p>
    <w:p w14:paraId="15F11C34" w14:textId="77777777" w:rsidR="00802E6F" w:rsidRPr="00050D14" w:rsidRDefault="00802E6F" w:rsidP="00802E6F">
      <w:pPr>
        <w:pStyle w:val="NormalWeb"/>
        <w:spacing w:before="0" w:beforeAutospacing="0" w:after="0" w:afterAutospacing="0"/>
        <w:jc w:val="both"/>
        <w:rPr>
          <w:sz w:val="20"/>
          <w:szCs w:val="20"/>
        </w:rPr>
      </w:pPr>
      <w:r w:rsidRPr="00050D14">
        <w:rPr>
          <w:sz w:val="20"/>
          <w:szCs w:val="20"/>
        </w:rPr>
        <w:t> </w:t>
      </w:r>
    </w:p>
    <w:p w14:paraId="68A3C90E" w14:textId="47CA456E" w:rsidR="00C600C6" w:rsidRPr="003F1DCD" w:rsidRDefault="00C600C6" w:rsidP="00C600C6">
      <w:pPr>
        <w:pStyle w:val="NormalWeb"/>
        <w:spacing w:before="0" w:beforeAutospacing="0" w:after="0" w:afterAutospacing="0"/>
        <w:jc w:val="both"/>
        <w:rPr>
          <w:sz w:val="20"/>
          <w:szCs w:val="20"/>
        </w:rPr>
      </w:pPr>
      <w:r w:rsidRPr="00C95A74">
        <w:rPr>
          <w:sz w:val="20"/>
          <w:szCs w:val="20"/>
        </w:rPr>
        <w:t xml:space="preserve">As of </w:t>
      </w:r>
      <w:r w:rsidR="003C2894">
        <w:rPr>
          <w:sz w:val="20"/>
          <w:szCs w:val="20"/>
        </w:rPr>
        <w:t>June 30</w:t>
      </w:r>
      <w:r w:rsidR="009936A9" w:rsidRPr="00C95A74">
        <w:rPr>
          <w:sz w:val="20"/>
          <w:szCs w:val="20"/>
        </w:rPr>
        <w:t>, 2022</w:t>
      </w:r>
      <w:r w:rsidRPr="00C95A74">
        <w:rPr>
          <w:sz w:val="20"/>
          <w:szCs w:val="20"/>
        </w:rPr>
        <w:t xml:space="preserve">, the Company had unrestricted cash of </w:t>
      </w:r>
      <w:r w:rsidR="00DF40D5">
        <w:rPr>
          <w:sz w:val="20"/>
          <w:szCs w:val="20"/>
        </w:rPr>
        <w:t>US</w:t>
      </w:r>
      <w:r w:rsidRPr="00C95A74">
        <w:rPr>
          <w:sz w:val="20"/>
          <w:szCs w:val="20"/>
        </w:rPr>
        <w:t>$</w:t>
      </w:r>
      <w:r w:rsidR="00500F4B">
        <w:rPr>
          <w:sz w:val="20"/>
          <w:szCs w:val="20"/>
        </w:rPr>
        <w:t>23,502,519</w:t>
      </w:r>
      <w:r w:rsidR="00B5460F" w:rsidRPr="00C95A74">
        <w:rPr>
          <w:sz w:val="20"/>
          <w:szCs w:val="20"/>
        </w:rPr>
        <w:t xml:space="preserve"> </w:t>
      </w:r>
      <w:r w:rsidRPr="00C95A74">
        <w:rPr>
          <w:sz w:val="20"/>
          <w:szCs w:val="20"/>
        </w:rPr>
        <w:t xml:space="preserve">and current liabilities of </w:t>
      </w:r>
      <w:r w:rsidR="00DF40D5">
        <w:rPr>
          <w:sz w:val="20"/>
          <w:szCs w:val="20"/>
        </w:rPr>
        <w:t>US</w:t>
      </w:r>
      <w:r w:rsidR="00BA7F6D">
        <w:rPr>
          <w:sz w:val="20"/>
          <w:szCs w:val="20"/>
        </w:rPr>
        <w:t xml:space="preserve"> </w:t>
      </w:r>
      <w:r w:rsidRPr="00C95A74">
        <w:rPr>
          <w:sz w:val="20"/>
          <w:szCs w:val="20"/>
        </w:rPr>
        <w:t>$</w:t>
      </w:r>
      <w:r w:rsidR="00500F4B">
        <w:rPr>
          <w:sz w:val="20"/>
          <w:szCs w:val="20"/>
        </w:rPr>
        <w:t>1,495,</w:t>
      </w:r>
      <w:r w:rsidR="00263500">
        <w:rPr>
          <w:sz w:val="20"/>
          <w:szCs w:val="20"/>
        </w:rPr>
        <w:t>11</w:t>
      </w:r>
      <w:r w:rsidR="00500F4B">
        <w:rPr>
          <w:sz w:val="20"/>
          <w:szCs w:val="20"/>
        </w:rPr>
        <w:t>5</w:t>
      </w:r>
      <w:r w:rsidR="008E7A78">
        <w:rPr>
          <w:sz w:val="20"/>
          <w:szCs w:val="20"/>
        </w:rPr>
        <w:t xml:space="preserve"> which it anticipates is sufficient to cover its plan of operations over the next 12 months</w:t>
      </w:r>
    </w:p>
    <w:bookmarkEnd w:id="13"/>
    <w:p w14:paraId="6EB4B33D" w14:textId="77777777" w:rsidR="006E158B" w:rsidRPr="003F1DCD" w:rsidRDefault="006E158B" w:rsidP="006E158B">
      <w:pPr>
        <w:pStyle w:val="NormalWeb"/>
        <w:spacing w:before="0" w:beforeAutospacing="0" w:after="0" w:afterAutospacing="0"/>
        <w:jc w:val="both"/>
        <w:rPr>
          <w:sz w:val="20"/>
          <w:szCs w:val="20"/>
        </w:rPr>
      </w:pPr>
    </w:p>
    <w:p w14:paraId="45AD6912" w14:textId="5385A625" w:rsidR="005B71BA" w:rsidRDefault="00C93315" w:rsidP="00AE1CF5">
      <w:pPr>
        <w:pStyle w:val="Heading1"/>
      </w:pPr>
      <w:bookmarkStart w:id="15" w:name="_Toc103780856"/>
      <w:r>
        <w:t xml:space="preserve">Transactions with </w:t>
      </w:r>
      <w:bookmarkStart w:id="16" w:name="s86bae6775f745dd0ac2c8ca5e132807"/>
      <w:bookmarkStart w:id="17" w:name="item_1_3_11"/>
      <w:bookmarkStart w:id="18" w:name="_Hlk515280607"/>
      <w:bookmarkEnd w:id="16"/>
      <w:bookmarkEnd w:id="17"/>
      <w:r w:rsidR="00D12C06" w:rsidRPr="00583A17">
        <w:t>Related Part</w:t>
      </w:r>
      <w:r>
        <w:t>ies</w:t>
      </w:r>
      <w:bookmarkEnd w:id="15"/>
      <w:bookmarkEnd w:id="18"/>
    </w:p>
    <w:p w14:paraId="3A8F615F" w14:textId="77777777" w:rsidR="00AE1CF5" w:rsidRDefault="00AE1CF5">
      <w:pPr>
        <w:pStyle w:val="NormalWeb"/>
        <w:spacing w:before="0" w:beforeAutospacing="0" w:after="0" w:afterAutospacing="0"/>
        <w:jc w:val="both"/>
        <w:rPr>
          <w:sz w:val="20"/>
          <w:szCs w:val="20"/>
        </w:rPr>
      </w:pPr>
      <w:bookmarkStart w:id="19" w:name="_Hlk531875253"/>
    </w:p>
    <w:p w14:paraId="190E3708" w14:textId="240F8640" w:rsidR="008A0AAE" w:rsidRDefault="008A0AAE" w:rsidP="00C95A74">
      <w:pPr>
        <w:pStyle w:val="NormalWeb"/>
        <w:spacing w:before="0" w:beforeAutospacing="0" w:after="0" w:afterAutospacing="0"/>
        <w:jc w:val="both"/>
        <w:rPr>
          <w:sz w:val="20"/>
          <w:szCs w:val="20"/>
        </w:rPr>
      </w:pPr>
      <w:bookmarkStart w:id="20" w:name="_Hlk99623482"/>
      <w:proofErr w:type="gramStart"/>
      <w:r w:rsidRPr="007773B5">
        <w:rPr>
          <w:rFonts w:eastAsia="Times New Roman"/>
          <w:sz w:val="20"/>
          <w:szCs w:val="20"/>
        </w:rPr>
        <w:t>At</w:t>
      </w:r>
      <w:proofErr w:type="gramEnd"/>
      <w:r w:rsidRPr="007773B5">
        <w:rPr>
          <w:rFonts w:eastAsia="Times New Roman"/>
          <w:sz w:val="20"/>
          <w:szCs w:val="20"/>
        </w:rPr>
        <w:t xml:space="preserve"> </w:t>
      </w:r>
      <w:r w:rsidR="0084722F">
        <w:rPr>
          <w:rFonts w:eastAsia="Times New Roman"/>
          <w:sz w:val="20"/>
          <w:szCs w:val="20"/>
        </w:rPr>
        <w:t>June 30</w:t>
      </w:r>
      <w:r w:rsidRPr="007773B5">
        <w:rPr>
          <w:rFonts w:eastAsia="Times New Roman"/>
          <w:sz w:val="20"/>
          <w:szCs w:val="20"/>
        </w:rPr>
        <w:t>, 2022, accounts payable and accrued liabilities included $</w:t>
      </w:r>
      <w:r w:rsidR="0084722F">
        <w:rPr>
          <w:rFonts w:eastAsia="Times New Roman"/>
          <w:sz w:val="20"/>
          <w:szCs w:val="20"/>
        </w:rPr>
        <w:t>144,804</w:t>
      </w:r>
      <w:r w:rsidRPr="007773B5">
        <w:rPr>
          <w:rFonts w:eastAsia="Times New Roman"/>
          <w:sz w:val="20"/>
          <w:szCs w:val="20"/>
        </w:rPr>
        <w:t xml:space="preserve"> (December 31, 2021 - $13,831) </w:t>
      </w:r>
      <w:r w:rsidRPr="00C95A74">
        <w:rPr>
          <w:sz w:val="20"/>
          <w:szCs w:val="20"/>
        </w:rPr>
        <w:t>due to related parties. The amounts are unsecured, non-interest bearing and due on demand.</w:t>
      </w:r>
      <w:r w:rsidR="0044488C">
        <w:rPr>
          <w:sz w:val="20"/>
          <w:szCs w:val="20"/>
        </w:rPr>
        <w:t xml:space="preserve"> A breakdown of the amounts owing by related party</w:t>
      </w:r>
      <w:r w:rsidR="00930C82">
        <w:rPr>
          <w:sz w:val="20"/>
          <w:szCs w:val="20"/>
        </w:rPr>
        <w:t xml:space="preserve"> as </w:t>
      </w:r>
      <w:proofErr w:type="gramStart"/>
      <w:r w:rsidR="00930C82">
        <w:rPr>
          <w:sz w:val="20"/>
          <w:szCs w:val="20"/>
        </w:rPr>
        <w:t>at</w:t>
      </w:r>
      <w:proofErr w:type="gramEnd"/>
      <w:r w:rsidR="00930C82">
        <w:rPr>
          <w:sz w:val="20"/>
          <w:szCs w:val="20"/>
        </w:rPr>
        <w:t xml:space="preserve"> </w:t>
      </w:r>
      <w:r w:rsidR="0084722F">
        <w:rPr>
          <w:sz w:val="20"/>
          <w:szCs w:val="20"/>
        </w:rPr>
        <w:t>June 30</w:t>
      </w:r>
      <w:r w:rsidR="00930C82">
        <w:rPr>
          <w:sz w:val="20"/>
          <w:szCs w:val="20"/>
        </w:rPr>
        <w:t>, 2022</w:t>
      </w:r>
      <w:r w:rsidR="0044488C">
        <w:rPr>
          <w:sz w:val="20"/>
          <w:szCs w:val="20"/>
        </w:rPr>
        <w:t xml:space="preserve"> as follows:</w:t>
      </w:r>
    </w:p>
    <w:p w14:paraId="140FB2CE" w14:textId="282402FC" w:rsidR="0044488C" w:rsidRDefault="0044488C" w:rsidP="00C95A74">
      <w:pPr>
        <w:pStyle w:val="NormalWeb"/>
        <w:spacing w:before="0" w:beforeAutospacing="0" w:after="0" w:afterAutospacing="0"/>
        <w:jc w:val="both"/>
        <w:rPr>
          <w:sz w:val="20"/>
          <w:szCs w:val="20"/>
        </w:rPr>
      </w:pPr>
    </w:p>
    <w:tbl>
      <w:tblPr>
        <w:tblStyle w:val="TableGrid"/>
        <w:tblW w:w="0" w:type="auto"/>
        <w:tblLook w:val="04A0" w:firstRow="1" w:lastRow="0" w:firstColumn="1" w:lastColumn="0" w:noHBand="0" w:noVBand="1"/>
      </w:tblPr>
      <w:tblGrid>
        <w:gridCol w:w="3116"/>
        <w:gridCol w:w="3117"/>
        <w:gridCol w:w="3117"/>
      </w:tblGrid>
      <w:tr w:rsidR="0044488C" w:rsidRPr="0044488C" w14:paraId="46C9E7DA" w14:textId="77777777" w:rsidTr="006341C4">
        <w:tc>
          <w:tcPr>
            <w:tcW w:w="3116" w:type="dxa"/>
            <w:tcBorders>
              <w:bottom w:val="single" w:sz="4" w:space="0" w:color="auto"/>
            </w:tcBorders>
            <w:shd w:val="clear" w:color="auto" w:fill="000000" w:themeFill="text1"/>
          </w:tcPr>
          <w:p w14:paraId="648E4709" w14:textId="603CCA95" w:rsidR="0044488C" w:rsidRPr="006341C4" w:rsidRDefault="0044488C" w:rsidP="006341C4">
            <w:pPr>
              <w:pStyle w:val="NormalWeb"/>
              <w:spacing w:before="0" w:beforeAutospacing="0" w:after="0" w:afterAutospacing="0"/>
              <w:jc w:val="center"/>
              <w:rPr>
                <w:b/>
                <w:bCs/>
                <w:color w:val="FFFFFF" w:themeColor="background1"/>
                <w:sz w:val="20"/>
                <w:szCs w:val="20"/>
              </w:rPr>
            </w:pPr>
            <w:r w:rsidRPr="006341C4">
              <w:rPr>
                <w:b/>
                <w:bCs/>
                <w:color w:val="FFFFFF" w:themeColor="background1"/>
                <w:sz w:val="20"/>
                <w:szCs w:val="20"/>
              </w:rPr>
              <w:t>Name</w:t>
            </w:r>
          </w:p>
        </w:tc>
        <w:tc>
          <w:tcPr>
            <w:tcW w:w="3117" w:type="dxa"/>
            <w:tcBorders>
              <w:bottom w:val="single" w:sz="4" w:space="0" w:color="auto"/>
            </w:tcBorders>
            <w:shd w:val="clear" w:color="auto" w:fill="000000" w:themeFill="text1"/>
          </w:tcPr>
          <w:p w14:paraId="4148109E" w14:textId="22211213" w:rsidR="0044488C" w:rsidRPr="006341C4" w:rsidRDefault="0044488C" w:rsidP="006341C4">
            <w:pPr>
              <w:pStyle w:val="NormalWeb"/>
              <w:spacing w:before="0" w:beforeAutospacing="0" w:after="0" w:afterAutospacing="0"/>
              <w:jc w:val="center"/>
              <w:rPr>
                <w:b/>
                <w:bCs/>
                <w:color w:val="FFFFFF" w:themeColor="background1"/>
                <w:sz w:val="20"/>
                <w:szCs w:val="20"/>
              </w:rPr>
            </w:pPr>
            <w:r w:rsidRPr="006341C4">
              <w:rPr>
                <w:b/>
                <w:bCs/>
                <w:color w:val="FFFFFF" w:themeColor="background1"/>
                <w:sz w:val="20"/>
                <w:szCs w:val="20"/>
              </w:rPr>
              <w:t>Relationship</w:t>
            </w:r>
          </w:p>
        </w:tc>
        <w:tc>
          <w:tcPr>
            <w:tcW w:w="3117" w:type="dxa"/>
            <w:tcBorders>
              <w:bottom w:val="single" w:sz="4" w:space="0" w:color="auto"/>
            </w:tcBorders>
            <w:shd w:val="clear" w:color="auto" w:fill="000000" w:themeFill="text1"/>
          </w:tcPr>
          <w:p w14:paraId="04B249E7" w14:textId="7AE2A20D" w:rsidR="0044488C" w:rsidRPr="006341C4" w:rsidRDefault="0044488C" w:rsidP="006341C4">
            <w:pPr>
              <w:pStyle w:val="NormalWeb"/>
              <w:spacing w:before="0" w:beforeAutospacing="0" w:after="0" w:afterAutospacing="0"/>
              <w:jc w:val="center"/>
              <w:rPr>
                <w:b/>
                <w:bCs/>
                <w:color w:val="FFFFFF" w:themeColor="background1"/>
                <w:sz w:val="20"/>
                <w:szCs w:val="20"/>
              </w:rPr>
            </w:pPr>
            <w:r w:rsidRPr="006341C4">
              <w:rPr>
                <w:b/>
                <w:bCs/>
                <w:color w:val="FFFFFF" w:themeColor="background1"/>
                <w:sz w:val="20"/>
                <w:szCs w:val="20"/>
              </w:rPr>
              <w:t>Amounts owing</w:t>
            </w:r>
          </w:p>
        </w:tc>
      </w:tr>
      <w:tr w:rsidR="00AC4A1F" w:rsidRPr="0044488C" w14:paraId="3089F8EA" w14:textId="77777777" w:rsidTr="006341C4">
        <w:tc>
          <w:tcPr>
            <w:tcW w:w="3116" w:type="dxa"/>
            <w:tcBorders>
              <w:top w:val="single" w:sz="4" w:space="0" w:color="auto"/>
              <w:left w:val="single" w:sz="4" w:space="0" w:color="auto"/>
              <w:bottom w:val="single" w:sz="4" w:space="0" w:color="auto"/>
              <w:right w:val="nil"/>
            </w:tcBorders>
            <w:shd w:val="clear" w:color="auto" w:fill="auto"/>
            <w:vAlign w:val="bottom"/>
          </w:tcPr>
          <w:p w14:paraId="626281B5" w14:textId="029E0F22" w:rsidR="00AC4A1F" w:rsidRPr="006341C4" w:rsidRDefault="00AD7002" w:rsidP="00AC4A1F">
            <w:pPr>
              <w:pStyle w:val="NormalWeb"/>
              <w:spacing w:before="0" w:beforeAutospacing="0" w:after="0" w:afterAutospacing="0"/>
              <w:jc w:val="both"/>
              <w:rPr>
                <w:rFonts w:eastAsia="Times New Roman"/>
                <w:sz w:val="20"/>
                <w:szCs w:val="20"/>
              </w:rPr>
            </w:pPr>
            <w:r>
              <w:rPr>
                <w:rFonts w:eastAsia="Times New Roman"/>
                <w:sz w:val="20"/>
                <w:szCs w:val="20"/>
              </w:rPr>
              <w:t>Arthur Halleran</w:t>
            </w:r>
          </w:p>
        </w:tc>
        <w:tc>
          <w:tcPr>
            <w:tcW w:w="3117" w:type="dxa"/>
            <w:tcBorders>
              <w:top w:val="single" w:sz="4" w:space="0" w:color="auto"/>
              <w:bottom w:val="single" w:sz="4" w:space="0" w:color="auto"/>
            </w:tcBorders>
          </w:tcPr>
          <w:p w14:paraId="7816EC18" w14:textId="0581D63A" w:rsidR="00AC4A1F" w:rsidRPr="006341C4" w:rsidRDefault="00AD7002" w:rsidP="00AC4A1F">
            <w:pPr>
              <w:pStyle w:val="NormalWeb"/>
              <w:spacing w:before="0" w:beforeAutospacing="0" w:after="0" w:afterAutospacing="0"/>
              <w:jc w:val="both"/>
              <w:rPr>
                <w:sz w:val="20"/>
                <w:szCs w:val="20"/>
              </w:rPr>
            </w:pPr>
            <w:r>
              <w:rPr>
                <w:sz w:val="20"/>
                <w:szCs w:val="20"/>
              </w:rPr>
              <w:t>Chief Executive Officer (“CEO”) and director</w:t>
            </w:r>
            <w:r w:rsidDel="00AD7002">
              <w:rPr>
                <w:sz w:val="20"/>
                <w:szCs w:val="20"/>
              </w:rPr>
              <w:t xml:space="preserve"> </w:t>
            </w:r>
          </w:p>
        </w:tc>
        <w:tc>
          <w:tcPr>
            <w:tcW w:w="3117" w:type="dxa"/>
            <w:tcBorders>
              <w:top w:val="single" w:sz="4" w:space="0" w:color="auto"/>
              <w:bottom w:val="single" w:sz="4" w:space="0" w:color="auto"/>
            </w:tcBorders>
          </w:tcPr>
          <w:p w14:paraId="226C51C7" w14:textId="77ECDC30" w:rsidR="00AC4A1F" w:rsidRPr="006341C4" w:rsidRDefault="00AD7002" w:rsidP="006341C4">
            <w:pPr>
              <w:pStyle w:val="NormalWeb"/>
              <w:spacing w:before="0" w:beforeAutospacing="0" w:after="0" w:afterAutospacing="0"/>
              <w:jc w:val="right"/>
              <w:rPr>
                <w:sz w:val="20"/>
                <w:szCs w:val="20"/>
              </w:rPr>
            </w:pPr>
            <w:r>
              <w:rPr>
                <w:sz w:val="20"/>
                <w:szCs w:val="20"/>
              </w:rPr>
              <w:t xml:space="preserve">$  </w:t>
            </w:r>
            <w:r w:rsidRPr="006341C4">
              <w:rPr>
                <w:sz w:val="20"/>
                <w:szCs w:val="20"/>
              </w:rPr>
              <w:t xml:space="preserve"> </w:t>
            </w:r>
            <w:r>
              <w:rPr>
                <w:sz w:val="20"/>
                <w:szCs w:val="20"/>
              </w:rPr>
              <w:t>68,019</w:t>
            </w:r>
            <w:r w:rsidRPr="006341C4">
              <w:rPr>
                <w:sz w:val="20"/>
                <w:szCs w:val="20"/>
              </w:rPr>
              <w:t xml:space="preserve"> </w:t>
            </w:r>
          </w:p>
        </w:tc>
      </w:tr>
      <w:tr w:rsidR="00AD7002" w:rsidRPr="0044488C" w14:paraId="4D8D7316" w14:textId="77777777" w:rsidTr="006341C4">
        <w:tc>
          <w:tcPr>
            <w:tcW w:w="3116" w:type="dxa"/>
            <w:tcBorders>
              <w:top w:val="single" w:sz="4" w:space="0" w:color="auto"/>
              <w:left w:val="single" w:sz="4" w:space="0" w:color="auto"/>
              <w:bottom w:val="single" w:sz="4" w:space="0" w:color="auto"/>
              <w:right w:val="nil"/>
            </w:tcBorders>
            <w:shd w:val="clear" w:color="auto" w:fill="auto"/>
            <w:vAlign w:val="bottom"/>
          </w:tcPr>
          <w:p w14:paraId="58ACEC3B" w14:textId="08A5BBED" w:rsidR="00AD7002" w:rsidRPr="006341C4" w:rsidRDefault="00AD7002" w:rsidP="00AD7002">
            <w:pPr>
              <w:pStyle w:val="NormalWeb"/>
              <w:spacing w:before="0" w:beforeAutospacing="0" w:after="0" w:afterAutospacing="0"/>
              <w:jc w:val="both"/>
              <w:rPr>
                <w:rFonts w:eastAsia="Times New Roman"/>
                <w:sz w:val="20"/>
                <w:szCs w:val="20"/>
              </w:rPr>
            </w:pPr>
            <w:r w:rsidRPr="006341C4">
              <w:rPr>
                <w:rFonts w:eastAsia="Times New Roman"/>
                <w:sz w:val="20"/>
                <w:szCs w:val="20"/>
              </w:rPr>
              <w:t>David M. Thompson</w:t>
            </w:r>
          </w:p>
        </w:tc>
        <w:tc>
          <w:tcPr>
            <w:tcW w:w="3117" w:type="dxa"/>
            <w:tcBorders>
              <w:top w:val="single" w:sz="4" w:space="0" w:color="auto"/>
              <w:bottom w:val="single" w:sz="4" w:space="0" w:color="auto"/>
            </w:tcBorders>
          </w:tcPr>
          <w:p w14:paraId="7CEF797C" w14:textId="59272706" w:rsidR="00AD7002" w:rsidRDefault="00AD7002" w:rsidP="00AD7002">
            <w:pPr>
              <w:pStyle w:val="NormalWeb"/>
              <w:spacing w:before="0" w:beforeAutospacing="0" w:after="0" w:afterAutospacing="0"/>
              <w:jc w:val="both"/>
              <w:rPr>
                <w:sz w:val="20"/>
                <w:szCs w:val="20"/>
              </w:rPr>
            </w:pPr>
            <w:r>
              <w:rPr>
                <w:sz w:val="20"/>
                <w:szCs w:val="20"/>
              </w:rPr>
              <w:t>Chief Financial Officer (“CFO”) and director</w:t>
            </w:r>
          </w:p>
        </w:tc>
        <w:tc>
          <w:tcPr>
            <w:tcW w:w="3117" w:type="dxa"/>
            <w:tcBorders>
              <w:top w:val="single" w:sz="4" w:space="0" w:color="auto"/>
              <w:bottom w:val="single" w:sz="4" w:space="0" w:color="auto"/>
            </w:tcBorders>
          </w:tcPr>
          <w:p w14:paraId="0A147306" w14:textId="57997B7A" w:rsidR="00AD7002" w:rsidRDefault="00AD7002" w:rsidP="00AD7002">
            <w:pPr>
              <w:pStyle w:val="NormalWeb"/>
              <w:spacing w:before="0" w:beforeAutospacing="0" w:after="0" w:afterAutospacing="0"/>
              <w:jc w:val="right"/>
              <w:rPr>
                <w:sz w:val="20"/>
                <w:szCs w:val="20"/>
              </w:rPr>
            </w:pPr>
            <w:r>
              <w:rPr>
                <w:sz w:val="20"/>
                <w:szCs w:val="20"/>
              </w:rPr>
              <w:t xml:space="preserve">$  </w:t>
            </w:r>
            <w:r w:rsidRPr="006341C4">
              <w:rPr>
                <w:sz w:val="20"/>
                <w:szCs w:val="20"/>
              </w:rPr>
              <w:t xml:space="preserve"> </w:t>
            </w:r>
            <w:r>
              <w:rPr>
                <w:sz w:val="20"/>
                <w:szCs w:val="20"/>
              </w:rPr>
              <w:t>40,874</w:t>
            </w:r>
            <w:r w:rsidRPr="006341C4">
              <w:rPr>
                <w:sz w:val="20"/>
                <w:szCs w:val="20"/>
              </w:rPr>
              <w:t xml:space="preserve"> </w:t>
            </w:r>
          </w:p>
        </w:tc>
      </w:tr>
      <w:tr w:rsidR="00AD7002" w:rsidRPr="0044488C" w14:paraId="1445C0CA" w14:textId="77777777" w:rsidTr="006341C4">
        <w:tc>
          <w:tcPr>
            <w:tcW w:w="3116" w:type="dxa"/>
            <w:tcBorders>
              <w:top w:val="single" w:sz="4" w:space="0" w:color="auto"/>
              <w:left w:val="single" w:sz="4" w:space="0" w:color="auto"/>
              <w:bottom w:val="single" w:sz="4" w:space="0" w:color="auto"/>
              <w:right w:val="nil"/>
            </w:tcBorders>
            <w:shd w:val="clear" w:color="auto" w:fill="auto"/>
            <w:vAlign w:val="bottom"/>
          </w:tcPr>
          <w:p w14:paraId="381EF6A2" w14:textId="5730C5BA" w:rsidR="00AD7002" w:rsidRPr="006341C4" w:rsidRDefault="00AD7002" w:rsidP="00AD7002">
            <w:pPr>
              <w:pStyle w:val="NormalWeb"/>
              <w:spacing w:before="0" w:beforeAutospacing="0" w:after="0" w:afterAutospacing="0"/>
              <w:jc w:val="both"/>
              <w:rPr>
                <w:rFonts w:eastAsia="Times New Roman"/>
                <w:sz w:val="20"/>
                <w:szCs w:val="20"/>
              </w:rPr>
            </w:pPr>
            <w:r w:rsidRPr="006341C4">
              <w:rPr>
                <w:rFonts w:eastAsia="Times New Roman"/>
                <w:sz w:val="20"/>
                <w:szCs w:val="20"/>
              </w:rPr>
              <w:t>Kubilay Yildirim</w:t>
            </w:r>
          </w:p>
        </w:tc>
        <w:tc>
          <w:tcPr>
            <w:tcW w:w="3117" w:type="dxa"/>
            <w:tcBorders>
              <w:top w:val="single" w:sz="4" w:space="0" w:color="auto"/>
              <w:bottom w:val="single" w:sz="4" w:space="0" w:color="auto"/>
            </w:tcBorders>
          </w:tcPr>
          <w:p w14:paraId="16E88596" w14:textId="35A75ED4" w:rsidR="00AD7002" w:rsidRPr="006341C4" w:rsidRDefault="00AD7002" w:rsidP="00AD7002">
            <w:pPr>
              <w:pStyle w:val="NormalWeb"/>
              <w:spacing w:before="0" w:beforeAutospacing="0" w:after="0" w:afterAutospacing="0"/>
              <w:jc w:val="both"/>
              <w:rPr>
                <w:sz w:val="20"/>
                <w:szCs w:val="20"/>
              </w:rPr>
            </w:pPr>
            <w:r>
              <w:rPr>
                <w:sz w:val="20"/>
                <w:szCs w:val="20"/>
              </w:rPr>
              <w:t>Director</w:t>
            </w:r>
          </w:p>
        </w:tc>
        <w:tc>
          <w:tcPr>
            <w:tcW w:w="3117" w:type="dxa"/>
            <w:tcBorders>
              <w:top w:val="single" w:sz="4" w:space="0" w:color="auto"/>
              <w:bottom w:val="single" w:sz="4" w:space="0" w:color="auto"/>
            </w:tcBorders>
          </w:tcPr>
          <w:p w14:paraId="71599212" w14:textId="54C8256E" w:rsidR="00AD7002" w:rsidRPr="006341C4" w:rsidRDefault="00AD7002" w:rsidP="00AD7002">
            <w:pPr>
              <w:pStyle w:val="NormalWeb"/>
              <w:spacing w:before="0" w:beforeAutospacing="0" w:after="0" w:afterAutospacing="0"/>
              <w:jc w:val="right"/>
              <w:rPr>
                <w:sz w:val="20"/>
                <w:szCs w:val="20"/>
              </w:rPr>
            </w:pPr>
            <w:r>
              <w:rPr>
                <w:sz w:val="20"/>
                <w:szCs w:val="20"/>
              </w:rPr>
              <w:t xml:space="preserve">$    </w:t>
            </w:r>
            <w:r w:rsidRPr="006341C4">
              <w:rPr>
                <w:sz w:val="20"/>
                <w:szCs w:val="20"/>
              </w:rPr>
              <w:t xml:space="preserve"> </w:t>
            </w:r>
            <w:r>
              <w:rPr>
                <w:sz w:val="20"/>
                <w:szCs w:val="20"/>
              </w:rPr>
              <w:t>8,793</w:t>
            </w:r>
            <w:r w:rsidRPr="006341C4">
              <w:rPr>
                <w:sz w:val="20"/>
                <w:szCs w:val="20"/>
              </w:rPr>
              <w:t xml:space="preserve"> </w:t>
            </w:r>
          </w:p>
        </w:tc>
      </w:tr>
      <w:tr w:rsidR="00AD7002" w:rsidRPr="0044488C" w14:paraId="6C2D95F1" w14:textId="77777777" w:rsidTr="0044488C">
        <w:tc>
          <w:tcPr>
            <w:tcW w:w="3116" w:type="dxa"/>
          </w:tcPr>
          <w:p w14:paraId="5301CFC9" w14:textId="5C002509" w:rsidR="00AD7002" w:rsidRPr="006341C4" w:rsidRDefault="00AD7002" w:rsidP="00AD7002">
            <w:pPr>
              <w:pStyle w:val="NormalWeb"/>
              <w:spacing w:before="0" w:beforeAutospacing="0" w:after="0" w:afterAutospacing="0"/>
              <w:jc w:val="both"/>
              <w:rPr>
                <w:sz w:val="20"/>
                <w:szCs w:val="20"/>
              </w:rPr>
            </w:pPr>
            <w:r>
              <w:rPr>
                <w:sz w:val="20"/>
                <w:szCs w:val="20"/>
              </w:rPr>
              <w:t>Barry Wood</w:t>
            </w:r>
          </w:p>
        </w:tc>
        <w:tc>
          <w:tcPr>
            <w:tcW w:w="3117" w:type="dxa"/>
          </w:tcPr>
          <w:p w14:paraId="078D3A06" w14:textId="7B757DAF" w:rsidR="00AD7002" w:rsidRPr="006341C4" w:rsidRDefault="00AD7002" w:rsidP="00AD7002">
            <w:pPr>
              <w:pStyle w:val="NormalWeb"/>
              <w:spacing w:before="0" w:beforeAutospacing="0" w:after="0" w:afterAutospacing="0"/>
              <w:jc w:val="both"/>
              <w:rPr>
                <w:sz w:val="20"/>
                <w:szCs w:val="20"/>
              </w:rPr>
            </w:pPr>
            <w:r>
              <w:rPr>
                <w:sz w:val="20"/>
                <w:szCs w:val="20"/>
              </w:rPr>
              <w:t>Director</w:t>
            </w:r>
          </w:p>
        </w:tc>
        <w:tc>
          <w:tcPr>
            <w:tcW w:w="3117" w:type="dxa"/>
          </w:tcPr>
          <w:p w14:paraId="4FF7B027" w14:textId="1D50E0E1" w:rsidR="00AD7002" w:rsidRPr="006341C4" w:rsidRDefault="00AD7002" w:rsidP="00AD7002">
            <w:pPr>
              <w:pStyle w:val="NormalWeb"/>
              <w:spacing w:before="0" w:beforeAutospacing="0" w:after="0" w:afterAutospacing="0"/>
              <w:jc w:val="right"/>
              <w:rPr>
                <w:sz w:val="20"/>
                <w:szCs w:val="20"/>
              </w:rPr>
            </w:pPr>
            <w:r>
              <w:rPr>
                <w:sz w:val="20"/>
                <w:szCs w:val="20"/>
              </w:rPr>
              <w:t>$   27,118</w:t>
            </w:r>
          </w:p>
        </w:tc>
      </w:tr>
    </w:tbl>
    <w:p w14:paraId="08934302" w14:textId="77777777" w:rsidR="0044488C" w:rsidRPr="00C95A74" w:rsidRDefault="0044488C" w:rsidP="00C95A74">
      <w:pPr>
        <w:pStyle w:val="NormalWeb"/>
        <w:spacing w:before="0" w:beforeAutospacing="0" w:after="0" w:afterAutospacing="0"/>
        <w:jc w:val="both"/>
      </w:pPr>
    </w:p>
    <w:p w14:paraId="541D815E" w14:textId="0392EB97" w:rsidR="00AC4A1F" w:rsidRDefault="008A0AAE" w:rsidP="00AC4A1F">
      <w:pPr>
        <w:pStyle w:val="NormalWeb"/>
        <w:spacing w:before="0" w:beforeAutospacing="0" w:after="0" w:afterAutospacing="0"/>
        <w:jc w:val="both"/>
        <w:rPr>
          <w:sz w:val="20"/>
          <w:szCs w:val="20"/>
        </w:rPr>
      </w:pPr>
      <w:r w:rsidRPr="00C95A74">
        <w:rPr>
          <w:sz w:val="20"/>
          <w:szCs w:val="20"/>
        </w:rPr>
        <w:t xml:space="preserve">During the </w:t>
      </w:r>
      <w:r w:rsidR="00AD7002">
        <w:rPr>
          <w:sz w:val="20"/>
          <w:szCs w:val="20"/>
        </w:rPr>
        <w:t>six</w:t>
      </w:r>
      <w:r w:rsidR="00AD7002" w:rsidRPr="00C95A74">
        <w:rPr>
          <w:sz w:val="20"/>
          <w:szCs w:val="20"/>
        </w:rPr>
        <w:t xml:space="preserve"> </w:t>
      </w:r>
      <w:r w:rsidRPr="00C95A74">
        <w:rPr>
          <w:sz w:val="20"/>
          <w:szCs w:val="20"/>
        </w:rPr>
        <w:t xml:space="preserve">months ended </w:t>
      </w:r>
      <w:r w:rsidR="00AD7002">
        <w:rPr>
          <w:sz w:val="20"/>
          <w:szCs w:val="20"/>
        </w:rPr>
        <w:t>June 30</w:t>
      </w:r>
      <w:r w:rsidRPr="00C95A74">
        <w:rPr>
          <w:sz w:val="20"/>
          <w:szCs w:val="20"/>
        </w:rPr>
        <w:t>, 2022, management fees of $</w:t>
      </w:r>
      <w:r w:rsidR="00AD7002">
        <w:rPr>
          <w:sz w:val="20"/>
          <w:szCs w:val="20"/>
        </w:rPr>
        <w:t>463,325</w:t>
      </w:r>
      <w:r w:rsidRPr="00C95A74">
        <w:rPr>
          <w:sz w:val="20"/>
          <w:szCs w:val="20"/>
        </w:rPr>
        <w:t xml:space="preserve"> (2021 - $</w:t>
      </w:r>
      <w:r w:rsidR="00AD7002">
        <w:rPr>
          <w:sz w:val="20"/>
          <w:szCs w:val="20"/>
        </w:rPr>
        <w:t>123,254</w:t>
      </w:r>
      <w:r w:rsidRPr="00C95A74">
        <w:rPr>
          <w:sz w:val="20"/>
          <w:szCs w:val="20"/>
        </w:rPr>
        <w:t>) and director fees of $</w:t>
      </w:r>
      <w:r w:rsidR="00AD7002">
        <w:rPr>
          <w:sz w:val="20"/>
          <w:szCs w:val="20"/>
        </w:rPr>
        <w:t>36,000</w:t>
      </w:r>
      <w:r w:rsidRPr="00C95A74">
        <w:rPr>
          <w:sz w:val="20"/>
          <w:szCs w:val="20"/>
        </w:rPr>
        <w:t xml:space="preserve"> (2021 - $</w:t>
      </w:r>
      <w:r w:rsidR="00AD7002">
        <w:rPr>
          <w:sz w:val="20"/>
          <w:szCs w:val="20"/>
        </w:rPr>
        <w:t>36,000</w:t>
      </w:r>
      <w:r w:rsidRPr="00C95A74">
        <w:rPr>
          <w:sz w:val="20"/>
          <w:szCs w:val="20"/>
        </w:rPr>
        <w:t>) were incurred to related parties.</w:t>
      </w:r>
      <w:r w:rsidR="00AC4A1F">
        <w:rPr>
          <w:sz w:val="20"/>
          <w:szCs w:val="20"/>
        </w:rPr>
        <w:t xml:space="preserve"> A breakdown of the fees incurred by related party</w:t>
      </w:r>
      <w:r w:rsidR="00930C82">
        <w:rPr>
          <w:sz w:val="20"/>
          <w:szCs w:val="20"/>
        </w:rPr>
        <w:t xml:space="preserve"> during the </w:t>
      </w:r>
      <w:r w:rsidR="00AD7002">
        <w:rPr>
          <w:sz w:val="20"/>
          <w:szCs w:val="20"/>
        </w:rPr>
        <w:t xml:space="preserve">six </w:t>
      </w:r>
      <w:r w:rsidR="00930C82">
        <w:rPr>
          <w:sz w:val="20"/>
          <w:szCs w:val="20"/>
        </w:rPr>
        <w:t xml:space="preserve">months ended </w:t>
      </w:r>
      <w:r w:rsidR="00AD7002">
        <w:rPr>
          <w:sz w:val="20"/>
          <w:szCs w:val="20"/>
        </w:rPr>
        <w:t>June 30</w:t>
      </w:r>
      <w:r w:rsidR="00930C82">
        <w:rPr>
          <w:sz w:val="20"/>
          <w:szCs w:val="20"/>
        </w:rPr>
        <w:t xml:space="preserve">, </w:t>
      </w:r>
      <w:proofErr w:type="gramStart"/>
      <w:r w:rsidR="00930C82">
        <w:rPr>
          <w:sz w:val="20"/>
          <w:szCs w:val="20"/>
        </w:rPr>
        <w:t>2022</w:t>
      </w:r>
      <w:proofErr w:type="gramEnd"/>
      <w:r w:rsidR="00AC4A1F">
        <w:rPr>
          <w:sz w:val="20"/>
          <w:szCs w:val="20"/>
        </w:rPr>
        <w:t xml:space="preserve"> as follows:</w:t>
      </w:r>
    </w:p>
    <w:p w14:paraId="3AFB165F" w14:textId="5FC72E88" w:rsidR="00AC4A1F" w:rsidRDefault="00AC4A1F" w:rsidP="00AC4A1F">
      <w:pPr>
        <w:pStyle w:val="NormalWeb"/>
        <w:spacing w:before="0" w:beforeAutospacing="0" w:after="0" w:afterAutospacing="0"/>
        <w:jc w:val="both"/>
        <w:rPr>
          <w:sz w:val="20"/>
          <w:szCs w:val="20"/>
        </w:rPr>
      </w:pPr>
    </w:p>
    <w:p w14:paraId="77511342" w14:textId="4247D96C" w:rsidR="00AC4A1F" w:rsidRPr="006341C4" w:rsidRDefault="00AC4A1F" w:rsidP="00AC4A1F">
      <w:pPr>
        <w:pStyle w:val="NormalWeb"/>
        <w:spacing w:before="0" w:beforeAutospacing="0" w:after="0" w:afterAutospacing="0"/>
        <w:jc w:val="both"/>
        <w:rPr>
          <w:sz w:val="20"/>
          <w:szCs w:val="20"/>
          <w:u w:val="single"/>
        </w:rPr>
      </w:pPr>
      <w:r w:rsidRPr="006341C4">
        <w:rPr>
          <w:sz w:val="20"/>
          <w:szCs w:val="20"/>
          <w:u w:val="single"/>
        </w:rPr>
        <w:t>Management fees</w:t>
      </w:r>
      <w:r w:rsidR="00690F0A">
        <w:rPr>
          <w:sz w:val="20"/>
          <w:szCs w:val="20"/>
          <w:u w:val="single"/>
        </w:rPr>
        <w:t xml:space="preserve"> and bonuses</w:t>
      </w:r>
    </w:p>
    <w:p w14:paraId="0AF8DC34" w14:textId="77777777" w:rsidR="00AC4A1F" w:rsidRDefault="00AC4A1F" w:rsidP="00AC4A1F">
      <w:pPr>
        <w:pStyle w:val="NormalWeb"/>
        <w:spacing w:before="0" w:beforeAutospacing="0" w:after="0" w:afterAutospacing="0"/>
        <w:jc w:val="both"/>
        <w:rPr>
          <w:sz w:val="20"/>
          <w:szCs w:val="20"/>
        </w:rPr>
      </w:pPr>
    </w:p>
    <w:tbl>
      <w:tblPr>
        <w:tblStyle w:val="TableGrid"/>
        <w:tblW w:w="0" w:type="auto"/>
        <w:tblLook w:val="04A0" w:firstRow="1" w:lastRow="0" w:firstColumn="1" w:lastColumn="0" w:noHBand="0" w:noVBand="1"/>
      </w:tblPr>
      <w:tblGrid>
        <w:gridCol w:w="3116"/>
        <w:gridCol w:w="3117"/>
        <w:gridCol w:w="3117"/>
      </w:tblGrid>
      <w:tr w:rsidR="00AC4A1F" w:rsidRPr="0044488C" w14:paraId="47983C3B" w14:textId="77777777" w:rsidTr="001B46D2">
        <w:tc>
          <w:tcPr>
            <w:tcW w:w="3116" w:type="dxa"/>
            <w:tcBorders>
              <w:bottom w:val="single" w:sz="4" w:space="0" w:color="auto"/>
            </w:tcBorders>
            <w:shd w:val="clear" w:color="auto" w:fill="000000" w:themeFill="text1"/>
          </w:tcPr>
          <w:p w14:paraId="08245D55" w14:textId="77777777" w:rsidR="00AC4A1F" w:rsidRPr="00601116" w:rsidRDefault="00AC4A1F"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Name</w:t>
            </w:r>
          </w:p>
        </w:tc>
        <w:tc>
          <w:tcPr>
            <w:tcW w:w="3117" w:type="dxa"/>
            <w:tcBorders>
              <w:bottom w:val="single" w:sz="4" w:space="0" w:color="auto"/>
            </w:tcBorders>
            <w:shd w:val="clear" w:color="auto" w:fill="000000" w:themeFill="text1"/>
          </w:tcPr>
          <w:p w14:paraId="761D4052" w14:textId="77777777" w:rsidR="00AC4A1F" w:rsidRPr="00601116" w:rsidRDefault="00AC4A1F"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Relationship</w:t>
            </w:r>
          </w:p>
        </w:tc>
        <w:tc>
          <w:tcPr>
            <w:tcW w:w="3117" w:type="dxa"/>
            <w:tcBorders>
              <w:bottom w:val="single" w:sz="4" w:space="0" w:color="auto"/>
            </w:tcBorders>
            <w:shd w:val="clear" w:color="auto" w:fill="000000" w:themeFill="text1"/>
          </w:tcPr>
          <w:p w14:paraId="5B397DB4" w14:textId="3601CE0F" w:rsidR="00AC4A1F" w:rsidRPr="00601116" w:rsidRDefault="00AC4A1F"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Amount</w:t>
            </w:r>
          </w:p>
        </w:tc>
      </w:tr>
      <w:tr w:rsidR="00AC4A1F" w:rsidRPr="0044488C" w14:paraId="00B937DF"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364B751B" w14:textId="53C4F052" w:rsidR="00AC4A1F" w:rsidRPr="00601116" w:rsidRDefault="00AC4A1F" w:rsidP="001B46D2">
            <w:pPr>
              <w:pStyle w:val="NormalWeb"/>
              <w:spacing w:before="0" w:beforeAutospacing="0" w:after="0" w:afterAutospacing="0"/>
              <w:jc w:val="both"/>
              <w:rPr>
                <w:rFonts w:eastAsia="Times New Roman"/>
                <w:sz w:val="20"/>
                <w:szCs w:val="20"/>
              </w:rPr>
            </w:pPr>
            <w:r>
              <w:rPr>
                <w:rFonts w:eastAsia="Times New Roman"/>
                <w:sz w:val="20"/>
                <w:szCs w:val="20"/>
              </w:rPr>
              <w:t>Arthur Halleran</w:t>
            </w:r>
          </w:p>
        </w:tc>
        <w:tc>
          <w:tcPr>
            <w:tcW w:w="3117" w:type="dxa"/>
            <w:tcBorders>
              <w:top w:val="single" w:sz="4" w:space="0" w:color="auto"/>
              <w:bottom w:val="single" w:sz="4" w:space="0" w:color="auto"/>
            </w:tcBorders>
          </w:tcPr>
          <w:p w14:paraId="07D86634" w14:textId="1DDBF031" w:rsidR="00AC4A1F" w:rsidRPr="00601116" w:rsidRDefault="00930C82" w:rsidP="001B46D2">
            <w:pPr>
              <w:pStyle w:val="NormalWeb"/>
              <w:spacing w:before="0" w:beforeAutospacing="0" w:after="0" w:afterAutospacing="0"/>
              <w:jc w:val="both"/>
              <w:rPr>
                <w:sz w:val="20"/>
                <w:szCs w:val="20"/>
              </w:rPr>
            </w:pPr>
            <w:r>
              <w:rPr>
                <w:sz w:val="20"/>
                <w:szCs w:val="20"/>
              </w:rPr>
              <w:t>Chief Executive Officer (“CEO”) and director</w:t>
            </w:r>
          </w:p>
        </w:tc>
        <w:tc>
          <w:tcPr>
            <w:tcW w:w="3117" w:type="dxa"/>
            <w:tcBorders>
              <w:top w:val="single" w:sz="4" w:space="0" w:color="auto"/>
              <w:bottom w:val="single" w:sz="4" w:space="0" w:color="auto"/>
            </w:tcBorders>
          </w:tcPr>
          <w:p w14:paraId="13D580C1" w14:textId="3664ACF7" w:rsidR="00AC4A1F" w:rsidRPr="00601116" w:rsidRDefault="00930C82" w:rsidP="001B46D2">
            <w:pPr>
              <w:pStyle w:val="NormalWeb"/>
              <w:spacing w:before="0" w:beforeAutospacing="0" w:after="0" w:afterAutospacing="0"/>
              <w:jc w:val="right"/>
              <w:rPr>
                <w:sz w:val="20"/>
                <w:szCs w:val="20"/>
              </w:rPr>
            </w:pPr>
            <w:r>
              <w:rPr>
                <w:sz w:val="20"/>
                <w:szCs w:val="20"/>
              </w:rPr>
              <w:t xml:space="preserve">$ </w:t>
            </w:r>
            <w:r w:rsidR="00AD7002">
              <w:rPr>
                <w:sz w:val="20"/>
                <w:szCs w:val="20"/>
              </w:rPr>
              <w:t>400,325</w:t>
            </w:r>
          </w:p>
        </w:tc>
      </w:tr>
      <w:tr w:rsidR="00AD7002" w:rsidRPr="0044488C" w14:paraId="7ED539BD"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5CA10BA0" w14:textId="4C34BBFE" w:rsidR="00AD7002" w:rsidRPr="00601116" w:rsidRDefault="00AD7002" w:rsidP="00AD7002">
            <w:pPr>
              <w:pStyle w:val="NormalWeb"/>
              <w:spacing w:before="0" w:beforeAutospacing="0" w:after="0" w:afterAutospacing="0"/>
              <w:jc w:val="both"/>
              <w:rPr>
                <w:rFonts w:eastAsia="Times New Roman"/>
                <w:sz w:val="20"/>
                <w:szCs w:val="20"/>
              </w:rPr>
            </w:pPr>
            <w:r w:rsidRPr="00601116">
              <w:rPr>
                <w:rFonts w:eastAsia="Times New Roman"/>
                <w:sz w:val="20"/>
                <w:szCs w:val="20"/>
              </w:rPr>
              <w:t>David M. Thompson</w:t>
            </w:r>
          </w:p>
        </w:tc>
        <w:tc>
          <w:tcPr>
            <w:tcW w:w="3117" w:type="dxa"/>
            <w:tcBorders>
              <w:top w:val="single" w:sz="4" w:space="0" w:color="auto"/>
              <w:bottom w:val="single" w:sz="4" w:space="0" w:color="auto"/>
            </w:tcBorders>
          </w:tcPr>
          <w:p w14:paraId="2947DA03" w14:textId="4F4C408B" w:rsidR="00AD7002" w:rsidRPr="00601116" w:rsidRDefault="00AD7002" w:rsidP="00AD7002">
            <w:pPr>
              <w:pStyle w:val="NormalWeb"/>
              <w:spacing w:before="0" w:beforeAutospacing="0" w:after="0" w:afterAutospacing="0"/>
              <w:jc w:val="both"/>
              <w:rPr>
                <w:sz w:val="20"/>
                <w:szCs w:val="20"/>
              </w:rPr>
            </w:pPr>
            <w:r>
              <w:rPr>
                <w:sz w:val="20"/>
                <w:szCs w:val="20"/>
              </w:rPr>
              <w:t>Chief Financial Officer (“CFO”) and director</w:t>
            </w:r>
          </w:p>
        </w:tc>
        <w:tc>
          <w:tcPr>
            <w:tcW w:w="3117" w:type="dxa"/>
            <w:tcBorders>
              <w:top w:val="single" w:sz="4" w:space="0" w:color="auto"/>
              <w:bottom w:val="single" w:sz="4" w:space="0" w:color="auto"/>
            </w:tcBorders>
          </w:tcPr>
          <w:p w14:paraId="44835EB6" w14:textId="3B54F2E8" w:rsidR="00AD7002" w:rsidRPr="00601116" w:rsidRDefault="00AD7002" w:rsidP="00AD7002">
            <w:pPr>
              <w:pStyle w:val="NormalWeb"/>
              <w:spacing w:before="0" w:beforeAutospacing="0" w:after="0" w:afterAutospacing="0"/>
              <w:jc w:val="right"/>
              <w:rPr>
                <w:sz w:val="20"/>
                <w:szCs w:val="20"/>
              </w:rPr>
            </w:pPr>
            <w:r>
              <w:rPr>
                <w:sz w:val="20"/>
                <w:szCs w:val="20"/>
              </w:rPr>
              <w:t xml:space="preserve">$  </w:t>
            </w:r>
            <w:r w:rsidRPr="00601116">
              <w:rPr>
                <w:sz w:val="20"/>
                <w:szCs w:val="20"/>
              </w:rPr>
              <w:t xml:space="preserve"> </w:t>
            </w:r>
            <w:r>
              <w:rPr>
                <w:sz w:val="20"/>
                <w:szCs w:val="20"/>
              </w:rPr>
              <w:t>63,000</w:t>
            </w:r>
            <w:r w:rsidRPr="00601116">
              <w:rPr>
                <w:sz w:val="20"/>
                <w:szCs w:val="20"/>
              </w:rPr>
              <w:t xml:space="preserve"> </w:t>
            </w:r>
          </w:p>
        </w:tc>
      </w:tr>
    </w:tbl>
    <w:p w14:paraId="6CE601A0" w14:textId="2C55535E" w:rsidR="00AC4A1F" w:rsidRDefault="00AC4A1F" w:rsidP="00C95A74">
      <w:pPr>
        <w:pStyle w:val="NormalWeb"/>
        <w:spacing w:before="0" w:beforeAutospacing="0" w:after="0" w:afterAutospacing="0"/>
        <w:jc w:val="both"/>
        <w:rPr>
          <w:sz w:val="20"/>
          <w:szCs w:val="20"/>
        </w:rPr>
      </w:pPr>
    </w:p>
    <w:p w14:paraId="606BFE1C" w14:textId="23FAF87C" w:rsidR="00AD7002" w:rsidRDefault="00AD7002" w:rsidP="00C95A74">
      <w:pPr>
        <w:pStyle w:val="NormalWeb"/>
        <w:spacing w:before="0" w:beforeAutospacing="0" w:after="0" w:afterAutospacing="0"/>
        <w:jc w:val="both"/>
        <w:rPr>
          <w:sz w:val="20"/>
          <w:szCs w:val="20"/>
        </w:rPr>
      </w:pPr>
    </w:p>
    <w:p w14:paraId="6E1B8071" w14:textId="77777777" w:rsidR="00AD7002" w:rsidRDefault="00AD7002" w:rsidP="00C95A74">
      <w:pPr>
        <w:pStyle w:val="NormalWeb"/>
        <w:spacing w:before="0" w:beforeAutospacing="0" w:after="0" w:afterAutospacing="0"/>
        <w:jc w:val="both"/>
        <w:rPr>
          <w:sz w:val="20"/>
          <w:szCs w:val="20"/>
        </w:rPr>
      </w:pPr>
    </w:p>
    <w:p w14:paraId="3C783492" w14:textId="63D49163" w:rsidR="00AC4A1F" w:rsidRPr="006341C4" w:rsidRDefault="00930C82" w:rsidP="00C95A74">
      <w:pPr>
        <w:pStyle w:val="NormalWeb"/>
        <w:spacing w:before="0" w:beforeAutospacing="0" w:after="0" w:afterAutospacing="0"/>
        <w:jc w:val="both"/>
        <w:rPr>
          <w:sz w:val="20"/>
          <w:szCs w:val="20"/>
          <w:u w:val="single"/>
        </w:rPr>
      </w:pPr>
      <w:r w:rsidRPr="006341C4">
        <w:rPr>
          <w:sz w:val="20"/>
          <w:szCs w:val="20"/>
          <w:u w:val="single"/>
        </w:rPr>
        <w:lastRenderedPageBreak/>
        <w:t>Directors’ fees</w:t>
      </w:r>
    </w:p>
    <w:p w14:paraId="6CDA6FFC" w14:textId="77777777" w:rsidR="00930C82" w:rsidRPr="00C95A74" w:rsidRDefault="00930C82" w:rsidP="00C95A74">
      <w:pPr>
        <w:pStyle w:val="NormalWeb"/>
        <w:spacing w:before="0" w:beforeAutospacing="0" w:after="0" w:afterAutospacing="0"/>
        <w:jc w:val="both"/>
      </w:pPr>
    </w:p>
    <w:tbl>
      <w:tblPr>
        <w:tblStyle w:val="TableGrid"/>
        <w:tblW w:w="0" w:type="auto"/>
        <w:tblLook w:val="04A0" w:firstRow="1" w:lastRow="0" w:firstColumn="1" w:lastColumn="0" w:noHBand="0" w:noVBand="1"/>
      </w:tblPr>
      <w:tblGrid>
        <w:gridCol w:w="3116"/>
        <w:gridCol w:w="3117"/>
        <w:gridCol w:w="3117"/>
      </w:tblGrid>
      <w:tr w:rsidR="00930C82" w:rsidRPr="0044488C" w14:paraId="14F48D62" w14:textId="77777777" w:rsidTr="001B46D2">
        <w:tc>
          <w:tcPr>
            <w:tcW w:w="3116" w:type="dxa"/>
            <w:tcBorders>
              <w:bottom w:val="single" w:sz="4" w:space="0" w:color="auto"/>
            </w:tcBorders>
            <w:shd w:val="clear" w:color="auto" w:fill="000000" w:themeFill="text1"/>
          </w:tcPr>
          <w:p w14:paraId="2EB73025" w14:textId="77777777" w:rsidR="00930C82" w:rsidRPr="00601116" w:rsidRDefault="00930C82"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Name</w:t>
            </w:r>
          </w:p>
        </w:tc>
        <w:tc>
          <w:tcPr>
            <w:tcW w:w="3117" w:type="dxa"/>
            <w:tcBorders>
              <w:bottom w:val="single" w:sz="4" w:space="0" w:color="auto"/>
            </w:tcBorders>
            <w:shd w:val="clear" w:color="auto" w:fill="000000" w:themeFill="text1"/>
          </w:tcPr>
          <w:p w14:paraId="44BEC16D" w14:textId="77777777" w:rsidR="00930C82" w:rsidRPr="00601116" w:rsidRDefault="00930C82"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Relationship</w:t>
            </w:r>
          </w:p>
        </w:tc>
        <w:tc>
          <w:tcPr>
            <w:tcW w:w="3117" w:type="dxa"/>
            <w:tcBorders>
              <w:bottom w:val="single" w:sz="4" w:space="0" w:color="auto"/>
            </w:tcBorders>
            <w:shd w:val="clear" w:color="auto" w:fill="000000" w:themeFill="text1"/>
          </w:tcPr>
          <w:p w14:paraId="650F3F19" w14:textId="77777777" w:rsidR="00930C82" w:rsidRPr="00601116" w:rsidRDefault="00930C82"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Amount</w:t>
            </w:r>
          </w:p>
        </w:tc>
      </w:tr>
      <w:tr w:rsidR="00930C82" w:rsidRPr="0044488C" w14:paraId="35AD7359"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04E0A047" w14:textId="77777777" w:rsidR="00930C82" w:rsidRPr="00601116" w:rsidRDefault="00930C82" w:rsidP="001B46D2">
            <w:pPr>
              <w:pStyle w:val="NormalWeb"/>
              <w:spacing w:before="0" w:beforeAutospacing="0" w:after="0" w:afterAutospacing="0"/>
              <w:jc w:val="both"/>
              <w:rPr>
                <w:rFonts w:eastAsia="Times New Roman"/>
                <w:sz w:val="20"/>
                <w:szCs w:val="20"/>
              </w:rPr>
            </w:pPr>
            <w:r>
              <w:rPr>
                <w:rFonts w:eastAsia="Times New Roman"/>
                <w:sz w:val="20"/>
                <w:szCs w:val="20"/>
              </w:rPr>
              <w:t>Arthur Halleran</w:t>
            </w:r>
          </w:p>
        </w:tc>
        <w:tc>
          <w:tcPr>
            <w:tcW w:w="3117" w:type="dxa"/>
            <w:tcBorders>
              <w:top w:val="single" w:sz="4" w:space="0" w:color="auto"/>
              <w:bottom w:val="single" w:sz="4" w:space="0" w:color="auto"/>
            </w:tcBorders>
          </w:tcPr>
          <w:p w14:paraId="387175B2" w14:textId="39171813" w:rsidR="00930C82" w:rsidRPr="00601116" w:rsidRDefault="00930C82" w:rsidP="001B46D2">
            <w:pPr>
              <w:pStyle w:val="NormalWeb"/>
              <w:spacing w:before="0" w:beforeAutospacing="0" w:after="0" w:afterAutospacing="0"/>
              <w:jc w:val="both"/>
              <w:rPr>
                <w:sz w:val="20"/>
                <w:szCs w:val="20"/>
              </w:rPr>
            </w:pPr>
            <w:r>
              <w:rPr>
                <w:sz w:val="20"/>
                <w:szCs w:val="20"/>
              </w:rPr>
              <w:t>CEO and director</w:t>
            </w:r>
          </w:p>
        </w:tc>
        <w:tc>
          <w:tcPr>
            <w:tcW w:w="3117" w:type="dxa"/>
            <w:tcBorders>
              <w:top w:val="single" w:sz="4" w:space="0" w:color="auto"/>
              <w:bottom w:val="single" w:sz="4" w:space="0" w:color="auto"/>
            </w:tcBorders>
          </w:tcPr>
          <w:p w14:paraId="73BD0674" w14:textId="666A67BA" w:rsidR="00930C82" w:rsidRPr="00601116" w:rsidRDefault="00930C82" w:rsidP="001B46D2">
            <w:pPr>
              <w:pStyle w:val="NormalWeb"/>
              <w:spacing w:before="0" w:beforeAutospacing="0" w:after="0" w:afterAutospacing="0"/>
              <w:jc w:val="right"/>
              <w:rPr>
                <w:sz w:val="20"/>
                <w:szCs w:val="20"/>
              </w:rPr>
            </w:pPr>
            <w:r>
              <w:rPr>
                <w:sz w:val="20"/>
                <w:szCs w:val="20"/>
              </w:rPr>
              <w:t xml:space="preserve">$    </w:t>
            </w:r>
            <w:r w:rsidR="00AD7002">
              <w:rPr>
                <w:sz w:val="20"/>
                <w:szCs w:val="20"/>
              </w:rPr>
              <w:t>9</w:t>
            </w:r>
            <w:r>
              <w:rPr>
                <w:sz w:val="20"/>
                <w:szCs w:val="20"/>
              </w:rPr>
              <w:t>,</w:t>
            </w:r>
            <w:r w:rsidR="00AD7002">
              <w:rPr>
                <w:sz w:val="20"/>
                <w:szCs w:val="20"/>
              </w:rPr>
              <w:t>0</w:t>
            </w:r>
            <w:r>
              <w:rPr>
                <w:sz w:val="20"/>
                <w:szCs w:val="20"/>
              </w:rPr>
              <w:t>00</w:t>
            </w:r>
          </w:p>
        </w:tc>
      </w:tr>
      <w:tr w:rsidR="00930C82" w:rsidRPr="0044488C" w14:paraId="39F4FABE"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5A2EE3B0" w14:textId="77777777" w:rsidR="00930C82" w:rsidRPr="00601116" w:rsidRDefault="00930C82" w:rsidP="001B46D2">
            <w:pPr>
              <w:pStyle w:val="NormalWeb"/>
              <w:spacing w:before="0" w:beforeAutospacing="0" w:after="0" w:afterAutospacing="0"/>
              <w:jc w:val="both"/>
              <w:rPr>
                <w:rFonts w:eastAsia="Times New Roman"/>
                <w:sz w:val="20"/>
                <w:szCs w:val="20"/>
              </w:rPr>
            </w:pPr>
            <w:r w:rsidRPr="00601116">
              <w:rPr>
                <w:rFonts w:eastAsia="Times New Roman"/>
                <w:sz w:val="20"/>
                <w:szCs w:val="20"/>
              </w:rPr>
              <w:t>David M. Thompson</w:t>
            </w:r>
          </w:p>
        </w:tc>
        <w:tc>
          <w:tcPr>
            <w:tcW w:w="3117" w:type="dxa"/>
            <w:tcBorders>
              <w:top w:val="single" w:sz="4" w:space="0" w:color="auto"/>
              <w:bottom w:val="single" w:sz="4" w:space="0" w:color="auto"/>
            </w:tcBorders>
          </w:tcPr>
          <w:p w14:paraId="53E1C648" w14:textId="5FB3F203" w:rsidR="00930C82" w:rsidRPr="00601116" w:rsidRDefault="00930C82" w:rsidP="001B46D2">
            <w:pPr>
              <w:pStyle w:val="NormalWeb"/>
              <w:spacing w:before="0" w:beforeAutospacing="0" w:after="0" w:afterAutospacing="0"/>
              <w:jc w:val="both"/>
              <w:rPr>
                <w:sz w:val="20"/>
                <w:szCs w:val="20"/>
              </w:rPr>
            </w:pPr>
            <w:r>
              <w:rPr>
                <w:sz w:val="20"/>
                <w:szCs w:val="20"/>
              </w:rPr>
              <w:t>CFO and director</w:t>
            </w:r>
          </w:p>
        </w:tc>
        <w:tc>
          <w:tcPr>
            <w:tcW w:w="3117" w:type="dxa"/>
            <w:tcBorders>
              <w:top w:val="single" w:sz="4" w:space="0" w:color="auto"/>
              <w:bottom w:val="single" w:sz="4" w:space="0" w:color="auto"/>
            </w:tcBorders>
          </w:tcPr>
          <w:p w14:paraId="17808EDA" w14:textId="1B1A2FA7" w:rsidR="00930C82" w:rsidRPr="00601116" w:rsidRDefault="00AD7002" w:rsidP="001B46D2">
            <w:pPr>
              <w:pStyle w:val="NormalWeb"/>
              <w:spacing w:before="0" w:beforeAutospacing="0" w:after="0" w:afterAutospacing="0"/>
              <w:jc w:val="right"/>
              <w:rPr>
                <w:sz w:val="20"/>
                <w:szCs w:val="20"/>
              </w:rPr>
            </w:pPr>
            <w:r>
              <w:rPr>
                <w:sz w:val="20"/>
                <w:szCs w:val="20"/>
              </w:rPr>
              <w:t>$    9,000</w:t>
            </w:r>
          </w:p>
        </w:tc>
      </w:tr>
      <w:tr w:rsidR="00930C82" w:rsidRPr="0044488C" w14:paraId="7A978A1D"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69F1B298" w14:textId="4E61C16E" w:rsidR="00930C82" w:rsidRPr="00601116" w:rsidRDefault="00930C82" w:rsidP="00930C82">
            <w:pPr>
              <w:pStyle w:val="NormalWeb"/>
              <w:spacing w:before="0" w:beforeAutospacing="0" w:after="0" w:afterAutospacing="0"/>
              <w:jc w:val="both"/>
              <w:rPr>
                <w:rFonts w:eastAsia="Times New Roman"/>
                <w:sz w:val="20"/>
                <w:szCs w:val="20"/>
              </w:rPr>
            </w:pPr>
            <w:r w:rsidRPr="00601116">
              <w:rPr>
                <w:rFonts w:eastAsia="Times New Roman"/>
                <w:sz w:val="20"/>
                <w:szCs w:val="20"/>
              </w:rPr>
              <w:t>Kubilay Yildirim</w:t>
            </w:r>
          </w:p>
        </w:tc>
        <w:tc>
          <w:tcPr>
            <w:tcW w:w="3117" w:type="dxa"/>
            <w:tcBorders>
              <w:top w:val="single" w:sz="4" w:space="0" w:color="auto"/>
              <w:bottom w:val="single" w:sz="4" w:space="0" w:color="auto"/>
            </w:tcBorders>
          </w:tcPr>
          <w:p w14:paraId="785D53BF" w14:textId="5D0B474C" w:rsidR="00930C82" w:rsidRDefault="00930C82" w:rsidP="00930C82">
            <w:pPr>
              <w:pStyle w:val="NormalWeb"/>
              <w:spacing w:before="0" w:beforeAutospacing="0" w:after="0" w:afterAutospacing="0"/>
              <w:jc w:val="both"/>
              <w:rPr>
                <w:sz w:val="20"/>
                <w:szCs w:val="20"/>
              </w:rPr>
            </w:pPr>
            <w:r>
              <w:rPr>
                <w:sz w:val="20"/>
                <w:szCs w:val="20"/>
              </w:rPr>
              <w:t>Director</w:t>
            </w:r>
          </w:p>
        </w:tc>
        <w:tc>
          <w:tcPr>
            <w:tcW w:w="3117" w:type="dxa"/>
            <w:tcBorders>
              <w:top w:val="single" w:sz="4" w:space="0" w:color="auto"/>
              <w:bottom w:val="single" w:sz="4" w:space="0" w:color="auto"/>
            </w:tcBorders>
          </w:tcPr>
          <w:p w14:paraId="2F62C11F" w14:textId="56A2CE6B" w:rsidR="00930C82" w:rsidRDefault="00AD7002" w:rsidP="00930C82">
            <w:pPr>
              <w:pStyle w:val="NormalWeb"/>
              <w:spacing w:before="0" w:beforeAutospacing="0" w:after="0" w:afterAutospacing="0"/>
              <w:jc w:val="right"/>
              <w:rPr>
                <w:sz w:val="20"/>
                <w:szCs w:val="20"/>
              </w:rPr>
            </w:pPr>
            <w:r>
              <w:rPr>
                <w:sz w:val="20"/>
                <w:szCs w:val="20"/>
              </w:rPr>
              <w:t>$    9,000</w:t>
            </w:r>
          </w:p>
        </w:tc>
      </w:tr>
      <w:tr w:rsidR="00930C82" w:rsidRPr="0044488C" w14:paraId="51FCE320" w14:textId="77777777" w:rsidTr="006341C4">
        <w:tc>
          <w:tcPr>
            <w:tcW w:w="3116" w:type="dxa"/>
          </w:tcPr>
          <w:p w14:paraId="0A203D43" w14:textId="17466970" w:rsidR="00930C82" w:rsidRPr="00601116" w:rsidRDefault="00930C82" w:rsidP="00930C82">
            <w:pPr>
              <w:pStyle w:val="NormalWeb"/>
              <w:spacing w:before="0" w:beforeAutospacing="0" w:after="0" w:afterAutospacing="0"/>
              <w:jc w:val="both"/>
              <w:rPr>
                <w:rFonts w:eastAsia="Times New Roman"/>
                <w:sz w:val="20"/>
                <w:szCs w:val="20"/>
              </w:rPr>
            </w:pPr>
            <w:r>
              <w:rPr>
                <w:sz w:val="20"/>
                <w:szCs w:val="20"/>
              </w:rPr>
              <w:t>Barry Wood</w:t>
            </w:r>
          </w:p>
        </w:tc>
        <w:tc>
          <w:tcPr>
            <w:tcW w:w="3117" w:type="dxa"/>
            <w:tcBorders>
              <w:top w:val="single" w:sz="4" w:space="0" w:color="auto"/>
              <w:bottom w:val="single" w:sz="4" w:space="0" w:color="auto"/>
            </w:tcBorders>
          </w:tcPr>
          <w:p w14:paraId="11DADF2D" w14:textId="0F50C36F" w:rsidR="00930C82" w:rsidRDefault="00930C82" w:rsidP="00930C82">
            <w:pPr>
              <w:pStyle w:val="NormalWeb"/>
              <w:spacing w:before="0" w:beforeAutospacing="0" w:after="0" w:afterAutospacing="0"/>
              <w:jc w:val="both"/>
              <w:rPr>
                <w:sz w:val="20"/>
                <w:szCs w:val="20"/>
              </w:rPr>
            </w:pPr>
            <w:r>
              <w:rPr>
                <w:sz w:val="20"/>
                <w:szCs w:val="20"/>
              </w:rPr>
              <w:t>Director</w:t>
            </w:r>
          </w:p>
        </w:tc>
        <w:tc>
          <w:tcPr>
            <w:tcW w:w="3117" w:type="dxa"/>
            <w:tcBorders>
              <w:top w:val="single" w:sz="4" w:space="0" w:color="auto"/>
              <w:bottom w:val="single" w:sz="4" w:space="0" w:color="auto"/>
            </w:tcBorders>
          </w:tcPr>
          <w:p w14:paraId="14B07ECB" w14:textId="3ED5B3EA" w:rsidR="00930C82" w:rsidRDefault="00AD7002" w:rsidP="00930C82">
            <w:pPr>
              <w:pStyle w:val="NormalWeb"/>
              <w:spacing w:before="0" w:beforeAutospacing="0" w:after="0" w:afterAutospacing="0"/>
              <w:jc w:val="right"/>
              <w:rPr>
                <w:sz w:val="20"/>
                <w:szCs w:val="20"/>
              </w:rPr>
            </w:pPr>
            <w:r>
              <w:rPr>
                <w:sz w:val="20"/>
                <w:szCs w:val="20"/>
              </w:rPr>
              <w:t>$    9,000</w:t>
            </w:r>
          </w:p>
        </w:tc>
      </w:tr>
    </w:tbl>
    <w:p w14:paraId="02B59F27" w14:textId="77777777" w:rsidR="00930C82" w:rsidRDefault="00930C82" w:rsidP="00C95A74">
      <w:pPr>
        <w:pStyle w:val="NormalWeb"/>
        <w:spacing w:before="0" w:beforeAutospacing="0" w:after="0" w:afterAutospacing="0"/>
        <w:jc w:val="both"/>
        <w:rPr>
          <w:sz w:val="20"/>
          <w:szCs w:val="20"/>
        </w:rPr>
      </w:pPr>
    </w:p>
    <w:p w14:paraId="4C1692F0" w14:textId="51B99CB5" w:rsidR="008A0AAE" w:rsidRPr="00C95A74" w:rsidRDefault="008A0AAE" w:rsidP="00C95A74">
      <w:pPr>
        <w:pStyle w:val="NormalWeb"/>
        <w:spacing w:before="0" w:beforeAutospacing="0" w:after="0" w:afterAutospacing="0"/>
        <w:jc w:val="both"/>
      </w:pPr>
      <w:r w:rsidRPr="00C95A74">
        <w:rPr>
          <w:sz w:val="20"/>
          <w:szCs w:val="20"/>
        </w:rPr>
        <w:t xml:space="preserve">During the </w:t>
      </w:r>
      <w:r w:rsidR="00AD7002">
        <w:rPr>
          <w:sz w:val="20"/>
          <w:szCs w:val="20"/>
        </w:rPr>
        <w:t>six</w:t>
      </w:r>
      <w:r w:rsidRPr="00C95A74">
        <w:rPr>
          <w:sz w:val="20"/>
          <w:szCs w:val="20"/>
        </w:rPr>
        <w:t xml:space="preserve"> months ended </w:t>
      </w:r>
      <w:r w:rsidR="00AD7002">
        <w:rPr>
          <w:sz w:val="20"/>
          <w:szCs w:val="20"/>
        </w:rPr>
        <w:t>June 30</w:t>
      </w:r>
      <w:r w:rsidRPr="00C95A74">
        <w:rPr>
          <w:sz w:val="20"/>
          <w:szCs w:val="20"/>
        </w:rPr>
        <w:t>, 2022, the Company issued 2,000,000 (2021 - 1,416,667) units</w:t>
      </w:r>
      <w:r w:rsidR="00D32C68">
        <w:rPr>
          <w:sz w:val="20"/>
          <w:szCs w:val="20"/>
        </w:rPr>
        <w:t xml:space="preserve"> to relatives of the CEO</w:t>
      </w:r>
      <w:r w:rsidRPr="00C95A74">
        <w:rPr>
          <w:sz w:val="20"/>
          <w:szCs w:val="20"/>
        </w:rPr>
        <w:t xml:space="preserve"> for the settlement of accounts payable owed to </w:t>
      </w:r>
      <w:r w:rsidR="00D32C68">
        <w:rPr>
          <w:sz w:val="20"/>
          <w:szCs w:val="20"/>
        </w:rPr>
        <w:t>the CEO</w:t>
      </w:r>
      <w:r w:rsidRPr="00C95A74">
        <w:rPr>
          <w:sz w:val="20"/>
          <w:szCs w:val="20"/>
        </w:rPr>
        <w:t xml:space="preserve"> in the amount of $242,513 (2021 - $70,833), resulting in no gain or loss.</w:t>
      </w:r>
    </w:p>
    <w:p w14:paraId="190FE2AC" w14:textId="77777777" w:rsidR="008A0AAE" w:rsidRPr="00C95A74" w:rsidRDefault="008A0AAE" w:rsidP="00C95A74">
      <w:pPr>
        <w:pStyle w:val="NormalWeb"/>
        <w:spacing w:before="0" w:beforeAutospacing="0" w:after="0" w:afterAutospacing="0"/>
        <w:jc w:val="both"/>
      </w:pPr>
      <w:r w:rsidRPr="00C95A74">
        <w:rPr>
          <w:sz w:val="20"/>
          <w:szCs w:val="20"/>
        </w:rPr>
        <w:t> </w:t>
      </w:r>
    </w:p>
    <w:p w14:paraId="1226844E" w14:textId="73A65C06" w:rsidR="00F8242A" w:rsidRDefault="008A0AAE" w:rsidP="00F8242A">
      <w:pPr>
        <w:pStyle w:val="NormalWeb"/>
        <w:spacing w:before="0" w:beforeAutospacing="0" w:after="0" w:afterAutospacing="0"/>
        <w:jc w:val="both"/>
        <w:rPr>
          <w:sz w:val="20"/>
          <w:szCs w:val="20"/>
        </w:rPr>
      </w:pPr>
      <w:r w:rsidRPr="00C95A74">
        <w:rPr>
          <w:sz w:val="20"/>
          <w:szCs w:val="20"/>
        </w:rPr>
        <w:t xml:space="preserve">During the </w:t>
      </w:r>
      <w:r w:rsidR="00AD7002">
        <w:rPr>
          <w:sz w:val="20"/>
          <w:szCs w:val="20"/>
        </w:rPr>
        <w:t>six</w:t>
      </w:r>
      <w:r w:rsidRPr="00C95A74">
        <w:rPr>
          <w:sz w:val="20"/>
          <w:szCs w:val="20"/>
        </w:rPr>
        <w:t xml:space="preserve"> months ended </w:t>
      </w:r>
      <w:r w:rsidR="00AD7002">
        <w:rPr>
          <w:sz w:val="20"/>
          <w:szCs w:val="20"/>
        </w:rPr>
        <w:t>June 30</w:t>
      </w:r>
      <w:r w:rsidRPr="00C95A74">
        <w:rPr>
          <w:sz w:val="20"/>
          <w:szCs w:val="20"/>
        </w:rPr>
        <w:t>, 2022, the Company issued Nil (2021 - 5,146,667) common shares relating to the exercise of Nil (2021 – 4,476,667) warrants and Nil (2021 – 670,000) options held by related parties. As consideration, the Company entered into promissory note agreements with the related parties for total principal receivable by the Company of $Nil (2021 - $518,820 (CAD$648,078)). Refer to Note 11</w:t>
      </w:r>
      <w:r w:rsidR="00AD1E2A">
        <w:rPr>
          <w:sz w:val="20"/>
          <w:szCs w:val="20"/>
        </w:rPr>
        <w:t xml:space="preserve"> of the accompanying condensed consolidated interim financial statements</w:t>
      </w:r>
      <w:r w:rsidRPr="00C95A74">
        <w:rPr>
          <w:sz w:val="20"/>
          <w:szCs w:val="20"/>
        </w:rPr>
        <w:t>.</w:t>
      </w:r>
      <w:r w:rsidR="00F8242A">
        <w:rPr>
          <w:sz w:val="20"/>
          <w:szCs w:val="20"/>
        </w:rPr>
        <w:t xml:space="preserve"> </w:t>
      </w:r>
      <w:r w:rsidRPr="00C95A74">
        <w:rPr>
          <w:sz w:val="20"/>
          <w:szCs w:val="20"/>
        </w:rPr>
        <w:t xml:space="preserve">As </w:t>
      </w:r>
      <w:proofErr w:type="gramStart"/>
      <w:r w:rsidRPr="00C95A74">
        <w:rPr>
          <w:sz w:val="20"/>
          <w:szCs w:val="20"/>
        </w:rPr>
        <w:t>at</w:t>
      </w:r>
      <w:proofErr w:type="gramEnd"/>
      <w:r w:rsidRPr="00C95A74">
        <w:rPr>
          <w:sz w:val="20"/>
          <w:szCs w:val="20"/>
        </w:rPr>
        <w:t xml:space="preserve"> </w:t>
      </w:r>
      <w:r w:rsidR="00AD7002">
        <w:rPr>
          <w:sz w:val="20"/>
          <w:szCs w:val="20"/>
        </w:rPr>
        <w:t>June 30</w:t>
      </w:r>
      <w:r w:rsidR="00413108">
        <w:rPr>
          <w:sz w:val="20"/>
          <w:szCs w:val="20"/>
        </w:rPr>
        <w:t>, 2022</w:t>
      </w:r>
      <w:r w:rsidRPr="00C95A74">
        <w:rPr>
          <w:sz w:val="20"/>
          <w:szCs w:val="20"/>
        </w:rPr>
        <w:t>, notes receivable included $5</w:t>
      </w:r>
      <w:r w:rsidR="00AD7002">
        <w:rPr>
          <w:sz w:val="20"/>
          <w:szCs w:val="20"/>
        </w:rPr>
        <w:t>2</w:t>
      </w:r>
      <w:r w:rsidRPr="00C95A74">
        <w:rPr>
          <w:sz w:val="20"/>
          <w:szCs w:val="20"/>
        </w:rPr>
        <w:t>2,</w:t>
      </w:r>
      <w:r w:rsidR="00AD7002">
        <w:rPr>
          <w:sz w:val="20"/>
          <w:szCs w:val="20"/>
        </w:rPr>
        <w:t>817</w:t>
      </w:r>
      <w:r w:rsidRPr="00C95A74">
        <w:rPr>
          <w:sz w:val="20"/>
          <w:szCs w:val="20"/>
        </w:rPr>
        <w:t xml:space="preserve"> (December 31, 2021 - $517,985) due from related parties. The amounts are unsecured, bear interest at 5% per annum and mature between one to two years from grant.</w:t>
      </w:r>
      <w:r w:rsidR="00F8242A">
        <w:rPr>
          <w:sz w:val="20"/>
          <w:szCs w:val="20"/>
        </w:rPr>
        <w:t xml:space="preserve"> A breakdown of the amounts owed by related party as </w:t>
      </w:r>
      <w:proofErr w:type="gramStart"/>
      <w:r w:rsidR="00F8242A">
        <w:rPr>
          <w:sz w:val="20"/>
          <w:szCs w:val="20"/>
        </w:rPr>
        <w:t>at</w:t>
      </w:r>
      <w:proofErr w:type="gramEnd"/>
      <w:r w:rsidR="00F8242A">
        <w:rPr>
          <w:sz w:val="20"/>
          <w:szCs w:val="20"/>
        </w:rPr>
        <w:t xml:space="preserve"> </w:t>
      </w:r>
      <w:r w:rsidR="00AD7002">
        <w:rPr>
          <w:sz w:val="20"/>
          <w:szCs w:val="20"/>
        </w:rPr>
        <w:t>June 30</w:t>
      </w:r>
      <w:r w:rsidR="00F8242A">
        <w:rPr>
          <w:sz w:val="20"/>
          <w:szCs w:val="20"/>
        </w:rPr>
        <w:t>, 2022 as follows:</w:t>
      </w:r>
    </w:p>
    <w:p w14:paraId="531E5A5A" w14:textId="678C87E6" w:rsidR="00F8242A" w:rsidRDefault="00F8242A" w:rsidP="00F8242A">
      <w:pPr>
        <w:pStyle w:val="NormalWeb"/>
        <w:spacing w:before="0" w:beforeAutospacing="0" w:after="0" w:afterAutospacing="0"/>
        <w:jc w:val="both"/>
        <w:rPr>
          <w:sz w:val="20"/>
          <w:szCs w:val="20"/>
        </w:rPr>
      </w:pPr>
    </w:p>
    <w:tbl>
      <w:tblPr>
        <w:tblStyle w:val="TableGrid"/>
        <w:tblW w:w="0" w:type="auto"/>
        <w:tblLook w:val="04A0" w:firstRow="1" w:lastRow="0" w:firstColumn="1" w:lastColumn="0" w:noHBand="0" w:noVBand="1"/>
      </w:tblPr>
      <w:tblGrid>
        <w:gridCol w:w="3116"/>
        <w:gridCol w:w="3117"/>
        <w:gridCol w:w="3117"/>
      </w:tblGrid>
      <w:tr w:rsidR="00F8242A" w:rsidRPr="0044488C" w14:paraId="5E282BF1" w14:textId="77777777" w:rsidTr="001B46D2">
        <w:tc>
          <w:tcPr>
            <w:tcW w:w="3116" w:type="dxa"/>
            <w:tcBorders>
              <w:bottom w:val="single" w:sz="4" w:space="0" w:color="auto"/>
            </w:tcBorders>
            <w:shd w:val="clear" w:color="auto" w:fill="000000" w:themeFill="text1"/>
          </w:tcPr>
          <w:p w14:paraId="7791081D" w14:textId="77777777" w:rsidR="00F8242A" w:rsidRPr="00601116" w:rsidRDefault="00F8242A"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Name</w:t>
            </w:r>
          </w:p>
        </w:tc>
        <w:tc>
          <w:tcPr>
            <w:tcW w:w="3117" w:type="dxa"/>
            <w:tcBorders>
              <w:bottom w:val="single" w:sz="4" w:space="0" w:color="auto"/>
            </w:tcBorders>
            <w:shd w:val="clear" w:color="auto" w:fill="000000" w:themeFill="text1"/>
          </w:tcPr>
          <w:p w14:paraId="11F12F0F" w14:textId="77777777" w:rsidR="00F8242A" w:rsidRPr="00601116" w:rsidRDefault="00F8242A"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Relationship</w:t>
            </w:r>
          </w:p>
        </w:tc>
        <w:tc>
          <w:tcPr>
            <w:tcW w:w="3117" w:type="dxa"/>
            <w:tcBorders>
              <w:bottom w:val="single" w:sz="4" w:space="0" w:color="auto"/>
            </w:tcBorders>
            <w:shd w:val="clear" w:color="auto" w:fill="000000" w:themeFill="text1"/>
          </w:tcPr>
          <w:p w14:paraId="6CA702ED" w14:textId="77777777" w:rsidR="00F8242A" w:rsidRPr="00601116" w:rsidRDefault="00F8242A" w:rsidP="001B46D2">
            <w:pPr>
              <w:pStyle w:val="NormalWeb"/>
              <w:spacing w:before="0" w:beforeAutospacing="0" w:after="0" w:afterAutospacing="0"/>
              <w:jc w:val="center"/>
              <w:rPr>
                <w:b/>
                <w:bCs/>
                <w:color w:val="FFFFFF" w:themeColor="background1"/>
                <w:sz w:val="20"/>
                <w:szCs w:val="20"/>
              </w:rPr>
            </w:pPr>
            <w:r w:rsidRPr="00601116">
              <w:rPr>
                <w:b/>
                <w:bCs/>
                <w:color w:val="FFFFFF" w:themeColor="background1"/>
                <w:sz w:val="20"/>
                <w:szCs w:val="20"/>
              </w:rPr>
              <w:t>Amount</w:t>
            </w:r>
          </w:p>
        </w:tc>
      </w:tr>
      <w:tr w:rsidR="00F8242A" w:rsidRPr="0044488C" w14:paraId="070AA9A4"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462AA17B" w14:textId="77777777" w:rsidR="00F8242A" w:rsidRPr="00601116" w:rsidRDefault="00F8242A" w:rsidP="001B46D2">
            <w:pPr>
              <w:pStyle w:val="NormalWeb"/>
              <w:spacing w:before="0" w:beforeAutospacing="0" w:after="0" w:afterAutospacing="0"/>
              <w:jc w:val="both"/>
              <w:rPr>
                <w:rFonts w:eastAsia="Times New Roman"/>
                <w:sz w:val="20"/>
                <w:szCs w:val="20"/>
              </w:rPr>
            </w:pPr>
            <w:r>
              <w:rPr>
                <w:rFonts w:eastAsia="Times New Roman"/>
                <w:sz w:val="20"/>
                <w:szCs w:val="20"/>
              </w:rPr>
              <w:t>Arthur Halleran</w:t>
            </w:r>
          </w:p>
        </w:tc>
        <w:tc>
          <w:tcPr>
            <w:tcW w:w="3117" w:type="dxa"/>
            <w:tcBorders>
              <w:top w:val="single" w:sz="4" w:space="0" w:color="auto"/>
              <w:bottom w:val="single" w:sz="4" w:space="0" w:color="auto"/>
            </w:tcBorders>
          </w:tcPr>
          <w:p w14:paraId="6C81B8DB" w14:textId="77777777" w:rsidR="00F8242A" w:rsidRPr="00601116" w:rsidRDefault="00F8242A" w:rsidP="001B46D2">
            <w:pPr>
              <w:pStyle w:val="NormalWeb"/>
              <w:spacing w:before="0" w:beforeAutospacing="0" w:after="0" w:afterAutospacing="0"/>
              <w:jc w:val="both"/>
              <w:rPr>
                <w:sz w:val="20"/>
                <w:szCs w:val="20"/>
              </w:rPr>
            </w:pPr>
            <w:r>
              <w:rPr>
                <w:sz w:val="20"/>
                <w:szCs w:val="20"/>
              </w:rPr>
              <w:t>CEO and director</w:t>
            </w:r>
          </w:p>
        </w:tc>
        <w:tc>
          <w:tcPr>
            <w:tcW w:w="3117" w:type="dxa"/>
            <w:tcBorders>
              <w:top w:val="single" w:sz="4" w:space="0" w:color="auto"/>
              <w:bottom w:val="single" w:sz="4" w:space="0" w:color="auto"/>
            </w:tcBorders>
          </w:tcPr>
          <w:p w14:paraId="479DAD35" w14:textId="6C8C2E81" w:rsidR="00F8242A" w:rsidRPr="00601116" w:rsidRDefault="005F364B" w:rsidP="001B46D2">
            <w:pPr>
              <w:pStyle w:val="NormalWeb"/>
              <w:spacing w:before="0" w:beforeAutospacing="0" w:after="0" w:afterAutospacing="0"/>
              <w:jc w:val="right"/>
              <w:rPr>
                <w:sz w:val="20"/>
                <w:szCs w:val="20"/>
              </w:rPr>
            </w:pPr>
            <w:r>
              <w:rPr>
                <w:sz w:val="20"/>
                <w:szCs w:val="20"/>
              </w:rPr>
              <w:t xml:space="preserve"> $_________</w:t>
            </w:r>
          </w:p>
        </w:tc>
      </w:tr>
      <w:tr w:rsidR="00F8242A" w:rsidRPr="0044488C" w14:paraId="61882FBF"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3F1AB4D2" w14:textId="77777777" w:rsidR="00F8242A" w:rsidRPr="00601116" w:rsidRDefault="00F8242A" w:rsidP="001B46D2">
            <w:pPr>
              <w:pStyle w:val="NormalWeb"/>
              <w:spacing w:before="0" w:beforeAutospacing="0" w:after="0" w:afterAutospacing="0"/>
              <w:jc w:val="both"/>
              <w:rPr>
                <w:rFonts w:eastAsia="Times New Roman"/>
                <w:sz w:val="20"/>
                <w:szCs w:val="20"/>
              </w:rPr>
            </w:pPr>
            <w:r w:rsidRPr="00601116">
              <w:rPr>
                <w:rFonts w:eastAsia="Times New Roman"/>
                <w:sz w:val="20"/>
                <w:szCs w:val="20"/>
              </w:rPr>
              <w:t>David M. Thompson</w:t>
            </w:r>
          </w:p>
        </w:tc>
        <w:tc>
          <w:tcPr>
            <w:tcW w:w="3117" w:type="dxa"/>
            <w:tcBorders>
              <w:top w:val="single" w:sz="4" w:space="0" w:color="auto"/>
              <w:bottom w:val="single" w:sz="4" w:space="0" w:color="auto"/>
            </w:tcBorders>
          </w:tcPr>
          <w:p w14:paraId="7E97B7A0" w14:textId="77777777" w:rsidR="00F8242A" w:rsidRPr="00601116" w:rsidRDefault="00F8242A" w:rsidP="001B46D2">
            <w:pPr>
              <w:pStyle w:val="NormalWeb"/>
              <w:spacing w:before="0" w:beforeAutospacing="0" w:after="0" w:afterAutospacing="0"/>
              <w:jc w:val="both"/>
              <w:rPr>
                <w:sz w:val="20"/>
                <w:szCs w:val="20"/>
              </w:rPr>
            </w:pPr>
            <w:r>
              <w:rPr>
                <w:sz w:val="20"/>
                <w:szCs w:val="20"/>
              </w:rPr>
              <w:t>CFO and director</w:t>
            </w:r>
          </w:p>
        </w:tc>
        <w:tc>
          <w:tcPr>
            <w:tcW w:w="3117" w:type="dxa"/>
            <w:tcBorders>
              <w:top w:val="single" w:sz="4" w:space="0" w:color="auto"/>
              <w:bottom w:val="single" w:sz="4" w:space="0" w:color="auto"/>
            </w:tcBorders>
          </w:tcPr>
          <w:p w14:paraId="1D6C5F13" w14:textId="4240D213" w:rsidR="00F8242A" w:rsidRPr="00601116" w:rsidRDefault="00F8242A" w:rsidP="001B46D2">
            <w:pPr>
              <w:pStyle w:val="NormalWeb"/>
              <w:spacing w:before="0" w:beforeAutospacing="0" w:after="0" w:afterAutospacing="0"/>
              <w:jc w:val="right"/>
              <w:rPr>
                <w:sz w:val="20"/>
                <w:szCs w:val="20"/>
              </w:rPr>
            </w:pPr>
            <w:r>
              <w:rPr>
                <w:sz w:val="20"/>
                <w:szCs w:val="20"/>
              </w:rPr>
              <w:t xml:space="preserve">$    </w:t>
            </w:r>
            <w:r w:rsidR="00AD7002">
              <w:rPr>
                <w:sz w:val="20"/>
                <w:szCs w:val="20"/>
              </w:rPr>
              <w:t>48,678</w:t>
            </w:r>
          </w:p>
        </w:tc>
      </w:tr>
      <w:tr w:rsidR="00F8242A" w:rsidRPr="0044488C" w14:paraId="62A4534B" w14:textId="77777777" w:rsidTr="001B46D2">
        <w:tc>
          <w:tcPr>
            <w:tcW w:w="3116" w:type="dxa"/>
            <w:tcBorders>
              <w:top w:val="single" w:sz="4" w:space="0" w:color="auto"/>
              <w:left w:val="single" w:sz="4" w:space="0" w:color="auto"/>
              <w:bottom w:val="single" w:sz="4" w:space="0" w:color="auto"/>
              <w:right w:val="nil"/>
            </w:tcBorders>
            <w:shd w:val="clear" w:color="auto" w:fill="auto"/>
            <w:vAlign w:val="bottom"/>
          </w:tcPr>
          <w:p w14:paraId="409C960B" w14:textId="77777777" w:rsidR="00F8242A" w:rsidRPr="00601116" w:rsidRDefault="00F8242A" w:rsidP="001B46D2">
            <w:pPr>
              <w:pStyle w:val="NormalWeb"/>
              <w:spacing w:before="0" w:beforeAutospacing="0" w:after="0" w:afterAutospacing="0"/>
              <w:jc w:val="both"/>
              <w:rPr>
                <w:rFonts w:eastAsia="Times New Roman"/>
                <w:sz w:val="20"/>
                <w:szCs w:val="20"/>
              </w:rPr>
            </w:pPr>
            <w:r w:rsidRPr="00601116">
              <w:rPr>
                <w:rFonts w:eastAsia="Times New Roman"/>
                <w:sz w:val="20"/>
                <w:szCs w:val="20"/>
              </w:rPr>
              <w:t>Kubilay Yildirim</w:t>
            </w:r>
          </w:p>
        </w:tc>
        <w:tc>
          <w:tcPr>
            <w:tcW w:w="3117" w:type="dxa"/>
            <w:tcBorders>
              <w:top w:val="single" w:sz="4" w:space="0" w:color="auto"/>
              <w:bottom w:val="single" w:sz="4" w:space="0" w:color="auto"/>
            </w:tcBorders>
          </w:tcPr>
          <w:p w14:paraId="5234EDCD" w14:textId="77777777" w:rsidR="00F8242A" w:rsidRDefault="00F8242A" w:rsidP="001B46D2">
            <w:pPr>
              <w:pStyle w:val="NormalWeb"/>
              <w:spacing w:before="0" w:beforeAutospacing="0" w:after="0" w:afterAutospacing="0"/>
              <w:jc w:val="both"/>
              <w:rPr>
                <w:sz w:val="20"/>
                <w:szCs w:val="20"/>
              </w:rPr>
            </w:pPr>
            <w:r>
              <w:rPr>
                <w:sz w:val="20"/>
                <w:szCs w:val="20"/>
              </w:rPr>
              <w:t>Director</w:t>
            </w:r>
          </w:p>
        </w:tc>
        <w:tc>
          <w:tcPr>
            <w:tcW w:w="3117" w:type="dxa"/>
            <w:tcBorders>
              <w:top w:val="single" w:sz="4" w:space="0" w:color="auto"/>
              <w:bottom w:val="single" w:sz="4" w:space="0" w:color="auto"/>
            </w:tcBorders>
          </w:tcPr>
          <w:p w14:paraId="5393A817" w14:textId="4BC7F360" w:rsidR="00F8242A" w:rsidRDefault="00F8242A" w:rsidP="001B46D2">
            <w:pPr>
              <w:pStyle w:val="NormalWeb"/>
              <w:spacing w:before="0" w:beforeAutospacing="0" w:after="0" w:afterAutospacing="0"/>
              <w:jc w:val="right"/>
              <w:rPr>
                <w:sz w:val="20"/>
                <w:szCs w:val="20"/>
              </w:rPr>
            </w:pPr>
            <w:r>
              <w:rPr>
                <w:sz w:val="20"/>
                <w:szCs w:val="20"/>
              </w:rPr>
              <w:t xml:space="preserve">$    </w:t>
            </w:r>
            <w:r w:rsidR="00AD7002">
              <w:rPr>
                <w:sz w:val="20"/>
                <w:szCs w:val="20"/>
              </w:rPr>
              <w:t>34,890</w:t>
            </w:r>
          </w:p>
        </w:tc>
      </w:tr>
      <w:bookmarkEnd w:id="20"/>
    </w:tbl>
    <w:p w14:paraId="68713EE5" w14:textId="3CED61AE" w:rsidR="007212B5" w:rsidRPr="003F1DCD" w:rsidRDefault="007212B5" w:rsidP="00EC557E">
      <w:pPr>
        <w:spacing w:after="0"/>
        <w:ind w:left="360"/>
        <w:jc w:val="both"/>
        <w:rPr>
          <w:rFonts w:eastAsia="Times New Roman"/>
        </w:rPr>
      </w:pPr>
    </w:p>
    <w:p w14:paraId="50DF3EDF" w14:textId="77E2A522" w:rsidR="00BA729B" w:rsidRDefault="00BA729B" w:rsidP="00B84E24">
      <w:pPr>
        <w:pStyle w:val="Heading1"/>
        <w:rPr>
          <w:lang w:val="en-GB"/>
        </w:rPr>
      </w:pPr>
      <w:bookmarkStart w:id="21" w:name="_Toc103780857"/>
      <w:bookmarkStart w:id="22" w:name="_Hlk97542758"/>
      <w:bookmarkStart w:id="23" w:name="_Hlk532936792"/>
      <w:bookmarkEnd w:id="19"/>
      <w:r w:rsidRPr="00583A17">
        <w:rPr>
          <w:lang w:val="en-GB"/>
        </w:rPr>
        <w:t>Financial Risk Management</w:t>
      </w:r>
      <w:bookmarkEnd w:id="21"/>
    </w:p>
    <w:p w14:paraId="4CE5F4E0" w14:textId="77777777" w:rsidR="00B84E24" w:rsidRPr="00B84E24" w:rsidRDefault="00B84E24" w:rsidP="00583A17">
      <w:pPr>
        <w:spacing w:after="0"/>
        <w:rPr>
          <w:lang w:val="en-GB"/>
        </w:rPr>
      </w:pPr>
    </w:p>
    <w:p w14:paraId="1F7BDCFC" w14:textId="189A8F8B" w:rsidR="00BA729B" w:rsidRDefault="00BA729B" w:rsidP="00B84E24">
      <w:pPr>
        <w:suppressAutoHyphens/>
        <w:autoSpaceDE/>
        <w:autoSpaceDN/>
        <w:adjustRightInd/>
        <w:spacing w:after="0"/>
        <w:jc w:val="both"/>
        <w:rPr>
          <w:rFonts w:eastAsia="Times New Roman"/>
          <w:lang w:val="en-GB"/>
        </w:rPr>
      </w:pPr>
      <w:r w:rsidRPr="00583A17">
        <w:rPr>
          <w:rFonts w:eastAsia="Times New Roman"/>
          <w:lang w:val="en-GB"/>
        </w:rPr>
        <w:t>The Company is exposed to varying degrees to a variety of financial instrument related risks:</w:t>
      </w:r>
    </w:p>
    <w:p w14:paraId="7C8182E9" w14:textId="77777777" w:rsidR="00CE4206" w:rsidRPr="00583A17" w:rsidRDefault="00CE4206" w:rsidP="00583A17">
      <w:pPr>
        <w:suppressAutoHyphens/>
        <w:autoSpaceDE/>
        <w:autoSpaceDN/>
        <w:adjustRightInd/>
        <w:spacing w:after="0"/>
        <w:jc w:val="both"/>
        <w:rPr>
          <w:rFonts w:eastAsia="Times New Roman"/>
          <w:lang w:val="en-GB"/>
        </w:rPr>
      </w:pPr>
    </w:p>
    <w:p w14:paraId="6DD97F91" w14:textId="68DC04A3" w:rsidR="00BA729B" w:rsidRPr="002556D0" w:rsidRDefault="00BA729B" w:rsidP="00BA729B">
      <w:pPr>
        <w:suppressAutoHyphens/>
        <w:autoSpaceDE/>
        <w:autoSpaceDN/>
        <w:adjustRightInd/>
        <w:jc w:val="both"/>
        <w:rPr>
          <w:rFonts w:eastAsia="Times New Roman"/>
          <w:i/>
          <w:lang w:val="en-GB"/>
        </w:rPr>
      </w:pPr>
      <w:r w:rsidRPr="002556D0">
        <w:rPr>
          <w:rFonts w:eastAsia="Times New Roman"/>
          <w:i/>
          <w:lang w:val="en-GB"/>
        </w:rPr>
        <w:t>Foreign exchange risk</w:t>
      </w:r>
    </w:p>
    <w:p w14:paraId="797B0460" w14:textId="2AE071F8" w:rsidR="008A0AAE" w:rsidRPr="00583A17" w:rsidRDefault="008A0AAE" w:rsidP="00BA729B">
      <w:pPr>
        <w:jc w:val="both"/>
        <w:rPr>
          <w:rFonts w:eastAsia="Times New Roman"/>
          <w:lang w:val="en-GB"/>
        </w:rPr>
      </w:pPr>
      <w:r w:rsidRPr="002556D0">
        <w:rPr>
          <w:rFonts w:eastAsia="Times New Roman"/>
        </w:rPr>
        <w:t xml:space="preserve">Foreign exchange risk is the risk that the fair value of future cash flows will fluctuate </w:t>
      </w:r>
      <w:proofErr w:type="gramStart"/>
      <w:r w:rsidRPr="002556D0">
        <w:rPr>
          <w:rFonts w:eastAsia="Times New Roman"/>
        </w:rPr>
        <w:t>as a result of</w:t>
      </w:r>
      <w:proofErr w:type="gramEnd"/>
      <w:r w:rsidRPr="002556D0">
        <w:rPr>
          <w:rFonts w:eastAsia="Times New Roman"/>
        </w:rPr>
        <w:t xml:space="preserve"> changes in foreign exchange rates. Foreign exchange risks are closely monitored, and attempts are made to match foreign cash inflows and outflows. As </w:t>
      </w:r>
      <w:proofErr w:type="gramStart"/>
      <w:r w:rsidRPr="002556D0">
        <w:rPr>
          <w:rFonts w:eastAsia="Times New Roman"/>
        </w:rPr>
        <w:t>at</w:t>
      </w:r>
      <w:proofErr w:type="gramEnd"/>
      <w:r w:rsidRPr="002556D0">
        <w:rPr>
          <w:rFonts w:eastAsia="Times New Roman"/>
        </w:rPr>
        <w:t xml:space="preserve"> </w:t>
      </w:r>
      <w:r w:rsidR="008D3D51">
        <w:rPr>
          <w:rFonts w:eastAsia="Times New Roman"/>
        </w:rPr>
        <w:t>June 30</w:t>
      </w:r>
      <w:r w:rsidRPr="002556D0">
        <w:rPr>
          <w:rFonts w:eastAsia="Times New Roman"/>
        </w:rPr>
        <w:t xml:space="preserve">, 2022, the Company is primarily exposed to foreign exchange risk through its cash and cash equivalents denominated in Canadian dollars and Turkish Lira. The Company mitigates foreign exchange risk by monitoring foreign exchange rate trends and evaluating reinvestment opportunities when possible. The Company does not currently hedge its foreign exchange risk. Based on current exposures as </w:t>
      </w:r>
      <w:proofErr w:type="gramStart"/>
      <w:r w:rsidRPr="002556D0">
        <w:rPr>
          <w:rFonts w:eastAsia="Times New Roman"/>
        </w:rPr>
        <w:t>at</w:t>
      </w:r>
      <w:proofErr w:type="gramEnd"/>
      <w:r w:rsidRPr="002556D0">
        <w:rPr>
          <w:rFonts w:eastAsia="Times New Roman"/>
        </w:rPr>
        <w:t xml:space="preserve"> </w:t>
      </w:r>
      <w:r w:rsidR="00D65466">
        <w:rPr>
          <w:rFonts w:eastAsia="Times New Roman"/>
        </w:rPr>
        <w:t>June 30</w:t>
      </w:r>
      <w:r w:rsidRPr="002556D0">
        <w:rPr>
          <w:rFonts w:eastAsia="Times New Roman"/>
        </w:rPr>
        <w:t>, 2022 and assuming that all other variables remain constant, a 10% appreciation or depreciation of the Canadian dollar or Turkish Lira against the United States dollar would result in a gain or loss of approximately $</w:t>
      </w:r>
      <w:r w:rsidR="00D65466">
        <w:rPr>
          <w:rFonts w:eastAsia="Times New Roman"/>
        </w:rPr>
        <w:t>24,</w:t>
      </w:r>
      <w:r w:rsidR="00DE73E1">
        <w:rPr>
          <w:rFonts w:eastAsia="Times New Roman"/>
        </w:rPr>
        <w:t>290</w:t>
      </w:r>
      <w:r w:rsidRPr="002556D0">
        <w:rPr>
          <w:rFonts w:eastAsia="Times New Roman"/>
        </w:rPr>
        <w:t xml:space="preserve"> in the Company’s consolidated statements of loss and comprehensive loss, respectively</w:t>
      </w:r>
    </w:p>
    <w:p w14:paraId="7D84ED68" w14:textId="77777777" w:rsidR="00B2631D" w:rsidRDefault="00B2631D">
      <w:pPr>
        <w:autoSpaceDE/>
        <w:autoSpaceDN/>
        <w:adjustRightInd/>
        <w:spacing w:after="160" w:line="259" w:lineRule="auto"/>
        <w:rPr>
          <w:rFonts w:eastAsia="Times New Roman"/>
          <w:i/>
          <w:lang w:val="en-GB"/>
        </w:rPr>
      </w:pPr>
      <w:r>
        <w:rPr>
          <w:rFonts w:eastAsia="Times New Roman"/>
          <w:i/>
          <w:lang w:val="en-GB"/>
        </w:rPr>
        <w:br w:type="page"/>
      </w:r>
    </w:p>
    <w:p w14:paraId="31E45301" w14:textId="06E7967D" w:rsidR="00BA729B" w:rsidRPr="00583A17" w:rsidRDefault="00BA729B" w:rsidP="00BA729B">
      <w:pPr>
        <w:suppressAutoHyphens/>
        <w:autoSpaceDE/>
        <w:autoSpaceDN/>
        <w:adjustRightInd/>
        <w:jc w:val="both"/>
        <w:rPr>
          <w:rFonts w:eastAsia="Times New Roman"/>
          <w:i/>
          <w:lang w:val="en-GB"/>
        </w:rPr>
      </w:pPr>
      <w:r w:rsidRPr="00583A17">
        <w:rPr>
          <w:rFonts w:eastAsia="Times New Roman"/>
          <w:i/>
          <w:lang w:val="en-GB"/>
        </w:rPr>
        <w:lastRenderedPageBreak/>
        <w:t>Credit risk</w:t>
      </w:r>
    </w:p>
    <w:p w14:paraId="7EB13FA3" w14:textId="1054AD79" w:rsidR="008A0AAE" w:rsidRPr="00ED299A" w:rsidRDefault="008A0AAE" w:rsidP="00C95A74">
      <w:pPr>
        <w:jc w:val="both"/>
        <w:rPr>
          <w:rFonts w:eastAsia="Times New Roman"/>
        </w:rPr>
      </w:pPr>
      <w:r w:rsidRPr="00440F54">
        <w:rPr>
          <w:rFonts w:eastAsia="Times New Roman"/>
        </w:rPr>
        <w:t>Credit risk is the risk that one party to a financial instrument will cause a financial loss for the other party by failing to discharge an obligation. The Company’s cash and trade and other receivables are exposed to credit risk. The Company reduces its credit risk on cash by placing these instruments with institutions of high credit worthiness. The Company mitigates credit risk by evaluating the creditworthiness of customers prior to conducting business with them and monitoring its exposure for credit losses with existing customers</w:t>
      </w:r>
      <w:r>
        <w:rPr>
          <w:rFonts w:eastAsia="Times New Roman"/>
        </w:rPr>
        <w:t>.</w:t>
      </w:r>
      <w:r w:rsidRPr="00440F54">
        <w:rPr>
          <w:rFonts w:eastAsia="Times New Roman"/>
        </w:rPr>
        <w:t xml:space="preserve"> The Company has determined that no allowance is required as all amounts outstanding are considered collectible. During the </w:t>
      </w:r>
      <w:r w:rsidR="00D65466">
        <w:rPr>
          <w:rFonts w:eastAsia="Times New Roman"/>
        </w:rPr>
        <w:t>six</w:t>
      </w:r>
      <w:r>
        <w:rPr>
          <w:rFonts w:eastAsia="Times New Roman"/>
        </w:rPr>
        <w:t xml:space="preserve"> months ended </w:t>
      </w:r>
      <w:r w:rsidR="00D65466">
        <w:rPr>
          <w:rFonts w:eastAsia="Times New Roman"/>
        </w:rPr>
        <w:t>June 30</w:t>
      </w:r>
      <w:r>
        <w:rPr>
          <w:rFonts w:eastAsia="Times New Roman"/>
        </w:rPr>
        <w:t>, 2022</w:t>
      </w:r>
      <w:r w:rsidRPr="00F03BD0">
        <w:rPr>
          <w:rFonts w:eastAsia="Times New Roman"/>
        </w:rPr>
        <w:t xml:space="preserve">, the Company </w:t>
      </w:r>
      <w:r w:rsidRPr="007773B5">
        <w:rPr>
          <w:rFonts w:eastAsia="Times New Roman"/>
        </w:rPr>
        <w:t>incurred $nil in bad debt expense (2021 - $nil).</w:t>
      </w:r>
    </w:p>
    <w:p w14:paraId="050C8214" w14:textId="77777777" w:rsidR="00BA729B" w:rsidRPr="00583A17" w:rsidRDefault="00BA729B" w:rsidP="00BA729B">
      <w:pPr>
        <w:suppressAutoHyphens/>
        <w:autoSpaceDE/>
        <w:autoSpaceDN/>
        <w:adjustRightInd/>
        <w:jc w:val="both"/>
        <w:rPr>
          <w:rFonts w:eastAsia="Times New Roman"/>
          <w:i/>
          <w:lang w:val="en-GB"/>
        </w:rPr>
      </w:pPr>
      <w:r w:rsidRPr="00583A17">
        <w:rPr>
          <w:rFonts w:eastAsia="Times New Roman"/>
          <w:i/>
          <w:lang w:val="en-GB"/>
        </w:rPr>
        <w:t>Interest rate risk</w:t>
      </w:r>
    </w:p>
    <w:p w14:paraId="57BC240F" w14:textId="72012B8C" w:rsidR="008A0AAE" w:rsidRPr="00583A17" w:rsidRDefault="008A0AAE" w:rsidP="00BA729B">
      <w:pPr>
        <w:jc w:val="both"/>
        <w:rPr>
          <w:rFonts w:eastAsia="Times New Roman"/>
          <w:lang w:val="en-GB"/>
        </w:rPr>
      </w:pPr>
      <w:r w:rsidRPr="00440F54">
        <w:rPr>
          <w:rFonts w:eastAsia="Times New Roman"/>
        </w:rPr>
        <w:t xml:space="preserve">Interest rate risk is the risk that the fair value or future cash flows of a financial instrument will fluctuate because of changes in market interest rates. The Company’s outstanding debt bears interest at fixed rates. As a result, </w:t>
      </w:r>
      <w:proofErr w:type="gramStart"/>
      <w:r w:rsidRPr="00440F54">
        <w:rPr>
          <w:rFonts w:eastAsia="Times New Roman"/>
        </w:rPr>
        <w:t>at</w:t>
      </w:r>
      <w:proofErr w:type="gramEnd"/>
      <w:r w:rsidRPr="00440F54">
        <w:rPr>
          <w:rFonts w:eastAsia="Times New Roman"/>
        </w:rPr>
        <w:t xml:space="preserve"> </w:t>
      </w:r>
      <w:r w:rsidR="00D65466">
        <w:rPr>
          <w:rFonts w:eastAsia="Times New Roman"/>
        </w:rPr>
        <w:t xml:space="preserve">June </w:t>
      </w:r>
      <w:r>
        <w:rPr>
          <w:rFonts w:eastAsia="Times New Roman"/>
        </w:rPr>
        <w:t>3</w:t>
      </w:r>
      <w:r w:rsidR="00D65466">
        <w:rPr>
          <w:rFonts w:eastAsia="Times New Roman"/>
        </w:rPr>
        <w:t>0</w:t>
      </w:r>
      <w:r>
        <w:rPr>
          <w:rFonts w:eastAsia="Times New Roman"/>
        </w:rPr>
        <w:t>, 2022</w:t>
      </w:r>
      <w:r w:rsidRPr="00440F54">
        <w:rPr>
          <w:rFonts w:eastAsia="Times New Roman"/>
        </w:rPr>
        <w:t xml:space="preserve">, the Company is not exposed significant interest rate risk. </w:t>
      </w:r>
    </w:p>
    <w:p w14:paraId="7523660C" w14:textId="77777777" w:rsidR="00BA729B" w:rsidRPr="00583A17" w:rsidRDefault="00BA729B" w:rsidP="00BA729B">
      <w:pPr>
        <w:suppressAutoHyphens/>
        <w:autoSpaceDE/>
        <w:autoSpaceDN/>
        <w:adjustRightInd/>
        <w:jc w:val="both"/>
        <w:rPr>
          <w:rFonts w:eastAsia="Times New Roman"/>
          <w:i/>
          <w:lang w:val="en-GB"/>
        </w:rPr>
      </w:pPr>
      <w:r w:rsidRPr="00583A17">
        <w:rPr>
          <w:rFonts w:eastAsia="Times New Roman"/>
          <w:i/>
          <w:lang w:val="en-GB"/>
        </w:rPr>
        <w:t>Liquidity risk</w:t>
      </w:r>
    </w:p>
    <w:p w14:paraId="6A0EC581" w14:textId="3D592C72" w:rsidR="00BA729B" w:rsidRPr="00583A17" w:rsidRDefault="00BA729B" w:rsidP="00BA729B">
      <w:pPr>
        <w:jc w:val="both"/>
        <w:rPr>
          <w:rFonts w:eastAsia="Times New Roman"/>
          <w:lang w:val="en-GB"/>
        </w:rPr>
      </w:pPr>
      <w:r w:rsidRPr="00583A17">
        <w:rPr>
          <w:rFonts w:eastAsia="Times New Roman"/>
          <w:lang w:val="en-GB"/>
        </w:rPr>
        <w:t>Liquidity risk is the risk that the Company will encounter difficulty in meeting obligations associated with financial liabilities. The Company manages liquidity risk by maintaining sufficient cash balances to enable settlement of transactions on the due date. The Company addresses its liquidity by raising capital through the issuance of debt and equity. While the Company has been successful in securing financings in the past, there is no assurance that it will be able to do so in the future.</w:t>
      </w:r>
    </w:p>
    <w:p w14:paraId="12DC97F4" w14:textId="0BAD0E7B" w:rsidR="005B71BA" w:rsidRDefault="00D12C06" w:rsidP="00B84E24">
      <w:pPr>
        <w:pStyle w:val="Heading1"/>
      </w:pPr>
      <w:bookmarkStart w:id="24" w:name="_Toc103780858"/>
      <w:bookmarkEnd w:id="22"/>
      <w:bookmarkEnd w:id="23"/>
      <w:r w:rsidRPr="00583A17">
        <w:t>Off-Balance Sheet Arrangements</w:t>
      </w:r>
      <w:bookmarkEnd w:id="24"/>
    </w:p>
    <w:p w14:paraId="10AB21DA" w14:textId="77777777" w:rsidR="00B84E24" w:rsidRPr="00583A17" w:rsidRDefault="00B84E24" w:rsidP="00583A17">
      <w:pPr>
        <w:spacing w:after="0"/>
      </w:pPr>
    </w:p>
    <w:p w14:paraId="61B31C89" w14:textId="77777777" w:rsidR="007212B5" w:rsidRPr="003F1DCD" w:rsidRDefault="007212B5" w:rsidP="007212B5">
      <w:pPr>
        <w:pStyle w:val="NormalWeb"/>
        <w:spacing w:before="0" w:beforeAutospacing="0" w:after="0" w:afterAutospacing="0"/>
        <w:jc w:val="both"/>
        <w:rPr>
          <w:sz w:val="20"/>
          <w:szCs w:val="20"/>
        </w:rPr>
      </w:pPr>
      <w:bookmarkStart w:id="25" w:name="_Hlk99623630"/>
      <w:r w:rsidRPr="003F1DCD">
        <w:rPr>
          <w:sz w:val="20"/>
          <w:szCs w:val="20"/>
        </w:rPr>
        <w:t xml:space="preserve">On October 1, </w:t>
      </w:r>
      <w:proofErr w:type="gramStart"/>
      <w:r w:rsidRPr="003F1DCD">
        <w:rPr>
          <w:sz w:val="20"/>
          <w:szCs w:val="20"/>
        </w:rPr>
        <w:t>2018</w:t>
      </w:r>
      <w:proofErr w:type="gramEnd"/>
      <w:r w:rsidRPr="003F1DCD">
        <w:rPr>
          <w:sz w:val="20"/>
          <w:szCs w:val="20"/>
        </w:rPr>
        <w:t xml:space="preserve"> the Company entered into an agreement to grant to a consultant of the Company a 2% (two percent) gross overriding royalty on petroleum substances produced from certain of its currently undeveloped exploration properties, namely: Block 1-11 Vranino situated in Dobrich District, Bulgaria and seven contiguous exploration </w:t>
      </w:r>
      <w:proofErr w:type="spellStart"/>
      <w:r w:rsidRPr="003F1DCD">
        <w:rPr>
          <w:sz w:val="20"/>
          <w:szCs w:val="20"/>
        </w:rPr>
        <w:t>licences</w:t>
      </w:r>
      <w:proofErr w:type="spellEnd"/>
      <w:r w:rsidRPr="003F1DCD">
        <w:rPr>
          <w:sz w:val="20"/>
          <w:szCs w:val="20"/>
        </w:rPr>
        <w:t xml:space="preserve"> in the province of Hakkari </w:t>
      </w:r>
      <w:proofErr w:type="spellStart"/>
      <w:r w:rsidRPr="003F1DCD">
        <w:rPr>
          <w:sz w:val="20"/>
          <w:szCs w:val="20"/>
        </w:rPr>
        <w:t>Yuksekova</w:t>
      </w:r>
      <w:proofErr w:type="spellEnd"/>
      <w:r w:rsidRPr="003F1DCD">
        <w:rPr>
          <w:sz w:val="20"/>
          <w:szCs w:val="20"/>
        </w:rPr>
        <w:t xml:space="preserve"> </w:t>
      </w:r>
      <w:proofErr w:type="spellStart"/>
      <w:r w:rsidRPr="003F1DCD">
        <w:rPr>
          <w:sz w:val="20"/>
          <w:szCs w:val="20"/>
        </w:rPr>
        <w:t>Semdiali</w:t>
      </w:r>
      <w:proofErr w:type="spellEnd"/>
      <w:r w:rsidRPr="003F1DCD">
        <w:rPr>
          <w:sz w:val="20"/>
          <w:szCs w:val="20"/>
        </w:rPr>
        <w:t xml:space="preserve"> </w:t>
      </w:r>
      <w:proofErr w:type="spellStart"/>
      <w:r w:rsidRPr="003F1DCD">
        <w:rPr>
          <w:sz w:val="20"/>
          <w:szCs w:val="20"/>
        </w:rPr>
        <w:t>Derecik</w:t>
      </w:r>
      <w:proofErr w:type="spellEnd"/>
      <w:r w:rsidRPr="003F1DCD">
        <w:rPr>
          <w:sz w:val="20"/>
          <w:szCs w:val="20"/>
        </w:rPr>
        <w:t>, Turkey. The Grant of the royalty agreement was for services involving technical and corporate advisory services.</w:t>
      </w:r>
    </w:p>
    <w:p w14:paraId="2F5A96C0" w14:textId="77777777" w:rsidR="007212B5" w:rsidRPr="003F1DCD" w:rsidRDefault="007212B5" w:rsidP="007212B5">
      <w:pPr>
        <w:pStyle w:val="NormalWeb"/>
        <w:spacing w:before="0" w:beforeAutospacing="0" w:after="0" w:afterAutospacing="0"/>
        <w:jc w:val="both"/>
        <w:rPr>
          <w:sz w:val="20"/>
          <w:szCs w:val="20"/>
        </w:rPr>
      </w:pPr>
      <w:r w:rsidRPr="003F1DCD">
        <w:rPr>
          <w:sz w:val="20"/>
          <w:szCs w:val="20"/>
        </w:rPr>
        <w:t> </w:t>
      </w:r>
    </w:p>
    <w:p w14:paraId="2305F797" w14:textId="730BDA9E" w:rsidR="005B71BA" w:rsidRDefault="00D12C06" w:rsidP="00B84E24">
      <w:pPr>
        <w:pStyle w:val="Heading1"/>
      </w:pPr>
      <w:bookmarkStart w:id="26" w:name="_Toc103780859"/>
      <w:bookmarkEnd w:id="25"/>
      <w:r w:rsidRPr="00583A17">
        <w:t>Disclosure of Outstanding Share Data</w:t>
      </w:r>
      <w:bookmarkEnd w:id="26"/>
    </w:p>
    <w:p w14:paraId="28CED7F6" w14:textId="77777777" w:rsidR="00B84E24" w:rsidRPr="00583A17" w:rsidRDefault="00B84E24" w:rsidP="00583A17">
      <w:pPr>
        <w:spacing w:after="0"/>
      </w:pPr>
    </w:p>
    <w:p w14:paraId="032B3269" w14:textId="5D05267A" w:rsidR="00623180" w:rsidRPr="00583A17" w:rsidRDefault="00182D09" w:rsidP="00BF4AE3">
      <w:pPr>
        <w:jc w:val="both"/>
        <w:rPr>
          <w:rFonts w:eastAsia="Times New Roman"/>
        </w:rPr>
      </w:pPr>
      <w:r>
        <w:rPr>
          <w:rFonts w:eastAsia="Times New Roman"/>
        </w:rPr>
        <w:t xml:space="preserve">The Company’s authorized share capital consists of an unlimited number of common shares of which </w:t>
      </w:r>
      <w:r w:rsidR="00D65466">
        <w:rPr>
          <w:rFonts w:eastAsia="Times New Roman"/>
        </w:rPr>
        <w:t>369,674,974</w:t>
      </w:r>
      <w:r>
        <w:rPr>
          <w:rFonts w:eastAsia="Times New Roman"/>
        </w:rPr>
        <w:t xml:space="preserve"> were issued and outstanding </w:t>
      </w:r>
      <w:r w:rsidRPr="00C95A74">
        <w:rPr>
          <w:rFonts w:eastAsia="Times New Roman"/>
        </w:rPr>
        <w:t xml:space="preserve">as of </w:t>
      </w:r>
      <w:r w:rsidR="00D65466">
        <w:rPr>
          <w:rFonts w:eastAsia="Times New Roman"/>
        </w:rPr>
        <w:t>June 30</w:t>
      </w:r>
      <w:r w:rsidR="0010120C" w:rsidRPr="00C95A74">
        <w:rPr>
          <w:rFonts w:eastAsia="Times New Roman"/>
        </w:rPr>
        <w:t>, 2022</w:t>
      </w:r>
      <w:r w:rsidRPr="00C95A74">
        <w:rPr>
          <w:rFonts w:eastAsia="Times New Roman"/>
        </w:rPr>
        <w:t xml:space="preserve">. </w:t>
      </w:r>
      <w:r w:rsidR="00623180" w:rsidRPr="00C95A74">
        <w:rPr>
          <w:rFonts w:eastAsia="Times New Roman"/>
        </w:rPr>
        <w:t xml:space="preserve">As of the date of this MD&amp;A, the total number of outstanding common shares was </w:t>
      </w:r>
      <w:r w:rsidR="00D65466">
        <w:rPr>
          <w:rFonts w:eastAsia="Times New Roman"/>
        </w:rPr>
        <w:t>371,399,974</w:t>
      </w:r>
      <w:r w:rsidR="00623180" w:rsidRPr="00C95A74">
        <w:rPr>
          <w:rFonts w:eastAsia="Times New Roman"/>
        </w:rPr>
        <w:t>.</w:t>
      </w:r>
    </w:p>
    <w:p w14:paraId="08D4CBED" w14:textId="77777777" w:rsidR="00B2631D" w:rsidRDefault="00B2631D">
      <w:pPr>
        <w:autoSpaceDE/>
        <w:autoSpaceDN/>
        <w:adjustRightInd/>
        <w:spacing w:after="160" w:line="259" w:lineRule="auto"/>
        <w:rPr>
          <w:rFonts w:eastAsia="Times New Roman"/>
        </w:rPr>
      </w:pPr>
      <w:r>
        <w:rPr>
          <w:rFonts w:eastAsia="Times New Roman"/>
        </w:rPr>
        <w:br w:type="page"/>
      </w:r>
    </w:p>
    <w:p w14:paraId="167F45A3" w14:textId="29A1FB2D" w:rsidR="00CD2C04" w:rsidRPr="00583A17" w:rsidRDefault="00CD2C04" w:rsidP="00CD2C04">
      <w:pPr>
        <w:jc w:val="both"/>
        <w:rPr>
          <w:rFonts w:eastAsia="Times New Roman"/>
        </w:rPr>
      </w:pPr>
      <w:r w:rsidRPr="00583A17">
        <w:rPr>
          <w:rFonts w:eastAsia="Times New Roman"/>
        </w:rPr>
        <w:lastRenderedPageBreak/>
        <w:t xml:space="preserve">As </w:t>
      </w:r>
      <w:proofErr w:type="gramStart"/>
      <w:r w:rsidRPr="00583A17">
        <w:rPr>
          <w:rFonts w:eastAsia="Times New Roman"/>
        </w:rPr>
        <w:t>at</w:t>
      </w:r>
      <w:proofErr w:type="gramEnd"/>
      <w:r w:rsidRPr="00583A17">
        <w:rPr>
          <w:rFonts w:eastAsia="Times New Roman"/>
        </w:rPr>
        <w:t xml:space="preserve"> </w:t>
      </w:r>
      <w:r w:rsidR="00D65466">
        <w:rPr>
          <w:rFonts w:eastAsia="Times New Roman"/>
        </w:rPr>
        <w:t>June 30</w:t>
      </w:r>
      <w:r w:rsidR="004E629A">
        <w:rPr>
          <w:rFonts w:eastAsia="Times New Roman"/>
        </w:rPr>
        <w:t>, 2022</w:t>
      </w:r>
      <w:r w:rsidR="00EC156C">
        <w:rPr>
          <w:rFonts w:eastAsia="Times New Roman"/>
        </w:rPr>
        <w:t xml:space="preserve">, </w:t>
      </w:r>
      <w:r w:rsidRPr="00583A17">
        <w:rPr>
          <w:rFonts w:eastAsia="Times New Roman"/>
        </w:rPr>
        <w:t>the following stock options were outstanding, entitling the holders thereof the right to purchase one common share for each option held as follows:</w:t>
      </w:r>
    </w:p>
    <w:p w14:paraId="2B9F43FA" w14:textId="77777777" w:rsidR="00CD2C04" w:rsidRPr="00583A17" w:rsidRDefault="00CD2C04" w:rsidP="00CD2C04">
      <w:pPr>
        <w:pStyle w:val="ListParagraph"/>
        <w:spacing w:after="0"/>
        <w:jc w:val="both"/>
        <w:rPr>
          <w:lang w:val="en-CA"/>
        </w:rPr>
      </w:pPr>
    </w:p>
    <w:tbl>
      <w:tblPr>
        <w:tblW w:w="4772" w:type="pct"/>
        <w:tblInd w:w="426" w:type="dxa"/>
        <w:tblCellMar>
          <w:left w:w="0" w:type="dxa"/>
          <w:right w:w="0" w:type="dxa"/>
        </w:tblCellMar>
        <w:tblLook w:val="04A0" w:firstRow="1" w:lastRow="0" w:firstColumn="1" w:lastColumn="0" w:noHBand="0" w:noVBand="1"/>
      </w:tblPr>
      <w:tblGrid>
        <w:gridCol w:w="1629"/>
        <w:gridCol w:w="95"/>
        <w:gridCol w:w="188"/>
        <w:gridCol w:w="95"/>
        <w:gridCol w:w="2058"/>
        <w:gridCol w:w="95"/>
        <w:gridCol w:w="188"/>
        <w:gridCol w:w="2153"/>
        <w:gridCol w:w="188"/>
        <w:gridCol w:w="95"/>
        <w:gridCol w:w="2058"/>
        <w:gridCol w:w="91"/>
      </w:tblGrid>
      <w:tr w:rsidR="00AC4982" w:rsidRPr="003F1DCD" w14:paraId="6A415806" w14:textId="77777777" w:rsidTr="001B46D2">
        <w:tc>
          <w:tcPr>
            <w:tcW w:w="912" w:type="pct"/>
            <w:tcBorders>
              <w:bottom w:val="single" w:sz="12" w:space="0" w:color="000000"/>
            </w:tcBorders>
            <w:vAlign w:val="bottom"/>
            <w:hideMark/>
          </w:tcPr>
          <w:p w14:paraId="514639DA" w14:textId="77777777" w:rsidR="00AC4982" w:rsidRPr="003F1DCD" w:rsidRDefault="00AC4982" w:rsidP="001B46D2">
            <w:pPr>
              <w:spacing w:after="0"/>
              <w:jc w:val="center"/>
              <w:rPr>
                <w:rFonts w:eastAsia="Times New Roman"/>
              </w:rPr>
            </w:pPr>
            <w:r w:rsidRPr="003F1DCD">
              <w:rPr>
                <w:rFonts w:eastAsia="Times New Roman"/>
              </w:rPr>
              <w:t>Outstanding</w:t>
            </w:r>
          </w:p>
        </w:tc>
        <w:tc>
          <w:tcPr>
            <w:tcW w:w="0" w:type="auto"/>
            <w:vAlign w:val="bottom"/>
            <w:hideMark/>
          </w:tcPr>
          <w:p w14:paraId="0E263564"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vAlign w:val="bottom"/>
            <w:hideMark/>
          </w:tcPr>
          <w:p w14:paraId="6ADB04F5"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gridSpan w:val="2"/>
            <w:tcBorders>
              <w:bottom w:val="single" w:sz="12" w:space="0" w:color="000000"/>
            </w:tcBorders>
            <w:vAlign w:val="bottom"/>
            <w:hideMark/>
          </w:tcPr>
          <w:p w14:paraId="6F5A1DB7" w14:textId="77777777" w:rsidR="00AC4982" w:rsidRPr="003F1DCD" w:rsidRDefault="00AC4982" w:rsidP="001B46D2">
            <w:pPr>
              <w:spacing w:after="0"/>
              <w:jc w:val="center"/>
              <w:rPr>
                <w:rFonts w:eastAsia="Times New Roman"/>
              </w:rPr>
            </w:pPr>
            <w:r w:rsidRPr="003F1DCD">
              <w:rPr>
                <w:rFonts w:eastAsia="Times New Roman"/>
              </w:rPr>
              <w:t>Exercise Price</w:t>
            </w:r>
          </w:p>
        </w:tc>
        <w:tc>
          <w:tcPr>
            <w:tcW w:w="0" w:type="auto"/>
            <w:vAlign w:val="bottom"/>
            <w:hideMark/>
          </w:tcPr>
          <w:p w14:paraId="6F32F947"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vAlign w:val="bottom"/>
            <w:hideMark/>
          </w:tcPr>
          <w:p w14:paraId="1192061E"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tcBorders>
              <w:bottom w:val="single" w:sz="12" w:space="0" w:color="000000"/>
            </w:tcBorders>
            <w:vAlign w:val="bottom"/>
            <w:hideMark/>
          </w:tcPr>
          <w:p w14:paraId="2A0160FA" w14:textId="77777777" w:rsidR="00AC4982" w:rsidRPr="003F1DCD" w:rsidRDefault="00AC4982" w:rsidP="001B46D2">
            <w:pPr>
              <w:spacing w:after="0"/>
              <w:jc w:val="center"/>
              <w:rPr>
                <w:rFonts w:eastAsia="Times New Roman"/>
              </w:rPr>
            </w:pPr>
            <w:r w:rsidRPr="003F1DCD">
              <w:rPr>
                <w:rFonts w:eastAsia="Times New Roman"/>
              </w:rPr>
              <w:t>Expiry Date</w:t>
            </w:r>
          </w:p>
        </w:tc>
        <w:tc>
          <w:tcPr>
            <w:tcW w:w="0" w:type="auto"/>
            <w:vAlign w:val="bottom"/>
            <w:hideMark/>
          </w:tcPr>
          <w:p w14:paraId="11F21384"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gridSpan w:val="2"/>
            <w:tcBorders>
              <w:bottom w:val="single" w:sz="12" w:space="0" w:color="000000"/>
            </w:tcBorders>
            <w:vAlign w:val="bottom"/>
            <w:hideMark/>
          </w:tcPr>
          <w:p w14:paraId="0EE36761" w14:textId="77777777" w:rsidR="00AC4982" w:rsidRPr="003F1DCD" w:rsidRDefault="00AC4982" w:rsidP="001B46D2">
            <w:pPr>
              <w:spacing w:after="0"/>
              <w:jc w:val="center"/>
              <w:rPr>
                <w:rFonts w:eastAsia="Times New Roman"/>
              </w:rPr>
            </w:pPr>
            <w:r w:rsidRPr="003F1DCD">
              <w:rPr>
                <w:rFonts w:eastAsia="Times New Roman"/>
              </w:rPr>
              <w:t>Vested</w:t>
            </w:r>
          </w:p>
        </w:tc>
        <w:tc>
          <w:tcPr>
            <w:tcW w:w="0" w:type="auto"/>
            <w:vAlign w:val="bottom"/>
            <w:hideMark/>
          </w:tcPr>
          <w:p w14:paraId="45019F19"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1A4A0A39" w14:textId="77777777" w:rsidTr="001B46D2">
        <w:tc>
          <w:tcPr>
            <w:tcW w:w="912" w:type="pct"/>
            <w:shd w:val="clear" w:color="auto" w:fill="CCEEFF"/>
            <w:vAlign w:val="bottom"/>
            <w:hideMark/>
          </w:tcPr>
          <w:p w14:paraId="67DAC521" w14:textId="77777777" w:rsidR="00AC4982" w:rsidRPr="003F1DCD" w:rsidRDefault="00AC4982" w:rsidP="001B46D2">
            <w:pPr>
              <w:spacing w:after="0"/>
              <w:jc w:val="right"/>
              <w:rPr>
                <w:rFonts w:eastAsia="Times New Roman"/>
              </w:rPr>
            </w:pPr>
            <w:r w:rsidRPr="003F1DCD">
              <w:rPr>
                <w:rFonts w:eastAsia="Times New Roman"/>
              </w:rPr>
              <w:t>200,000</w:t>
            </w:r>
          </w:p>
        </w:tc>
        <w:tc>
          <w:tcPr>
            <w:tcW w:w="53" w:type="pct"/>
            <w:shd w:val="clear" w:color="auto" w:fill="CCEEFF"/>
            <w:vAlign w:val="bottom"/>
            <w:hideMark/>
          </w:tcPr>
          <w:p w14:paraId="4EC972DB" w14:textId="77777777" w:rsidR="00AC4982" w:rsidRPr="003F1DCD" w:rsidRDefault="00AC4982" w:rsidP="001B46D2">
            <w:pPr>
              <w:spacing w:after="0"/>
              <w:jc w:val="both"/>
              <w:rPr>
                <w:rFonts w:eastAsia="Times New Roman"/>
              </w:rPr>
            </w:pPr>
            <w:r w:rsidRPr="003F1DCD">
              <w:rPr>
                <w:rFonts w:eastAsia="Times New Roman"/>
              </w:rPr>
              <w:t> </w:t>
            </w:r>
          </w:p>
        </w:tc>
        <w:tc>
          <w:tcPr>
            <w:tcW w:w="105" w:type="pct"/>
            <w:shd w:val="clear" w:color="auto" w:fill="CCEEFF"/>
            <w:vAlign w:val="bottom"/>
            <w:hideMark/>
          </w:tcPr>
          <w:p w14:paraId="21481CAB" w14:textId="77777777" w:rsidR="00AC4982" w:rsidRPr="003F1DCD" w:rsidRDefault="00AC4982" w:rsidP="001B46D2">
            <w:pPr>
              <w:spacing w:after="0"/>
              <w:jc w:val="both"/>
              <w:rPr>
                <w:rFonts w:eastAsia="Times New Roman"/>
              </w:rPr>
            </w:pPr>
            <w:r w:rsidRPr="003F1DCD">
              <w:rPr>
                <w:rFonts w:eastAsia="Times New Roman"/>
              </w:rPr>
              <w:t> </w:t>
            </w:r>
          </w:p>
        </w:tc>
        <w:tc>
          <w:tcPr>
            <w:tcW w:w="53" w:type="pct"/>
            <w:shd w:val="clear" w:color="auto" w:fill="CCEEFF"/>
            <w:vAlign w:val="bottom"/>
            <w:hideMark/>
          </w:tcPr>
          <w:p w14:paraId="66808F2E" w14:textId="77777777" w:rsidR="00AC4982" w:rsidRPr="003F1DCD" w:rsidRDefault="00AC4982" w:rsidP="001B46D2">
            <w:pPr>
              <w:spacing w:after="0"/>
              <w:jc w:val="both"/>
              <w:rPr>
                <w:rFonts w:eastAsia="Times New Roman"/>
              </w:rPr>
            </w:pPr>
            <w:r w:rsidRPr="003F1DCD">
              <w:rPr>
                <w:rFonts w:eastAsia="Times New Roman"/>
              </w:rPr>
              <w:t> </w:t>
            </w:r>
          </w:p>
        </w:tc>
        <w:tc>
          <w:tcPr>
            <w:tcW w:w="1152" w:type="pct"/>
            <w:shd w:val="clear" w:color="auto" w:fill="CCEEFF"/>
            <w:vAlign w:val="bottom"/>
            <w:hideMark/>
          </w:tcPr>
          <w:p w14:paraId="6D01C75A" w14:textId="77777777" w:rsidR="00AC4982" w:rsidRPr="003F1DCD" w:rsidRDefault="00AC4982" w:rsidP="001B46D2">
            <w:pPr>
              <w:spacing w:after="0"/>
              <w:jc w:val="right"/>
              <w:rPr>
                <w:rFonts w:eastAsia="Times New Roman"/>
              </w:rPr>
            </w:pPr>
            <w:r w:rsidRPr="003F1DCD">
              <w:rPr>
                <w:rFonts w:eastAsia="Times New Roman"/>
              </w:rPr>
              <w:t>0.12</w:t>
            </w:r>
          </w:p>
        </w:tc>
        <w:tc>
          <w:tcPr>
            <w:tcW w:w="53" w:type="pct"/>
            <w:shd w:val="clear" w:color="auto" w:fill="CCEEFF"/>
            <w:vAlign w:val="bottom"/>
            <w:hideMark/>
          </w:tcPr>
          <w:p w14:paraId="7849BA42" w14:textId="77777777" w:rsidR="00AC4982" w:rsidRPr="003F1DCD" w:rsidRDefault="00AC4982" w:rsidP="001B46D2">
            <w:pPr>
              <w:spacing w:after="0"/>
              <w:jc w:val="both"/>
              <w:rPr>
                <w:rFonts w:eastAsia="Times New Roman"/>
              </w:rPr>
            </w:pPr>
            <w:r w:rsidRPr="003F1DCD">
              <w:rPr>
                <w:rFonts w:eastAsia="Times New Roman"/>
              </w:rPr>
              <w:t> </w:t>
            </w:r>
          </w:p>
        </w:tc>
        <w:tc>
          <w:tcPr>
            <w:tcW w:w="105" w:type="pct"/>
            <w:shd w:val="clear" w:color="auto" w:fill="CCEEFF"/>
            <w:vAlign w:val="bottom"/>
            <w:hideMark/>
          </w:tcPr>
          <w:p w14:paraId="3F7B6BD7" w14:textId="77777777" w:rsidR="00AC4982" w:rsidRPr="003F1DCD" w:rsidRDefault="00AC4982" w:rsidP="001B46D2">
            <w:pPr>
              <w:spacing w:after="0"/>
              <w:jc w:val="both"/>
              <w:rPr>
                <w:rFonts w:eastAsia="Times New Roman"/>
              </w:rPr>
            </w:pPr>
            <w:r w:rsidRPr="003F1DCD">
              <w:rPr>
                <w:rFonts w:eastAsia="Times New Roman"/>
              </w:rPr>
              <w:t> </w:t>
            </w:r>
          </w:p>
        </w:tc>
        <w:tc>
          <w:tcPr>
            <w:tcW w:w="1205" w:type="pct"/>
            <w:shd w:val="clear" w:color="auto" w:fill="CCEEFF"/>
            <w:vAlign w:val="bottom"/>
            <w:hideMark/>
          </w:tcPr>
          <w:p w14:paraId="7CE4E64D" w14:textId="77777777" w:rsidR="00AC4982" w:rsidRPr="003F1DCD" w:rsidRDefault="00AC4982" w:rsidP="001B46D2">
            <w:pPr>
              <w:spacing w:after="0"/>
              <w:jc w:val="right"/>
              <w:rPr>
                <w:rFonts w:eastAsia="Times New Roman"/>
              </w:rPr>
            </w:pPr>
            <w:r w:rsidRPr="003F1DCD">
              <w:rPr>
                <w:rFonts w:eastAsia="Times New Roman"/>
              </w:rPr>
              <w:t>September 15, 2022</w:t>
            </w:r>
          </w:p>
        </w:tc>
        <w:tc>
          <w:tcPr>
            <w:tcW w:w="105" w:type="pct"/>
            <w:shd w:val="clear" w:color="auto" w:fill="CCEEFF"/>
            <w:vAlign w:val="bottom"/>
            <w:hideMark/>
          </w:tcPr>
          <w:p w14:paraId="746417F3" w14:textId="77777777" w:rsidR="00AC4982" w:rsidRPr="003F1DCD" w:rsidRDefault="00AC4982" w:rsidP="001B46D2">
            <w:pPr>
              <w:spacing w:after="0"/>
              <w:jc w:val="both"/>
              <w:rPr>
                <w:rFonts w:eastAsia="Times New Roman"/>
              </w:rPr>
            </w:pPr>
            <w:r w:rsidRPr="003F1DCD">
              <w:rPr>
                <w:rFonts w:eastAsia="Times New Roman"/>
              </w:rPr>
              <w:t> </w:t>
            </w:r>
          </w:p>
        </w:tc>
        <w:tc>
          <w:tcPr>
            <w:tcW w:w="53" w:type="pct"/>
            <w:shd w:val="clear" w:color="auto" w:fill="CCEEFF"/>
            <w:vAlign w:val="bottom"/>
            <w:hideMark/>
          </w:tcPr>
          <w:p w14:paraId="3EF7A868" w14:textId="77777777" w:rsidR="00AC4982" w:rsidRPr="003F1DCD" w:rsidRDefault="00AC4982" w:rsidP="001B46D2">
            <w:pPr>
              <w:spacing w:after="0"/>
              <w:jc w:val="both"/>
              <w:rPr>
                <w:rFonts w:eastAsia="Times New Roman"/>
              </w:rPr>
            </w:pPr>
            <w:r w:rsidRPr="003F1DCD">
              <w:rPr>
                <w:rFonts w:eastAsia="Times New Roman"/>
              </w:rPr>
              <w:t> </w:t>
            </w:r>
          </w:p>
        </w:tc>
        <w:tc>
          <w:tcPr>
            <w:tcW w:w="1152" w:type="pct"/>
            <w:shd w:val="clear" w:color="auto" w:fill="CCEEFF"/>
            <w:vAlign w:val="bottom"/>
            <w:hideMark/>
          </w:tcPr>
          <w:p w14:paraId="3E04839C" w14:textId="77777777" w:rsidR="00AC4982" w:rsidRPr="003F1DCD" w:rsidRDefault="00AC4982" w:rsidP="001B46D2">
            <w:pPr>
              <w:spacing w:after="0"/>
              <w:jc w:val="right"/>
              <w:rPr>
                <w:rFonts w:eastAsia="Times New Roman"/>
              </w:rPr>
            </w:pPr>
            <w:r w:rsidRPr="003F1DCD">
              <w:rPr>
                <w:rFonts w:eastAsia="Times New Roman"/>
              </w:rPr>
              <w:t>200,000</w:t>
            </w:r>
          </w:p>
        </w:tc>
        <w:tc>
          <w:tcPr>
            <w:tcW w:w="51" w:type="pct"/>
            <w:shd w:val="clear" w:color="auto" w:fill="CCEEFF"/>
            <w:vAlign w:val="bottom"/>
            <w:hideMark/>
          </w:tcPr>
          <w:p w14:paraId="4E39CBBE"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0A5638CD" w14:textId="77777777" w:rsidTr="001B46D2">
        <w:tc>
          <w:tcPr>
            <w:tcW w:w="912" w:type="pct"/>
            <w:shd w:val="clear" w:color="auto" w:fill="FFFFFF"/>
            <w:vAlign w:val="bottom"/>
            <w:hideMark/>
          </w:tcPr>
          <w:p w14:paraId="2576EA26" w14:textId="77777777" w:rsidR="00AC4982" w:rsidRPr="003F1DCD" w:rsidRDefault="00AC4982" w:rsidP="001B46D2">
            <w:pPr>
              <w:spacing w:after="0"/>
              <w:jc w:val="right"/>
              <w:rPr>
                <w:rFonts w:eastAsia="Times New Roman"/>
              </w:rPr>
            </w:pPr>
            <w:r w:rsidRPr="003F1DCD">
              <w:rPr>
                <w:rFonts w:eastAsia="Times New Roman"/>
              </w:rPr>
              <w:t>1,750,000</w:t>
            </w:r>
          </w:p>
        </w:tc>
        <w:tc>
          <w:tcPr>
            <w:tcW w:w="0" w:type="auto"/>
            <w:shd w:val="clear" w:color="auto" w:fill="FFFFFF"/>
            <w:vAlign w:val="bottom"/>
            <w:hideMark/>
          </w:tcPr>
          <w:p w14:paraId="5E018B8B"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7C53483B"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2206FF7D"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01842239" w14:textId="77777777" w:rsidR="00AC4982" w:rsidRPr="003F1DCD" w:rsidRDefault="00AC4982" w:rsidP="001B46D2">
            <w:pPr>
              <w:spacing w:after="0"/>
              <w:jc w:val="right"/>
              <w:rPr>
                <w:rFonts w:eastAsia="Times New Roman"/>
              </w:rPr>
            </w:pPr>
            <w:r w:rsidRPr="003F1DCD">
              <w:rPr>
                <w:rFonts w:eastAsia="Times New Roman"/>
              </w:rPr>
              <w:t>0.12</w:t>
            </w:r>
          </w:p>
        </w:tc>
        <w:tc>
          <w:tcPr>
            <w:tcW w:w="0" w:type="auto"/>
            <w:shd w:val="clear" w:color="auto" w:fill="FFFFFF"/>
            <w:vAlign w:val="bottom"/>
            <w:hideMark/>
          </w:tcPr>
          <w:p w14:paraId="4521A6F2"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370E5B45"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3CD044B4" w14:textId="77777777" w:rsidR="00AC4982" w:rsidRPr="003F1DCD" w:rsidRDefault="00AC4982" w:rsidP="001B46D2">
            <w:pPr>
              <w:spacing w:after="0"/>
              <w:jc w:val="right"/>
              <w:rPr>
                <w:rFonts w:eastAsia="Times New Roman"/>
              </w:rPr>
            </w:pPr>
            <w:r w:rsidRPr="003F1DCD">
              <w:rPr>
                <w:rFonts w:eastAsia="Times New Roman"/>
              </w:rPr>
              <w:t>October 24, 2023</w:t>
            </w:r>
          </w:p>
        </w:tc>
        <w:tc>
          <w:tcPr>
            <w:tcW w:w="0" w:type="auto"/>
            <w:shd w:val="clear" w:color="auto" w:fill="FFFFFF"/>
            <w:vAlign w:val="bottom"/>
            <w:hideMark/>
          </w:tcPr>
          <w:p w14:paraId="1CE870AE"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1C377B09"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1777C81C" w14:textId="77777777" w:rsidR="00AC4982" w:rsidRPr="003F1DCD" w:rsidRDefault="00AC4982" w:rsidP="001B46D2">
            <w:pPr>
              <w:spacing w:after="0"/>
              <w:jc w:val="right"/>
              <w:rPr>
                <w:rFonts w:eastAsia="Times New Roman"/>
              </w:rPr>
            </w:pPr>
            <w:r w:rsidRPr="003F1DCD">
              <w:rPr>
                <w:rFonts w:eastAsia="Times New Roman"/>
              </w:rPr>
              <w:t>1,750,000</w:t>
            </w:r>
          </w:p>
        </w:tc>
        <w:tc>
          <w:tcPr>
            <w:tcW w:w="0" w:type="auto"/>
            <w:shd w:val="clear" w:color="auto" w:fill="FFFFFF"/>
            <w:vAlign w:val="bottom"/>
            <w:hideMark/>
          </w:tcPr>
          <w:p w14:paraId="6944AAB8"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5A60831A" w14:textId="77777777" w:rsidTr="001B46D2">
        <w:tc>
          <w:tcPr>
            <w:tcW w:w="912" w:type="pct"/>
            <w:shd w:val="clear" w:color="auto" w:fill="CCEEFF"/>
            <w:vAlign w:val="bottom"/>
            <w:hideMark/>
          </w:tcPr>
          <w:p w14:paraId="28CDCFCA" w14:textId="77777777" w:rsidR="00AC4982" w:rsidRPr="003F1DCD" w:rsidRDefault="00AC4982" w:rsidP="001B46D2">
            <w:pPr>
              <w:spacing w:after="0"/>
              <w:jc w:val="right"/>
              <w:rPr>
                <w:rFonts w:eastAsia="Times New Roman"/>
              </w:rPr>
            </w:pPr>
            <w:r w:rsidRPr="003F1DCD">
              <w:rPr>
                <w:rFonts w:eastAsia="Times New Roman"/>
              </w:rPr>
              <w:t>3,800,000</w:t>
            </w:r>
          </w:p>
        </w:tc>
        <w:tc>
          <w:tcPr>
            <w:tcW w:w="0" w:type="auto"/>
            <w:shd w:val="clear" w:color="auto" w:fill="CCEEFF"/>
            <w:vAlign w:val="bottom"/>
            <w:hideMark/>
          </w:tcPr>
          <w:p w14:paraId="7AA93E83"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49D02864"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51AA6775"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114FD942" w14:textId="77777777" w:rsidR="00AC4982" w:rsidRPr="003F1DCD" w:rsidRDefault="00AC4982" w:rsidP="001B46D2">
            <w:pPr>
              <w:spacing w:after="0"/>
              <w:jc w:val="right"/>
              <w:rPr>
                <w:rFonts w:eastAsia="Times New Roman"/>
              </w:rPr>
            </w:pPr>
            <w:r w:rsidRPr="003F1DCD">
              <w:rPr>
                <w:rFonts w:eastAsia="Times New Roman"/>
              </w:rPr>
              <w:t>0.12</w:t>
            </w:r>
          </w:p>
        </w:tc>
        <w:tc>
          <w:tcPr>
            <w:tcW w:w="0" w:type="auto"/>
            <w:shd w:val="clear" w:color="auto" w:fill="CCEEFF"/>
            <w:vAlign w:val="bottom"/>
            <w:hideMark/>
          </w:tcPr>
          <w:p w14:paraId="3F4E8614"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427A8395"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7116CE8E" w14:textId="77777777" w:rsidR="00AC4982" w:rsidRPr="003F1DCD" w:rsidRDefault="00AC4982" w:rsidP="001B46D2">
            <w:pPr>
              <w:spacing w:after="0"/>
              <w:jc w:val="right"/>
              <w:rPr>
                <w:rFonts w:eastAsia="Times New Roman"/>
              </w:rPr>
            </w:pPr>
            <w:r w:rsidRPr="003F1DCD">
              <w:rPr>
                <w:rFonts w:eastAsia="Times New Roman"/>
              </w:rPr>
              <w:t>September 19, 2024</w:t>
            </w:r>
          </w:p>
        </w:tc>
        <w:tc>
          <w:tcPr>
            <w:tcW w:w="0" w:type="auto"/>
            <w:shd w:val="clear" w:color="auto" w:fill="CCEEFF"/>
            <w:vAlign w:val="bottom"/>
            <w:hideMark/>
          </w:tcPr>
          <w:p w14:paraId="12FF1F37"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605D3DBF"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7416AE23" w14:textId="77777777" w:rsidR="00AC4982" w:rsidRPr="003F1DCD" w:rsidRDefault="00AC4982" w:rsidP="001B46D2">
            <w:pPr>
              <w:spacing w:after="0"/>
              <w:jc w:val="right"/>
              <w:rPr>
                <w:rFonts w:eastAsia="Times New Roman"/>
              </w:rPr>
            </w:pPr>
            <w:r w:rsidRPr="003F1DCD">
              <w:rPr>
                <w:rFonts w:eastAsia="Times New Roman"/>
              </w:rPr>
              <w:t>3,800,000</w:t>
            </w:r>
          </w:p>
        </w:tc>
        <w:tc>
          <w:tcPr>
            <w:tcW w:w="0" w:type="auto"/>
            <w:shd w:val="clear" w:color="auto" w:fill="CCEEFF"/>
            <w:vAlign w:val="bottom"/>
            <w:hideMark/>
          </w:tcPr>
          <w:p w14:paraId="2523682E"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22FD4005" w14:textId="77777777" w:rsidTr="001B46D2">
        <w:tc>
          <w:tcPr>
            <w:tcW w:w="912" w:type="pct"/>
            <w:shd w:val="clear" w:color="auto" w:fill="FFFFFF"/>
            <w:vAlign w:val="bottom"/>
            <w:hideMark/>
          </w:tcPr>
          <w:p w14:paraId="439266D8" w14:textId="77777777" w:rsidR="00AC4982" w:rsidRPr="003F1DCD" w:rsidRDefault="00AC4982" w:rsidP="001B46D2">
            <w:pPr>
              <w:spacing w:after="0"/>
              <w:jc w:val="right"/>
              <w:rPr>
                <w:rFonts w:eastAsia="Times New Roman"/>
              </w:rPr>
            </w:pPr>
            <w:r w:rsidRPr="003F1DCD">
              <w:rPr>
                <w:rFonts w:eastAsia="Times New Roman"/>
              </w:rPr>
              <w:t>640,000</w:t>
            </w:r>
          </w:p>
        </w:tc>
        <w:tc>
          <w:tcPr>
            <w:tcW w:w="0" w:type="auto"/>
            <w:shd w:val="clear" w:color="auto" w:fill="FFFFFF"/>
            <w:vAlign w:val="bottom"/>
            <w:hideMark/>
          </w:tcPr>
          <w:p w14:paraId="6280439C"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6DAE9B06"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5E7E2FD6"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29FE0BEC" w14:textId="77777777" w:rsidR="00AC4982" w:rsidRPr="003F1DCD" w:rsidRDefault="00AC4982" w:rsidP="001B46D2">
            <w:pPr>
              <w:spacing w:after="0"/>
              <w:jc w:val="right"/>
              <w:rPr>
                <w:rFonts w:eastAsia="Times New Roman"/>
              </w:rPr>
            </w:pPr>
            <w:r w:rsidRPr="003F1DCD">
              <w:rPr>
                <w:rFonts w:eastAsia="Times New Roman"/>
              </w:rPr>
              <w:t>0.06</w:t>
            </w:r>
          </w:p>
        </w:tc>
        <w:tc>
          <w:tcPr>
            <w:tcW w:w="0" w:type="auto"/>
            <w:shd w:val="clear" w:color="auto" w:fill="FFFFFF"/>
            <w:vAlign w:val="bottom"/>
            <w:hideMark/>
          </w:tcPr>
          <w:p w14:paraId="121C14C9"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5A561166"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32E6609B" w14:textId="77777777" w:rsidR="00AC4982" w:rsidRPr="003F1DCD" w:rsidRDefault="00AC4982" w:rsidP="001B46D2">
            <w:pPr>
              <w:spacing w:after="0"/>
              <w:jc w:val="right"/>
              <w:rPr>
                <w:rFonts w:eastAsia="Times New Roman"/>
              </w:rPr>
            </w:pPr>
            <w:r w:rsidRPr="003F1DCD">
              <w:rPr>
                <w:rFonts w:eastAsia="Times New Roman"/>
              </w:rPr>
              <w:t>July 31, 2025</w:t>
            </w:r>
          </w:p>
        </w:tc>
        <w:tc>
          <w:tcPr>
            <w:tcW w:w="0" w:type="auto"/>
            <w:shd w:val="clear" w:color="auto" w:fill="FFFFFF"/>
            <w:vAlign w:val="bottom"/>
            <w:hideMark/>
          </w:tcPr>
          <w:p w14:paraId="4B14D906"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79D6964A"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FFFFFF"/>
            <w:vAlign w:val="bottom"/>
            <w:hideMark/>
          </w:tcPr>
          <w:p w14:paraId="3850904A" w14:textId="77777777" w:rsidR="00AC4982" w:rsidRPr="003F1DCD" w:rsidRDefault="00AC4982" w:rsidP="001B46D2">
            <w:pPr>
              <w:spacing w:after="0"/>
              <w:jc w:val="right"/>
              <w:rPr>
                <w:rFonts w:eastAsia="Times New Roman"/>
              </w:rPr>
            </w:pPr>
            <w:r w:rsidRPr="003F1DCD">
              <w:rPr>
                <w:rFonts w:eastAsia="Times New Roman"/>
              </w:rPr>
              <w:t>640,000</w:t>
            </w:r>
          </w:p>
        </w:tc>
        <w:tc>
          <w:tcPr>
            <w:tcW w:w="0" w:type="auto"/>
            <w:shd w:val="clear" w:color="auto" w:fill="FFFFFF"/>
            <w:vAlign w:val="bottom"/>
            <w:hideMark/>
          </w:tcPr>
          <w:p w14:paraId="05BC4705"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4FE54EE1" w14:textId="77777777" w:rsidTr="001B46D2">
        <w:tc>
          <w:tcPr>
            <w:tcW w:w="912" w:type="pct"/>
            <w:shd w:val="clear" w:color="auto" w:fill="CCEEFF"/>
            <w:vAlign w:val="bottom"/>
            <w:hideMark/>
          </w:tcPr>
          <w:p w14:paraId="688DB1F1" w14:textId="624E2FFE" w:rsidR="00AC4982" w:rsidRPr="003F1DCD" w:rsidRDefault="00D65466" w:rsidP="001B46D2">
            <w:pPr>
              <w:spacing w:after="0"/>
              <w:jc w:val="right"/>
              <w:rPr>
                <w:rFonts w:eastAsia="Times New Roman"/>
              </w:rPr>
            </w:pPr>
            <w:r>
              <w:rPr>
                <w:rFonts w:eastAsia="Times New Roman"/>
              </w:rPr>
              <w:t>780</w:t>
            </w:r>
            <w:r w:rsidR="00AC4982" w:rsidRPr="003F1DCD">
              <w:rPr>
                <w:rFonts w:eastAsia="Times New Roman"/>
              </w:rPr>
              <w:t>,000</w:t>
            </w:r>
          </w:p>
        </w:tc>
        <w:tc>
          <w:tcPr>
            <w:tcW w:w="0" w:type="auto"/>
            <w:shd w:val="clear" w:color="auto" w:fill="CCEEFF"/>
            <w:vAlign w:val="bottom"/>
            <w:hideMark/>
          </w:tcPr>
          <w:p w14:paraId="1EF05840"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05763FBC"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2477B06B"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1EB7B74A" w14:textId="77777777" w:rsidR="00AC4982" w:rsidRPr="003F1DCD" w:rsidRDefault="00AC4982" w:rsidP="001B46D2">
            <w:pPr>
              <w:spacing w:after="0"/>
              <w:jc w:val="right"/>
              <w:rPr>
                <w:rFonts w:eastAsia="Times New Roman"/>
              </w:rPr>
            </w:pPr>
            <w:r w:rsidRPr="003F1DCD">
              <w:rPr>
                <w:rFonts w:eastAsia="Times New Roman"/>
              </w:rPr>
              <w:t>0.08</w:t>
            </w:r>
          </w:p>
        </w:tc>
        <w:tc>
          <w:tcPr>
            <w:tcW w:w="0" w:type="auto"/>
            <w:shd w:val="clear" w:color="auto" w:fill="CCEEFF"/>
            <w:vAlign w:val="bottom"/>
            <w:hideMark/>
          </w:tcPr>
          <w:p w14:paraId="08FF5120"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45D7F7CA"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0949DEF2" w14:textId="77777777" w:rsidR="00AC4982" w:rsidRPr="003F1DCD" w:rsidRDefault="00AC4982" w:rsidP="001B46D2">
            <w:pPr>
              <w:spacing w:after="0"/>
              <w:jc w:val="right"/>
              <w:rPr>
                <w:rFonts w:eastAsia="Times New Roman"/>
              </w:rPr>
            </w:pPr>
            <w:r w:rsidRPr="003F1DCD">
              <w:rPr>
                <w:rFonts w:eastAsia="Times New Roman"/>
              </w:rPr>
              <w:t>December 17, 2022</w:t>
            </w:r>
          </w:p>
        </w:tc>
        <w:tc>
          <w:tcPr>
            <w:tcW w:w="0" w:type="auto"/>
            <w:shd w:val="clear" w:color="auto" w:fill="CCEEFF"/>
            <w:vAlign w:val="bottom"/>
            <w:hideMark/>
          </w:tcPr>
          <w:p w14:paraId="71FAA63B"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37C807BE"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0FDDC37E" w14:textId="05258A6B" w:rsidR="00AC4982" w:rsidRPr="003F1DCD" w:rsidRDefault="00D65466" w:rsidP="001B46D2">
            <w:pPr>
              <w:spacing w:after="0"/>
              <w:jc w:val="right"/>
              <w:rPr>
                <w:rFonts w:eastAsia="Times New Roman"/>
              </w:rPr>
            </w:pPr>
            <w:r>
              <w:rPr>
                <w:rFonts w:eastAsia="Times New Roman"/>
              </w:rPr>
              <w:t>780</w:t>
            </w:r>
            <w:r w:rsidR="00AC4982" w:rsidRPr="003F1DCD">
              <w:rPr>
                <w:rFonts w:eastAsia="Times New Roman"/>
              </w:rPr>
              <w:t>,000</w:t>
            </w:r>
          </w:p>
        </w:tc>
        <w:tc>
          <w:tcPr>
            <w:tcW w:w="0" w:type="auto"/>
            <w:shd w:val="clear" w:color="auto" w:fill="CCEEFF"/>
            <w:vAlign w:val="bottom"/>
            <w:hideMark/>
          </w:tcPr>
          <w:p w14:paraId="49A1667B"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41E1EA17" w14:textId="77777777" w:rsidTr="001B46D2">
        <w:tc>
          <w:tcPr>
            <w:tcW w:w="912" w:type="pct"/>
            <w:tcBorders>
              <w:bottom w:val="single" w:sz="12" w:space="0" w:color="000000"/>
            </w:tcBorders>
            <w:shd w:val="clear" w:color="auto" w:fill="auto"/>
            <w:vAlign w:val="bottom"/>
            <w:hideMark/>
          </w:tcPr>
          <w:p w14:paraId="2B0FF18B" w14:textId="77777777" w:rsidR="00AC4982" w:rsidRPr="003F1DCD" w:rsidRDefault="00AC4982" w:rsidP="001B46D2">
            <w:pPr>
              <w:spacing w:after="0"/>
              <w:jc w:val="right"/>
              <w:rPr>
                <w:rFonts w:eastAsia="Times New Roman"/>
              </w:rPr>
            </w:pPr>
            <w:r w:rsidRPr="003F1DCD">
              <w:rPr>
                <w:rFonts w:eastAsia="Times New Roman"/>
              </w:rPr>
              <w:t>250,000</w:t>
            </w:r>
          </w:p>
        </w:tc>
        <w:tc>
          <w:tcPr>
            <w:tcW w:w="0" w:type="auto"/>
            <w:shd w:val="clear" w:color="auto" w:fill="auto"/>
            <w:vAlign w:val="bottom"/>
            <w:hideMark/>
          </w:tcPr>
          <w:p w14:paraId="1DB2393D"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auto"/>
            <w:vAlign w:val="bottom"/>
            <w:hideMark/>
          </w:tcPr>
          <w:p w14:paraId="594AA789"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auto"/>
            <w:vAlign w:val="bottom"/>
            <w:hideMark/>
          </w:tcPr>
          <w:p w14:paraId="200A0C76"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auto"/>
            <w:vAlign w:val="bottom"/>
            <w:hideMark/>
          </w:tcPr>
          <w:p w14:paraId="3C8CCE9A" w14:textId="77777777" w:rsidR="00AC4982" w:rsidRPr="003F1DCD" w:rsidRDefault="00AC4982" w:rsidP="001B46D2">
            <w:pPr>
              <w:spacing w:after="0"/>
              <w:jc w:val="right"/>
              <w:rPr>
                <w:rFonts w:eastAsia="Times New Roman"/>
              </w:rPr>
            </w:pPr>
            <w:r w:rsidRPr="003F1DCD">
              <w:rPr>
                <w:rFonts w:eastAsia="Times New Roman"/>
              </w:rPr>
              <w:t>0.31</w:t>
            </w:r>
          </w:p>
        </w:tc>
        <w:tc>
          <w:tcPr>
            <w:tcW w:w="0" w:type="auto"/>
            <w:shd w:val="clear" w:color="auto" w:fill="auto"/>
            <w:vAlign w:val="bottom"/>
            <w:hideMark/>
          </w:tcPr>
          <w:p w14:paraId="00DECB95"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auto"/>
            <w:vAlign w:val="bottom"/>
            <w:hideMark/>
          </w:tcPr>
          <w:p w14:paraId="7E34BA3D"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auto"/>
            <w:vAlign w:val="bottom"/>
            <w:hideMark/>
          </w:tcPr>
          <w:p w14:paraId="47D9AF52" w14:textId="77777777" w:rsidR="00AC4982" w:rsidRPr="003F1DCD" w:rsidRDefault="00AC4982" w:rsidP="001B46D2">
            <w:pPr>
              <w:spacing w:after="0"/>
              <w:jc w:val="right"/>
              <w:rPr>
                <w:rFonts w:eastAsia="Times New Roman"/>
              </w:rPr>
            </w:pPr>
            <w:r w:rsidRPr="003F1DCD">
              <w:rPr>
                <w:rFonts w:eastAsia="Times New Roman"/>
              </w:rPr>
              <w:t>June 6, 2026</w:t>
            </w:r>
          </w:p>
        </w:tc>
        <w:tc>
          <w:tcPr>
            <w:tcW w:w="0" w:type="auto"/>
            <w:shd w:val="clear" w:color="auto" w:fill="auto"/>
            <w:vAlign w:val="bottom"/>
            <w:hideMark/>
          </w:tcPr>
          <w:p w14:paraId="0527B73B"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tcBorders>
              <w:bottom w:val="single" w:sz="12" w:space="0" w:color="000000"/>
            </w:tcBorders>
            <w:shd w:val="clear" w:color="auto" w:fill="auto"/>
            <w:vAlign w:val="bottom"/>
            <w:hideMark/>
          </w:tcPr>
          <w:p w14:paraId="5FAD0F20"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tcBorders>
              <w:bottom w:val="single" w:sz="12" w:space="0" w:color="000000"/>
            </w:tcBorders>
            <w:shd w:val="clear" w:color="auto" w:fill="auto"/>
            <w:vAlign w:val="bottom"/>
            <w:hideMark/>
          </w:tcPr>
          <w:p w14:paraId="0D2A1D6A" w14:textId="77777777" w:rsidR="00AC4982" w:rsidRPr="003F1DCD" w:rsidRDefault="00AC4982" w:rsidP="001B46D2">
            <w:pPr>
              <w:spacing w:after="0"/>
              <w:jc w:val="right"/>
              <w:rPr>
                <w:rFonts w:eastAsia="Times New Roman"/>
              </w:rPr>
            </w:pPr>
            <w:r w:rsidRPr="003F1DCD">
              <w:rPr>
                <w:rFonts w:eastAsia="Times New Roman"/>
              </w:rPr>
              <w:t>250,000</w:t>
            </w:r>
          </w:p>
        </w:tc>
        <w:tc>
          <w:tcPr>
            <w:tcW w:w="0" w:type="auto"/>
            <w:shd w:val="clear" w:color="auto" w:fill="auto"/>
            <w:vAlign w:val="bottom"/>
            <w:hideMark/>
          </w:tcPr>
          <w:p w14:paraId="23B7165E" w14:textId="77777777" w:rsidR="00AC4982" w:rsidRPr="003F1DCD" w:rsidRDefault="00AC4982" w:rsidP="001B46D2">
            <w:pPr>
              <w:spacing w:after="0"/>
              <w:jc w:val="both"/>
              <w:rPr>
                <w:rFonts w:eastAsia="Times New Roman"/>
              </w:rPr>
            </w:pPr>
            <w:r w:rsidRPr="003F1DCD">
              <w:rPr>
                <w:rFonts w:eastAsia="Times New Roman"/>
              </w:rPr>
              <w:t> </w:t>
            </w:r>
          </w:p>
        </w:tc>
      </w:tr>
      <w:tr w:rsidR="00AC4982" w:rsidRPr="003F1DCD" w14:paraId="6F5979AA" w14:textId="77777777" w:rsidTr="001B46D2">
        <w:tc>
          <w:tcPr>
            <w:tcW w:w="912" w:type="pct"/>
            <w:tcBorders>
              <w:bottom w:val="single" w:sz="12" w:space="0" w:color="000000"/>
            </w:tcBorders>
            <w:shd w:val="clear" w:color="auto" w:fill="CCEEFF"/>
            <w:vAlign w:val="bottom"/>
            <w:hideMark/>
          </w:tcPr>
          <w:p w14:paraId="12DE5B4F" w14:textId="6E01E2B2" w:rsidR="00AC4982" w:rsidRPr="003F1DCD" w:rsidRDefault="00AC4982" w:rsidP="001B46D2">
            <w:pPr>
              <w:spacing w:after="0"/>
              <w:jc w:val="right"/>
              <w:rPr>
                <w:rFonts w:eastAsia="Times New Roman"/>
              </w:rPr>
            </w:pPr>
            <w:r w:rsidRPr="003F1DCD">
              <w:rPr>
                <w:rFonts w:eastAsia="Times New Roman"/>
              </w:rPr>
              <w:t>7,</w:t>
            </w:r>
            <w:r w:rsidR="00D65466">
              <w:rPr>
                <w:rFonts w:eastAsia="Times New Roman"/>
              </w:rPr>
              <w:t>420</w:t>
            </w:r>
            <w:r w:rsidRPr="003F1DCD">
              <w:rPr>
                <w:rFonts w:eastAsia="Times New Roman"/>
              </w:rPr>
              <w:t>,000</w:t>
            </w:r>
          </w:p>
        </w:tc>
        <w:tc>
          <w:tcPr>
            <w:tcW w:w="0" w:type="auto"/>
            <w:shd w:val="clear" w:color="auto" w:fill="CCEEFF"/>
            <w:vAlign w:val="bottom"/>
            <w:hideMark/>
          </w:tcPr>
          <w:p w14:paraId="7761AF33"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798B3EFF"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6DFCA60F"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107B7D2C" w14:textId="77777777" w:rsidR="00AC4982" w:rsidRPr="003F1DCD" w:rsidRDefault="00AC4982" w:rsidP="001B46D2">
            <w:pPr>
              <w:spacing w:after="0"/>
              <w:jc w:val="right"/>
              <w:rPr>
                <w:rFonts w:eastAsia="Times New Roman"/>
              </w:rPr>
            </w:pPr>
            <w:r w:rsidRPr="003F1DCD">
              <w:rPr>
                <w:rFonts w:eastAsia="Times New Roman"/>
              </w:rPr>
              <w:t> </w:t>
            </w:r>
          </w:p>
        </w:tc>
        <w:tc>
          <w:tcPr>
            <w:tcW w:w="0" w:type="auto"/>
            <w:shd w:val="clear" w:color="auto" w:fill="CCEEFF"/>
            <w:vAlign w:val="bottom"/>
            <w:hideMark/>
          </w:tcPr>
          <w:p w14:paraId="6C7DADDD"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2C83EFEC"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5C97F54B"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shd w:val="clear" w:color="auto" w:fill="CCEEFF"/>
            <w:vAlign w:val="bottom"/>
            <w:hideMark/>
          </w:tcPr>
          <w:p w14:paraId="4CAA1FCD"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tcBorders>
              <w:bottom w:val="single" w:sz="12" w:space="0" w:color="000000"/>
            </w:tcBorders>
            <w:shd w:val="clear" w:color="auto" w:fill="CCEEFF"/>
            <w:vAlign w:val="bottom"/>
            <w:hideMark/>
          </w:tcPr>
          <w:p w14:paraId="3592E858" w14:textId="77777777" w:rsidR="00AC4982" w:rsidRPr="003F1DCD" w:rsidRDefault="00AC4982" w:rsidP="001B46D2">
            <w:pPr>
              <w:spacing w:after="0"/>
              <w:jc w:val="both"/>
              <w:rPr>
                <w:rFonts w:eastAsia="Times New Roman"/>
              </w:rPr>
            </w:pPr>
            <w:r w:rsidRPr="003F1DCD">
              <w:rPr>
                <w:rFonts w:eastAsia="Times New Roman"/>
              </w:rPr>
              <w:t> </w:t>
            </w:r>
          </w:p>
        </w:tc>
        <w:tc>
          <w:tcPr>
            <w:tcW w:w="0" w:type="auto"/>
            <w:tcBorders>
              <w:bottom w:val="single" w:sz="12" w:space="0" w:color="000000"/>
            </w:tcBorders>
            <w:shd w:val="clear" w:color="auto" w:fill="CCEEFF"/>
            <w:vAlign w:val="bottom"/>
            <w:hideMark/>
          </w:tcPr>
          <w:p w14:paraId="5FE84EE2" w14:textId="38B6FAF9" w:rsidR="00AC4982" w:rsidRPr="003F1DCD" w:rsidRDefault="00AC4982" w:rsidP="001B46D2">
            <w:pPr>
              <w:spacing w:after="0"/>
              <w:jc w:val="right"/>
              <w:rPr>
                <w:rFonts w:eastAsia="Times New Roman"/>
              </w:rPr>
            </w:pPr>
            <w:r w:rsidRPr="003F1DCD">
              <w:rPr>
                <w:rFonts w:eastAsia="Times New Roman"/>
              </w:rPr>
              <w:t>7,</w:t>
            </w:r>
            <w:r w:rsidR="00D65466">
              <w:rPr>
                <w:rFonts w:eastAsia="Times New Roman"/>
              </w:rPr>
              <w:t>420</w:t>
            </w:r>
            <w:r w:rsidRPr="003F1DCD">
              <w:rPr>
                <w:rFonts w:eastAsia="Times New Roman"/>
              </w:rPr>
              <w:t>,000</w:t>
            </w:r>
          </w:p>
        </w:tc>
        <w:tc>
          <w:tcPr>
            <w:tcW w:w="0" w:type="auto"/>
            <w:shd w:val="clear" w:color="auto" w:fill="CCEEFF"/>
            <w:vAlign w:val="bottom"/>
            <w:hideMark/>
          </w:tcPr>
          <w:p w14:paraId="6E2728EA" w14:textId="77777777" w:rsidR="00AC4982" w:rsidRPr="003F1DCD" w:rsidRDefault="00AC4982" w:rsidP="001B46D2">
            <w:pPr>
              <w:spacing w:after="0"/>
              <w:jc w:val="both"/>
              <w:rPr>
                <w:rFonts w:eastAsia="Times New Roman"/>
              </w:rPr>
            </w:pPr>
            <w:r w:rsidRPr="003F1DCD">
              <w:rPr>
                <w:rFonts w:eastAsia="Times New Roman"/>
              </w:rPr>
              <w:t> </w:t>
            </w:r>
          </w:p>
        </w:tc>
      </w:tr>
    </w:tbl>
    <w:p w14:paraId="46F79107" w14:textId="3DC5F26E" w:rsidR="00CD2C04" w:rsidRDefault="00CD2C04" w:rsidP="00CD2C04">
      <w:pPr>
        <w:jc w:val="both"/>
        <w:rPr>
          <w:lang w:val="en-CA"/>
        </w:rPr>
      </w:pPr>
    </w:p>
    <w:p w14:paraId="62F5889A" w14:textId="77777777" w:rsidR="00860BBF" w:rsidRPr="00583A17" w:rsidRDefault="00860BBF" w:rsidP="00860BBF">
      <w:pPr>
        <w:jc w:val="both"/>
        <w:rPr>
          <w:rFonts w:eastAsia="Times New Roman"/>
        </w:rPr>
      </w:pPr>
      <w:r w:rsidRPr="00583A17">
        <w:rPr>
          <w:rFonts w:eastAsia="Times New Roman"/>
        </w:rPr>
        <w:t xml:space="preserve">As </w:t>
      </w:r>
      <w:r>
        <w:rPr>
          <w:rFonts w:eastAsia="Times New Roman"/>
        </w:rPr>
        <w:t xml:space="preserve">of the date of this MD&amp;A, </w:t>
      </w:r>
      <w:r w:rsidRPr="00583A17">
        <w:rPr>
          <w:rFonts w:eastAsia="Times New Roman"/>
        </w:rPr>
        <w:t>the following stock options were outstanding, entitling the holders thereof the right to purchase one common share for each option held as follows:</w:t>
      </w:r>
    </w:p>
    <w:p w14:paraId="00867735" w14:textId="77777777" w:rsidR="00860BBF" w:rsidRPr="00583A17" w:rsidRDefault="00860BBF" w:rsidP="00860BBF">
      <w:pPr>
        <w:pStyle w:val="ListParagraph"/>
        <w:spacing w:after="0"/>
        <w:jc w:val="both"/>
        <w:rPr>
          <w:lang w:val="en-CA"/>
        </w:rPr>
      </w:pPr>
    </w:p>
    <w:tbl>
      <w:tblPr>
        <w:tblW w:w="4772" w:type="pct"/>
        <w:tblInd w:w="426" w:type="dxa"/>
        <w:tblCellMar>
          <w:left w:w="0" w:type="dxa"/>
          <w:right w:w="0" w:type="dxa"/>
        </w:tblCellMar>
        <w:tblLook w:val="04A0" w:firstRow="1" w:lastRow="0" w:firstColumn="1" w:lastColumn="0" w:noHBand="0" w:noVBand="1"/>
      </w:tblPr>
      <w:tblGrid>
        <w:gridCol w:w="1625"/>
        <w:gridCol w:w="100"/>
        <w:gridCol w:w="186"/>
        <w:gridCol w:w="100"/>
        <w:gridCol w:w="2055"/>
        <w:gridCol w:w="100"/>
        <w:gridCol w:w="186"/>
        <w:gridCol w:w="2151"/>
        <w:gridCol w:w="186"/>
        <w:gridCol w:w="100"/>
        <w:gridCol w:w="2056"/>
        <w:gridCol w:w="88"/>
      </w:tblGrid>
      <w:tr w:rsidR="00860BBF" w:rsidRPr="003F1DCD" w14:paraId="0640DAE7" w14:textId="77777777" w:rsidTr="00A44638">
        <w:tc>
          <w:tcPr>
            <w:tcW w:w="910" w:type="pct"/>
            <w:tcBorders>
              <w:bottom w:val="single" w:sz="12" w:space="0" w:color="000000"/>
            </w:tcBorders>
            <w:vAlign w:val="bottom"/>
            <w:hideMark/>
          </w:tcPr>
          <w:p w14:paraId="4197D803" w14:textId="77777777" w:rsidR="00860BBF" w:rsidRPr="003F1DCD" w:rsidRDefault="00860BBF" w:rsidP="001B46D2">
            <w:pPr>
              <w:spacing w:after="0"/>
              <w:jc w:val="center"/>
              <w:rPr>
                <w:rFonts w:eastAsia="Times New Roman"/>
              </w:rPr>
            </w:pPr>
            <w:r w:rsidRPr="003F1DCD">
              <w:rPr>
                <w:rFonts w:eastAsia="Times New Roman"/>
              </w:rPr>
              <w:t>Outstanding</w:t>
            </w:r>
          </w:p>
        </w:tc>
        <w:tc>
          <w:tcPr>
            <w:tcW w:w="0" w:type="auto"/>
            <w:vAlign w:val="bottom"/>
            <w:hideMark/>
          </w:tcPr>
          <w:p w14:paraId="7946C7ED" w14:textId="77777777" w:rsidR="00860BBF" w:rsidRPr="003F1DCD" w:rsidRDefault="00860BBF" w:rsidP="001B46D2">
            <w:pPr>
              <w:spacing w:after="0"/>
              <w:jc w:val="both"/>
              <w:rPr>
                <w:rFonts w:eastAsia="Times New Roman"/>
              </w:rPr>
            </w:pPr>
            <w:r w:rsidRPr="003F1DCD">
              <w:rPr>
                <w:rFonts w:eastAsia="Times New Roman"/>
              </w:rPr>
              <w:t> </w:t>
            </w:r>
          </w:p>
        </w:tc>
        <w:tc>
          <w:tcPr>
            <w:tcW w:w="0" w:type="auto"/>
            <w:vAlign w:val="bottom"/>
            <w:hideMark/>
          </w:tcPr>
          <w:p w14:paraId="2B70B66D" w14:textId="77777777" w:rsidR="00860BBF" w:rsidRPr="003F1DCD" w:rsidRDefault="00860BBF" w:rsidP="001B46D2">
            <w:pPr>
              <w:spacing w:after="0"/>
              <w:jc w:val="both"/>
              <w:rPr>
                <w:rFonts w:eastAsia="Times New Roman"/>
              </w:rPr>
            </w:pPr>
            <w:r w:rsidRPr="003F1DCD">
              <w:rPr>
                <w:rFonts w:eastAsia="Times New Roman"/>
              </w:rPr>
              <w:t> </w:t>
            </w:r>
          </w:p>
        </w:tc>
        <w:tc>
          <w:tcPr>
            <w:tcW w:w="0" w:type="auto"/>
            <w:gridSpan w:val="2"/>
            <w:tcBorders>
              <w:bottom w:val="single" w:sz="12" w:space="0" w:color="000000"/>
            </w:tcBorders>
            <w:vAlign w:val="bottom"/>
            <w:hideMark/>
          </w:tcPr>
          <w:p w14:paraId="1E1339A8" w14:textId="77777777" w:rsidR="00860BBF" w:rsidRPr="003F1DCD" w:rsidRDefault="00860BBF" w:rsidP="001B46D2">
            <w:pPr>
              <w:spacing w:after="0"/>
              <w:jc w:val="center"/>
              <w:rPr>
                <w:rFonts w:eastAsia="Times New Roman"/>
              </w:rPr>
            </w:pPr>
            <w:r w:rsidRPr="003F1DCD">
              <w:rPr>
                <w:rFonts w:eastAsia="Times New Roman"/>
              </w:rPr>
              <w:t>Exercise Price</w:t>
            </w:r>
          </w:p>
        </w:tc>
        <w:tc>
          <w:tcPr>
            <w:tcW w:w="0" w:type="auto"/>
            <w:vAlign w:val="bottom"/>
            <w:hideMark/>
          </w:tcPr>
          <w:p w14:paraId="6297B580" w14:textId="77777777" w:rsidR="00860BBF" w:rsidRPr="003F1DCD" w:rsidRDefault="00860BBF" w:rsidP="001B46D2">
            <w:pPr>
              <w:spacing w:after="0"/>
              <w:jc w:val="both"/>
              <w:rPr>
                <w:rFonts w:eastAsia="Times New Roman"/>
              </w:rPr>
            </w:pPr>
            <w:r w:rsidRPr="003F1DCD">
              <w:rPr>
                <w:rFonts w:eastAsia="Times New Roman"/>
              </w:rPr>
              <w:t> </w:t>
            </w:r>
          </w:p>
        </w:tc>
        <w:tc>
          <w:tcPr>
            <w:tcW w:w="0" w:type="auto"/>
            <w:vAlign w:val="bottom"/>
            <w:hideMark/>
          </w:tcPr>
          <w:p w14:paraId="711AD6AC" w14:textId="77777777" w:rsidR="00860BBF" w:rsidRPr="003F1DCD" w:rsidRDefault="00860BBF" w:rsidP="001B46D2">
            <w:pPr>
              <w:spacing w:after="0"/>
              <w:jc w:val="both"/>
              <w:rPr>
                <w:rFonts w:eastAsia="Times New Roman"/>
              </w:rPr>
            </w:pPr>
            <w:r w:rsidRPr="003F1DCD">
              <w:rPr>
                <w:rFonts w:eastAsia="Times New Roman"/>
              </w:rPr>
              <w:t> </w:t>
            </w:r>
          </w:p>
        </w:tc>
        <w:tc>
          <w:tcPr>
            <w:tcW w:w="0" w:type="auto"/>
            <w:tcBorders>
              <w:bottom w:val="single" w:sz="12" w:space="0" w:color="000000"/>
            </w:tcBorders>
            <w:vAlign w:val="bottom"/>
            <w:hideMark/>
          </w:tcPr>
          <w:p w14:paraId="2DAA8942" w14:textId="77777777" w:rsidR="00860BBF" w:rsidRPr="003F1DCD" w:rsidRDefault="00860BBF" w:rsidP="001B46D2">
            <w:pPr>
              <w:spacing w:after="0"/>
              <w:jc w:val="center"/>
              <w:rPr>
                <w:rFonts w:eastAsia="Times New Roman"/>
              </w:rPr>
            </w:pPr>
            <w:r w:rsidRPr="003F1DCD">
              <w:rPr>
                <w:rFonts w:eastAsia="Times New Roman"/>
              </w:rPr>
              <w:t>Expiry Date</w:t>
            </w:r>
          </w:p>
        </w:tc>
        <w:tc>
          <w:tcPr>
            <w:tcW w:w="0" w:type="auto"/>
            <w:vAlign w:val="bottom"/>
            <w:hideMark/>
          </w:tcPr>
          <w:p w14:paraId="02607DB9" w14:textId="77777777" w:rsidR="00860BBF" w:rsidRPr="003F1DCD" w:rsidRDefault="00860BBF" w:rsidP="001B46D2">
            <w:pPr>
              <w:spacing w:after="0"/>
              <w:jc w:val="both"/>
              <w:rPr>
                <w:rFonts w:eastAsia="Times New Roman"/>
              </w:rPr>
            </w:pPr>
            <w:r w:rsidRPr="003F1DCD">
              <w:rPr>
                <w:rFonts w:eastAsia="Times New Roman"/>
              </w:rPr>
              <w:t> </w:t>
            </w:r>
          </w:p>
        </w:tc>
        <w:tc>
          <w:tcPr>
            <w:tcW w:w="0" w:type="auto"/>
            <w:gridSpan w:val="2"/>
            <w:tcBorders>
              <w:bottom w:val="single" w:sz="12" w:space="0" w:color="000000"/>
            </w:tcBorders>
            <w:vAlign w:val="bottom"/>
            <w:hideMark/>
          </w:tcPr>
          <w:p w14:paraId="4AC3E664" w14:textId="77777777" w:rsidR="00860BBF" w:rsidRPr="003F1DCD" w:rsidRDefault="00860BBF" w:rsidP="001B46D2">
            <w:pPr>
              <w:spacing w:after="0"/>
              <w:jc w:val="center"/>
              <w:rPr>
                <w:rFonts w:eastAsia="Times New Roman"/>
              </w:rPr>
            </w:pPr>
            <w:r w:rsidRPr="003F1DCD">
              <w:rPr>
                <w:rFonts w:eastAsia="Times New Roman"/>
              </w:rPr>
              <w:t>Vested</w:t>
            </w:r>
          </w:p>
        </w:tc>
        <w:tc>
          <w:tcPr>
            <w:tcW w:w="0" w:type="auto"/>
            <w:vAlign w:val="bottom"/>
            <w:hideMark/>
          </w:tcPr>
          <w:p w14:paraId="586A6F68" w14:textId="77777777" w:rsidR="00860BBF" w:rsidRPr="003F1DCD" w:rsidRDefault="00860BBF" w:rsidP="001B46D2">
            <w:pPr>
              <w:spacing w:after="0"/>
              <w:jc w:val="both"/>
              <w:rPr>
                <w:rFonts w:eastAsia="Times New Roman"/>
              </w:rPr>
            </w:pPr>
            <w:r w:rsidRPr="003F1DCD">
              <w:rPr>
                <w:rFonts w:eastAsia="Times New Roman"/>
              </w:rPr>
              <w:t> </w:t>
            </w:r>
          </w:p>
        </w:tc>
      </w:tr>
      <w:tr w:rsidR="000B003E" w:rsidRPr="003F1DCD" w14:paraId="50321F54" w14:textId="77777777" w:rsidTr="00A44638">
        <w:tc>
          <w:tcPr>
            <w:tcW w:w="910" w:type="pct"/>
            <w:shd w:val="clear" w:color="auto" w:fill="CCEEFF"/>
            <w:vAlign w:val="bottom"/>
            <w:hideMark/>
          </w:tcPr>
          <w:p w14:paraId="011A7589" w14:textId="5EC6E930" w:rsidR="000B003E" w:rsidRPr="003F1DCD" w:rsidRDefault="000B003E" w:rsidP="000B003E">
            <w:pPr>
              <w:spacing w:after="0"/>
              <w:jc w:val="right"/>
              <w:rPr>
                <w:rFonts w:eastAsia="Times New Roman"/>
              </w:rPr>
            </w:pPr>
            <w:r w:rsidRPr="003F1DCD">
              <w:rPr>
                <w:rFonts w:eastAsia="Times New Roman"/>
              </w:rPr>
              <w:t>1,750,000</w:t>
            </w:r>
          </w:p>
        </w:tc>
        <w:tc>
          <w:tcPr>
            <w:tcW w:w="56" w:type="pct"/>
            <w:shd w:val="clear" w:color="auto" w:fill="CCEEFF"/>
            <w:vAlign w:val="bottom"/>
            <w:hideMark/>
          </w:tcPr>
          <w:p w14:paraId="6F1BC349" w14:textId="0FECC243" w:rsidR="000B003E" w:rsidRPr="003F1DCD" w:rsidRDefault="000B003E" w:rsidP="000B003E">
            <w:pPr>
              <w:spacing w:after="0"/>
              <w:jc w:val="both"/>
              <w:rPr>
                <w:rFonts w:eastAsia="Times New Roman"/>
              </w:rPr>
            </w:pPr>
            <w:r w:rsidRPr="003F1DCD">
              <w:rPr>
                <w:rFonts w:eastAsia="Times New Roman"/>
              </w:rPr>
              <w:t> </w:t>
            </w:r>
          </w:p>
        </w:tc>
        <w:tc>
          <w:tcPr>
            <w:tcW w:w="104" w:type="pct"/>
            <w:shd w:val="clear" w:color="auto" w:fill="CCEEFF"/>
            <w:vAlign w:val="bottom"/>
            <w:hideMark/>
          </w:tcPr>
          <w:p w14:paraId="171FC268" w14:textId="08E5466E" w:rsidR="000B003E" w:rsidRPr="003F1DCD" w:rsidRDefault="000B003E" w:rsidP="000B003E">
            <w:pPr>
              <w:spacing w:after="0"/>
              <w:jc w:val="both"/>
              <w:rPr>
                <w:rFonts w:eastAsia="Times New Roman"/>
              </w:rPr>
            </w:pPr>
            <w:r w:rsidRPr="003F1DCD">
              <w:rPr>
                <w:rFonts w:eastAsia="Times New Roman"/>
              </w:rPr>
              <w:t> </w:t>
            </w:r>
          </w:p>
        </w:tc>
        <w:tc>
          <w:tcPr>
            <w:tcW w:w="56" w:type="pct"/>
            <w:shd w:val="clear" w:color="auto" w:fill="CCEEFF"/>
            <w:vAlign w:val="bottom"/>
            <w:hideMark/>
          </w:tcPr>
          <w:p w14:paraId="3871CA9A" w14:textId="5ECBA561" w:rsidR="000B003E" w:rsidRPr="003F1DCD" w:rsidRDefault="000B003E" w:rsidP="000B003E">
            <w:pPr>
              <w:spacing w:after="0"/>
              <w:jc w:val="both"/>
              <w:rPr>
                <w:rFonts w:eastAsia="Times New Roman"/>
              </w:rPr>
            </w:pPr>
            <w:r w:rsidRPr="003F1DCD">
              <w:rPr>
                <w:rFonts w:eastAsia="Times New Roman"/>
              </w:rPr>
              <w:t> </w:t>
            </w:r>
          </w:p>
        </w:tc>
        <w:tc>
          <w:tcPr>
            <w:tcW w:w="1150" w:type="pct"/>
            <w:shd w:val="clear" w:color="auto" w:fill="CCEEFF"/>
            <w:vAlign w:val="bottom"/>
            <w:hideMark/>
          </w:tcPr>
          <w:p w14:paraId="00763FFB" w14:textId="459455A7" w:rsidR="000B003E" w:rsidRPr="003F1DCD" w:rsidRDefault="000B003E" w:rsidP="000B003E">
            <w:pPr>
              <w:spacing w:after="0"/>
              <w:jc w:val="right"/>
              <w:rPr>
                <w:rFonts w:eastAsia="Times New Roman"/>
              </w:rPr>
            </w:pPr>
            <w:r w:rsidRPr="003F1DCD">
              <w:rPr>
                <w:rFonts w:eastAsia="Times New Roman"/>
              </w:rPr>
              <w:t>0.12</w:t>
            </w:r>
          </w:p>
        </w:tc>
        <w:tc>
          <w:tcPr>
            <w:tcW w:w="56" w:type="pct"/>
            <w:shd w:val="clear" w:color="auto" w:fill="CCEEFF"/>
            <w:vAlign w:val="bottom"/>
            <w:hideMark/>
          </w:tcPr>
          <w:p w14:paraId="53811EFA" w14:textId="66A6B238" w:rsidR="000B003E" w:rsidRPr="003F1DCD" w:rsidRDefault="000B003E" w:rsidP="000B003E">
            <w:pPr>
              <w:spacing w:after="0"/>
              <w:jc w:val="both"/>
              <w:rPr>
                <w:rFonts w:eastAsia="Times New Roman"/>
              </w:rPr>
            </w:pPr>
            <w:r w:rsidRPr="003F1DCD">
              <w:rPr>
                <w:rFonts w:eastAsia="Times New Roman"/>
              </w:rPr>
              <w:t> </w:t>
            </w:r>
          </w:p>
        </w:tc>
        <w:tc>
          <w:tcPr>
            <w:tcW w:w="104" w:type="pct"/>
            <w:shd w:val="clear" w:color="auto" w:fill="CCEEFF"/>
            <w:vAlign w:val="bottom"/>
            <w:hideMark/>
          </w:tcPr>
          <w:p w14:paraId="1B8E4FC4" w14:textId="24100448" w:rsidR="000B003E" w:rsidRPr="003F1DCD" w:rsidRDefault="000B003E" w:rsidP="000B003E">
            <w:pPr>
              <w:spacing w:after="0"/>
              <w:jc w:val="both"/>
              <w:rPr>
                <w:rFonts w:eastAsia="Times New Roman"/>
              </w:rPr>
            </w:pPr>
            <w:r w:rsidRPr="003F1DCD">
              <w:rPr>
                <w:rFonts w:eastAsia="Times New Roman"/>
              </w:rPr>
              <w:t> </w:t>
            </w:r>
          </w:p>
        </w:tc>
        <w:tc>
          <w:tcPr>
            <w:tcW w:w="1204" w:type="pct"/>
            <w:shd w:val="clear" w:color="auto" w:fill="CCEEFF"/>
            <w:vAlign w:val="bottom"/>
            <w:hideMark/>
          </w:tcPr>
          <w:p w14:paraId="3D96C335" w14:textId="15811440" w:rsidR="000B003E" w:rsidRPr="003F1DCD" w:rsidRDefault="000B003E" w:rsidP="000B003E">
            <w:pPr>
              <w:spacing w:after="0"/>
              <w:jc w:val="right"/>
              <w:rPr>
                <w:rFonts w:eastAsia="Times New Roman"/>
              </w:rPr>
            </w:pPr>
            <w:r w:rsidRPr="003F1DCD">
              <w:rPr>
                <w:rFonts w:eastAsia="Times New Roman"/>
              </w:rPr>
              <w:t>October 24, 2023</w:t>
            </w:r>
          </w:p>
        </w:tc>
        <w:tc>
          <w:tcPr>
            <w:tcW w:w="104" w:type="pct"/>
            <w:shd w:val="clear" w:color="auto" w:fill="CCEEFF"/>
            <w:vAlign w:val="bottom"/>
            <w:hideMark/>
          </w:tcPr>
          <w:p w14:paraId="5BCB9A26" w14:textId="13F2A9C7" w:rsidR="000B003E" w:rsidRPr="003F1DCD" w:rsidRDefault="000B003E" w:rsidP="000B003E">
            <w:pPr>
              <w:spacing w:after="0"/>
              <w:jc w:val="both"/>
              <w:rPr>
                <w:rFonts w:eastAsia="Times New Roman"/>
              </w:rPr>
            </w:pPr>
            <w:r w:rsidRPr="003F1DCD">
              <w:rPr>
                <w:rFonts w:eastAsia="Times New Roman"/>
              </w:rPr>
              <w:t> </w:t>
            </w:r>
          </w:p>
        </w:tc>
        <w:tc>
          <w:tcPr>
            <w:tcW w:w="56" w:type="pct"/>
            <w:shd w:val="clear" w:color="auto" w:fill="CCEEFF"/>
            <w:vAlign w:val="bottom"/>
            <w:hideMark/>
          </w:tcPr>
          <w:p w14:paraId="2CE5921A" w14:textId="5F67F88E" w:rsidR="000B003E" w:rsidRPr="003F1DCD" w:rsidRDefault="000B003E" w:rsidP="000B003E">
            <w:pPr>
              <w:spacing w:after="0"/>
              <w:jc w:val="both"/>
              <w:rPr>
                <w:rFonts w:eastAsia="Times New Roman"/>
              </w:rPr>
            </w:pPr>
            <w:r w:rsidRPr="003F1DCD">
              <w:rPr>
                <w:rFonts w:eastAsia="Times New Roman"/>
              </w:rPr>
              <w:t> </w:t>
            </w:r>
          </w:p>
        </w:tc>
        <w:tc>
          <w:tcPr>
            <w:tcW w:w="1151" w:type="pct"/>
            <w:shd w:val="clear" w:color="auto" w:fill="CCEEFF"/>
            <w:vAlign w:val="bottom"/>
            <w:hideMark/>
          </w:tcPr>
          <w:p w14:paraId="7E22B14E" w14:textId="32B74172" w:rsidR="000B003E" w:rsidRPr="003F1DCD" w:rsidRDefault="000B003E" w:rsidP="000B003E">
            <w:pPr>
              <w:spacing w:after="0"/>
              <w:jc w:val="right"/>
              <w:rPr>
                <w:rFonts w:eastAsia="Times New Roman"/>
              </w:rPr>
            </w:pPr>
            <w:r w:rsidRPr="003F1DCD">
              <w:rPr>
                <w:rFonts w:eastAsia="Times New Roman"/>
              </w:rPr>
              <w:t>1,750,000</w:t>
            </w:r>
          </w:p>
        </w:tc>
        <w:tc>
          <w:tcPr>
            <w:tcW w:w="50" w:type="pct"/>
            <w:shd w:val="clear" w:color="auto" w:fill="CCEEFF"/>
            <w:vAlign w:val="bottom"/>
            <w:hideMark/>
          </w:tcPr>
          <w:p w14:paraId="13F8F094" w14:textId="77777777" w:rsidR="000B003E" w:rsidRPr="003F1DCD" w:rsidRDefault="000B003E" w:rsidP="000B003E">
            <w:pPr>
              <w:spacing w:after="0"/>
              <w:jc w:val="both"/>
              <w:rPr>
                <w:rFonts w:eastAsia="Times New Roman"/>
              </w:rPr>
            </w:pPr>
            <w:r w:rsidRPr="003F1DCD">
              <w:rPr>
                <w:rFonts w:eastAsia="Times New Roman"/>
              </w:rPr>
              <w:t> </w:t>
            </w:r>
          </w:p>
        </w:tc>
      </w:tr>
      <w:tr w:rsidR="000B003E" w:rsidRPr="003F1DCD" w14:paraId="49E92949" w14:textId="77777777" w:rsidTr="00A44638">
        <w:tc>
          <w:tcPr>
            <w:tcW w:w="910" w:type="pct"/>
            <w:shd w:val="clear" w:color="auto" w:fill="FFFFFF"/>
            <w:vAlign w:val="bottom"/>
          </w:tcPr>
          <w:p w14:paraId="2DE8B0E2" w14:textId="3B566E6F" w:rsidR="000B003E" w:rsidRPr="003F1DCD" w:rsidRDefault="000B003E" w:rsidP="000B003E">
            <w:pPr>
              <w:spacing w:after="0"/>
              <w:jc w:val="right"/>
              <w:rPr>
                <w:rFonts w:eastAsia="Times New Roman"/>
              </w:rPr>
            </w:pPr>
            <w:r w:rsidRPr="003F1DCD">
              <w:rPr>
                <w:rFonts w:eastAsia="Times New Roman"/>
              </w:rPr>
              <w:t>3,800,000</w:t>
            </w:r>
          </w:p>
        </w:tc>
        <w:tc>
          <w:tcPr>
            <w:tcW w:w="0" w:type="auto"/>
            <w:shd w:val="clear" w:color="auto" w:fill="FFFFFF"/>
            <w:vAlign w:val="bottom"/>
          </w:tcPr>
          <w:p w14:paraId="52D69FFF" w14:textId="7DD75EC1"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EC4E7EF" w14:textId="4A5B086D"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33027DB0" w14:textId="215F103F"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19C95D1" w14:textId="56FF01C6" w:rsidR="000B003E" w:rsidRPr="003F1DCD" w:rsidRDefault="000B003E" w:rsidP="000B003E">
            <w:pPr>
              <w:spacing w:after="0"/>
              <w:jc w:val="right"/>
              <w:rPr>
                <w:rFonts w:eastAsia="Times New Roman"/>
              </w:rPr>
            </w:pPr>
            <w:r w:rsidRPr="003F1DCD">
              <w:rPr>
                <w:rFonts w:eastAsia="Times New Roman"/>
              </w:rPr>
              <w:t>0.12</w:t>
            </w:r>
          </w:p>
        </w:tc>
        <w:tc>
          <w:tcPr>
            <w:tcW w:w="0" w:type="auto"/>
            <w:shd w:val="clear" w:color="auto" w:fill="FFFFFF"/>
            <w:vAlign w:val="bottom"/>
          </w:tcPr>
          <w:p w14:paraId="6F2C3456" w14:textId="0FF3EE50"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DE0B70A" w14:textId="1C0A1D53"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0DAB9F4" w14:textId="4B13BDB6" w:rsidR="000B003E" w:rsidRPr="003F1DCD" w:rsidRDefault="000B003E" w:rsidP="000B003E">
            <w:pPr>
              <w:spacing w:after="0"/>
              <w:jc w:val="right"/>
              <w:rPr>
                <w:rFonts w:eastAsia="Times New Roman"/>
              </w:rPr>
            </w:pPr>
            <w:r w:rsidRPr="003F1DCD">
              <w:rPr>
                <w:rFonts w:eastAsia="Times New Roman"/>
              </w:rPr>
              <w:t>September 19, 2024</w:t>
            </w:r>
          </w:p>
        </w:tc>
        <w:tc>
          <w:tcPr>
            <w:tcW w:w="0" w:type="auto"/>
            <w:shd w:val="clear" w:color="auto" w:fill="FFFFFF"/>
            <w:vAlign w:val="bottom"/>
          </w:tcPr>
          <w:p w14:paraId="621C6569" w14:textId="4F61D0AC"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766B4795" w14:textId="768F435A"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CA60DA7" w14:textId="7117D0F9" w:rsidR="000B003E" w:rsidRPr="003F1DCD" w:rsidRDefault="000B003E" w:rsidP="000B003E">
            <w:pPr>
              <w:spacing w:after="0"/>
              <w:jc w:val="right"/>
              <w:rPr>
                <w:rFonts w:eastAsia="Times New Roman"/>
              </w:rPr>
            </w:pPr>
            <w:r w:rsidRPr="003F1DCD">
              <w:rPr>
                <w:rFonts w:eastAsia="Times New Roman"/>
              </w:rPr>
              <w:t>3,800,000</w:t>
            </w:r>
          </w:p>
        </w:tc>
        <w:tc>
          <w:tcPr>
            <w:tcW w:w="0" w:type="auto"/>
            <w:shd w:val="clear" w:color="auto" w:fill="FFFFFF"/>
            <w:vAlign w:val="bottom"/>
            <w:hideMark/>
          </w:tcPr>
          <w:p w14:paraId="59667025" w14:textId="77777777" w:rsidR="000B003E" w:rsidRPr="003F1DCD" w:rsidRDefault="000B003E" w:rsidP="000B003E">
            <w:pPr>
              <w:spacing w:after="0"/>
              <w:jc w:val="both"/>
              <w:rPr>
                <w:rFonts w:eastAsia="Times New Roman"/>
              </w:rPr>
            </w:pPr>
            <w:r w:rsidRPr="003F1DCD">
              <w:rPr>
                <w:rFonts w:eastAsia="Times New Roman"/>
              </w:rPr>
              <w:t> </w:t>
            </w:r>
          </w:p>
        </w:tc>
      </w:tr>
      <w:tr w:rsidR="000B003E" w:rsidRPr="003F1DCD" w14:paraId="31E346C9" w14:textId="77777777" w:rsidTr="00A44638">
        <w:tc>
          <w:tcPr>
            <w:tcW w:w="910" w:type="pct"/>
            <w:shd w:val="clear" w:color="auto" w:fill="CCEEFF"/>
            <w:vAlign w:val="bottom"/>
          </w:tcPr>
          <w:p w14:paraId="10E1BA4D" w14:textId="39B8D545" w:rsidR="000B003E" w:rsidRPr="003F1DCD" w:rsidRDefault="000B003E" w:rsidP="000B003E">
            <w:pPr>
              <w:spacing w:after="0"/>
              <w:jc w:val="right"/>
              <w:rPr>
                <w:rFonts w:eastAsia="Times New Roman"/>
              </w:rPr>
            </w:pPr>
            <w:r w:rsidRPr="003F1DCD">
              <w:rPr>
                <w:rFonts w:eastAsia="Times New Roman"/>
              </w:rPr>
              <w:t>640,000</w:t>
            </w:r>
          </w:p>
        </w:tc>
        <w:tc>
          <w:tcPr>
            <w:tcW w:w="0" w:type="auto"/>
            <w:shd w:val="clear" w:color="auto" w:fill="CCEEFF"/>
            <w:vAlign w:val="bottom"/>
          </w:tcPr>
          <w:p w14:paraId="3EB4DB36" w14:textId="02DA98CE"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3B4A8C25" w14:textId="1724B70F"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35EF4600" w14:textId="768F71F8"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375D50AE" w14:textId="78143EC9" w:rsidR="000B003E" w:rsidRPr="003F1DCD" w:rsidRDefault="000B003E" w:rsidP="000B003E">
            <w:pPr>
              <w:spacing w:after="0"/>
              <w:jc w:val="right"/>
              <w:rPr>
                <w:rFonts w:eastAsia="Times New Roman"/>
              </w:rPr>
            </w:pPr>
            <w:r w:rsidRPr="003F1DCD">
              <w:rPr>
                <w:rFonts w:eastAsia="Times New Roman"/>
              </w:rPr>
              <w:t>0.06</w:t>
            </w:r>
          </w:p>
        </w:tc>
        <w:tc>
          <w:tcPr>
            <w:tcW w:w="0" w:type="auto"/>
            <w:shd w:val="clear" w:color="auto" w:fill="CCEEFF"/>
            <w:vAlign w:val="bottom"/>
          </w:tcPr>
          <w:p w14:paraId="11ED0585" w14:textId="3BB9A36D"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4CF97EC8" w14:textId="5BBF508E"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1A8192BA" w14:textId="55824E1F" w:rsidR="000B003E" w:rsidRPr="003F1DCD" w:rsidRDefault="000B003E" w:rsidP="000B003E">
            <w:pPr>
              <w:spacing w:after="0"/>
              <w:jc w:val="right"/>
              <w:rPr>
                <w:rFonts w:eastAsia="Times New Roman"/>
              </w:rPr>
            </w:pPr>
            <w:r w:rsidRPr="003F1DCD">
              <w:rPr>
                <w:rFonts w:eastAsia="Times New Roman"/>
              </w:rPr>
              <w:t>July 31, 2025</w:t>
            </w:r>
          </w:p>
        </w:tc>
        <w:tc>
          <w:tcPr>
            <w:tcW w:w="0" w:type="auto"/>
            <w:shd w:val="clear" w:color="auto" w:fill="CCEEFF"/>
            <w:vAlign w:val="bottom"/>
          </w:tcPr>
          <w:p w14:paraId="77E6BBC3" w14:textId="02FBE2BE"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69BE3201" w14:textId="14364095"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40914E78" w14:textId="00585865" w:rsidR="000B003E" w:rsidRPr="003F1DCD" w:rsidRDefault="000B003E" w:rsidP="000B003E">
            <w:pPr>
              <w:spacing w:after="0"/>
              <w:jc w:val="right"/>
              <w:rPr>
                <w:rFonts w:eastAsia="Times New Roman"/>
              </w:rPr>
            </w:pPr>
            <w:r w:rsidRPr="003F1DCD">
              <w:rPr>
                <w:rFonts w:eastAsia="Times New Roman"/>
              </w:rPr>
              <w:t>640,000</w:t>
            </w:r>
          </w:p>
        </w:tc>
        <w:tc>
          <w:tcPr>
            <w:tcW w:w="0" w:type="auto"/>
            <w:shd w:val="clear" w:color="auto" w:fill="CCEEFF"/>
            <w:vAlign w:val="bottom"/>
            <w:hideMark/>
          </w:tcPr>
          <w:p w14:paraId="217C1FF9" w14:textId="77777777" w:rsidR="000B003E" w:rsidRPr="003F1DCD" w:rsidRDefault="000B003E" w:rsidP="000B003E">
            <w:pPr>
              <w:spacing w:after="0"/>
              <w:jc w:val="both"/>
              <w:rPr>
                <w:rFonts w:eastAsia="Times New Roman"/>
              </w:rPr>
            </w:pPr>
            <w:r w:rsidRPr="003F1DCD">
              <w:rPr>
                <w:rFonts w:eastAsia="Times New Roman"/>
              </w:rPr>
              <w:t> </w:t>
            </w:r>
          </w:p>
        </w:tc>
      </w:tr>
      <w:tr w:rsidR="000B003E" w:rsidRPr="003F1DCD" w14:paraId="7736AA8A" w14:textId="77777777" w:rsidTr="00A44638">
        <w:tc>
          <w:tcPr>
            <w:tcW w:w="910" w:type="pct"/>
            <w:shd w:val="clear" w:color="auto" w:fill="FFFFFF"/>
            <w:vAlign w:val="bottom"/>
          </w:tcPr>
          <w:p w14:paraId="771F50C0" w14:textId="5843D103" w:rsidR="000B003E" w:rsidRPr="003F1DCD" w:rsidRDefault="000B003E" w:rsidP="000B003E">
            <w:pPr>
              <w:spacing w:after="0"/>
              <w:jc w:val="right"/>
              <w:rPr>
                <w:rFonts w:eastAsia="Times New Roman"/>
              </w:rPr>
            </w:pPr>
            <w:r>
              <w:rPr>
                <w:rFonts w:eastAsia="Times New Roman"/>
              </w:rPr>
              <w:t>505,000</w:t>
            </w:r>
          </w:p>
        </w:tc>
        <w:tc>
          <w:tcPr>
            <w:tcW w:w="0" w:type="auto"/>
            <w:shd w:val="clear" w:color="auto" w:fill="FFFFFF"/>
            <w:vAlign w:val="bottom"/>
          </w:tcPr>
          <w:p w14:paraId="0769DDC0" w14:textId="3CB65461"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36CB5F1" w14:textId="39CFF1DE"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7C8C91F3" w14:textId="797EA950"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37C80858" w14:textId="0B324FD6" w:rsidR="000B003E" w:rsidRPr="003F1DCD" w:rsidRDefault="000B003E" w:rsidP="000B003E">
            <w:pPr>
              <w:spacing w:after="0"/>
              <w:jc w:val="right"/>
              <w:rPr>
                <w:rFonts w:eastAsia="Times New Roman"/>
              </w:rPr>
            </w:pPr>
            <w:r w:rsidRPr="003F1DCD">
              <w:rPr>
                <w:rFonts w:eastAsia="Times New Roman"/>
              </w:rPr>
              <w:t>0.08</w:t>
            </w:r>
          </w:p>
        </w:tc>
        <w:tc>
          <w:tcPr>
            <w:tcW w:w="0" w:type="auto"/>
            <w:shd w:val="clear" w:color="auto" w:fill="FFFFFF"/>
            <w:vAlign w:val="bottom"/>
          </w:tcPr>
          <w:p w14:paraId="0FF4F58F" w14:textId="242D7C44"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437D1D68" w14:textId="00050709"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31DDE9EF" w14:textId="5BEB9EF0" w:rsidR="000B003E" w:rsidRPr="003F1DCD" w:rsidRDefault="000B003E" w:rsidP="000B003E">
            <w:pPr>
              <w:spacing w:after="0"/>
              <w:jc w:val="right"/>
              <w:rPr>
                <w:rFonts w:eastAsia="Times New Roman"/>
              </w:rPr>
            </w:pPr>
            <w:r w:rsidRPr="003F1DCD">
              <w:rPr>
                <w:rFonts w:eastAsia="Times New Roman"/>
              </w:rPr>
              <w:t>December 17, 2022</w:t>
            </w:r>
          </w:p>
        </w:tc>
        <w:tc>
          <w:tcPr>
            <w:tcW w:w="0" w:type="auto"/>
            <w:shd w:val="clear" w:color="auto" w:fill="FFFFFF"/>
            <w:vAlign w:val="bottom"/>
          </w:tcPr>
          <w:p w14:paraId="296456C8" w14:textId="793D3FA4"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09621226" w14:textId="3DBF7834"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FFFFFF"/>
            <w:vAlign w:val="bottom"/>
          </w:tcPr>
          <w:p w14:paraId="125EE6F7" w14:textId="75734605" w:rsidR="000B003E" w:rsidRPr="003F1DCD" w:rsidRDefault="000B003E" w:rsidP="000B003E">
            <w:pPr>
              <w:spacing w:after="0"/>
              <w:jc w:val="right"/>
              <w:rPr>
                <w:rFonts w:eastAsia="Times New Roman"/>
              </w:rPr>
            </w:pPr>
            <w:r>
              <w:rPr>
                <w:rFonts w:eastAsia="Times New Roman"/>
              </w:rPr>
              <w:t>505,000</w:t>
            </w:r>
          </w:p>
        </w:tc>
        <w:tc>
          <w:tcPr>
            <w:tcW w:w="0" w:type="auto"/>
            <w:shd w:val="clear" w:color="auto" w:fill="FFFFFF"/>
            <w:vAlign w:val="bottom"/>
            <w:hideMark/>
          </w:tcPr>
          <w:p w14:paraId="5DCF5D2F" w14:textId="77777777" w:rsidR="000B003E" w:rsidRPr="003F1DCD" w:rsidRDefault="000B003E" w:rsidP="000B003E">
            <w:pPr>
              <w:spacing w:after="0"/>
              <w:jc w:val="both"/>
              <w:rPr>
                <w:rFonts w:eastAsia="Times New Roman"/>
              </w:rPr>
            </w:pPr>
            <w:r w:rsidRPr="003F1DCD">
              <w:rPr>
                <w:rFonts w:eastAsia="Times New Roman"/>
              </w:rPr>
              <w:t> </w:t>
            </w:r>
          </w:p>
        </w:tc>
      </w:tr>
      <w:tr w:rsidR="000B003E" w:rsidRPr="003F1DCD" w14:paraId="7D83C75E" w14:textId="77777777" w:rsidTr="00A44638">
        <w:tc>
          <w:tcPr>
            <w:tcW w:w="910" w:type="pct"/>
            <w:shd w:val="clear" w:color="auto" w:fill="CCEEFF"/>
            <w:vAlign w:val="bottom"/>
          </w:tcPr>
          <w:p w14:paraId="07396181" w14:textId="01C5954B" w:rsidR="000B003E" w:rsidRPr="003F1DCD" w:rsidRDefault="000B003E" w:rsidP="000B003E">
            <w:pPr>
              <w:spacing w:after="0"/>
              <w:jc w:val="right"/>
              <w:rPr>
                <w:rFonts w:eastAsia="Times New Roman"/>
              </w:rPr>
            </w:pPr>
            <w:r w:rsidRPr="003F1DCD">
              <w:rPr>
                <w:rFonts w:eastAsia="Times New Roman"/>
              </w:rPr>
              <w:t>250,000</w:t>
            </w:r>
          </w:p>
        </w:tc>
        <w:tc>
          <w:tcPr>
            <w:tcW w:w="0" w:type="auto"/>
            <w:shd w:val="clear" w:color="auto" w:fill="CCEEFF"/>
            <w:vAlign w:val="bottom"/>
          </w:tcPr>
          <w:p w14:paraId="3F5E3E99" w14:textId="13FD1C24"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1D9437EB" w14:textId="702D45E7"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5A31FF05" w14:textId="13DFA1F0"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4B115C0D" w14:textId="055420C6" w:rsidR="000B003E" w:rsidRPr="003F1DCD" w:rsidRDefault="000B003E" w:rsidP="000B003E">
            <w:pPr>
              <w:spacing w:after="0"/>
              <w:jc w:val="right"/>
              <w:rPr>
                <w:rFonts w:eastAsia="Times New Roman"/>
              </w:rPr>
            </w:pPr>
            <w:r w:rsidRPr="003F1DCD">
              <w:rPr>
                <w:rFonts w:eastAsia="Times New Roman"/>
              </w:rPr>
              <w:t>0.31</w:t>
            </w:r>
          </w:p>
        </w:tc>
        <w:tc>
          <w:tcPr>
            <w:tcW w:w="0" w:type="auto"/>
            <w:shd w:val="clear" w:color="auto" w:fill="CCEEFF"/>
            <w:vAlign w:val="bottom"/>
          </w:tcPr>
          <w:p w14:paraId="74053483" w14:textId="077A0255"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06BC84F9" w14:textId="6EB82568"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0945EFD8" w14:textId="297FFF45" w:rsidR="000B003E" w:rsidRPr="003F1DCD" w:rsidRDefault="000B003E" w:rsidP="000B003E">
            <w:pPr>
              <w:spacing w:after="0"/>
              <w:jc w:val="right"/>
              <w:rPr>
                <w:rFonts w:eastAsia="Times New Roman"/>
              </w:rPr>
            </w:pPr>
            <w:r w:rsidRPr="003F1DCD">
              <w:rPr>
                <w:rFonts w:eastAsia="Times New Roman"/>
              </w:rPr>
              <w:t>June 6, 2026</w:t>
            </w:r>
          </w:p>
        </w:tc>
        <w:tc>
          <w:tcPr>
            <w:tcW w:w="0" w:type="auto"/>
            <w:shd w:val="clear" w:color="auto" w:fill="CCEEFF"/>
            <w:vAlign w:val="bottom"/>
          </w:tcPr>
          <w:p w14:paraId="5B0EEB76" w14:textId="2E70B08A"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666BFE55" w14:textId="343179FF" w:rsidR="000B003E" w:rsidRPr="003F1DCD" w:rsidRDefault="000B003E" w:rsidP="000B003E">
            <w:pPr>
              <w:spacing w:after="0"/>
              <w:jc w:val="both"/>
              <w:rPr>
                <w:rFonts w:eastAsia="Times New Roman"/>
              </w:rPr>
            </w:pPr>
            <w:r w:rsidRPr="003F1DCD">
              <w:rPr>
                <w:rFonts w:eastAsia="Times New Roman"/>
              </w:rPr>
              <w:t> </w:t>
            </w:r>
          </w:p>
        </w:tc>
        <w:tc>
          <w:tcPr>
            <w:tcW w:w="0" w:type="auto"/>
            <w:shd w:val="clear" w:color="auto" w:fill="CCEEFF"/>
            <w:vAlign w:val="bottom"/>
          </w:tcPr>
          <w:p w14:paraId="5808F55E" w14:textId="682690F0" w:rsidR="000B003E" w:rsidRPr="003F1DCD" w:rsidRDefault="000B003E" w:rsidP="000B003E">
            <w:pPr>
              <w:spacing w:after="0"/>
              <w:jc w:val="right"/>
              <w:rPr>
                <w:rFonts w:eastAsia="Times New Roman"/>
              </w:rPr>
            </w:pPr>
            <w:r w:rsidRPr="003F1DCD">
              <w:rPr>
                <w:rFonts w:eastAsia="Times New Roman"/>
              </w:rPr>
              <w:t>250,000</w:t>
            </w:r>
          </w:p>
        </w:tc>
        <w:tc>
          <w:tcPr>
            <w:tcW w:w="0" w:type="auto"/>
            <w:shd w:val="clear" w:color="auto" w:fill="CCEEFF"/>
            <w:vAlign w:val="bottom"/>
            <w:hideMark/>
          </w:tcPr>
          <w:p w14:paraId="6ABA05F7" w14:textId="77777777" w:rsidR="000B003E" w:rsidRPr="003F1DCD" w:rsidRDefault="000B003E" w:rsidP="000B003E">
            <w:pPr>
              <w:spacing w:after="0"/>
              <w:jc w:val="both"/>
              <w:rPr>
                <w:rFonts w:eastAsia="Times New Roman"/>
              </w:rPr>
            </w:pPr>
            <w:r w:rsidRPr="003F1DCD">
              <w:rPr>
                <w:rFonts w:eastAsia="Times New Roman"/>
              </w:rPr>
              <w:t> </w:t>
            </w:r>
          </w:p>
        </w:tc>
      </w:tr>
      <w:tr w:rsidR="000B003E" w:rsidRPr="003F1DCD" w14:paraId="7F0D79E5" w14:textId="77777777" w:rsidTr="00A44638">
        <w:tc>
          <w:tcPr>
            <w:tcW w:w="910" w:type="pct"/>
            <w:tcBorders>
              <w:bottom w:val="single" w:sz="12" w:space="0" w:color="000000"/>
            </w:tcBorders>
            <w:shd w:val="clear" w:color="auto" w:fill="auto"/>
            <w:vAlign w:val="bottom"/>
          </w:tcPr>
          <w:p w14:paraId="43845DE7" w14:textId="2A9326F3" w:rsidR="000B003E" w:rsidRPr="003F1DCD" w:rsidRDefault="000B003E" w:rsidP="000B003E">
            <w:pPr>
              <w:spacing w:after="0"/>
              <w:jc w:val="right"/>
              <w:rPr>
                <w:rFonts w:eastAsia="Times New Roman"/>
              </w:rPr>
            </w:pPr>
            <w:r>
              <w:rPr>
                <w:rFonts w:eastAsia="Times New Roman"/>
              </w:rPr>
              <w:t>2,560,000</w:t>
            </w:r>
          </w:p>
        </w:tc>
        <w:tc>
          <w:tcPr>
            <w:tcW w:w="0" w:type="auto"/>
            <w:shd w:val="clear" w:color="auto" w:fill="auto"/>
            <w:vAlign w:val="bottom"/>
          </w:tcPr>
          <w:p w14:paraId="48135164" w14:textId="6A49F0FF" w:rsidR="000B003E" w:rsidRPr="003F1DCD" w:rsidRDefault="000B003E" w:rsidP="000B003E">
            <w:pPr>
              <w:spacing w:after="0"/>
              <w:jc w:val="both"/>
              <w:rPr>
                <w:rFonts w:eastAsia="Times New Roman"/>
              </w:rPr>
            </w:pPr>
          </w:p>
        </w:tc>
        <w:tc>
          <w:tcPr>
            <w:tcW w:w="0" w:type="auto"/>
            <w:shd w:val="clear" w:color="auto" w:fill="auto"/>
            <w:vAlign w:val="bottom"/>
          </w:tcPr>
          <w:p w14:paraId="28264771" w14:textId="31AF53BC" w:rsidR="000B003E" w:rsidRPr="003F1DCD" w:rsidRDefault="000B003E" w:rsidP="000B003E">
            <w:pPr>
              <w:spacing w:after="0"/>
              <w:jc w:val="both"/>
              <w:rPr>
                <w:rFonts w:eastAsia="Times New Roman"/>
              </w:rPr>
            </w:pPr>
          </w:p>
        </w:tc>
        <w:tc>
          <w:tcPr>
            <w:tcW w:w="0" w:type="auto"/>
            <w:shd w:val="clear" w:color="auto" w:fill="auto"/>
            <w:vAlign w:val="bottom"/>
          </w:tcPr>
          <w:p w14:paraId="5F8F72EB" w14:textId="2E2C18C2" w:rsidR="000B003E" w:rsidRPr="003F1DCD" w:rsidRDefault="000B003E" w:rsidP="000B003E">
            <w:pPr>
              <w:spacing w:after="0"/>
              <w:jc w:val="both"/>
              <w:rPr>
                <w:rFonts w:eastAsia="Times New Roman"/>
              </w:rPr>
            </w:pPr>
          </w:p>
        </w:tc>
        <w:tc>
          <w:tcPr>
            <w:tcW w:w="0" w:type="auto"/>
            <w:shd w:val="clear" w:color="auto" w:fill="auto"/>
            <w:vAlign w:val="bottom"/>
          </w:tcPr>
          <w:p w14:paraId="1D389C68" w14:textId="6CBE8C90" w:rsidR="000B003E" w:rsidRPr="003F1DCD" w:rsidRDefault="000B003E" w:rsidP="000B003E">
            <w:pPr>
              <w:spacing w:after="0"/>
              <w:jc w:val="right"/>
              <w:rPr>
                <w:rFonts w:eastAsia="Times New Roman"/>
              </w:rPr>
            </w:pPr>
            <w:r>
              <w:rPr>
                <w:rFonts w:eastAsia="Times New Roman"/>
              </w:rPr>
              <w:t>0.23</w:t>
            </w:r>
          </w:p>
        </w:tc>
        <w:tc>
          <w:tcPr>
            <w:tcW w:w="0" w:type="auto"/>
            <w:shd w:val="clear" w:color="auto" w:fill="auto"/>
            <w:vAlign w:val="bottom"/>
          </w:tcPr>
          <w:p w14:paraId="1FD4FF00" w14:textId="65235218" w:rsidR="000B003E" w:rsidRPr="003F1DCD" w:rsidRDefault="000B003E" w:rsidP="000B003E">
            <w:pPr>
              <w:spacing w:after="0"/>
              <w:jc w:val="both"/>
              <w:rPr>
                <w:rFonts w:eastAsia="Times New Roman"/>
              </w:rPr>
            </w:pPr>
          </w:p>
        </w:tc>
        <w:tc>
          <w:tcPr>
            <w:tcW w:w="0" w:type="auto"/>
            <w:shd w:val="clear" w:color="auto" w:fill="auto"/>
            <w:vAlign w:val="bottom"/>
          </w:tcPr>
          <w:p w14:paraId="494765D6" w14:textId="17113E36" w:rsidR="000B003E" w:rsidRPr="003F1DCD" w:rsidRDefault="000B003E" w:rsidP="000B003E">
            <w:pPr>
              <w:spacing w:after="0"/>
              <w:jc w:val="both"/>
              <w:rPr>
                <w:rFonts w:eastAsia="Times New Roman"/>
              </w:rPr>
            </w:pPr>
          </w:p>
        </w:tc>
        <w:tc>
          <w:tcPr>
            <w:tcW w:w="0" w:type="auto"/>
            <w:shd w:val="clear" w:color="auto" w:fill="auto"/>
            <w:vAlign w:val="bottom"/>
          </w:tcPr>
          <w:p w14:paraId="531A9D7B" w14:textId="0B8C48C8" w:rsidR="000B003E" w:rsidRPr="003F1DCD" w:rsidRDefault="000B003E" w:rsidP="000B003E">
            <w:pPr>
              <w:spacing w:after="0"/>
              <w:jc w:val="right"/>
              <w:rPr>
                <w:rFonts w:eastAsia="Times New Roman"/>
              </w:rPr>
            </w:pPr>
            <w:r>
              <w:rPr>
                <w:rFonts w:eastAsia="Times New Roman"/>
              </w:rPr>
              <w:t>July 26, 2025</w:t>
            </w:r>
          </w:p>
        </w:tc>
        <w:tc>
          <w:tcPr>
            <w:tcW w:w="0" w:type="auto"/>
            <w:shd w:val="clear" w:color="auto" w:fill="auto"/>
            <w:vAlign w:val="bottom"/>
          </w:tcPr>
          <w:p w14:paraId="3F185040" w14:textId="1FD0C5C0" w:rsidR="000B003E" w:rsidRPr="003F1DCD" w:rsidRDefault="000B003E" w:rsidP="000B003E">
            <w:pPr>
              <w:spacing w:after="0"/>
              <w:jc w:val="both"/>
              <w:rPr>
                <w:rFonts w:eastAsia="Times New Roman"/>
              </w:rPr>
            </w:pPr>
          </w:p>
        </w:tc>
        <w:tc>
          <w:tcPr>
            <w:tcW w:w="0" w:type="auto"/>
            <w:tcBorders>
              <w:bottom w:val="single" w:sz="12" w:space="0" w:color="000000"/>
            </w:tcBorders>
            <w:shd w:val="clear" w:color="auto" w:fill="auto"/>
            <w:vAlign w:val="bottom"/>
          </w:tcPr>
          <w:p w14:paraId="22CB758D" w14:textId="273F06DB" w:rsidR="000B003E" w:rsidRPr="003F1DCD" w:rsidRDefault="000B003E" w:rsidP="000B003E">
            <w:pPr>
              <w:spacing w:after="0"/>
              <w:jc w:val="both"/>
              <w:rPr>
                <w:rFonts w:eastAsia="Times New Roman"/>
              </w:rPr>
            </w:pPr>
          </w:p>
        </w:tc>
        <w:tc>
          <w:tcPr>
            <w:tcW w:w="0" w:type="auto"/>
            <w:tcBorders>
              <w:bottom w:val="single" w:sz="12" w:space="0" w:color="000000"/>
            </w:tcBorders>
            <w:shd w:val="clear" w:color="auto" w:fill="auto"/>
            <w:vAlign w:val="bottom"/>
          </w:tcPr>
          <w:p w14:paraId="726974F1" w14:textId="37F6CA90" w:rsidR="000B003E" w:rsidRPr="003F1DCD" w:rsidRDefault="000B003E" w:rsidP="000B003E">
            <w:pPr>
              <w:spacing w:after="0"/>
              <w:jc w:val="right"/>
              <w:rPr>
                <w:rFonts w:eastAsia="Times New Roman"/>
              </w:rPr>
            </w:pPr>
            <w:r>
              <w:rPr>
                <w:rFonts w:eastAsia="Times New Roman"/>
              </w:rPr>
              <w:t>1,400,000</w:t>
            </w:r>
          </w:p>
        </w:tc>
        <w:tc>
          <w:tcPr>
            <w:tcW w:w="0" w:type="auto"/>
            <w:shd w:val="clear" w:color="auto" w:fill="auto"/>
            <w:vAlign w:val="bottom"/>
            <w:hideMark/>
          </w:tcPr>
          <w:p w14:paraId="52B82FC5" w14:textId="77777777" w:rsidR="000B003E" w:rsidRPr="003F1DCD" w:rsidRDefault="000B003E" w:rsidP="000B003E">
            <w:pPr>
              <w:spacing w:after="0"/>
              <w:jc w:val="both"/>
              <w:rPr>
                <w:rFonts w:eastAsia="Times New Roman"/>
              </w:rPr>
            </w:pPr>
            <w:r w:rsidRPr="003F1DCD">
              <w:rPr>
                <w:rFonts w:eastAsia="Times New Roman"/>
              </w:rPr>
              <w:t> </w:t>
            </w:r>
          </w:p>
        </w:tc>
      </w:tr>
      <w:tr w:rsidR="00860BBF" w:rsidRPr="003F1DCD" w14:paraId="548FD88A" w14:textId="77777777" w:rsidTr="00A44638">
        <w:tc>
          <w:tcPr>
            <w:tcW w:w="910" w:type="pct"/>
            <w:tcBorders>
              <w:top w:val="single" w:sz="12" w:space="0" w:color="000000"/>
              <w:bottom w:val="single" w:sz="12" w:space="0" w:color="000000"/>
            </w:tcBorders>
            <w:shd w:val="clear" w:color="auto" w:fill="CCEEFF"/>
            <w:vAlign w:val="bottom"/>
          </w:tcPr>
          <w:p w14:paraId="430A4485" w14:textId="31E32272" w:rsidR="00860BBF" w:rsidRPr="003F1DCD" w:rsidRDefault="000B003E" w:rsidP="001B46D2">
            <w:pPr>
              <w:spacing w:after="0"/>
              <w:jc w:val="right"/>
              <w:rPr>
                <w:rFonts w:eastAsia="Times New Roman"/>
              </w:rPr>
            </w:pPr>
            <w:r>
              <w:rPr>
                <w:rFonts w:eastAsia="Times New Roman"/>
              </w:rPr>
              <w:t>9,505,000</w:t>
            </w:r>
          </w:p>
        </w:tc>
        <w:tc>
          <w:tcPr>
            <w:tcW w:w="0" w:type="auto"/>
            <w:shd w:val="clear" w:color="auto" w:fill="CCEEFF"/>
            <w:vAlign w:val="bottom"/>
          </w:tcPr>
          <w:p w14:paraId="7BF385BE" w14:textId="71AD420F" w:rsidR="00860BBF" w:rsidRPr="003F1DCD" w:rsidRDefault="00860BBF" w:rsidP="001B46D2">
            <w:pPr>
              <w:spacing w:after="0"/>
              <w:jc w:val="both"/>
              <w:rPr>
                <w:rFonts w:eastAsia="Times New Roman"/>
              </w:rPr>
            </w:pPr>
          </w:p>
        </w:tc>
        <w:tc>
          <w:tcPr>
            <w:tcW w:w="0" w:type="auto"/>
            <w:shd w:val="clear" w:color="auto" w:fill="CCEEFF"/>
            <w:vAlign w:val="bottom"/>
          </w:tcPr>
          <w:p w14:paraId="485ECBA6" w14:textId="1ECC20B4" w:rsidR="00860BBF" w:rsidRPr="003F1DCD" w:rsidRDefault="00860BBF" w:rsidP="001B46D2">
            <w:pPr>
              <w:spacing w:after="0"/>
              <w:jc w:val="both"/>
              <w:rPr>
                <w:rFonts w:eastAsia="Times New Roman"/>
              </w:rPr>
            </w:pPr>
          </w:p>
        </w:tc>
        <w:tc>
          <w:tcPr>
            <w:tcW w:w="0" w:type="auto"/>
            <w:shd w:val="clear" w:color="auto" w:fill="CCEEFF"/>
            <w:vAlign w:val="bottom"/>
          </w:tcPr>
          <w:p w14:paraId="77B7826F" w14:textId="180F588F" w:rsidR="00860BBF" w:rsidRPr="003F1DCD" w:rsidRDefault="00860BBF" w:rsidP="001B46D2">
            <w:pPr>
              <w:spacing w:after="0"/>
              <w:jc w:val="both"/>
              <w:rPr>
                <w:rFonts w:eastAsia="Times New Roman"/>
              </w:rPr>
            </w:pPr>
          </w:p>
        </w:tc>
        <w:tc>
          <w:tcPr>
            <w:tcW w:w="0" w:type="auto"/>
            <w:shd w:val="clear" w:color="auto" w:fill="CCEEFF"/>
            <w:vAlign w:val="bottom"/>
          </w:tcPr>
          <w:p w14:paraId="5613C213" w14:textId="1FC51E26" w:rsidR="00860BBF" w:rsidRPr="003F1DCD" w:rsidRDefault="00860BBF" w:rsidP="001B46D2">
            <w:pPr>
              <w:spacing w:after="0"/>
              <w:jc w:val="right"/>
              <w:rPr>
                <w:rFonts w:eastAsia="Times New Roman"/>
              </w:rPr>
            </w:pPr>
          </w:p>
        </w:tc>
        <w:tc>
          <w:tcPr>
            <w:tcW w:w="0" w:type="auto"/>
            <w:shd w:val="clear" w:color="auto" w:fill="CCEEFF"/>
            <w:vAlign w:val="bottom"/>
          </w:tcPr>
          <w:p w14:paraId="4F094684" w14:textId="6822541F" w:rsidR="00860BBF" w:rsidRPr="003F1DCD" w:rsidRDefault="00860BBF" w:rsidP="001B46D2">
            <w:pPr>
              <w:spacing w:after="0"/>
              <w:jc w:val="both"/>
              <w:rPr>
                <w:rFonts w:eastAsia="Times New Roman"/>
              </w:rPr>
            </w:pPr>
          </w:p>
        </w:tc>
        <w:tc>
          <w:tcPr>
            <w:tcW w:w="0" w:type="auto"/>
            <w:shd w:val="clear" w:color="auto" w:fill="CCEEFF"/>
            <w:vAlign w:val="bottom"/>
          </w:tcPr>
          <w:p w14:paraId="31E31A35" w14:textId="08020B92" w:rsidR="00860BBF" w:rsidRPr="003F1DCD" w:rsidRDefault="00860BBF" w:rsidP="001B46D2">
            <w:pPr>
              <w:spacing w:after="0"/>
              <w:jc w:val="both"/>
              <w:rPr>
                <w:rFonts w:eastAsia="Times New Roman"/>
              </w:rPr>
            </w:pPr>
          </w:p>
        </w:tc>
        <w:tc>
          <w:tcPr>
            <w:tcW w:w="0" w:type="auto"/>
            <w:shd w:val="clear" w:color="auto" w:fill="CCEEFF"/>
            <w:vAlign w:val="bottom"/>
          </w:tcPr>
          <w:p w14:paraId="70713E70" w14:textId="51829F81" w:rsidR="00860BBF" w:rsidRPr="003F1DCD" w:rsidRDefault="00860BBF" w:rsidP="001B46D2">
            <w:pPr>
              <w:spacing w:after="0"/>
              <w:jc w:val="both"/>
              <w:rPr>
                <w:rFonts w:eastAsia="Times New Roman"/>
              </w:rPr>
            </w:pPr>
          </w:p>
        </w:tc>
        <w:tc>
          <w:tcPr>
            <w:tcW w:w="0" w:type="auto"/>
            <w:shd w:val="clear" w:color="auto" w:fill="CCEEFF"/>
            <w:vAlign w:val="bottom"/>
          </w:tcPr>
          <w:p w14:paraId="43755110" w14:textId="1B2DEBEF" w:rsidR="00860BBF" w:rsidRPr="003F1DCD" w:rsidRDefault="00860BBF" w:rsidP="001B46D2">
            <w:pPr>
              <w:spacing w:after="0"/>
              <w:jc w:val="both"/>
              <w:rPr>
                <w:rFonts w:eastAsia="Times New Roman"/>
              </w:rPr>
            </w:pPr>
          </w:p>
        </w:tc>
        <w:tc>
          <w:tcPr>
            <w:tcW w:w="0" w:type="auto"/>
            <w:tcBorders>
              <w:top w:val="single" w:sz="12" w:space="0" w:color="000000"/>
              <w:bottom w:val="single" w:sz="12" w:space="0" w:color="000000"/>
            </w:tcBorders>
            <w:shd w:val="clear" w:color="auto" w:fill="CCEEFF"/>
            <w:vAlign w:val="bottom"/>
          </w:tcPr>
          <w:p w14:paraId="06B3AEC1" w14:textId="4BC10205" w:rsidR="00860BBF" w:rsidRPr="003F1DCD" w:rsidRDefault="00860BBF" w:rsidP="001B46D2">
            <w:pPr>
              <w:spacing w:after="0"/>
              <w:jc w:val="both"/>
              <w:rPr>
                <w:rFonts w:eastAsia="Times New Roman"/>
              </w:rPr>
            </w:pPr>
          </w:p>
        </w:tc>
        <w:tc>
          <w:tcPr>
            <w:tcW w:w="0" w:type="auto"/>
            <w:tcBorders>
              <w:top w:val="single" w:sz="12" w:space="0" w:color="000000"/>
              <w:bottom w:val="single" w:sz="12" w:space="0" w:color="000000"/>
            </w:tcBorders>
            <w:shd w:val="clear" w:color="auto" w:fill="CCEEFF"/>
            <w:vAlign w:val="bottom"/>
          </w:tcPr>
          <w:p w14:paraId="3643D0B8" w14:textId="3F35473D" w:rsidR="00860BBF" w:rsidRPr="003F1DCD" w:rsidRDefault="000B003E" w:rsidP="001B46D2">
            <w:pPr>
              <w:spacing w:after="0"/>
              <w:jc w:val="right"/>
              <w:rPr>
                <w:rFonts w:eastAsia="Times New Roman"/>
              </w:rPr>
            </w:pPr>
            <w:r>
              <w:rPr>
                <w:rFonts w:eastAsia="Times New Roman"/>
              </w:rPr>
              <w:t>8,345,000</w:t>
            </w:r>
          </w:p>
        </w:tc>
        <w:tc>
          <w:tcPr>
            <w:tcW w:w="0" w:type="auto"/>
            <w:shd w:val="clear" w:color="auto" w:fill="CCEEFF"/>
            <w:vAlign w:val="bottom"/>
            <w:hideMark/>
          </w:tcPr>
          <w:p w14:paraId="62AAFBEF" w14:textId="77777777" w:rsidR="00860BBF" w:rsidRPr="003F1DCD" w:rsidRDefault="00860BBF" w:rsidP="001B46D2">
            <w:pPr>
              <w:spacing w:after="0"/>
              <w:jc w:val="both"/>
              <w:rPr>
                <w:rFonts w:eastAsia="Times New Roman"/>
              </w:rPr>
            </w:pPr>
            <w:r w:rsidRPr="003F1DCD">
              <w:rPr>
                <w:rFonts w:eastAsia="Times New Roman"/>
              </w:rPr>
              <w:t> </w:t>
            </w:r>
          </w:p>
        </w:tc>
      </w:tr>
    </w:tbl>
    <w:p w14:paraId="648C17E3" w14:textId="77777777" w:rsidR="00860BBF" w:rsidRDefault="00860BBF" w:rsidP="00CD2C04">
      <w:pPr>
        <w:jc w:val="both"/>
        <w:rPr>
          <w:rFonts w:eastAsia="Times New Roman"/>
        </w:rPr>
      </w:pPr>
    </w:p>
    <w:p w14:paraId="228389F1" w14:textId="79FAC8FF" w:rsidR="00CD2C04" w:rsidRPr="00583A17" w:rsidRDefault="00CD2C04" w:rsidP="00CD2C04">
      <w:pPr>
        <w:jc w:val="both"/>
        <w:rPr>
          <w:rFonts w:eastAsia="Times New Roman"/>
        </w:rPr>
      </w:pPr>
      <w:r w:rsidRPr="00583A17">
        <w:rPr>
          <w:rFonts w:eastAsia="Times New Roman"/>
        </w:rPr>
        <w:t>A</w:t>
      </w:r>
      <w:r w:rsidR="00AC4982" w:rsidRPr="00583A17">
        <w:rPr>
          <w:rFonts w:eastAsia="Times New Roman"/>
        </w:rPr>
        <w:t>s</w:t>
      </w:r>
      <w:r w:rsidRPr="00583A17">
        <w:rPr>
          <w:rFonts w:eastAsia="Times New Roman"/>
        </w:rPr>
        <w:t xml:space="preserve"> </w:t>
      </w:r>
      <w:proofErr w:type="gramStart"/>
      <w:r w:rsidR="00AC4982" w:rsidRPr="00583A17">
        <w:rPr>
          <w:rFonts w:eastAsia="Times New Roman"/>
        </w:rPr>
        <w:t>at</w:t>
      </w:r>
      <w:proofErr w:type="gramEnd"/>
      <w:r w:rsidR="00AC4982" w:rsidRPr="00583A17">
        <w:rPr>
          <w:rFonts w:eastAsia="Times New Roman"/>
        </w:rPr>
        <w:t xml:space="preserve"> </w:t>
      </w:r>
      <w:r w:rsidR="000B003E">
        <w:rPr>
          <w:rFonts w:eastAsia="Times New Roman"/>
        </w:rPr>
        <w:t>June 30</w:t>
      </w:r>
      <w:r w:rsidR="007543AA">
        <w:rPr>
          <w:rFonts w:eastAsia="Times New Roman"/>
        </w:rPr>
        <w:t>, 2022</w:t>
      </w:r>
      <w:r w:rsidRPr="00583A17">
        <w:rPr>
          <w:rFonts w:eastAsia="Times New Roman"/>
        </w:rPr>
        <w:t>,</w:t>
      </w:r>
      <w:r w:rsidR="00AC4982" w:rsidRPr="00583A17">
        <w:rPr>
          <w:rFonts w:eastAsia="Times New Roman"/>
        </w:rPr>
        <w:t xml:space="preserve"> </w:t>
      </w:r>
      <w:r w:rsidRPr="00583A17">
        <w:rPr>
          <w:rFonts w:eastAsia="Times New Roman"/>
        </w:rPr>
        <w:t>the following warrants were outstanding, entitling the holders thereof the right to purchase one common share for each warrant held as follows:</w:t>
      </w:r>
    </w:p>
    <w:tbl>
      <w:tblPr>
        <w:tblW w:w="3532" w:type="pct"/>
        <w:tblInd w:w="426" w:type="dxa"/>
        <w:tblCellMar>
          <w:left w:w="0" w:type="dxa"/>
          <w:right w:w="0" w:type="dxa"/>
        </w:tblCellMar>
        <w:tblLook w:val="04A0" w:firstRow="1" w:lastRow="0" w:firstColumn="1" w:lastColumn="0" w:noHBand="0" w:noVBand="1"/>
      </w:tblPr>
      <w:tblGrid>
        <w:gridCol w:w="62"/>
        <w:gridCol w:w="1401"/>
        <w:gridCol w:w="50"/>
        <w:gridCol w:w="50"/>
        <w:gridCol w:w="50"/>
        <w:gridCol w:w="1285"/>
        <w:gridCol w:w="50"/>
        <w:gridCol w:w="50"/>
        <w:gridCol w:w="3614"/>
      </w:tblGrid>
      <w:tr w:rsidR="00A02D3D" w:rsidRPr="00C74016" w14:paraId="788A1419" w14:textId="77777777" w:rsidTr="00A02D3D">
        <w:tc>
          <w:tcPr>
            <w:tcW w:w="1105" w:type="pct"/>
            <w:gridSpan w:val="2"/>
            <w:tcBorders>
              <w:bottom w:val="single" w:sz="12" w:space="0" w:color="000000"/>
            </w:tcBorders>
            <w:vAlign w:val="bottom"/>
            <w:hideMark/>
          </w:tcPr>
          <w:p w14:paraId="5DC44516" w14:textId="77777777" w:rsidR="00A02D3D" w:rsidRPr="00926205" w:rsidRDefault="00A02D3D" w:rsidP="001B46D2">
            <w:pPr>
              <w:spacing w:after="0"/>
              <w:jc w:val="center"/>
              <w:rPr>
                <w:rFonts w:eastAsia="Times New Roman"/>
              </w:rPr>
            </w:pPr>
            <w:r w:rsidRPr="00926205">
              <w:rPr>
                <w:rFonts w:eastAsia="Times New Roman"/>
              </w:rPr>
              <w:t>Outstanding</w:t>
            </w:r>
          </w:p>
        </w:tc>
        <w:tc>
          <w:tcPr>
            <w:tcW w:w="0" w:type="auto"/>
            <w:vAlign w:val="bottom"/>
            <w:hideMark/>
          </w:tcPr>
          <w:p w14:paraId="4D9B46DE" w14:textId="77777777" w:rsidR="00A02D3D" w:rsidRPr="00926205" w:rsidRDefault="00A02D3D" w:rsidP="001B46D2">
            <w:pPr>
              <w:spacing w:after="0"/>
              <w:jc w:val="center"/>
              <w:rPr>
                <w:rFonts w:eastAsia="Times New Roman"/>
              </w:rPr>
            </w:pPr>
            <w:r w:rsidRPr="00926205">
              <w:rPr>
                <w:rFonts w:eastAsia="Times New Roman"/>
              </w:rPr>
              <w:t> </w:t>
            </w:r>
          </w:p>
        </w:tc>
        <w:tc>
          <w:tcPr>
            <w:tcW w:w="0" w:type="auto"/>
            <w:vAlign w:val="bottom"/>
            <w:hideMark/>
          </w:tcPr>
          <w:p w14:paraId="58FA7F60" w14:textId="77777777" w:rsidR="00A02D3D" w:rsidRPr="00926205" w:rsidRDefault="00A02D3D" w:rsidP="001B46D2">
            <w:pPr>
              <w:spacing w:after="0"/>
              <w:jc w:val="center"/>
              <w:rPr>
                <w:rFonts w:eastAsia="Times New Roman"/>
              </w:rPr>
            </w:pPr>
            <w:r w:rsidRPr="00926205">
              <w:rPr>
                <w:rFonts w:eastAsia="Times New Roman"/>
              </w:rPr>
              <w:t> </w:t>
            </w:r>
          </w:p>
        </w:tc>
        <w:tc>
          <w:tcPr>
            <w:tcW w:w="0" w:type="auto"/>
            <w:gridSpan w:val="2"/>
            <w:tcBorders>
              <w:bottom w:val="single" w:sz="12" w:space="0" w:color="000000"/>
            </w:tcBorders>
            <w:vAlign w:val="bottom"/>
            <w:hideMark/>
          </w:tcPr>
          <w:p w14:paraId="1CF55FB7" w14:textId="77777777" w:rsidR="00A02D3D" w:rsidRPr="00926205" w:rsidRDefault="00A02D3D" w:rsidP="001B46D2">
            <w:pPr>
              <w:spacing w:after="0"/>
              <w:jc w:val="center"/>
              <w:rPr>
                <w:rFonts w:eastAsia="Times New Roman"/>
              </w:rPr>
            </w:pPr>
            <w:r w:rsidRPr="00926205">
              <w:rPr>
                <w:rFonts w:eastAsia="Times New Roman"/>
              </w:rPr>
              <w:t>Exercise Price</w:t>
            </w:r>
          </w:p>
        </w:tc>
        <w:tc>
          <w:tcPr>
            <w:tcW w:w="0" w:type="auto"/>
            <w:vAlign w:val="bottom"/>
            <w:hideMark/>
          </w:tcPr>
          <w:p w14:paraId="0C65C128" w14:textId="77777777" w:rsidR="00A02D3D" w:rsidRPr="00926205" w:rsidRDefault="00A02D3D" w:rsidP="001B46D2">
            <w:pPr>
              <w:spacing w:after="0"/>
              <w:jc w:val="center"/>
              <w:rPr>
                <w:rFonts w:eastAsia="Times New Roman"/>
              </w:rPr>
            </w:pPr>
            <w:r w:rsidRPr="00926205">
              <w:rPr>
                <w:rFonts w:eastAsia="Times New Roman"/>
              </w:rPr>
              <w:t> </w:t>
            </w:r>
          </w:p>
        </w:tc>
        <w:tc>
          <w:tcPr>
            <w:tcW w:w="0" w:type="auto"/>
            <w:vAlign w:val="bottom"/>
            <w:hideMark/>
          </w:tcPr>
          <w:p w14:paraId="36AFCE8F" w14:textId="77777777" w:rsidR="00A02D3D" w:rsidRPr="00926205" w:rsidRDefault="00A02D3D" w:rsidP="001B46D2">
            <w:pPr>
              <w:spacing w:after="0"/>
              <w:jc w:val="center"/>
              <w:rPr>
                <w:rFonts w:eastAsia="Times New Roman"/>
              </w:rPr>
            </w:pPr>
            <w:r w:rsidRPr="00926205">
              <w:rPr>
                <w:rFonts w:eastAsia="Times New Roman"/>
              </w:rPr>
              <w:t> </w:t>
            </w:r>
          </w:p>
        </w:tc>
        <w:tc>
          <w:tcPr>
            <w:tcW w:w="0" w:type="auto"/>
            <w:tcBorders>
              <w:bottom w:val="single" w:sz="12" w:space="0" w:color="000000"/>
            </w:tcBorders>
            <w:vAlign w:val="bottom"/>
            <w:hideMark/>
          </w:tcPr>
          <w:p w14:paraId="1194122D" w14:textId="77777777" w:rsidR="00A02D3D" w:rsidRPr="00926205" w:rsidRDefault="00A02D3D" w:rsidP="001B46D2">
            <w:pPr>
              <w:spacing w:after="0"/>
              <w:jc w:val="center"/>
              <w:rPr>
                <w:rFonts w:eastAsia="Times New Roman"/>
              </w:rPr>
            </w:pPr>
            <w:r w:rsidRPr="00926205">
              <w:rPr>
                <w:rFonts w:eastAsia="Times New Roman"/>
              </w:rPr>
              <w:t>Expiry Date</w:t>
            </w:r>
          </w:p>
        </w:tc>
      </w:tr>
      <w:tr w:rsidR="00A02D3D" w:rsidRPr="00C74016" w14:paraId="72AE7E02" w14:textId="77777777" w:rsidTr="00A02D3D">
        <w:tc>
          <w:tcPr>
            <w:tcW w:w="46" w:type="pct"/>
            <w:shd w:val="clear" w:color="auto" w:fill="CCEEFF"/>
            <w:vAlign w:val="bottom"/>
            <w:hideMark/>
          </w:tcPr>
          <w:p w14:paraId="6431F56C" w14:textId="77777777" w:rsidR="00A02D3D" w:rsidRPr="00926205" w:rsidRDefault="00A02D3D" w:rsidP="001B46D2">
            <w:pPr>
              <w:spacing w:after="0"/>
              <w:jc w:val="both"/>
              <w:rPr>
                <w:rFonts w:eastAsia="Times New Roman"/>
              </w:rPr>
            </w:pPr>
            <w:r w:rsidRPr="00926205">
              <w:rPr>
                <w:rFonts w:eastAsia="Times New Roman"/>
              </w:rPr>
              <w:t> </w:t>
            </w:r>
          </w:p>
        </w:tc>
        <w:tc>
          <w:tcPr>
            <w:tcW w:w="1059" w:type="pct"/>
            <w:shd w:val="clear" w:color="auto" w:fill="CCEEFF"/>
            <w:vAlign w:val="bottom"/>
            <w:hideMark/>
          </w:tcPr>
          <w:p w14:paraId="6BA11144" w14:textId="77777777" w:rsidR="00A02D3D" w:rsidRPr="00926205" w:rsidRDefault="00A02D3D" w:rsidP="001B46D2">
            <w:pPr>
              <w:spacing w:after="0"/>
              <w:jc w:val="right"/>
              <w:rPr>
                <w:rFonts w:eastAsia="Times New Roman"/>
              </w:rPr>
            </w:pPr>
            <w:r w:rsidRPr="00926205">
              <w:rPr>
                <w:rFonts w:eastAsia="Times New Roman"/>
              </w:rPr>
              <w:t>1,000,000</w:t>
            </w:r>
          </w:p>
        </w:tc>
        <w:tc>
          <w:tcPr>
            <w:tcW w:w="38" w:type="pct"/>
            <w:shd w:val="clear" w:color="auto" w:fill="CCEEFF"/>
            <w:vAlign w:val="bottom"/>
            <w:hideMark/>
          </w:tcPr>
          <w:p w14:paraId="1D204029" w14:textId="77777777" w:rsidR="00A02D3D" w:rsidRPr="00926205" w:rsidRDefault="00A02D3D" w:rsidP="001B46D2">
            <w:pPr>
              <w:spacing w:after="0"/>
              <w:jc w:val="both"/>
              <w:rPr>
                <w:rFonts w:eastAsia="Times New Roman"/>
              </w:rPr>
            </w:pPr>
            <w:r w:rsidRPr="00926205">
              <w:rPr>
                <w:rFonts w:eastAsia="Times New Roman"/>
              </w:rPr>
              <w:t> </w:t>
            </w:r>
          </w:p>
        </w:tc>
        <w:tc>
          <w:tcPr>
            <w:tcW w:w="38" w:type="pct"/>
            <w:shd w:val="clear" w:color="auto" w:fill="CCEEFF"/>
            <w:vAlign w:val="bottom"/>
            <w:hideMark/>
          </w:tcPr>
          <w:p w14:paraId="794A3271" w14:textId="77777777" w:rsidR="00A02D3D" w:rsidRPr="00926205" w:rsidRDefault="00A02D3D" w:rsidP="001B46D2">
            <w:pPr>
              <w:spacing w:after="0"/>
              <w:jc w:val="both"/>
              <w:rPr>
                <w:rFonts w:eastAsia="Times New Roman"/>
              </w:rPr>
            </w:pPr>
            <w:r w:rsidRPr="00926205">
              <w:rPr>
                <w:rFonts w:eastAsia="Times New Roman"/>
              </w:rPr>
              <w:t> </w:t>
            </w:r>
          </w:p>
        </w:tc>
        <w:tc>
          <w:tcPr>
            <w:tcW w:w="38" w:type="pct"/>
            <w:shd w:val="clear" w:color="auto" w:fill="CCEEFF"/>
            <w:vAlign w:val="bottom"/>
            <w:hideMark/>
          </w:tcPr>
          <w:p w14:paraId="2E7E192E" w14:textId="77777777" w:rsidR="00A02D3D" w:rsidRPr="00926205" w:rsidRDefault="00A02D3D" w:rsidP="001B46D2">
            <w:pPr>
              <w:spacing w:after="0"/>
              <w:jc w:val="both"/>
              <w:rPr>
                <w:rFonts w:eastAsia="Times New Roman"/>
              </w:rPr>
            </w:pPr>
            <w:r w:rsidRPr="00926205">
              <w:rPr>
                <w:rFonts w:eastAsia="Times New Roman"/>
              </w:rPr>
              <w:t> </w:t>
            </w:r>
          </w:p>
        </w:tc>
        <w:tc>
          <w:tcPr>
            <w:tcW w:w="972" w:type="pct"/>
            <w:shd w:val="clear" w:color="auto" w:fill="CCEEFF"/>
            <w:vAlign w:val="bottom"/>
            <w:hideMark/>
          </w:tcPr>
          <w:p w14:paraId="3698C491" w14:textId="77777777" w:rsidR="00A02D3D" w:rsidRPr="00926205" w:rsidRDefault="00A02D3D" w:rsidP="001B46D2">
            <w:pPr>
              <w:spacing w:after="0"/>
              <w:jc w:val="right"/>
              <w:rPr>
                <w:rFonts w:eastAsia="Times New Roman"/>
              </w:rPr>
            </w:pPr>
            <w:r w:rsidRPr="00926205">
              <w:rPr>
                <w:rFonts w:eastAsia="Times New Roman"/>
              </w:rPr>
              <w:t>0.16 USD</w:t>
            </w:r>
          </w:p>
        </w:tc>
        <w:tc>
          <w:tcPr>
            <w:tcW w:w="38" w:type="pct"/>
            <w:shd w:val="clear" w:color="auto" w:fill="CCEEFF"/>
            <w:vAlign w:val="bottom"/>
            <w:hideMark/>
          </w:tcPr>
          <w:p w14:paraId="1DB9B3C3" w14:textId="77777777" w:rsidR="00A02D3D" w:rsidRPr="00926205" w:rsidRDefault="00A02D3D" w:rsidP="001B46D2">
            <w:pPr>
              <w:spacing w:after="0"/>
              <w:jc w:val="both"/>
              <w:rPr>
                <w:rFonts w:eastAsia="Times New Roman"/>
              </w:rPr>
            </w:pPr>
            <w:r w:rsidRPr="00926205">
              <w:rPr>
                <w:rFonts w:eastAsia="Times New Roman"/>
              </w:rPr>
              <w:t> </w:t>
            </w:r>
          </w:p>
        </w:tc>
        <w:tc>
          <w:tcPr>
            <w:tcW w:w="38" w:type="pct"/>
            <w:shd w:val="clear" w:color="auto" w:fill="CCEEFF"/>
            <w:vAlign w:val="bottom"/>
            <w:hideMark/>
          </w:tcPr>
          <w:p w14:paraId="78320572" w14:textId="77777777" w:rsidR="00A02D3D" w:rsidRPr="00926205" w:rsidRDefault="00A02D3D" w:rsidP="001B46D2">
            <w:pPr>
              <w:spacing w:after="0"/>
              <w:jc w:val="both"/>
              <w:rPr>
                <w:rFonts w:eastAsia="Times New Roman"/>
              </w:rPr>
            </w:pPr>
            <w:r w:rsidRPr="00926205">
              <w:rPr>
                <w:rFonts w:eastAsia="Times New Roman"/>
              </w:rPr>
              <w:t> </w:t>
            </w:r>
          </w:p>
        </w:tc>
        <w:tc>
          <w:tcPr>
            <w:tcW w:w="2734" w:type="pct"/>
            <w:shd w:val="clear" w:color="auto" w:fill="CCEEFF"/>
            <w:vAlign w:val="bottom"/>
            <w:hideMark/>
          </w:tcPr>
          <w:p w14:paraId="3207DCCD" w14:textId="77777777" w:rsidR="00A02D3D" w:rsidRPr="00926205" w:rsidRDefault="00A02D3D" w:rsidP="001B46D2">
            <w:pPr>
              <w:spacing w:after="0"/>
              <w:jc w:val="right"/>
              <w:rPr>
                <w:rFonts w:eastAsia="Times New Roman"/>
              </w:rPr>
            </w:pPr>
            <w:r w:rsidRPr="00926205">
              <w:rPr>
                <w:rFonts w:eastAsia="Times New Roman"/>
              </w:rPr>
              <w:t xml:space="preserve">March </w:t>
            </w:r>
            <w:r>
              <w:rPr>
                <w:rFonts w:eastAsia="Times New Roman"/>
              </w:rPr>
              <w:t>4</w:t>
            </w:r>
            <w:r w:rsidRPr="00926205">
              <w:rPr>
                <w:rFonts w:eastAsia="Times New Roman"/>
              </w:rPr>
              <w:t>, 2023</w:t>
            </w:r>
          </w:p>
        </w:tc>
      </w:tr>
      <w:tr w:rsidR="00A02D3D" w:rsidRPr="00C74016" w14:paraId="4B8A512A" w14:textId="77777777" w:rsidTr="00A02D3D">
        <w:tc>
          <w:tcPr>
            <w:tcW w:w="46" w:type="pct"/>
            <w:shd w:val="clear" w:color="auto" w:fill="FFFFFF"/>
            <w:vAlign w:val="bottom"/>
            <w:hideMark/>
          </w:tcPr>
          <w:p w14:paraId="2B251541"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48AD2246" w14:textId="77777777" w:rsidR="00A02D3D" w:rsidRPr="00926205" w:rsidRDefault="00A02D3D" w:rsidP="001B46D2">
            <w:pPr>
              <w:spacing w:after="0"/>
              <w:jc w:val="right"/>
              <w:rPr>
                <w:rFonts w:eastAsia="Times New Roman"/>
              </w:rPr>
            </w:pPr>
            <w:r w:rsidRPr="00926205">
              <w:rPr>
                <w:rFonts w:eastAsia="Times New Roman"/>
              </w:rPr>
              <w:t>50,000</w:t>
            </w:r>
          </w:p>
        </w:tc>
        <w:tc>
          <w:tcPr>
            <w:tcW w:w="0" w:type="auto"/>
            <w:shd w:val="clear" w:color="auto" w:fill="FFFFFF"/>
            <w:vAlign w:val="bottom"/>
            <w:hideMark/>
          </w:tcPr>
          <w:p w14:paraId="3508B218"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29A51451"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3D0939D9"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25FD0C2E" w14:textId="77777777" w:rsidR="00A02D3D" w:rsidRPr="00926205" w:rsidRDefault="00A02D3D" w:rsidP="001B46D2">
            <w:pPr>
              <w:spacing w:after="0"/>
              <w:jc w:val="right"/>
              <w:rPr>
                <w:rFonts w:eastAsia="Times New Roman"/>
              </w:rPr>
            </w:pPr>
            <w:r w:rsidRPr="00926205">
              <w:rPr>
                <w:rFonts w:eastAsia="Times New Roman"/>
              </w:rPr>
              <w:t>0.32 USD</w:t>
            </w:r>
          </w:p>
        </w:tc>
        <w:tc>
          <w:tcPr>
            <w:tcW w:w="0" w:type="auto"/>
            <w:shd w:val="clear" w:color="auto" w:fill="FFFFFF"/>
            <w:vAlign w:val="bottom"/>
            <w:hideMark/>
          </w:tcPr>
          <w:p w14:paraId="77C90C16"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76E19DDA"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4871A9C2" w14:textId="77777777" w:rsidR="00A02D3D" w:rsidRPr="00926205" w:rsidRDefault="00A02D3D" w:rsidP="001B46D2">
            <w:pPr>
              <w:spacing w:after="0"/>
              <w:jc w:val="right"/>
              <w:rPr>
                <w:rFonts w:eastAsia="Times New Roman"/>
              </w:rPr>
            </w:pPr>
            <w:r w:rsidRPr="00926205">
              <w:rPr>
                <w:rFonts w:eastAsia="Times New Roman"/>
              </w:rPr>
              <w:t>June 6, 2023</w:t>
            </w:r>
          </w:p>
        </w:tc>
      </w:tr>
      <w:tr w:rsidR="00A02D3D" w:rsidRPr="00C74016" w14:paraId="043FD60D" w14:textId="77777777" w:rsidTr="00A02D3D">
        <w:tc>
          <w:tcPr>
            <w:tcW w:w="46" w:type="pct"/>
            <w:shd w:val="clear" w:color="auto" w:fill="CCEEFF"/>
            <w:vAlign w:val="bottom"/>
            <w:hideMark/>
          </w:tcPr>
          <w:p w14:paraId="1458A25C"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27595EB1" w14:textId="77777777" w:rsidR="00A02D3D" w:rsidRPr="00926205" w:rsidRDefault="00A02D3D" w:rsidP="001B46D2">
            <w:pPr>
              <w:spacing w:after="0"/>
              <w:jc w:val="right"/>
              <w:rPr>
                <w:rFonts w:eastAsia="Times New Roman"/>
              </w:rPr>
            </w:pPr>
            <w:r w:rsidRPr="00926205">
              <w:rPr>
                <w:rFonts w:eastAsia="Times New Roman"/>
              </w:rPr>
              <w:t>2,</w:t>
            </w:r>
            <w:r>
              <w:rPr>
                <w:rFonts w:eastAsia="Times New Roman"/>
              </w:rPr>
              <w:t>124</w:t>
            </w:r>
            <w:r w:rsidRPr="00926205">
              <w:rPr>
                <w:rFonts w:eastAsia="Times New Roman"/>
              </w:rPr>
              <w:t>,999</w:t>
            </w:r>
          </w:p>
        </w:tc>
        <w:tc>
          <w:tcPr>
            <w:tcW w:w="0" w:type="auto"/>
            <w:shd w:val="clear" w:color="auto" w:fill="CCEEFF"/>
            <w:vAlign w:val="bottom"/>
          </w:tcPr>
          <w:p w14:paraId="2A9279C7"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50569A17"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2562332F"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435248D9" w14:textId="77777777" w:rsidR="00A02D3D" w:rsidRPr="00926205" w:rsidRDefault="00A02D3D" w:rsidP="001B46D2">
            <w:pPr>
              <w:spacing w:after="0"/>
              <w:jc w:val="right"/>
              <w:rPr>
                <w:rFonts w:eastAsia="Times New Roman"/>
              </w:rPr>
            </w:pPr>
            <w:r w:rsidRPr="00926205">
              <w:rPr>
                <w:rFonts w:eastAsia="Times New Roman"/>
              </w:rPr>
              <w:t>0.08 USD</w:t>
            </w:r>
          </w:p>
        </w:tc>
        <w:tc>
          <w:tcPr>
            <w:tcW w:w="0" w:type="auto"/>
            <w:shd w:val="clear" w:color="auto" w:fill="CCEEFF"/>
            <w:vAlign w:val="bottom"/>
          </w:tcPr>
          <w:p w14:paraId="46C17E34"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081374C6"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6D738846" w14:textId="77777777" w:rsidR="00A02D3D" w:rsidRPr="00926205" w:rsidRDefault="00A02D3D" w:rsidP="001B46D2">
            <w:pPr>
              <w:spacing w:after="0"/>
              <w:jc w:val="right"/>
              <w:rPr>
                <w:rFonts w:eastAsia="Times New Roman"/>
              </w:rPr>
            </w:pPr>
            <w:r w:rsidRPr="00926205">
              <w:rPr>
                <w:rFonts w:eastAsia="Times New Roman"/>
              </w:rPr>
              <w:t>September 8, 2023</w:t>
            </w:r>
          </w:p>
        </w:tc>
      </w:tr>
      <w:tr w:rsidR="00A02D3D" w:rsidRPr="00C74016" w14:paraId="3224BB8E" w14:textId="77777777" w:rsidTr="00A02D3D">
        <w:tc>
          <w:tcPr>
            <w:tcW w:w="46" w:type="pct"/>
            <w:shd w:val="clear" w:color="auto" w:fill="auto"/>
            <w:vAlign w:val="bottom"/>
            <w:hideMark/>
          </w:tcPr>
          <w:p w14:paraId="20036480"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3D3349AF" w14:textId="77777777" w:rsidR="00A02D3D" w:rsidRPr="00926205" w:rsidRDefault="00A02D3D" w:rsidP="001B46D2">
            <w:pPr>
              <w:spacing w:after="0"/>
              <w:jc w:val="right"/>
              <w:rPr>
                <w:rFonts w:eastAsia="Times New Roman"/>
              </w:rPr>
            </w:pPr>
            <w:r w:rsidRPr="00926205">
              <w:rPr>
                <w:rFonts w:eastAsia="Times New Roman"/>
              </w:rPr>
              <w:t>1,200,000</w:t>
            </w:r>
          </w:p>
        </w:tc>
        <w:tc>
          <w:tcPr>
            <w:tcW w:w="0" w:type="auto"/>
            <w:shd w:val="clear" w:color="auto" w:fill="auto"/>
            <w:vAlign w:val="bottom"/>
            <w:hideMark/>
          </w:tcPr>
          <w:p w14:paraId="739E877A"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23C04969"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22CCFED0"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2D5837D9" w14:textId="77777777" w:rsidR="00A02D3D" w:rsidRPr="00926205" w:rsidRDefault="00A02D3D" w:rsidP="001B46D2">
            <w:pPr>
              <w:spacing w:after="0"/>
              <w:jc w:val="right"/>
              <w:rPr>
                <w:rFonts w:eastAsia="Times New Roman"/>
              </w:rPr>
            </w:pPr>
            <w:r w:rsidRPr="00926205">
              <w:rPr>
                <w:rFonts w:eastAsia="Times New Roman"/>
              </w:rPr>
              <w:t>0.10 USD</w:t>
            </w:r>
          </w:p>
        </w:tc>
        <w:tc>
          <w:tcPr>
            <w:tcW w:w="0" w:type="auto"/>
            <w:shd w:val="clear" w:color="auto" w:fill="auto"/>
            <w:vAlign w:val="bottom"/>
            <w:hideMark/>
          </w:tcPr>
          <w:p w14:paraId="2C6341D8"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76E1D647"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50E667B0" w14:textId="77777777" w:rsidR="00A02D3D" w:rsidRPr="00926205" w:rsidRDefault="00A02D3D" w:rsidP="001B46D2">
            <w:pPr>
              <w:spacing w:after="0"/>
              <w:jc w:val="right"/>
              <w:rPr>
                <w:rFonts w:eastAsia="Times New Roman"/>
              </w:rPr>
            </w:pPr>
            <w:r w:rsidRPr="00926205">
              <w:rPr>
                <w:rFonts w:eastAsia="Times New Roman"/>
              </w:rPr>
              <w:t>September 8, 2023</w:t>
            </w:r>
          </w:p>
        </w:tc>
      </w:tr>
      <w:tr w:rsidR="00A02D3D" w:rsidRPr="00C74016" w14:paraId="52D6FE2C" w14:textId="77777777" w:rsidTr="00A02D3D">
        <w:tc>
          <w:tcPr>
            <w:tcW w:w="46" w:type="pct"/>
            <w:shd w:val="clear" w:color="auto" w:fill="CCEEFF"/>
            <w:vAlign w:val="bottom"/>
            <w:hideMark/>
          </w:tcPr>
          <w:p w14:paraId="463C10A6"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095796E3" w14:textId="77777777" w:rsidR="00A02D3D" w:rsidRPr="00926205" w:rsidRDefault="00A02D3D" w:rsidP="001B46D2">
            <w:pPr>
              <w:spacing w:after="0"/>
              <w:jc w:val="right"/>
              <w:rPr>
                <w:rFonts w:eastAsia="Times New Roman"/>
              </w:rPr>
            </w:pPr>
            <w:r w:rsidRPr="00926205">
              <w:rPr>
                <w:rFonts w:eastAsia="Times New Roman"/>
              </w:rPr>
              <w:t>2,358,080</w:t>
            </w:r>
          </w:p>
        </w:tc>
        <w:tc>
          <w:tcPr>
            <w:tcW w:w="0" w:type="auto"/>
            <w:shd w:val="clear" w:color="auto" w:fill="CCEEFF"/>
            <w:vAlign w:val="bottom"/>
            <w:hideMark/>
          </w:tcPr>
          <w:p w14:paraId="00442922"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51EAA656"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31FC18CC"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2F500D06" w14:textId="77777777" w:rsidR="00A02D3D" w:rsidRPr="00926205" w:rsidRDefault="00A02D3D" w:rsidP="001B46D2">
            <w:pPr>
              <w:spacing w:after="0"/>
              <w:jc w:val="right"/>
              <w:rPr>
                <w:rFonts w:eastAsia="Times New Roman"/>
              </w:rPr>
            </w:pPr>
            <w:r w:rsidRPr="00926205">
              <w:rPr>
                <w:rFonts w:eastAsia="Times New Roman"/>
              </w:rPr>
              <w:t>0.08 USD</w:t>
            </w:r>
          </w:p>
        </w:tc>
        <w:tc>
          <w:tcPr>
            <w:tcW w:w="0" w:type="auto"/>
            <w:shd w:val="clear" w:color="auto" w:fill="CCEEFF"/>
            <w:vAlign w:val="bottom"/>
            <w:hideMark/>
          </w:tcPr>
          <w:p w14:paraId="2D105A86"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676D9B1F"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72E4E94C" w14:textId="77777777" w:rsidR="00A02D3D" w:rsidRPr="00926205" w:rsidRDefault="00A02D3D" w:rsidP="001B46D2">
            <w:pPr>
              <w:spacing w:after="0"/>
              <w:jc w:val="right"/>
              <w:rPr>
                <w:rFonts w:eastAsia="Times New Roman"/>
              </w:rPr>
            </w:pPr>
            <w:r w:rsidRPr="00926205">
              <w:rPr>
                <w:rFonts w:eastAsia="Times New Roman"/>
              </w:rPr>
              <w:t>September 8, 2023</w:t>
            </w:r>
          </w:p>
        </w:tc>
      </w:tr>
      <w:tr w:rsidR="00A02D3D" w:rsidRPr="00C74016" w14:paraId="4513C5D4" w14:textId="77777777" w:rsidTr="00A02D3D">
        <w:tc>
          <w:tcPr>
            <w:tcW w:w="46" w:type="pct"/>
            <w:shd w:val="clear" w:color="auto" w:fill="auto"/>
            <w:vAlign w:val="bottom"/>
            <w:hideMark/>
          </w:tcPr>
          <w:p w14:paraId="1CE1B7AD"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1A502B96" w14:textId="77777777" w:rsidR="00A02D3D" w:rsidRPr="00926205" w:rsidRDefault="00A02D3D" w:rsidP="001B46D2">
            <w:pPr>
              <w:spacing w:after="0"/>
              <w:jc w:val="right"/>
              <w:rPr>
                <w:rFonts w:eastAsia="Times New Roman"/>
              </w:rPr>
            </w:pPr>
            <w:r w:rsidRPr="00926205">
              <w:rPr>
                <w:rFonts w:eastAsia="Times New Roman"/>
              </w:rPr>
              <w:t>660,000</w:t>
            </w:r>
          </w:p>
        </w:tc>
        <w:tc>
          <w:tcPr>
            <w:tcW w:w="0" w:type="auto"/>
            <w:shd w:val="clear" w:color="auto" w:fill="auto"/>
            <w:vAlign w:val="bottom"/>
          </w:tcPr>
          <w:p w14:paraId="10A4D4C4"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1E830A51"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242F9839"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50EF9188" w14:textId="77777777" w:rsidR="00A02D3D" w:rsidRPr="00926205" w:rsidRDefault="00A02D3D" w:rsidP="001B46D2">
            <w:pPr>
              <w:spacing w:after="0"/>
              <w:jc w:val="right"/>
              <w:rPr>
                <w:rFonts w:eastAsia="Times New Roman"/>
              </w:rPr>
            </w:pPr>
            <w:r w:rsidRPr="00926205">
              <w:rPr>
                <w:rFonts w:eastAsia="Times New Roman"/>
              </w:rPr>
              <w:t>0.10 USD</w:t>
            </w:r>
          </w:p>
        </w:tc>
        <w:tc>
          <w:tcPr>
            <w:tcW w:w="0" w:type="auto"/>
            <w:shd w:val="clear" w:color="auto" w:fill="auto"/>
            <w:vAlign w:val="bottom"/>
          </w:tcPr>
          <w:p w14:paraId="11AEEB8C"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7E8F04DD"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4FBA9C87" w14:textId="77777777" w:rsidR="00A02D3D" w:rsidRPr="00926205" w:rsidRDefault="00A02D3D" w:rsidP="001B46D2">
            <w:pPr>
              <w:spacing w:after="0"/>
              <w:jc w:val="right"/>
              <w:rPr>
                <w:rFonts w:eastAsia="Times New Roman"/>
              </w:rPr>
            </w:pPr>
            <w:r w:rsidRPr="00926205">
              <w:rPr>
                <w:rFonts w:eastAsia="Times New Roman"/>
              </w:rPr>
              <w:t>September 30, 2023</w:t>
            </w:r>
          </w:p>
        </w:tc>
      </w:tr>
      <w:tr w:rsidR="00A02D3D" w:rsidRPr="00C74016" w14:paraId="26B45F5D" w14:textId="77777777" w:rsidTr="00A02D3D">
        <w:tc>
          <w:tcPr>
            <w:tcW w:w="46" w:type="pct"/>
            <w:shd w:val="clear" w:color="auto" w:fill="CCEEFF"/>
            <w:vAlign w:val="bottom"/>
          </w:tcPr>
          <w:p w14:paraId="2299273D"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6883251A" w14:textId="77777777" w:rsidR="00A02D3D" w:rsidRPr="00926205" w:rsidRDefault="00A02D3D" w:rsidP="001B46D2">
            <w:pPr>
              <w:spacing w:after="0"/>
              <w:jc w:val="right"/>
              <w:rPr>
                <w:rFonts w:eastAsia="Times New Roman"/>
              </w:rPr>
            </w:pPr>
            <w:r w:rsidRPr="00926205">
              <w:rPr>
                <w:rFonts w:eastAsia="Times New Roman"/>
              </w:rPr>
              <w:t>21,705,438</w:t>
            </w:r>
          </w:p>
        </w:tc>
        <w:tc>
          <w:tcPr>
            <w:tcW w:w="0" w:type="auto"/>
            <w:shd w:val="clear" w:color="auto" w:fill="CCEEFF"/>
            <w:vAlign w:val="bottom"/>
          </w:tcPr>
          <w:p w14:paraId="0A333D67"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6AC73B8F"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7844BE0E"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003C0884" w14:textId="77777777" w:rsidR="00A02D3D" w:rsidRPr="00926205" w:rsidRDefault="00A02D3D" w:rsidP="001B46D2">
            <w:pPr>
              <w:spacing w:after="0"/>
              <w:jc w:val="right"/>
              <w:rPr>
                <w:rFonts w:eastAsia="Times New Roman"/>
              </w:rPr>
            </w:pPr>
            <w:r w:rsidRPr="00926205">
              <w:rPr>
                <w:rFonts w:eastAsia="Times New Roman"/>
              </w:rPr>
              <w:t>0.35 USD</w:t>
            </w:r>
          </w:p>
        </w:tc>
        <w:tc>
          <w:tcPr>
            <w:tcW w:w="0" w:type="auto"/>
            <w:shd w:val="clear" w:color="auto" w:fill="CCEEFF"/>
            <w:vAlign w:val="bottom"/>
          </w:tcPr>
          <w:p w14:paraId="1A1F52F3"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3EBDE116"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1570E2AA" w14:textId="77777777" w:rsidR="00A02D3D" w:rsidRPr="00926205" w:rsidRDefault="00A02D3D" w:rsidP="001B46D2">
            <w:pPr>
              <w:spacing w:after="0"/>
              <w:jc w:val="right"/>
              <w:rPr>
                <w:rFonts w:eastAsia="Times New Roman"/>
              </w:rPr>
            </w:pPr>
            <w:r w:rsidRPr="00926205">
              <w:rPr>
                <w:rFonts w:eastAsia="Times New Roman"/>
              </w:rPr>
              <w:t>March 15, 2024</w:t>
            </w:r>
          </w:p>
        </w:tc>
      </w:tr>
      <w:tr w:rsidR="00A02D3D" w:rsidRPr="00C74016" w14:paraId="25781759" w14:textId="77777777" w:rsidTr="00A02D3D">
        <w:tc>
          <w:tcPr>
            <w:tcW w:w="46" w:type="pct"/>
            <w:shd w:val="clear" w:color="auto" w:fill="auto"/>
            <w:vAlign w:val="bottom"/>
          </w:tcPr>
          <w:p w14:paraId="70BB30D3"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584CF7C7" w14:textId="77777777" w:rsidR="00A02D3D" w:rsidRPr="00926205" w:rsidRDefault="00A02D3D" w:rsidP="001B46D2">
            <w:pPr>
              <w:spacing w:after="0"/>
              <w:jc w:val="right"/>
              <w:rPr>
                <w:rFonts w:eastAsia="Times New Roman"/>
              </w:rPr>
            </w:pPr>
            <w:r w:rsidRPr="00926205">
              <w:rPr>
                <w:rFonts w:eastAsia="Times New Roman"/>
              </w:rPr>
              <w:t>3,393,939</w:t>
            </w:r>
          </w:p>
        </w:tc>
        <w:tc>
          <w:tcPr>
            <w:tcW w:w="0" w:type="auto"/>
            <w:shd w:val="clear" w:color="auto" w:fill="auto"/>
            <w:vAlign w:val="bottom"/>
          </w:tcPr>
          <w:p w14:paraId="1BCA6124"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3DFD5F5F"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3C408951"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12E0BF0C" w14:textId="77777777" w:rsidR="00A02D3D" w:rsidRPr="00926205" w:rsidRDefault="00A02D3D" w:rsidP="001B46D2">
            <w:pPr>
              <w:spacing w:after="0"/>
              <w:jc w:val="right"/>
              <w:rPr>
                <w:rFonts w:eastAsia="Times New Roman"/>
              </w:rPr>
            </w:pPr>
            <w:r w:rsidRPr="00926205">
              <w:rPr>
                <w:rFonts w:eastAsia="Times New Roman"/>
              </w:rPr>
              <w:t>0.35 USD</w:t>
            </w:r>
          </w:p>
        </w:tc>
        <w:tc>
          <w:tcPr>
            <w:tcW w:w="0" w:type="auto"/>
            <w:shd w:val="clear" w:color="auto" w:fill="auto"/>
            <w:vAlign w:val="bottom"/>
          </w:tcPr>
          <w:p w14:paraId="530DE1EF"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56A17EF7"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0C90AE36" w14:textId="77777777" w:rsidR="00A02D3D" w:rsidRPr="00926205" w:rsidRDefault="00A02D3D" w:rsidP="001B46D2">
            <w:pPr>
              <w:spacing w:after="0"/>
              <w:jc w:val="right"/>
              <w:rPr>
                <w:rFonts w:eastAsia="Times New Roman"/>
              </w:rPr>
            </w:pPr>
            <w:r w:rsidRPr="00926205">
              <w:rPr>
                <w:rFonts w:eastAsia="Times New Roman"/>
              </w:rPr>
              <w:t>March 16, 2024</w:t>
            </w:r>
          </w:p>
        </w:tc>
      </w:tr>
      <w:tr w:rsidR="00A02D3D" w:rsidRPr="00C74016" w14:paraId="2B2BA4CF" w14:textId="77777777" w:rsidTr="00A02D3D">
        <w:tc>
          <w:tcPr>
            <w:tcW w:w="46" w:type="pct"/>
            <w:shd w:val="clear" w:color="auto" w:fill="CCEEFF"/>
            <w:vAlign w:val="bottom"/>
          </w:tcPr>
          <w:p w14:paraId="0B2480FC"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1274FA3F" w14:textId="77777777" w:rsidR="00A02D3D" w:rsidRPr="00926205" w:rsidRDefault="00A02D3D" w:rsidP="001B46D2">
            <w:pPr>
              <w:spacing w:after="0"/>
              <w:jc w:val="right"/>
              <w:rPr>
                <w:rFonts w:eastAsia="Times New Roman"/>
              </w:rPr>
            </w:pPr>
            <w:r w:rsidRPr="00926205">
              <w:rPr>
                <w:rFonts w:eastAsia="Times New Roman"/>
              </w:rPr>
              <w:t>2,954,545</w:t>
            </w:r>
          </w:p>
        </w:tc>
        <w:tc>
          <w:tcPr>
            <w:tcW w:w="0" w:type="auto"/>
            <w:shd w:val="clear" w:color="auto" w:fill="CCEEFF"/>
            <w:vAlign w:val="bottom"/>
          </w:tcPr>
          <w:p w14:paraId="2CB10D4B"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1F57B7E3"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03363771"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51F99176" w14:textId="77777777" w:rsidR="00A02D3D" w:rsidRPr="00926205" w:rsidRDefault="00A02D3D" w:rsidP="001B46D2">
            <w:pPr>
              <w:spacing w:after="0"/>
              <w:jc w:val="right"/>
              <w:rPr>
                <w:rFonts w:eastAsia="Times New Roman"/>
              </w:rPr>
            </w:pPr>
            <w:r w:rsidRPr="00926205">
              <w:rPr>
                <w:rFonts w:eastAsia="Times New Roman"/>
              </w:rPr>
              <w:t>0.35 USD</w:t>
            </w:r>
          </w:p>
        </w:tc>
        <w:tc>
          <w:tcPr>
            <w:tcW w:w="0" w:type="auto"/>
            <w:shd w:val="clear" w:color="auto" w:fill="CCEEFF"/>
            <w:vAlign w:val="bottom"/>
          </w:tcPr>
          <w:p w14:paraId="6E4E4A89"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4C8E657A"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0DD7CEF7" w14:textId="77777777" w:rsidR="00A02D3D" w:rsidRPr="00926205" w:rsidRDefault="00A02D3D" w:rsidP="001B46D2">
            <w:pPr>
              <w:spacing w:after="0"/>
              <w:jc w:val="right"/>
              <w:rPr>
                <w:rFonts w:eastAsia="Times New Roman"/>
              </w:rPr>
            </w:pPr>
            <w:r w:rsidRPr="00926205">
              <w:rPr>
                <w:rFonts w:eastAsia="Times New Roman"/>
              </w:rPr>
              <w:t>March 17, 2024</w:t>
            </w:r>
          </w:p>
        </w:tc>
      </w:tr>
      <w:tr w:rsidR="00A02D3D" w:rsidRPr="00C74016" w14:paraId="5A44C9AA" w14:textId="77777777" w:rsidTr="00A02D3D">
        <w:tc>
          <w:tcPr>
            <w:tcW w:w="46" w:type="pct"/>
            <w:shd w:val="clear" w:color="auto" w:fill="auto"/>
            <w:vAlign w:val="bottom"/>
          </w:tcPr>
          <w:p w14:paraId="445E7330"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7675D80B" w14:textId="77777777" w:rsidR="00A02D3D" w:rsidRPr="00926205" w:rsidRDefault="00A02D3D" w:rsidP="001B46D2">
            <w:pPr>
              <w:spacing w:after="0"/>
              <w:jc w:val="right"/>
              <w:rPr>
                <w:rFonts w:eastAsia="Times New Roman"/>
              </w:rPr>
            </w:pPr>
            <w:r w:rsidRPr="00926205">
              <w:rPr>
                <w:rFonts w:eastAsia="Times New Roman"/>
              </w:rPr>
              <w:t>10,614,123</w:t>
            </w:r>
          </w:p>
        </w:tc>
        <w:tc>
          <w:tcPr>
            <w:tcW w:w="0" w:type="auto"/>
            <w:shd w:val="clear" w:color="auto" w:fill="auto"/>
            <w:vAlign w:val="bottom"/>
          </w:tcPr>
          <w:p w14:paraId="21EE1582"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45BBEB47"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553DCE78"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3F26BCF7" w14:textId="77777777" w:rsidR="00A02D3D" w:rsidRPr="00926205" w:rsidRDefault="00A02D3D" w:rsidP="001B46D2">
            <w:pPr>
              <w:spacing w:after="0"/>
              <w:jc w:val="right"/>
              <w:rPr>
                <w:rFonts w:eastAsia="Times New Roman"/>
              </w:rPr>
            </w:pPr>
            <w:r w:rsidRPr="00926205">
              <w:rPr>
                <w:rFonts w:eastAsia="Times New Roman"/>
              </w:rPr>
              <w:t>0.35 USD</w:t>
            </w:r>
          </w:p>
        </w:tc>
        <w:tc>
          <w:tcPr>
            <w:tcW w:w="0" w:type="auto"/>
            <w:shd w:val="clear" w:color="auto" w:fill="auto"/>
            <w:vAlign w:val="bottom"/>
          </w:tcPr>
          <w:p w14:paraId="4C2C34BC"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56EFE471"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4C1B9C37" w14:textId="77777777" w:rsidR="00A02D3D" w:rsidRPr="00926205" w:rsidRDefault="00A02D3D" w:rsidP="001B46D2">
            <w:pPr>
              <w:spacing w:after="0"/>
              <w:jc w:val="right"/>
              <w:rPr>
                <w:rFonts w:eastAsia="Times New Roman"/>
              </w:rPr>
            </w:pPr>
            <w:r w:rsidRPr="00926205">
              <w:rPr>
                <w:rFonts w:eastAsia="Times New Roman"/>
              </w:rPr>
              <w:t>March 18, 2024</w:t>
            </w:r>
          </w:p>
        </w:tc>
      </w:tr>
      <w:tr w:rsidR="00A02D3D" w:rsidRPr="00C74016" w14:paraId="5999E43A" w14:textId="77777777" w:rsidTr="00A02D3D">
        <w:tc>
          <w:tcPr>
            <w:tcW w:w="46" w:type="pct"/>
            <w:shd w:val="clear" w:color="auto" w:fill="CCEEFF"/>
            <w:vAlign w:val="bottom"/>
          </w:tcPr>
          <w:p w14:paraId="1BF956E0"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47869A3A" w14:textId="77777777" w:rsidR="00A02D3D" w:rsidRPr="00926205" w:rsidRDefault="00A02D3D" w:rsidP="001B46D2">
            <w:pPr>
              <w:spacing w:after="0"/>
              <w:jc w:val="right"/>
              <w:rPr>
                <w:rFonts w:eastAsia="Times New Roman"/>
              </w:rPr>
            </w:pPr>
            <w:r w:rsidRPr="00926205">
              <w:rPr>
                <w:rFonts w:eastAsia="Times New Roman"/>
              </w:rPr>
              <w:t>21,469,254</w:t>
            </w:r>
          </w:p>
        </w:tc>
        <w:tc>
          <w:tcPr>
            <w:tcW w:w="0" w:type="auto"/>
            <w:shd w:val="clear" w:color="auto" w:fill="CCEEFF"/>
            <w:vAlign w:val="bottom"/>
          </w:tcPr>
          <w:p w14:paraId="11D78E85"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158349ED"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68B7D91E"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701153CC" w14:textId="77777777" w:rsidR="00A02D3D" w:rsidRPr="00926205" w:rsidRDefault="00A02D3D" w:rsidP="001B46D2">
            <w:pPr>
              <w:spacing w:after="0"/>
              <w:jc w:val="right"/>
              <w:rPr>
                <w:rFonts w:eastAsia="Times New Roman"/>
              </w:rPr>
            </w:pPr>
            <w:r w:rsidRPr="00926205">
              <w:rPr>
                <w:rFonts w:eastAsia="Times New Roman"/>
              </w:rPr>
              <w:t>0.35 USD</w:t>
            </w:r>
          </w:p>
        </w:tc>
        <w:tc>
          <w:tcPr>
            <w:tcW w:w="0" w:type="auto"/>
            <w:shd w:val="clear" w:color="auto" w:fill="CCEEFF"/>
            <w:vAlign w:val="bottom"/>
          </w:tcPr>
          <w:p w14:paraId="63C8BBA2"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26D31FE1"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0C7AAF0B" w14:textId="77777777" w:rsidR="00A02D3D" w:rsidRPr="00926205" w:rsidRDefault="00A02D3D" w:rsidP="001B46D2">
            <w:pPr>
              <w:spacing w:after="0"/>
              <w:jc w:val="right"/>
              <w:rPr>
                <w:rFonts w:eastAsia="Times New Roman"/>
              </w:rPr>
            </w:pPr>
            <w:r w:rsidRPr="00926205">
              <w:rPr>
                <w:rFonts w:eastAsia="Times New Roman"/>
              </w:rPr>
              <w:t>March 24, 2024</w:t>
            </w:r>
          </w:p>
        </w:tc>
      </w:tr>
      <w:tr w:rsidR="00A02D3D" w:rsidRPr="00C74016" w14:paraId="2983CEC4" w14:textId="77777777" w:rsidTr="00A02D3D">
        <w:tc>
          <w:tcPr>
            <w:tcW w:w="46" w:type="pct"/>
            <w:shd w:val="clear" w:color="auto" w:fill="auto"/>
            <w:vAlign w:val="bottom"/>
          </w:tcPr>
          <w:p w14:paraId="7FD57DDA"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3C4A0CE8" w14:textId="77777777" w:rsidR="00A02D3D" w:rsidRPr="00926205" w:rsidRDefault="00A02D3D" w:rsidP="001B46D2">
            <w:pPr>
              <w:spacing w:after="0"/>
              <w:jc w:val="right"/>
              <w:rPr>
                <w:rFonts w:eastAsia="Times New Roman"/>
              </w:rPr>
            </w:pPr>
            <w:r w:rsidRPr="00926205">
              <w:rPr>
                <w:rFonts w:eastAsia="Times New Roman"/>
              </w:rPr>
              <w:t>2,653,000</w:t>
            </w:r>
          </w:p>
        </w:tc>
        <w:tc>
          <w:tcPr>
            <w:tcW w:w="0" w:type="auto"/>
            <w:shd w:val="clear" w:color="auto" w:fill="auto"/>
            <w:vAlign w:val="bottom"/>
          </w:tcPr>
          <w:p w14:paraId="7FDDEBBB"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7FA961C3"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2018675C"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6341EF17" w14:textId="77777777" w:rsidR="00A02D3D" w:rsidRPr="00926205" w:rsidRDefault="00A02D3D" w:rsidP="001B46D2">
            <w:pPr>
              <w:spacing w:after="0"/>
              <w:jc w:val="right"/>
              <w:rPr>
                <w:rFonts w:eastAsia="Times New Roman"/>
              </w:rPr>
            </w:pPr>
            <w:r w:rsidRPr="00926205">
              <w:rPr>
                <w:rFonts w:eastAsia="Times New Roman"/>
              </w:rPr>
              <w:t>0.35 USD</w:t>
            </w:r>
          </w:p>
        </w:tc>
        <w:tc>
          <w:tcPr>
            <w:tcW w:w="0" w:type="auto"/>
            <w:shd w:val="clear" w:color="auto" w:fill="auto"/>
            <w:vAlign w:val="bottom"/>
          </w:tcPr>
          <w:p w14:paraId="737E27CF"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49CA23F7"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6AD286A1" w14:textId="77777777" w:rsidR="00A02D3D" w:rsidRPr="00926205" w:rsidRDefault="00A02D3D" w:rsidP="001B46D2">
            <w:pPr>
              <w:spacing w:after="0"/>
              <w:jc w:val="right"/>
              <w:rPr>
                <w:rFonts w:eastAsia="Times New Roman"/>
              </w:rPr>
            </w:pPr>
            <w:r w:rsidRPr="00926205">
              <w:rPr>
                <w:rFonts w:eastAsia="Times New Roman"/>
              </w:rPr>
              <w:t>March 28, 2024</w:t>
            </w:r>
          </w:p>
        </w:tc>
      </w:tr>
      <w:tr w:rsidR="00A02D3D" w:rsidRPr="00C74016" w14:paraId="68306D70" w14:textId="77777777" w:rsidTr="00A44638">
        <w:tc>
          <w:tcPr>
            <w:tcW w:w="46" w:type="pct"/>
            <w:shd w:val="clear" w:color="auto" w:fill="CCEEFF"/>
            <w:vAlign w:val="bottom"/>
          </w:tcPr>
          <w:p w14:paraId="40A00DD8"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573FECBC" w14:textId="77777777" w:rsidR="00A02D3D" w:rsidRPr="00926205" w:rsidRDefault="00A02D3D" w:rsidP="001B46D2">
            <w:pPr>
              <w:spacing w:after="0"/>
              <w:jc w:val="right"/>
              <w:rPr>
                <w:rFonts w:eastAsia="Times New Roman"/>
              </w:rPr>
            </w:pPr>
            <w:r>
              <w:rPr>
                <w:rFonts w:eastAsia="Times New Roman"/>
              </w:rPr>
              <w:t>36,268,450</w:t>
            </w:r>
          </w:p>
        </w:tc>
        <w:tc>
          <w:tcPr>
            <w:tcW w:w="0" w:type="auto"/>
            <w:shd w:val="clear" w:color="auto" w:fill="CCEEFF"/>
            <w:vAlign w:val="bottom"/>
          </w:tcPr>
          <w:p w14:paraId="4A69DD42"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5A5A1B92"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4DE08DC6"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3AABC7B0" w14:textId="1BFAF58A" w:rsidR="00A02D3D" w:rsidRPr="00926205" w:rsidRDefault="00651ADD" w:rsidP="001B46D2">
            <w:pPr>
              <w:spacing w:after="0"/>
              <w:jc w:val="right"/>
              <w:rPr>
                <w:rFonts w:eastAsia="Times New Roman"/>
              </w:rPr>
            </w:pPr>
            <w:r>
              <w:rPr>
                <w:rFonts w:eastAsia="Times New Roman"/>
              </w:rPr>
              <w:t>0.39 USD</w:t>
            </w:r>
          </w:p>
        </w:tc>
        <w:tc>
          <w:tcPr>
            <w:tcW w:w="0" w:type="auto"/>
            <w:shd w:val="clear" w:color="auto" w:fill="CCEEFF"/>
            <w:vAlign w:val="bottom"/>
          </w:tcPr>
          <w:p w14:paraId="6B186DD9"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233AFF8A" w14:textId="77777777" w:rsidR="00A02D3D" w:rsidRPr="00926205" w:rsidRDefault="00A02D3D" w:rsidP="001B46D2">
            <w:pPr>
              <w:spacing w:after="0"/>
              <w:jc w:val="both"/>
              <w:rPr>
                <w:rFonts w:eastAsia="Times New Roman"/>
              </w:rPr>
            </w:pPr>
          </w:p>
        </w:tc>
        <w:tc>
          <w:tcPr>
            <w:tcW w:w="0" w:type="auto"/>
            <w:shd w:val="clear" w:color="auto" w:fill="CCEEFF"/>
            <w:vAlign w:val="bottom"/>
          </w:tcPr>
          <w:p w14:paraId="296A2594" w14:textId="76E111C4" w:rsidR="00A02D3D" w:rsidRPr="00926205" w:rsidRDefault="00651ADD" w:rsidP="001B46D2">
            <w:pPr>
              <w:spacing w:after="0"/>
              <w:jc w:val="right"/>
              <w:rPr>
                <w:rFonts w:eastAsia="Times New Roman"/>
              </w:rPr>
            </w:pPr>
            <w:r>
              <w:rPr>
                <w:rFonts w:eastAsia="Times New Roman"/>
              </w:rPr>
              <w:t>June 29, 2025</w:t>
            </w:r>
          </w:p>
        </w:tc>
      </w:tr>
      <w:tr w:rsidR="00A02D3D" w:rsidRPr="00C74016" w14:paraId="43F19B4F" w14:textId="77777777" w:rsidTr="00A02D3D">
        <w:tc>
          <w:tcPr>
            <w:tcW w:w="46" w:type="pct"/>
            <w:tcBorders>
              <w:bottom w:val="single" w:sz="12" w:space="0" w:color="000000"/>
            </w:tcBorders>
            <w:shd w:val="clear" w:color="auto" w:fill="auto"/>
            <w:vAlign w:val="bottom"/>
          </w:tcPr>
          <w:p w14:paraId="24E35741" w14:textId="77777777" w:rsidR="00A02D3D" w:rsidRPr="00926205" w:rsidRDefault="00A02D3D" w:rsidP="001B46D2">
            <w:pPr>
              <w:spacing w:after="0"/>
              <w:jc w:val="both"/>
              <w:rPr>
                <w:rFonts w:eastAsia="Times New Roman"/>
              </w:rPr>
            </w:pPr>
          </w:p>
        </w:tc>
        <w:tc>
          <w:tcPr>
            <w:tcW w:w="0" w:type="auto"/>
            <w:tcBorders>
              <w:bottom w:val="single" w:sz="12" w:space="0" w:color="000000"/>
            </w:tcBorders>
            <w:shd w:val="clear" w:color="auto" w:fill="auto"/>
            <w:vAlign w:val="bottom"/>
          </w:tcPr>
          <w:p w14:paraId="40970BDD" w14:textId="77777777" w:rsidR="00A02D3D" w:rsidRPr="00926205" w:rsidRDefault="00A02D3D" w:rsidP="001B46D2">
            <w:pPr>
              <w:spacing w:after="0"/>
              <w:jc w:val="right"/>
              <w:rPr>
                <w:rFonts w:eastAsia="Times New Roman"/>
              </w:rPr>
            </w:pPr>
            <w:r>
              <w:rPr>
                <w:rFonts w:eastAsia="Times New Roman"/>
              </w:rPr>
              <w:t>4,251,440</w:t>
            </w:r>
          </w:p>
        </w:tc>
        <w:tc>
          <w:tcPr>
            <w:tcW w:w="0" w:type="auto"/>
            <w:shd w:val="clear" w:color="auto" w:fill="auto"/>
            <w:vAlign w:val="bottom"/>
          </w:tcPr>
          <w:p w14:paraId="7DAF0069"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3DAFC843"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1BA27F98"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4405A81C" w14:textId="26ECB152" w:rsidR="00A02D3D" w:rsidRPr="00926205" w:rsidRDefault="00651ADD" w:rsidP="001B46D2">
            <w:pPr>
              <w:spacing w:after="0"/>
              <w:jc w:val="right"/>
              <w:rPr>
                <w:rFonts w:eastAsia="Times New Roman"/>
              </w:rPr>
            </w:pPr>
            <w:r>
              <w:rPr>
                <w:rFonts w:eastAsia="Times New Roman"/>
              </w:rPr>
              <w:t>0.24 USD</w:t>
            </w:r>
          </w:p>
        </w:tc>
        <w:tc>
          <w:tcPr>
            <w:tcW w:w="0" w:type="auto"/>
            <w:shd w:val="clear" w:color="auto" w:fill="auto"/>
            <w:vAlign w:val="bottom"/>
          </w:tcPr>
          <w:p w14:paraId="280F155D"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65B3466F" w14:textId="77777777" w:rsidR="00A02D3D" w:rsidRPr="00926205" w:rsidRDefault="00A02D3D" w:rsidP="001B46D2">
            <w:pPr>
              <w:spacing w:after="0"/>
              <w:jc w:val="both"/>
              <w:rPr>
                <w:rFonts w:eastAsia="Times New Roman"/>
              </w:rPr>
            </w:pPr>
          </w:p>
        </w:tc>
        <w:tc>
          <w:tcPr>
            <w:tcW w:w="0" w:type="auto"/>
            <w:shd w:val="clear" w:color="auto" w:fill="auto"/>
            <w:vAlign w:val="bottom"/>
          </w:tcPr>
          <w:p w14:paraId="29A1EC43" w14:textId="52D26B39" w:rsidR="00A02D3D" w:rsidRPr="00926205" w:rsidRDefault="00651ADD" w:rsidP="001B46D2">
            <w:pPr>
              <w:spacing w:after="0"/>
              <w:jc w:val="right"/>
              <w:rPr>
                <w:rFonts w:eastAsia="Times New Roman"/>
              </w:rPr>
            </w:pPr>
            <w:r>
              <w:rPr>
                <w:rFonts w:eastAsia="Times New Roman"/>
              </w:rPr>
              <w:t>June 29, 2025</w:t>
            </w:r>
          </w:p>
        </w:tc>
      </w:tr>
      <w:tr w:rsidR="00A02D3D" w:rsidRPr="00D2099E" w14:paraId="1A24CE76" w14:textId="77777777" w:rsidTr="00A02D3D">
        <w:tc>
          <w:tcPr>
            <w:tcW w:w="46" w:type="pct"/>
            <w:tcBorders>
              <w:top w:val="single" w:sz="12" w:space="0" w:color="000000"/>
              <w:bottom w:val="single" w:sz="12" w:space="0" w:color="000000"/>
            </w:tcBorders>
            <w:shd w:val="clear" w:color="auto" w:fill="CCEEFF"/>
            <w:vAlign w:val="bottom"/>
            <w:hideMark/>
          </w:tcPr>
          <w:p w14:paraId="26DFFECA"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tcBorders>
              <w:top w:val="single" w:sz="12" w:space="0" w:color="000000"/>
              <w:bottom w:val="single" w:sz="12" w:space="0" w:color="000000"/>
            </w:tcBorders>
            <w:shd w:val="clear" w:color="auto" w:fill="CCEEFF"/>
            <w:vAlign w:val="bottom"/>
            <w:hideMark/>
          </w:tcPr>
          <w:p w14:paraId="7A3E6418" w14:textId="0ADFA043" w:rsidR="00A02D3D" w:rsidRPr="00926205" w:rsidRDefault="00A02D3D" w:rsidP="001B46D2">
            <w:pPr>
              <w:spacing w:after="0"/>
              <w:jc w:val="right"/>
              <w:rPr>
                <w:rFonts w:eastAsia="Times New Roman"/>
              </w:rPr>
            </w:pPr>
            <w:r>
              <w:rPr>
                <w:rFonts w:eastAsia="Times New Roman"/>
              </w:rPr>
              <w:t>110</w:t>
            </w:r>
            <w:r w:rsidRPr="00926205">
              <w:rPr>
                <w:rFonts w:eastAsia="Times New Roman"/>
              </w:rPr>
              <w:t>,</w:t>
            </w:r>
            <w:r>
              <w:rPr>
                <w:rFonts w:eastAsia="Times New Roman"/>
              </w:rPr>
              <w:t>703</w:t>
            </w:r>
            <w:r w:rsidRPr="00926205">
              <w:rPr>
                <w:rFonts w:eastAsia="Times New Roman"/>
              </w:rPr>
              <w:t>,</w:t>
            </w:r>
            <w:r>
              <w:rPr>
                <w:rFonts w:eastAsia="Times New Roman"/>
              </w:rPr>
              <w:t>268</w:t>
            </w:r>
          </w:p>
        </w:tc>
        <w:tc>
          <w:tcPr>
            <w:tcW w:w="0" w:type="auto"/>
            <w:shd w:val="clear" w:color="auto" w:fill="CCEEFF"/>
            <w:tcMar>
              <w:top w:w="0" w:type="dxa"/>
              <w:left w:w="0" w:type="dxa"/>
              <w:bottom w:w="30" w:type="dxa"/>
              <w:right w:w="0" w:type="dxa"/>
            </w:tcMar>
            <w:vAlign w:val="bottom"/>
            <w:hideMark/>
          </w:tcPr>
          <w:p w14:paraId="4692EF52"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0DF3E759"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60FEEA8A"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2E78AC97" w14:textId="77777777" w:rsidR="00A02D3D" w:rsidRPr="00926205" w:rsidRDefault="00A02D3D" w:rsidP="001B46D2">
            <w:pPr>
              <w:spacing w:after="0"/>
              <w:jc w:val="right"/>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6681EB61"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212FCFDE" w14:textId="77777777" w:rsidR="00A02D3D" w:rsidRPr="00926205" w:rsidRDefault="00A02D3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42463324" w14:textId="77777777" w:rsidR="00A02D3D" w:rsidRPr="00926205" w:rsidRDefault="00A02D3D" w:rsidP="001B46D2">
            <w:pPr>
              <w:spacing w:after="0"/>
              <w:jc w:val="right"/>
              <w:rPr>
                <w:rFonts w:eastAsia="Times New Roman"/>
              </w:rPr>
            </w:pPr>
            <w:r w:rsidRPr="00926205">
              <w:rPr>
                <w:rFonts w:eastAsia="Times New Roman"/>
              </w:rPr>
              <w:t> </w:t>
            </w:r>
          </w:p>
        </w:tc>
      </w:tr>
    </w:tbl>
    <w:p w14:paraId="66F807FD" w14:textId="5A910352" w:rsidR="00B2631D" w:rsidRDefault="00B2631D"/>
    <w:p w14:paraId="7EDC68E6" w14:textId="1C939A3A" w:rsidR="00651ADD" w:rsidRDefault="00651ADD"/>
    <w:p w14:paraId="65905FE9" w14:textId="77777777" w:rsidR="00651ADD" w:rsidRDefault="00651ADD"/>
    <w:p w14:paraId="11267B12" w14:textId="58F5D614" w:rsidR="002506AB" w:rsidRDefault="002506AB" w:rsidP="00CD2C04">
      <w:pPr>
        <w:jc w:val="both"/>
        <w:rPr>
          <w:rFonts w:eastAsia="Times New Roman"/>
        </w:rPr>
      </w:pPr>
      <w:r w:rsidRPr="00860BBF">
        <w:rPr>
          <w:lang w:val="en-CA"/>
        </w:rPr>
        <w:lastRenderedPageBreak/>
        <w:t>As of the date of this MD&amp;A, the following warrants were outstanding,</w:t>
      </w:r>
      <w:r w:rsidRPr="00860BBF">
        <w:rPr>
          <w:rFonts w:eastAsia="Times New Roman"/>
        </w:rPr>
        <w:t xml:space="preserve"> entitling the holders thereof the right to purchase one common share for each warrant held as follows:</w:t>
      </w:r>
    </w:p>
    <w:tbl>
      <w:tblPr>
        <w:tblW w:w="3532" w:type="pct"/>
        <w:tblInd w:w="426" w:type="dxa"/>
        <w:tblCellMar>
          <w:left w:w="0" w:type="dxa"/>
          <w:right w:w="0" w:type="dxa"/>
        </w:tblCellMar>
        <w:tblLook w:val="04A0" w:firstRow="1" w:lastRow="0" w:firstColumn="1" w:lastColumn="0" w:noHBand="0" w:noVBand="1"/>
      </w:tblPr>
      <w:tblGrid>
        <w:gridCol w:w="63"/>
        <w:gridCol w:w="1401"/>
        <w:gridCol w:w="50"/>
        <w:gridCol w:w="50"/>
        <w:gridCol w:w="50"/>
        <w:gridCol w:w="1285"/>
        <w:gridCol w:w="50"/>
        <w:gridCol w:w="50"/>
        <w:gridCol w:w="3613"/>
      </w:tblGrid>
      <w:tr w:rsidR="00651ADD" w:rsidRPr="00C74016" w14:paraId="02AFCDFE" w14:textId="77777777" w:rsidTr="00651ADD">
        <w:tc>
          <w:tcPr>
            <w:tcW w:w="1106" w:type="pct"/>
            <w:gridSpan w:val="2"/>
            <w:tcBorders>
              <w:bottom w:val="single" w:sz="12" w:space="0" w:color="000000"/>
            </w:tcBorders>
            <w:vAlign w:val="bottom"/>
            <w:hideMark/>
          </w:tcPr>
          <w:p w14:paraId="5E820770" w14:textId="77777777" w:rsidR="00651ADD" w:rsidRPr="00926205" w:rsidRDefault="00651ADD" w:rsidP="001B46D2">
            <w:pPr>
              <w:spacing w:after="0"/>
              <w:jc w:val="center"/>
              <w:rPr>
                <w:rFonts w:eastAsia="Times New Roman"/>
              </w:rPr>
            </w:pPr>
            <w:r w:rsidRPr="00926205">
              <w:rPr>
                <w:rFonts w:eastAsia="Times New Roman"/>
              </w:rPr>
              <w:t>Outstanding</w:t>
            </w:r>
          </w:p>
        </w:tc>
        <w:tc>
          <w:tcPr>
            <w:tcW w:w="0" w:type="auto"/>
            <w:vAlign w:val="bottom"/>
            <w:hideMark/>
          </w:tcPr>
          <w:p w14:paraId="3D642A74" w14:textId="77777777" w:rsidR="00651ADD" w:rsidRPr="00926205" w:rsidRDefault="00651ADD" w:rsidP="001B46D2">
            <w:pPr>
              <w:spacing w:after="0"/>
              <w:jc w:val="center"/>
              <w:rPr>
                <w:rFonts w:eastAsia="Times New Roman"/>
              </w:rPr>
            </w:pPr>
            <w:r w:rsidRPr="00926205">
              <w:rPr>
                <w:rFonts w:eastAsia="Times New Roman"/>
              </w:rPr>
              <w:t> </w:t>
            </w:r>
          </w:p>
        </w:tc>
        <w:tc>
          <w:tcPr>
            <w:tcW w:w="0" w:type="auto"/>
            <w:vAlign w:val="bottom"/>
            <w:hideMark/>
          </w:tcPr>
          <w:p w14:paraId="46BD8B04" w14:textId="77777777" w:rsidR="00651ADD" w:rsidRPr="00926205" w:rsidRDefault="00651ADD" w:rsidP="001B46D2">
            <w:pPr>
              <w:spacing w:after="0"/>
              <w:jc w:val="center"/>
              <w:rPr>
                <w:rFonts w:eastAsia="Times New Roman"/>
              </w:rPr>
            </w:pPr>
            <w:r w:rsidRPr="00926205">
              <w:rPr>
                <w:rFonts w:eastAsia="Times New Roman"/>
              </w:rPr>
              <w:t> </w:t>
            </w:r>
          </w:p>
        </w:tc>
        <w:tc>
          <w:tcPr>
            <w:tcW w:w="0" w:type="auto"/>
            <w:gridSpan w:val="2"/>
            <w:tcBorders>
              <w:bottom w:val="single" w:sz="12" w:space="0" w:color="000000"/>
            </w:tcBorders>
            <w:vAlign w:val="bottom"/>
            <w:hideMark/>
          </w:tcPr>
          <w:p w14:paraId="708B015A" w14:textId="77777777" w:rsidR="00651ADD" w:rsidRPr="00926205" w:rsidRDefault="00651ADD" w:rsidP="001B46D2">
            <w:pPr>
              <w:spacing w:after="0"/>
              <w:jc w:val="center"/>
              <w:rPr>
                <w:rFonts w:eastAsia="Times New Roman"/>
              </w:rPr>
            </w:pPr>
            <w:r w:rsidRPr="00926205">
              <w:rPr>
                <w:rFonts w:eastAsia="Times New Roman"/>
              </w:rPr>
              <w:t>Exercise Price</w:t>
            </w:r>
          </w:p>
        </w:tc>
        <w:tc>
          <w:tcPr>
            <w:tcW w:w="0" w:type="auto"/>
            <w:vAlign w:val="bottom"/>
            <w:hideMark/>
          </w:tcPr>
          <w:p w14:paraId="1FBFBEED" w14:textId="77777777" w:rsidR="00651ADD" w:rsidRPr="00926205" w:rsidRDefault="00651ADD" w:rsidP="001B46D2">
            <w:pPr>
              <w:spacing w:after="0"/>
              <w:jc w:val="center"/>
              <w:rPr>
                <w:rFonts w:eastAsia="Times New Roman"/>
              </w:rPr>
            </w:pPr>
            <w:r w:rsidRPr="00926205">
              <w:rPr>
                <w:rFonts w:eastAsia="Times New Roman"/>
              </w:rPr>
              <w:t> </w:t>
            </w:r>
          </w:p>
        </w:tc>
        <w:tc>
          <w:tcPr>
            <w:tcW w:w="0" w:type="auto"/>
            <w:vAlign w:val="bottom"/>
            <w:hideMark/>
          </w:tcPr>
          <w:p w14:paraId="1A0C4CDD" w14:textId="77777777" w:rsidR="00651ADD" w:rsidRPr="00926205" w:rsidRDefault="00651ADD" w:rsidP="001B46D2">
            <w:pPr>
              <w:spacing w:after="0"/>
              <w:jc w:val="center"/>
              <w:rPr>
                <w:rFonts w:eastAsia="Times New Roman"/>
              </w:rPr>
            </w:pPr>
            <w:r w:rsidRPr="00926205">
              <w:rPr>
                <w:rFonts w:eastAsia="Times New Roman"/>
              </w:rPr>
              <w:t> </w:t>
            </w:r>
          </w:p>
        </w:tc>
        <w:tc>
          <w:tcPr>
            <w:tcW w:w="0" w:type="auto"/>
            <w:tcBorders>
              <w:bottom w:val="single" w:sz="12" w:space="0" w:color="000000"/>
            </w:tcBorders>
            <w:vAlign w:val="bottom"/>
            <w:hideMark/>
          </w:tcPr>
          <w:p w14:paraId="64ED67B1" w14:textId="77777777" w:rsidR="00651ADD" w:rsidRPr="00926205" w:rsidRDefault="00651ADD" w:rsidP="001B46D2">
            <w:pPr>
              <w:spacing w:after="0"/>
              <w:jc w:val="center"/>
              <w:rPr>
                <w:rFonts w:eastAsia="Times New Roman"/>
              </w:rPr>
            </w:pPr>
            <w:r w:rsidRPr="00926205">
              <w:rPr>
                <w:rFonts w:eastAsia="Times New Roman"/>
              </w:rPr>
              <w:t>Expiry Date</w:t>
            </w:r>
          </w:p>
        </w:tc>
      </w:tr>
      <w:tr w:rsidR="00651ADD" w:rsidRPr="00C74016" w14:paraId="035C5E3B" w14:textId="77777777" w:rsidTr="00651ADD">
        <w:tc>
          <w:tcPr>
            <w:tcW w:w="47" w:type="pct"/>
            <w:shd w:val="clear" w:color="auto" w:fill="CCEEFF"/>
            <w:vAlign w:val="bottom"/>
            <w:hideMark/>
          </w:tcPr>
          <w:p w14:paraId="2D7E30D6" w14:textId="77777777" w:rsidR="00651ADD" w:rsidRPr="00926205" w:rsidRDefault="00651ADD" w:rsidP="001B46D2">
            <w:pPr>
              <w:spacing w:after="0"/>
              <w:jc w:val="both"/>
              <w:rPr>
                <w:rFonts w:eastAsia="Times New Roman"/>
              </w:rPr>
            </w:pPr>
            <w:r w:rsidRPr="00926205">
              <w:rPr>
                <w:rFonts w:eastAsia="Times New Roman"/>
              </w:rPr>
              <w:t> </w:t>
            </w:r>
          </w:p>
        </w:tc>
        <w:tc>
          <w:tcPr>
            <w:tcW w:w="1059" w:type="pct"/>
            <w:shd w:val="clear" w:color="auto" w:fill="CCEEFF"/>
            <w:vAlign w:val="bottom"/>
            <w:hideMark/>
          </w:tcPr>
          <w:p w14:paraId="5D2457FC" w14:textId="77777777" w:rsidR="00651ADD" w:rsidRPr="00926205" w:rsidRDefault="00651ADD" w:rsidP="001B46D2">
            <w:pPr>
              <w:spacing w:after="0"/>
              <w:jc w:val="right"/>
              <w:rPr>
                <w:rFonts w:eastAsia="Times New Roman"/>
              </w:rPr>
            </w:pPr>
            <w:r w:rsidRPr="00926205">
              <w:rPr>
                <w:rFonts w:eastAsia="Times New Roman"/>
              </w:rPr>
              <w:t>1,000,000</w:t>
            </w:r>
          </w:p>
        </w:tc>
        <w:tc>
          <w:tcPr>
            <w:tcW w:w="38" w:type="pct"/>
            <w:shd w:val="clear" w:color="auto" w:fill="CCEEFF"/>
            <w:vAlign w:val="bottom"/>
            <w:hideMark/>
          </w:tcPr>
          <w:p w14:paraId="56505203" w14:textId="77777777" w:rsidR="00651ADD" w:rsidRPr="00926205" w:rsidRDefault="00651ADD" w:rsidP="001B46D2">
            <w:pPr>
              <w:spacing w:after="0"/>
              <w:jc w:val="both"/>
              <w:rPr>
                <w:rFonts w:eastAsia="Times New Roman"/>
              </w:rPr>
            </w:pPr>
            <w:r w:rsidRPr="00926205">
              <w:rPr>
                <w:rFonts w:eastAsia="Times New Roman"/>
              </w:rPr>
              <w:t> </w:t>
            </w:r>
          </w:p>
        </w:tc>
        <w:tc>
          <w:tcPr>
            <w:tcW w:w="38" w:type="pct"/>
            <w:shd w:val="clear" w:color="auto" w:fill="CCEEFF"/>
            <w:vAlign w:val="bottom"/>
            <w:hideMark/>
          </w:tcPr>
          <w:p w14:paraId="62671368" w14:textId="77777777" w:rsidR="00651ADD" w:rsidRPr="00926205" w:rsidRDefault="00651ADD" w:rsidP="001B46D2">
            <w:pPr>
              <w:spacing w:after="0"/>
              <w:jc w:val="both"/>
              <w:rPr>
                <w:rFonts w:eastAsia="Times New Roman"/>
              </w:rPr>
            </w:pPr>
            <w:r w:rsidRPr="00926205">
              <w:rPr>
                <w:rFonts w:eastAsia="Times New Roman"/>
              </w:rPr>
              <w:t> </w:t>
            </w:r>
          </w:p>
        </w:tc>
        <w:tc>
          <w:tcPr>
            <w:tcW w:w="38" w:type="pct"/>
            <w:shd w:val="clear" w:color="auto" w:fill="CCEEFF"/>
            <w:vAlign w:val="bottom"/>
            <w:hideMark/>
          </w:tcPr>
          <w:p w14:paraId="27606037" w14:textId="77777777" w:rsidR="00651ADD" w:rsidRPr="00926205" w:rsidRDefault="00651ADD" w:rsidP="001B46D2">
            <w:pPr>
              <w:spacing w:after="0"/>
              <w:jc w:val="both"/>
              <w:rPr>
                <w:rFonts w:eastAsia="Times New Roman"/>
              </w:rPr>
            </w:pPr>
            <w:r w:rsidRPr="00926205">
              <w:rPr>
                <w:rFonts w:eastAsia="Times New Roman"/>
              </w:rPr>
              <w:t> </w:t>
            </w:r>
          </w:p>
        </w:tc>
        <w:tc>
          <w:tcPr>
            <w:tcW w:w="972" w:type="pct"/>
            <w:shd w:val="clear" w:color="auto" w:fill="CCEEFF"/>
            <w:vAlign w:val="bottom"/>
            <w:hideMark/>
          </w:tcPr>
          <w:p w14:paraId="3757D2E1" w14:textId="77777777" w:rsidR="00651ADD" w:rsidRPr="00926205" w:rsidRDefault="00651ADD" w:rsidP="001B46D2">
            <w:pPr>
              <w:spacing w:after="0"/>
              <w:jc w:val="right"/>
              <w:rPr>
                <w:rFonts w:eastAsia="Times New Roman"/>
              </w:rPr>
            </w:pPr>
            <w:r w:rsidRPr="00926205">
              <w:rPr>
                <w:rFonts w:eastAsia="Times New Roman"/>
              </w:rPr>
              <w:t>0.16 USD</w:t>
            </w:r>
          </w:p>
        </w:tc>
        <w:tc>
          <w:tcPr>
            <w:tcW w:w="38" w:type="pct"/>
            <w:shd w:val="clear" w:color="auto" w:fill="CCEEFF"/>
            <w:vAlign w:val="bottom"/>
            <w:hideMark/>
          </w:tcPr>
          <w:p w14:paraId="3F41E4B8" w14:textId="77777777" w:rsidR="00651ADD" w:rsidRPr="00926205" w:rsidRDefault="00651ADD" w:rsidP="001B46D2">
            <w:pPr>
              <w:spacing w:after="0"/>
              <w:jc w:val="both"/>
              <w:rPr>
                <w:rFonts w:eastAsia="Times New Roman"/>
              </w:rPr>
            </w:pPr>
            <w:r w:rsidRPr="00926205">
              <w:rPr>
                <w:rFonts w:eastAsia="Times New Roman"/>
              </w:rPr>
              <w:t> </w:t>
            </w:r>
          </w:p>
        </w:tc>
        <w:tc>
          <w:tcPr>
            <w:tcW w:w="38" w:type="pct"/>
            <w:shd w:val="clear" w:color="auto" w:fill="CCEEFF"/>
            <w:vAlign w:val="bottom"/>
            <w:hideMark/>
          </w:tcPr>
          <w:p w14:paraId="5DF03EA9" w14:textId="77777777" w:rsidR="00651ADD" w:rsidRPr="00926205" w:rsidRDefault="00651ADD" w:rsidP="001B46D2">
            <w:pPr>
              <w:spacing w:after="0"/>
              <w:jc w:val="both"/>
              <w:rPr>
                <w:rFonts w:eastAsia="Times New Roman"/>
              </w:rPr>
            </w:pPr>
            <w:r w:rsidRPr="00926205">
              <w:rPr>
                <w:rFonts w:eastAsia="Times New Roman"/>
              </w:rPr>
              <w:t> </w:t>
            </w:r>
          </w:p>
        </w:tc>
        <w:tc>
          <w:tcPr>
            <w:tcW w:w="2733" w:type="pct"/>
            <w:shd w:val="clear" w:color="auto" w:fill="CCEEFF"/>
            <w:vAlign w:val="bottom"/>
            <w:hideMark/>
          </w:tcPr>
          <w:p w14:paraId="64A0AEBC" w14:textId="77777777" w:rsidR="00651ADD" w:rsidRPr="00926205" w:rsidRDefault="00651ADD" w:rsidP="001B46D2">
            <w:pPr>
              <w:spacing w:after="0"/>
              <w:jc w:val="right"/>
              <w:rPr>
                <w:rFonts w:eastAsia="Times New Roman"/>
              </w:rPr>
            </w:pPr>
            <w:r w:rsidRPr="00926205">
              <w:rPr>
                <w:rFonts w:eastAsia="Times New Roman"/>
              </w:rPr>
              <w:t xml:space="preserve">March </w:t>
            </w:r>
            <w:r>
              <w:rPr>
                <w:rFonts w:eastAsia="Times New Roman"/>
              </w:rPr>
              <w:t>4</w:t>
            </w:r>
            <w:r w:rsidRPr="00926205">
              <w:rPr>
                <w:rFonts w:eastAsia="Times New Roman"/>
              </w:rPr>
              <w:t>, 2023</w:t>
            </w:r>
          </w:p>
        </w:tc>
      </w:tr>
      <w:tr w:rsidR="00651ADD" w:rsidRPr="00C74016" w14:paraId="30985FFD" w14:textId="77777777" w:rsidTr="00651ADD">
        <w:tc>
          <w:tcPr>
            <w:tcW w:w="47" w:type="pct"/>
            <w:shd w:val="clear" w:color="auto" w:fill="FFFFFF"/>
            <w:vAlign w:val="bottom"/>
            <w:hideMark/>
          </w:tcPr>
          <w:p w14:paraId="0997C18C"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1DE8CF9C" w14:textId="77777777" w:rsidR="00651ADD" w:rsidRPr="00926205" w:rsidRDefault="00651ADD" w:rsidP="001B46D2">
            <w:pPr>
              <w:spacing w:after="0"/>
              <w:jc w:val="right"/>
              <w:rPr>
                <w:rFonts w:eastAsia="Times New Roman"/>
              </w:rPr>
            </w:pPr>
            <w:r w:rsidRPr="00926205">
              <w:rPr>
                <w:rFonts w:eastAsia="Times New Roman"/>
              </w:rPr>
              <w:t>50,000</w:t>
            </w:r>
          </w:p>
        </w:tc>
        <w:tc>
          <w:tcPr>
            <w:tcW w:w="0" w:type="auto"/>
            <w:shd w:val="clear" w:color="auto" w:fill="FFFFFF"/>
            <w:vAlign w:val="bottom"/>
            <w:hideMark/>
          </w:tcPr>
          <w:p w14:paraId="07714C8C"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2092452B"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26743FD7"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54C1DDF1" w14:textId="77777777" w:rsidR="00651ADD" w:rsidRPr="00926205" w:rsidRDefault="00651ADD" w:rsidP="001B46D2">
            <w:pPr>
              <w:spacing w:after="0"/>
              <w:jc w:val="right"/>
              <w:rPr>
                <w:rFonts w:eastAsia="Times New Roman"/>
              </w:rPr>
            </w:pPr>
            <w:r w:rsidRPr="00926205">
              <w:rPr>
                <w:rFonts w:eastAsia="Times New Roman"/>
              </w:rPr>
              <w:t>0.32 USD</w:t>
            </w:r>
          </w:p>
        </w:tc>
        <w:tc>
          <w:tcPr>
            <w:tcW w:w="0" w:type="auto"/>
            <w:shd w:val="clear" w:color="auto" w:fill="FFFFFF"/>
            <w:vAlign w:val="bottom"/>
            <w:hideMark/>
          </w:tcPr>
          <w:p w14:paraId="2C6C414A"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50118C73"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FFFFFF"/>
            <w:vAlign w:val="bottom"/>
            <w:hideMark/>
          </w:tcPr>
          <w:p w14:paraId="4C45E614" w14:textId="77777777" w:rsidR="00651ADD" w:rsidRPr="00926205" w:rsidRDefault="00651ADD" w:rsidP="001B46D2">
            <w:pPr>
              <w:spacing w:after="0"/>
              <w:jc w:val="right"/>
              <w:rPr>
                <w:rFonts w:eastAsia="Times New Roman"/>
              </w:rPr>
            </w:pPr>
            <w:r w:rsidRPr="00926205">
              <w:rPr>
                <w:rFonts w:eastAsia="Times New Roman"/>
              </w:rPr>
              <w:t>June 6, 2023</w:t>
            </w:r>
          </w:p>
        </w:tc>
      </w:tr>
      <w:tr w:rsidR="00651ADD" w:rsidRPr="00C74016" w14:paraId="6DFE2E53" w14:textId="77777777" w:rsidTr="00651ADD">
        <w:tc>
          <w:tcPr>
            <w:tcW w:w="47" w:type="pct"/>
            <w:shd w:val="clear" w:color="auto" w:fill="CCEEFF"/>
            <w:vAlign w:val="bottom"/>
            <w:hideMark/>
          </w:tcPr>
          <w:p w14:paraId="60A734C4"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09A02477" w14:textId="77777777" w:rsidR="00651ADD" w:rsidRPr="00926205" w:rsidRDefault="00651ADD" w:rsidP="001B46D2">
            <w:pPr>
              <w:spacing w:after="0"/>
              <w:jc w:val="right"/>
              <w:rPr>
                <w:rFonts w:eastAsia="Times New Roman"/>
              </w:rPr>
            </w:pPr>
            <w:r w:rsidRPr="00926205">
              <w:rPr>
                <w:rFonts w:eastAsia="Times New Roman"/>
              </w:rPr>
              <w:t>2,</w:t>
            </w:r>
            <w:r>
              <w:rPr>
                <w:rFonts w:eastAsia="Times New Roman"/>
              </w:rPr>
              <w:t>124</w:t>
            </w:r>
            <w:r w:rsidRPr="00926205">
              <w:rPr>
                <w:rFonts w:eastAsia="Times New Roman"/>
              </w:rPr>
              <w:t>,999</w:t>
            </w:r>
          </w:p>
        </w:tc>
        <w:tc>
          <w:tcPr>
            <w:tcW w:w="0" w:type="auto"/>
            <w:shd w:val="clear" w:color="auto" w:fill="CCEEFF"/>
            <w:vAlign w:val="bottom"/>
          </w:tcPr>
          <w:p w14:paraId="5FA393DD"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216C6CB0"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579268E3"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26CEBB36" w14:textId="77777777" w:rsidR="00651ADD" w:rsidRPr="00926205" w:rsidRDefault="00651ADD" w:rsidP="001B46D2">
            <w:pPr>
              <w:spacing w:after="0"/>
              <w:jc w:val="right"/>
              <w:rPr>
                <w:rFonts w:eastAsia="Times New Roman"/>
              </w:rPr>
            </w:pPr>
            <w:r w:rsidRPr="00926205">
              <w:rPr>
                <w:rFonts w:eastAsia="Times New Roman"/>
              </w:rPr>
              <w:t>0.08 USD</w:t>
            </w:r>
          </w:p>
        </w:tc>
        <w:tc>
          <w:tcPr>
            <w:tcW w:w="0" w:type="auto"/>
            <w:shd w:val="clear" w:color="auto" w:fill="CCEEFF"/>
            <w:vAlign w:val="bottom"/>
          </w:tcPr>
          <w:p w14:paraId="63F0CBED"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27CC1D9D"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tcPr>
          <w:p w14:paraId="5C98D3B2" w14:textId="77777777" w:rsidR="00651ADD" w:rsidRPr="00926205" w:rsidRDefault="00651ADD" w:rsidP="001B46D2">
            <w:pPr>
              <w:spacing w:after="0"/>
              <w:jc w:val="right"/>
              <w:rPr>
                <w:rFonts w:eastAsia="Times New Roman"/>
              </w:rPr>
            </w:pPr>
            <w:r w:rsidRPr="00926205">
              <w:rPr>
                <w:rFonts w:eastAsia="Times New Roman"/>
              </w:rPr>
              <w:t>September 8, 2023</w:t>
            </w:r>
          </w:p>
        </w:tc>
      </w:tr>
      <w:tr w:rsidR="00651ADD" w:rsidRPr="00C74016" w14:paraId="4F80CF59" w14:textId="77777777" w:rsidTr="00651ADD">
        <w:tc>
          <w:tcPr>
            <w:tcW w:w="47" w:type="pct"/>
            <w:shd w:val="clear" w:color="auto" w:fill="auto"/>
            <w:vAlign w:val="bottom"/>
            <w:hideMark/>
          </w:tcPr>
          <w:p w14:paraId="4B441E1D"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0F441109" w14:textId="77777777" w:rsidR="00651ADD" w:rsidRPr="00926205" w:rsidRDefault="00651ADD" w:rsidP="001B46D2">
            <w:pPr>
              <w:spacing w:after="0"/>
              <w:jc w:val="right"/>
              <w:rPr>
                <w:rFonts w:eastAsia="Times New Roman"/>
              </w:rPr>
            </w:pPr>
            <w:r w:rsidRPr="00926205">
              <w:rPr>
                <w:rFonts w:eastAsia="Times New Roman"/>
              </w:rPr>
              <w:t>1,200,000</w:t>
            </w:r>
          </w:p>
        </w:tc>
        <w:tc>
          <w:tcPr>
            <w:tcW w:w="0" w:type="auto"/>
            <w:shd w:val="clear" w:color="auto" w:fill="auto"/>
            <w:vAlign w:val="bottom"/>
            <w:hideMark/>
          </w:tcPr>
          <w:p w14:paraId="414E3939"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70F606F6"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2976019B"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2F286310" w14:textId="77777777" w:rsidR="00651ADD" w:rsidRPr="00926205" w:rsidRDefault="00651ADD" w:rsidP="001B46D2">
            <w:pPr>
              <w:spacing w:after="0"/>
              <w:jc w:val="right"/>
              <w:rPr>
                <w:rFonts w:eastAsia="Times New Roman"/>
              </w:rPr>
            </w:pPr>
            <w:r w:rsidRPr="00926205">
              <w:rPr>
                <w:rFonts w:eastAsia="Times New Roman"/>
              </w:rPr>
              <w:t>0.10 USD</w:t>
            </w:r>
          </w:p>
        </w:tc>
        <w:tc>
          <w:tcPr>
            <w:tcW w:w="0" w:type="auto"/>
            <w:shd w:val="clear" w:color="auto" w:fill="auto"/>
            <w:vAlign w:val="bottom"/>
            <w:hideMark/>
          </w:tcPr>
          <w:p w14:paraId="3B6D28CA"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65C2AE43"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hideMark/>
          </w:tcPr>
          <w:p w14:paraId="78A43B38" w14:textId="77777777" w:rsidR="00651ADD" w:rsidRPr="00926205" w:rsidRDefault="00651ADD" w:rsidP="001B46D2">
            <w:pPr>
              <w:spacing w:after="0"/>
              <w:jc w:val="right"/>
              <w:rPr>
                <w:rFonts w:eastAsia="Times New Roman"/>
              </w:rPr>
            </w:pPr>
            <w:r w:rsidRPr="00926205">
              <w:rPr>
                <w:rFonts w:eastAsia="Times New Roman"/>
              </w:rPr>
              <w:t>September 8, 2023</w:t>
            </w:r>
          </w:p>
        </w:tc>
      </w:tr>
      <w:tr w:rsidR="00651ADD" w:rsidRPr="00C74016" w14:paraId="6F4EB147" w14:textId="77777777" w:rsidTr="00651ADD">
        <w:tc>
          <w:tcPr>
            <w:tcW w:w="47" w:type="pct"/>
            <w:shd w:val="clear" w:color="auto" w:fill="CCEEFF"/>
            <w:vAlign w:val="bottom"/>
            <w:hideMark/>
          </w:tcPr>
          <w:p w14:paraId="1B9F7ADA"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5038B7CA" w14:textId="56B4576A" w:rsidR="00651ADD" w:rsidRPr="00926205" w:rsidRDefault="00651ADD" w:rsidP="001B46D2">
            <w:pPr>
              <w:spacing w:after="0"/>
              <w:jc w:val="right"/>
              <w:rPr>
                <w:rFonts w:eastAsia="Times New Roman"/>
              </w:rPr>
            </w:pPr>
            <w:r>
              <w:rPr>
                <w:rFonts w:eastAsia="Times New Roman"/>
              </w:rPr>
              <w:t>1,108,080</w:t>
            </w:r>
          </w:p>
        </w:tc>
        <w:tc>
          <w:tcPr>
            <w:tcW w:w="0" w:type="auto"/>
            <w:shd w:val="clear" w:color="auto" w:fill="CCEEFF"/>
            <w:vAlign w:val="bottom"/>
            <w:hideMark/>
          </w:tcPr>
          <w:p w14:paraId="2AEF9BDF"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453B8B89"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1864D23A"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6EE1AB2C" w14:textId="77777777" w:rsidR="00651ADD" w:rsidRPr="00926205" w:rsidRDefault="00651ADD" w:rsidP="001B46D2">
            <w:pPr>
              <w:spacing w:after="0"/>
              <w:jc w:val="right"/>
              <w:rPr>
                <w:rFonts w:eastAsia="Times New Roman"/>
              </w:rPr>
            </w:pPr>
            <w:r w:rsidRPr="00926205">
              <w:rPr>
                <w:rFonts w:eastAsia="Times New Roman"/>
              </w:rPr>
              <w:t>0.08 USD</w:t>
            </w:r>
          </w:p>
        </w:tc>
        <w:tc>
          <w:tcPr>
            <w:tcW w:w="0" w:type="auto"/>
            <w:shd w:val="clear" w:color="auto" w:fill="CCEEFF"/>
            <w:vAlign w:val="bottom"/>
            <w:hideMark/>
          </w:tcPr>
          <w:p w14:paraId="6270A859"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16F757CB"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vAlign w:val="bottom"/>
            <w:hideMark/>
          </w:tcPr>
          <w:p w14:paraId="29EFCB15" w14:textId="77777777" w:rsidR="00651ADD" w:rsidRPr="00926205" w:rsidRDefault="00651ADD" w:rsidP="001B46D2">
            <w:pPr>
              <w:spacing w:after="0"/>
              <w:jc w:val="right"/>
              <w:rPr>
                <w:rFonts w:eastAsia="Times New Roman"/>
              </w:rPr>
            </w:pPr>
            <w:r w:rsidRPr="00926205">
              <w:rPr>
                <w:rFonts w:eastAsia="Times New Roman"/>
              </w:rPr>
              <w:t>September 8, 2023</w:t>
            </w:r>
          </w:p>
        </w:tc>
      </w:tr>
      <w:tr w:rsidR="00651ADD" w:rsidRPr="00C74016" w14:paraId="2F666AD0" w14:textId="77777777" w:rsidTr="00651ADD">
        <w:tc>
          <w:tcPr>
            <w:tcW w:w="47" w:type="pct"/>
            <w:shd w:val="clear" w:color="auto" w:fill="auto"/>
            <w:vAlign w:val="bottom"/>
            <w:hideMark/>
          </w:tcPr>
          <w:p w14:paraId="38F3EA07"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0065E47D" w14:textId="77777777" w:rsidR="00651ADD" w:rsidRPr="00926205" w:rsidRDefault="00651ADD" w:rsidP="001B46D2">
            <w:pPr>
              <w:spacing w:after="0"/>
              <w:jc w:val="right"/>
              <w:rPr>
                <w:rFonts w:eastAsia="Times New Roman"/>
              </w:rPr>
            </w:pPr>
            <w:r w:rsidRPr="00926205">
              <w:rPr>
                <w:rFonts w:eastAsia="Times New Roman"/>
              </w:rPr>
              <w:t>660,000</w:t>
            </w:r>
          </w:p>
        </w:tc>
        <w:tc>
          <w:tcPr>
            <w:tcW w:w="0" w:type="auto"/>
            <w:shd w:val="clear" w:color="auto" w:fill="auto"/>
            <w:vAlign w:val="bottom"/>
          </w:tcPr>
          <w:p w14:paraId="5FFB4FFF"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4738D982"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6AFD195B"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0AC29CB1" w14:textId="77777777" w:rsidR="00651ADD" w:rsidRPr="00926205" w:rsidRDefault="00651ADD" w:rsidP="001B46D2">
            <w:pPr>
              <w:spacing w:after="0"/>
              <w:jc w:val="right"/>
              <w:rPr>
                <w:rFonts w:eastAsia="Times New Roman"/>
              </w:rPr>
            </w:pPr>
            <w:r w:rsidRPr="00926205">
              <w:rPr>
                <w:rFonts w:eastAsia="Times New Roman"/>
              </w:rPr>
              <w:t>0.10 USD</w:t>
            </w:r>
          </w:p>
        </w:tc>
        <w:tc>
          <w:tcPr>
            <w:tcW w:w="0" w:type="auto"/>
            <w:shd w:val="clear" w:color="auto" w:fill="auto"/>
            <w:vAlign w:val="bottom"/>
          </w:tcPr>
          <w:p w14:paraId="6701E3AD"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4E885896"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auto"/>
            <w:vAlign w:val="bottom"/>
          </w:tcPr>
          <w:p w14:paraId="5FBB4C2E" w14:textId="77777777" w:rsidR="00651ADD" w:rsidRPr="00926205" w:rsidRDefault="00651ADD" w:rsidP="001B46D2">
            <w:pPr>
              <w:spacing w:after="0"/>
              <w:jc w:val="right"/>
              <w:rPr>
                <w:rFonts w:eastAsia="Times New Roman"/>
              </w:rPr>
            </w:pPr>
            <w:r w:rsidRPr="00926205">
              <w:rPr>
                <w:rFonts w:eastAsia="Times New Roman"/>
              </w:rPr>
              <w:t>September 30, 2023</w:t>
            </w:r>
          </w:p>
        </w:tc>
      </w:tr>
      <w:tr w:rsidR="00651ADD" w:rsidRPr="00C74016" w14:paraId="45718F5F" w14:textId="77777777" w:rsidTr="00651ADD">
        <w:tc>
          <w:tcPr>
            <w:tcW w:w="47" w:type="pct"/>
            <w:shd w:val="clear" w:color="auto" w:fill="CCEEFF"/>
            <w:vAlign w:val="bottom"/>
          </w:tcPr>
          <w:p w14:paraId="071C68D6"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67EE80DA" w14:textId="77777777" w:rsidR="00651ADD" w:rsidRPr="00926205" w:rsidRDefault="00651ADD" w:rsidP="001B46D2">
            <w:pPr>
              <w:spacing w:after="0"/>
              <w:jc w:val="right"/>
              <w:rPr>
                <w:rFonts w:eastAsia="Times New Roman"/>
              </w:rPr>
            </w:pPr>
            <w:r w:rsidRPr="00926205">
              <w:rPr>
                <w:rFonts w:eastAsia="Times New Roman"/>
              </w:rPr>
              <w:t>21,705,438</w:t>
            </w:r>
          </w:p>
        </w:tc>
        <w:tc>
          <w:tcPr>
            <w:tcW w:w="0" w:type="auto"/>
            <w:shd w:val="clear" w:color="auto" w:fill="CCEEFF"/>
            <w:vAlign w:val="bottom"/>
          </w:tcPr>
          <w:p w14:paraId="43D2245B"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6FC985E1"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21220C3D"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323C519C" w14:textId="77777777" w:rsidR="00651ADD" w:rsidRPr="00926205" w:rsidRDefault="00651ADD" w:rsidP="001B46D2">
            <w:pPr>
              <w:spacing w:after="0"/>
              <w:jc w:val="right"/>
              <w:rPr>
                <w:rFonts w:eastAsia="Times New Roman"/>
              </w:rPr>
            </w:pPr>
            <w:r w:rsidRPr="00926205">
              <w:rPr>
                <w:rFonts w:eastAsia="Times New Roman"/>
              </w:rPr>
              <w:t>0.35 USD</w:t>
            </w:r>
          </w:p>
        </w:tc>
        <w:tc>
          <w:tcPr>
            <w:tcW w:w="0" w:type="auto"/>
            <w:shd w:val="clear" w:color="auto" w:fill="CCEEFF"/>
            <w:vAlign w:val="bottom"/>
          </w:tcPr>
          <w:p w14:paraId="4F139228"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3CDAE31F"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3447E6E4" w14:textId="77777777" w:rsidR="00651ADD" w:rsidRPr="00926205" w:rsidRDefault="00651ADD" w:rsidP="001B46D2">
            <w:pPr>
              <w:spacing w:after="0"/>
              <w:jc w:val="right"/>
              <w:rPr>
                <w:rFonts w:eastAsia="Times New Roman"/>
              </w:rPr>
            </w:pPr>
            <w:r w:rsidRPr="00926205">
              <w:rPr>
                <w:rFonts w:eastAsia="Times New Roman"/>
              </w:rPr>
              <w:t>March 15, 2024</w:t>
            </w:r>
          </w:p>
        </w:tc>
      </w:tr>
      <w:tr w:rsidR="00651ADD" w:rsidRPr="00C74016" w14:paraId="3C2577DA" w14:textId="77777777" w:rsidTr="00651ADD">
        <w:tc>
          <w:tcPr>
            <w:tcW w:w="47" w:type="pct"/>
            <w:shd w:val="clear" w:color="auto" w:fill="auto"/>
            <w:vAlign w:val="bottom"/>
          </w:tcPr>
          <w:p w14:paraId="3096017C"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05C3C0F3" w14:textId="77777777" w:rsidR="00651ADD" w:rsidRPr="00926205" w:rsidRDefault="00651ADD" w:rsidP="001B46D2">
            <w:pPr>
              <w:spacing w:after="0"/>
              <w:jc w:val="right"/>
              <w:rPr>
                <w:rFonts w:eastAsia="Times New Roman"/>
              </w:rPr>
            </w:pPr>
            <w:r w:rsidRPr="00926205">
              <w:rPr>
                <w:rFonts w:eastAsia="Times New Roman"/>
              </w:rPr>
              <w:t>3,393,939</w:t>
            </w:r>
          </w:p>
        </w:tc>
        <w:tc>
          <w:tcPr>
            <w:tcW w:w="0" w:type="auto"/>
            <w:shd w:val="clear" w:color="auto" w:fill="auto"/>
            <w:vAlign w:val="bottom"/>
          </w:tcPr>
          <w:p w14:paraId="41CDE805"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134AD512"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38DCD16E"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0A5B4427" w14:textId="77777777" w:rsidR="00651ADD" w:rsidRPr="00926205" w:rsidRDefault="00651ADD" w:rsidP="001B46D2">
            <w:pPr>
              <w:spacing w:after="0"/>
              <w:jc w:val="right"/>
              <w:rPr>
                <w:rFonts w:eastAsia="Times New Roman"/>
              </w:rPr>
            </w:pPr>
            <w:r w:rsidRPr="00926205">
              <w:rPr>
                <w:rFonts w:eastAsia="Times New Roman"/>
              </w:rPr>
              <w:t>0.35 USD</w:t>
            </w:r>
          </w:p>
        </w:tc>
        <w:tc>
          <w:tcPr>
            <w:tcW w:w="0" w:type="auto"/>
            <w:shd w:val="clear" w:color="auto" w:fill="auto"/>
            <w:vAlign w:val="bottom"/>
          </w:tcPr>
          <w:p w14:paraId="6A5241D0"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70B3CADC"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3C7A5541" w14:textId="77777777" w:rsidR="00651ADD" w:rsidRPr="00926205" w:rsidRDefault="00651ADD" w:rsidP="001B46D2">
            <w:pPr>
              <w:spacing w:after="0"/>
              <w:jc w:val="right"/>
              <w:rPr>
                <w:rFonts w:eastAsia="Times New Roman"/>
              </w:rPr>
            </w:pPr>
            <w:r w:rsidRPr="00926205">
              <w:rPr>
                <w:rFonts w:eastAsia="Times New Roman"/>
              </w:rPr>
              <w:t>March 16, 2024</w:t>
            </w:r>
          </w:p>
        </w:tc>
      </w:tr>
      <w:tr w:rsidR="00651ADD" w:rsidRPr="00C74016" w14:paraId="509D065D" w14:textId="77777777" w:rsidTr="00651ADD">
        <w:tc>
          <w:tcPr>
            <w:tcW w:w="47" w:type="pct"/>
            <w:shd w:val="clear" w:color="auto" w:fill="CCEEFF"/>
            <w:vAlign w:val="bottom"/>
          </w:tcPr>
          <w:p w14:paraId="0473CCDA"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698674D3" w14:textId="77777777" w:rsidR="00651ADD" w:rsidRPr="00926205" w:rsidRDefault="00651ADD" w:rsidP="001B46D2">
            <w:pPr>
              <w:spacing w:after="0"/>
              <w:jc w:val="right"/>
              <w:rPr>
                <w:rFonts w:eastAsia="Times New Roman"/>
              </w:rPr>
            </w:pPr>
            <w:r w:rsidRPr="00926205">
              <w:rPr>
                <w:rFonts w:eastAsia="Times New Roman"/>
              </w:rPr>
              <w:t>2,954,545</w:t>
            </w:r>
          </w:p>
        </w:tc>
        <w:tc>
          <w:tcPr>
            <w:tcW w:w="0" w:type="auto"/>
            <w:shd w:val="clear" w:color="auto" w:fill="CCEEFF"/>
            <w:vAlign w:val="bottom"/>
          </w:tcPr>
          <w:p w14:paraId="663CB43E"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41DB9673"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20279125"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28F80A57" w14:textId="77777777" w:rsidR="00651ADD" w:rsidRPr="00926205" w:rsidRDefault="00651ADD" w:rsidP="001B46D2">
            <w:pPr>
              <w:spacing w:after="0"/>
              <w:jc w:val="right"/>
              <w:rPr>
                <w:rFonts w:eastAsia="Times New Roman"/>
              </w:rPr>
            </w:pPr>
            <w:r w:rsidRPr="00926205">
              <w:rPr>
                <w:rFonts w:eastAsia="Times New Roman"/>
              </w:rPr>
              <w:t>0.35 USD</w:t>
            </w:r>
          </w:p>
        </w:tc>
        <w:tc>
          <w:tcPr>
            <w:tcW w:w="0" w:type="auto"/>
            <w:shd w:val="clear" w:color="auto" w:fill="CCEEFF"/>
            <w:vAlign w:val="bottom"/>
          </w:tcPr>
          <w:p w14:paraId="4EB17389"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08AA3700"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050CA184" w14:textId="77777777" w:rsidR="00651ADD" w:rsidRPr="00926205" w:rsidRDefault="00651ADD" w:rsidP="001B46D2">
            <w:pPr>
              <w:spacing w:after="0"/>
              <w:jc w:val="right"/>
              <w:rPr>
                <w:rFonts w:eastAsia="Times New Roman"/>
              </w:rPr>
            </w:pPr>
            <w:r w:rsidRPr="00926205">
              <w:rPr>
                <w:rFonts w:eastAsia="Times New Roman"/>
              </w:rPr>
              <w:t>March 17, 2024</w:t>
            </w:r>
          </w:p>
        </w:tc>
      </w:tr>
      <w:tr w:rsidR="00651ADD" w:rsidRPr="00C74016" w14:paraId="0B744519" w14:textId="77777777" w:rsidTr="00651ADD">
        <w:tc>
          <w:tcPr>
            <w:tcW w:w="47" w:type="pct"/>
            <w:shd w:val="clear" w:color="auto" w:fill="auto"/>
            <w:vAlign w:val="bottom"/>
          </w:tcPr>
          <w:p w14:paraId="330A0D94"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23B7C0E8" w14:textId="77777777" w:rsidR="00651ADD" w:rsidRPr="00926205" w:rsidRDefault="00651ADD" w:rsidP="001B46D2">
            <w:pPr>
              <w:spacing w:after="0"/>
              <w:jc w:val="right"/>
              <w:rPr>
                <w:rFonts w:eastAsia="Times New Roman"/>
              </w:rPr>
            </w:pPr>
            <w:r w:rsidRPr="00926205">
              <w:rPr>
                <w:rFonts w:eastAsia="Times New Roman"/>
              </w:rPr>
              <w:t>10,614,123</w:t>
            </w:r>
          </w:p>
        </w:tc>
        <w:tc>
          <w:tcPr>
            <w:tcW w:w="0" w:type="auto"/>
            <w:shd w:val="clear" w:color="auto" w:fill="auto"/>
            <w:vAlign w:val="bottom"/>
          </w:tcPr>
          <w:p w14:paraId="5B704B76"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7E0BDD22"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282F5771"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3B3A47B8" w14:textId="77777777" w:rsidR="00651ADD" w:rsidRPr="00926205" w:rsidRDefault="00651ADD" w:rsidP="001B46D2">
            <w:pPr>
              <w:spacing w:after="0"/>
              <w:jc w:val="right"/>
              <w:rPr>
                <w:rFonts w:eastAsia="Times New Roman"/>
              </w:rPr>
            </w:pPr>
            <w:r w:rsidRPr="00926205">
              <w:rPr>
                <w:rFonts w:eastAsia="Times New Roman"/>
              </w:rPr>
              <w:t>0.35 USD</w:t>
            </w:r>
          </w:p>
        </w:tc>
        <w:tc>
          <w:tcPr>
            <w:tcW w:w="0" w:type="auto"/>
            <w:shd w:val="clear" w:color="auto" w:fill="auto"/>
            <w:vAlign w:val="bottom"/>
          </w:tcPr>
          <w:p w14:paraId="45DE2420"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761CC7FF"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493182D0" w14:textId="77777777" w:rsidR="00651ADD" w:rsidRPr="00926205" w:rsidRDefault="00651ADD" w:rsidP="001B46D2">
            <w:pPr>
              <w:spacing w:after="0"/>
              <w:jc w:val="right"/>
              <w:rPr>
                <w:rFonts w:eastAsia="Times New Roman"/>
              </w:rPr>
            </w:pPr>
            <w:r w:rsidRPr="00926205">
              <w:rPr>
                <w:rFonts w:eastAsia="Times New Roman"/>
              </w:rPr>
              <w:t>March 18, 2024</w:t>
            </w:r>
          </w:p>
        </w:tc>
      </w:tr>
      <w:tr w:rsidR="00651ADD" w:rsidRPr="00C74016" w14:paraId="1FED97D4" w14:textId="77777777" w:rsidTr="00651ADD">
        <w:tc>
          <w:tcPr>
            <w:tcW w:w="47" w:type="pct"/>
            <w:shd w:val="clear" w:color="auto" w:fill="CCEEFF"/>
            <w:vAlign w:val="bottom"/>
          </w:tcPr>
          <w:p w14:paraId="068B9A44"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34A9CF70" w14:textId="77777777" w:rsidR="00651ADD" w:rsidRPr="00926205" w:rsidRDefault="00651ADD" w:rsidP="001B46D2">
            <w:pPr>
              <w:spacing w:after="0"/>
              <w:jc w:val="right"/>
              <w:rPr>
                <w:rFonts w:eastAsia="Times New Roman"/>
              </w:rPr>
            </w:pPr>
            <w:r w:rsidRPr="00926205">
              <w:rPr>
                <w:rFonts w:eastAsia="Times New Roman"/>
              </w:rPr>
              <w:t>21,469,254</w:t>
            </w:r>
          </w:p>
        </w:tc>
        <w:tc>
          <w:tcPr>
            <w:tcW w:w="0" w:type="auto"/>
            <w:shd w:val="clear" w:color="auto" w:fill="CCEEFF"/>
            <w:vAlign w:val="bottom"/>
          </w:tcPr>
          <w:p w14:paraId="7187C005"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7FDE72D4"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13E82854"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4C5FD4FD" w14:textId="77777777" w:rsidR="00651ADD" w:rsidRPr="00926205" w:rsidRDefault="00651ADD" w:rsidP="001B46D2">
            <w:pPr>
              <w:spacing w:after="0"/>
              <w:jc w:val="right"/>
              <w:rPr>
                <w:rFonts w:eastAsia="Times New Roman"/>
              </w:rPr>
            </w:pPr>
            <w:r w:rsidRPr="00926205">
              <w:rPr>
                <w:rFonts w:eastAsia="Times New Roman"/>
              </w:rPr>
              <w:t>0.35 USD</w:t>
            </w:r>
          </w:p>
        </w:tc>
        <w:tc>
          <w:tcPr>
            <w:tcW w:w="0" w:type="auto"/>
            <w:shd w:val="clear" w:color="auto" w:fill="CCEEFF"/>
            <w:vAlign w:val="bottom"/>
          </w:tcPr>
          <w:p w14:paraId="137AC9C6"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689B7EEE"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30614DAC" w14:textId="77777777" w:rsidR="00651ADD" w:rsidRPr="00926205" w:rsidRDefault="00651ADD" w:rsidP="001B46D2">
            <w:pPr>
              <w:spacing w:after="0"/>
              <w:jc w:val="right"/>
              <w:rPr>
                <w:rFonts w:eastAsia="Times New Roman"/>
              </w:rPr>
            </w:pPr>
            <w:r w:rsidRPr="00926205">
              <w:rPr>
                <w:rFonts w:eastAsia="Times New Roman"/>
              </w:rPr>
              <w:t>March 24, 2024</w:t>
            </w:r>
          </w:p>
        </w:tc>
      </w:tr>
      <w:tr w:rsidR="00651ADD" w:rsidRPr="00C74016" w14:paraId="1D8E5016" w14:textId="77777777" w:rsidTr="00651ADD">
        <w:tc>
          <w:tcPr>
            <w:tcW w:w="47" w:type="pct"/>
            <w:shd w:val="clear" w:color="auto" w:fill="auto"/>
            <w:vAlign w:val="bottom"/>
          </w:tcPr>
          <w:p w14:paraId="78E65968"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3800F03B" w14:textId="77777777" w:rsidR="00651ADD" w:rsidRPr="00926205" w:rsidRDefault="00651ADD" w:rsidP="001B46D2">
            <w:pPr>
              <w:spacing w:after="0"/>
              <w:jc w:val="right"/>
              <w:rPr>
                <w:rFonts w:eastAsia="Times New Roman"/>
              </w:rPr>
            </w:pPr>
            <w:r w:rsidRPr="00926205">
              <w:rPr>
                <w:rFonts w:eastAsia="Times New Roman"/>
              </w:rPr>
              <w:t>2,653,000</w:t>
            </w:r>
          </w:p>
        </w:tc>
        <w:tc>
          <w:tcPr>
            <w:tcW w:w="0" w:type="auto"/>
            <w:shd w:val="clear" w:color="auto" w:fill="auto"/>
            <w:vAlign w:val="bottom"/>
          </w:tcPr>
          <w:p w14:paraId="170CCE3E"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6150ECF3"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789F0A9A"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0866BE78" w14:textId="77777777" w:rsidR="00651ADD" w:rsidRPr="00926205" w:rsidRDefault="00651ADD" w:rsidP="001B46D2">
            <w:pPr>
              <w:spacing w:after="0"/>
              <w:jc w:val="right"/>
              <w:rPr>
                <w:rFonts w:eastAsia="Times New Roman"/>
              </w:rPr>
            </w:pPr>
            <w:r w:rsidRPr="00926205">
              <w:rPr>
                <w:rFonts w:eastAsia="Times New Roman"/>
              </w:rPr>
              <w:t>0.35 USD</w:t>
            </w:r>
          </w:p>
        </w:tc>
        <w:tc>
          <w:tcPr>
            <w:tcW w:w="0" w:type="auto"/>
            <w:shd w:val="clear" w:color="auto" w:fill="auto"/>
            <w:vAlign w:val="bottom"/>
          </w:tcPr>
          <w:p w14:paraId="68A5B345"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37DB4851"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727214A1" w14:textId="77777777" w:rsidR="00651ADD" w:rsidRPr="00926205" w:rsidRDefault="00651ADD" w:rsidP="001B46D2">
            <w:pPr>
              <w:spacing w:after="0"/>
              <w:jc w:val="right"/>
              <w:rPr>
                <w:rFonts w:eastAsia="Times New Roman"/>
              </w:rPr>
            </w:pPr>
            <w:r w:rsidRPr="00926205">
              <w:rPr>
                <w:rFonts w:eastAsia="Times New Roman"/>
              </w:rPr>
              <w:t>March 28, 2024</w:t>
            </w:r>
          </w:p>
        </w:tc>
      </w:tr>
      <w:tr w:rsidR="00651ADD" w:rsidRPr="00C74016" w14:paraId="764E2F1B" w14:textId="77777777" w:rsidTr="00651ADD">
        <w:tc>
          <w:tcPr>
            <w:tcW w:w="47" w:type="pct"/>
            <w:shd w:val="clear" w:color="auto" w:fill="CCEEFF"/>
            <w:vAlign w:val="bottom"/>
          </w:tcPr>
          <w:p w14:paraId="77A32F89"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4A6388EA" w14:textId="77777777" w:rsidR="00651ADD" w:rsidRPr="00926205" w:rsidRDefault="00651ADD" w:rsidP="001B46D2">
            <w:pPr>
              <w:spacing w:after="0"/>
              <w:jc w:val="right"/>
              <w:rPr>
                <w:rFonts w:eastAsia="Times New Roman"/>
              </w:rPr>
            </w:pPr>
            <w:r>
              <w:rPr>
                <w:rFonts w:eastAsia="Times New Roman"/>
              </w:rPr>
              <w:t>36,268,450</w:t>
            </w:r>
          </w:p>
        </w:tc>
        <w:tc>
          <w:tcPr>
            <w:tcW w:w="0" w:type="auto"/>
            <w:shd w:val="clear" w:color="auto" w:fill="CCEEFF"/>
            <w:vAlign w:val="bottom"/>
          </w:tcPr>
          <w:p w14:paraId="67885372"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73F61F77"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44221D61"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6BCDE388" w14:textId="77777777" w:rsidR="00651ADD" w:rsidRPr="00926205" w:rsidRDefault="00651ADD" w:rsidP="001B46D2">
            <w:pPr>
              <w:spacing w:after="0"/>
              <w:jc w:val="right"/>
              <w:rPr>
                <w:rFonts w:eastAsia="Times New Roman"/>
              </w:rPr>
            </w:pPr>
            <w:r>
              <w:rPr>
                <w:rFonts w:eastAsia="Times New Roman"/>
              </w:rPr>
              <w:t>0.39 USD</w:t>
            </w:r>
          </w:p>
        </w:tc>
        <w:tc>
          <w:tcPr>
            <w:tcW w:w="0" w:type="auto"/>
            <w:shd w:val="clear" w:color="auto" w:fill="CCEEFF"/>
            <w:vAlign w:val="bottom"/>
          </w:tcPr>
          <w:p w14:paraId="549EDBAE"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6D5E850A" w14:textId="77777777" w:rsidR="00651ADD" w:rsidRPr="00926205" w:rsidRDefault="00651ADD" w:rsidP="001B46D2">
            <w:pPr>
              <w:spacing w:after="0"/>
              <w:jc w:val="both"/>
              <w:rPr>
                <w:rFonts w:eastAsia="Times New Roman"/>
              </w:rPr>
            </w:pPr>
          </w:p>
        </w:tc>
        <w:tc>
          <w:tcPr>
            <w:tcW w:w="0" w:type="auto"/>
            <w:shd w:val="clear" w:color="auto" w:fill="CCEEFF"/>
            <w:vAlign w:val="bottom"/>
          </w:tcPr>
          <w:p w14:paraId="5E22C0E0" w14:textId="77777777" w:rsidR="00651ADD" w:rsidRPr="00926205" w:rsidRDefault="00651ADD" w:rsidP="001B46D2">
            <w:pPr>
              <w:spacing w:after="0"/>
              <w:jc w:val="right"/>
              <w:rPr>
                <w:rFonts w:eastAsia="Times New Roman"/>
              </w:rPr>
            </w:pPr>
            <w:r>
              <w:rPr>
                <w:rFonts w:eastAsia="Times New Roman"/>
              </w:rPr>
              <w:t>June 29, 2025</w:t>
            </w:r>
          </w:p>
        </w:tc>
      </w:tr>
      <w:tr w:rsidR="00651ADD" w:rsidRPr="00C74016" w14:paraId="36881950" w14:textId="77777777" w:rsidTr="00651ADD">
        <w:tc>
          <w:tcPr>
            <w:tcW w:w="47" w:type="pct"/>
            <w:tcBorders>
              <w:bottom w:val="single" w:sz="12" w:space="0" w:color="000000"/>
            </w:tcBorders>
            <w:shd w:val="clear" w:color="auto" w:fill="auto"/>
            <w:vAlign w:val="bottom"/>
          </w:tcPr>
          <w:p w14:paraId="307227EE" w14:textId="77777777" w:rsidR="00651ADD" w:rsidRPr="00926205" w:rsidRDefault="00651ADD" w:rsidP="001B46D2">
            <w:pPr>
              <w:spacing w:after="0"/>
              <w:jc w:val="both"/>
              <w:rPr>
                <w:rFonts w:eastAsia="Times New Roman"/>
              </w:rPr>
            </w:pPr>
          </w:p>
        </w:tc>
        <w:tc>
          <w:tcPr>
            <w:tcW w:w="0" w:type="auto"/>
            <w:tcBorders>
              <w:bottom w:val="single" w:sz="12" w:space="0" w:color="000000"/>
            </w:tcBorders>
            <w:shd w:val="clear" w:color="auto" w:fill="auto"/>
            <w:vAlign w:val="bottom"/>
          </w:tcPr>
          <w:p w14:paraId="26729886" w14:textId="77777777" w:rsidR="00651ADD" w:rsidRPr="00926205" w:rsidRDefault="00651ADD" w:rsidP="001B46D2">
            <w:pPr>
              <w:spacing w:after="0"/>
              <w:jc w:val="right"/>
              <w:rPr>
                <w:rFonts w:eastAsia="Times New Roman"/>
              </w:rPr>
            </w:pPr>
            <w:r>
              <w:rPr>
                <w:rFonts w:eastAsia="Times New Roman"/>
              </w:rPr>
              <w:t>4,251,440</w:t>
            </w:r>
          </w:p>
        </w:tc>
        <w:tc>
          <w:tcPr>
            <w:tcW w:w="0" w:type="auto"/>
            <w:shd w:val="clear" w:color="auto" w:fill="auto"/>
            <w:vAlign w:val="bottom"/>
          </w:tcPr>
          <w:p w14:paraId="155215F6"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09214A93"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5D369276"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119DA764" w14:textId="77777777" w:rsidR="00651ADD" w:rsidRPr="00926205" w:rsidRDefault="00651ADD" w:rsidP="001B46D2">
            <w:pPr>
              <w:spacing w:after="0"/>
              <w:jc w:val="right"/>
              <w:rPr>
                <w:rFonts w:eastAsia="Times New Roman"/>
              </w:rPr>
            </w:pPr>
            <w:r>
              <w:rPr>
                <w:rFonts w:eastAsia="Times New Roman"/>
              </w:rPr>
              <w:t>0.24 USD</w:t>
            </w:r>
          </w:p>
        </w:tc>
        <w:tc>
          <w:tcPr>
            <w:tcW w:w="0" w:type="auto"/>
            <w:shd w:val="clear" w:color="auto" w:fill="auto"/>
            <w:vAlign w:val="bottom"/>
          </w:tcPr>
          <w:p w14:paraId="682B57BB"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61D187CF" w14:textId="77777777" w:rsidR="00651ADD" w:rsidRPr="00926205" w:rsidRDefault="00651ADD" w:rsidP="001B46D2">
            <w:pPr>
              <w:spacing w:after="0"/>
              <w:jc w:val="both"/>
              <w:rPr>
                <w:rFonts w:eastAsia="Times New Roman"/>
              </w:rPr>
            </w:pPr>
          </w:p>
        </w:tc>
        <w:tc>
          <w:tcPr>
            <w:tcW w:w="0" w:type="auto"/>
            <w:shd w:val="clear" w:color="auto" w:fill="auto"/>
            <w:vAlign w:val="bottom"/>
          </w:tcPr>
          <w:p w14:paraId="3E53F919" w14:textId="77777777" w:rsidR="00651ADD" w:rsidRPr="00926205" w:rsidRDefault="00651ADD" w:rsidP="001B46D2">
            <w:pPr>
              <w:spacing w:after="0"/>
              <w:jc w:val="right"/>
              <w:rPr>
                <w:rFonts w:eastAsia="Times New Roman"/>
              </w:rPr>
            </w:pPr>
            <w:r>
              <w:rPr>
                <w:rFonts w:eastAsia="Times New Roman"/>
              </w:rPr>
              <w:t>June 29, 2025</w:t>
            </w:r>
          </w:p>
        </w:tc>
      </w:tr>
      <w:tr w:rsidR="00651ADD" w:rsidRPr="00D2099E" w14:paraId="1E44DD92" w14:textId="77777777" w:rsidTr="00651ADD">
        <w:tc>
          <w:tcPr>
            <w:tcW w:w="47" w:type="pct"/>
            <w:tcBorders>
              <w:top w:val="single" w:sz="12" w:space="0" w:color="000000"/>
              <w:bottom w:val="single" w:sz="12" w:space="0" w:color="000000"/>
            </w:tcBorders>
            <w:shd w:val="clear" w:color="auto" w:fill="CCEEFF"/>
            <w:vAlign w:val="bottom"/>
            <w:hideMark/>
          </w:tcPr>
          <w:p w14:paraId="1E3FD4C0"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tcBorders>
              <w:top w:val="single" w:sz="12" w:space="0" w:color="000000"/>
              <w:bottom w:val="single" w:sz="12" w:space="0" w:color="000000"/>
            </w:tcBorders>
            <w:shd w:val="clear" w:color="auto" w:fill="CCEEFF"/>
            <w:vAlign w:val="bottom"/>
            <w:hideMark/>
          </w:tcPr>
          <w:p w14:paraId="11D1968E" w14:textId="46A66A0D" w:rsidR="00651ADD" w:rsidRPr="00926205" w:rsidRDefault="00651ADD" w:rsidP="001B46D2">
            <w:pPr>
              <w:spacing w:after="0"/>
              <w:jc w:val="right"/>
              <w:rPr>
                <w:rFonts w:eastAsia="Times New Roman"/>
              </w:rPr>
            </w:pPr>
            <w:r>
              <w:rPr>
                <w:rFonts w:eastAsia="Times New Roman"/>
              </w:rPr>
              <w:t>109,453,268</w:t>
            </w:r>
          </w:p>
        </w:tc>
        <w:tc>
          <w:tcPr>
            <w:tcW w:w="0" w:type="auto"/>
            <w:shd w:val="clear" w:color="auto" w:fill="CCEEFF"/>
            <w:tcMar>
              <w:top w:w="0" w:type="dxa"/>
              <w:left w:w="0" w:type="dxa"/>
              <w:bottom w:w="30" w:type="dxa"/>
              <w:right w:w="0" w:type="dxa"/>
            </w:tcMar>
            <w:vAlign w:val="bottom"/>
            <w:hideMark/>
          </w:tcPr>
          <w:p w14:paraId="30898008"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26018075"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22A9E245"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6A5A3BC5" w14:textId="77777777" w:rsidR="00651ADD" w:rsidRPr="00926205" w:rsidRDefault="00651ADD" w:rsidP="001B46D2">
            <w:pPr>
              <w:spacing w:after="0"/>
              <w:jc w:val="right"/>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22B3D214"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678F171D" w14:textId="77777777" w:rsidR="00651ADD" w:rsidRPr="00926205" w:rsidRDefault="00651ADD" w:rsidP="001B46D2">
            <w:pPr>
              <w:spacing w:after="0"/>
              <w:jc w:val="both"/>
              <w:rPr>
                <w:rFonts w:eastAsia="Times New Roman"/>
              </w:rPr>
            </w:pPr>
            <w:r w:rsidRPr="00926205">
              <w:rPr>
                <w:rFonts w:eastAsia="Times New Roman"/>
              </w:rPr>
              <w:t> </w:t>
            </w:r>
          </w:p>
        </w:tc>
        <w:tc>
          <w:tcPr>
            <w:tcW w:w="0" w:type="auto"/>
            <w:shd w:val="clear" w:color="auto" w:fill="CCEEFF"/>
            <w:tcMar>
              <w:top w:w="0" w:type="dxa"/>
              <w:left w:w="0" w:type="dxa"/>
              <w:bottom w:w="30" w:type="dxa"/>
              <w:right w:w="0" w:type="dxa"/>
            </w:tcMar>
            <w:vAlign w:val="bottom"/>
            <w:hideMark/>
          </w:tcPr>
          <w:p w14:paraId="7776A92B" w14:textId="77777777" w:rsidR="00651ADD" w:rsidRPr="00926205" w:rsidRDefault="00651ADD" w:rsidP="001B46D2">
            <w:pPr>
              <w:spacing w:after="0"/>
              <w:jc w:val="right"/>
              <w:rPr>
                <w:rFonts w:eastAsia="Times New Roman"/>
              </w:rPr>
            </w:pPr>
            <w:r w:rsidRPr="00926205">
              <w:rPr>
                <w:rFonts w:eastAsia="Times New Roman"/>
              </w:rPr>
              <w:t> </w:t>
            </w:r>
          </w:p>
        </w:tc>
      </w:tr>
    </w:tbl>
    <w:p w14:paraId="177CB86B" w14:textId="77777777" w:rsidR="002506AB" w:rsidRDefault="002506AB" w:rsidP="00CD2C04">
      <w:pPr>
        <w:jc w:val="both"/>
        <w:rPr>
          <w:lang w:val="en-CA"/>
        </w:rPr>
      </w:pPr>
    </w:p>
    <w:p w14:paraId="31F1425A" w14:textId="77777777" w:rsidR="00B2631D" w:rsidRDefault="00B2631D">
      <w:pPr>
        <w:autoSpaceDE/>
        <w:autoSpaceDN/>
        <w:adjustRightInd/>
        <w:spacing w:after="160" w:line="259" w:lineRule="auto"/>
        <w:rPr>
          <w:rFonts w:asciiTheme="majorHAnsi" w:eastAsiaTheme="majorEastAsia" w:hAnsiTheme="majorHAnsi" w:cstheme="majorBidi"/>
          <w:color w:val="2F5496" w:themeColor="accent1" w:themeShade="BF"/>
          <w:sz w:val="32"/>
          <w:szCs w:val="32"/>
        </w:rPr>
      </w:pPr>
      <w:bookmarkStart w:id="27" w:name="_Toc103780860"/>
      <w:r>
        <w:br w:type="page"/>
      </w:r>
    </w:p>
    <w:p w14:paraId="3ED9889D" w14:textId="6F79E273" w:rsidR="00635EA9" w:rsidRPr="003F1DCD" w:rsidRDefault="00635EA9" w:rsidP="00583A17">
      <w:pPr>
        <w:pStyle w:val="Heading1"/>
      </w:pPr>
      <w:r w:rsidRPr="00C95A74">
        <w:lastRenderedPageBreak/>
        <w:t>Critical Accounting Policies and Estimates</w:t>
      </w:r>
      <w:bookmarkEnd w:id="27"/>
    </w:p>
    <w:p w14:paraId="3A5AC175" w14:textId="77777777" w:rsidR="00635EA9" w:rsidRPr="003F1DCD" w:rsidRDefault="00635EA9" w:rsidP="00635EA9">
      <w:pPr>
        <w:pStyle w:val="NormalWeb"/>
        <w:spacing w:before="0" w:beforeAutospacing="0" w:after="0" w:afterAutospacing="0"/>
        <w:jc w:val="both"/>
        <w:rPr>
          <w:sz w:val="20"/>
          <w:szCs w:val="20"/>
        </w:rPr>
      </w:pPr>
    </w:p>
    <w:p w14:paraId="46BC77DA" w14:textId="39215E06" w:rsidR="00635EA9" w:rsidRPr="003F1DCD" w:rsidRDefault="00635EA9" w:rsidP="00635EA9">
      <w:pPr>
        <w:pStyle w:val="NormalWeb"/>
        <w:spacing w:before="0" w:beforeAutospacing="0" w:after="0" w:afterAutospacing="0"/>
        <w:jc w:val="both"/>
        <w:rPr>
          <w:sz w:val="20"/>
          <w:szCs w:val="20"/>
        </w:rPr>
      </w:pPr>
      <w:r w:rsidRPr="003F1DCD">
        <w:rPr>
          <w:sz w:val="20"/>
          <w:szCs w:val="20"/>
        </w:rPr>
        <w:t xml:space="preserve">Our consolidated financial statements and accompanying notes have been prepared in accordance with </w:t>
      </w:r>
      <w:r w:rsidR="003D6928">
        <w:rPr>
          <w:sz w:val="20"/>
          <w:szCs w:val="20"/>
        </w:rPr>
        <w:t>IFRS</w:t>
      </w:r>
      <w:r w:rsidR="009F726B">
        <w:rPr>
          <w:sz w:val="20"/>
          <w:szCs w:val="20"/>
        </w:rPr>
        <w:t xml:space="preserve">. The consolidated interim financial statements for the </w:t>
      </w:r>
      <w:r w:rsidR="007D3013">
        <w:rPr>
          <w:sz w:val="20"/>
          <w:szCs w:val="20"/>
        </w:rPr>
        <w:t xml:space="preserve">six </w:t>
      </w:r>
      <w:r w:rsidR="009F726B">
        <w:rPr>
          <w:sz w:val="20"/>
          <w:szCs w:val="20"/>
        </w:rPr>
        <w:t xml:space="preserve">months ended </w:t>
      </w:r>
      <w:r w:rsidR="007D3013">
        <w:rPr>
          <w:sz w:val="20"/>
          <w:szCs w:val="20"/>
        </w:rPr>
        <w:t>June 30</w:t>
      </w:r>
      <w:r w:rsidR="009F726B">
        <w:rPr>
          <w:sz w:val="20"/>
          <w:szCs w:val="20"/>
        </w:rPr>
        <w:t xml:space="preserve">, </w:t>
      </w:r>
      <w:proofErr w:type="gramStart"/>
      <w:r w:rsidR="009F726B" w:rsidRPr="00034F5D">
        <w:rPr>
          <w:sz w:val="20"/>
          <w:szCs w:val="20"/>
        </w:rPr>
        <w:t>2022</w:t>
      </w:r>
      <w:proofErr w:type="gramEnd"/>
      <w:r w:rsidR="009F726B" w:rsidRPr="00034F5D">
        <w:rPr>
          <w:sz w:val="20"/>
          <w:szCs w:val="20"/>
        </w:rPr>
        <w:t xml:space="preserve"> </w:t>
      </w:r>
      <w:r w:rsidR="009F726B" w:rsidRPr="00C82AA6">
        <w:rPr>
          <w:sz w:val="20"/>
          <w:szCs w:val="20"/>
        </w:rPr>
        <w:t>are the first that has been prepared in accordance with IFRS</w:t>
      </w:r>
      <w:r w:rsidR="009F726B" w:rsidRPr="00034F5D">
        <w:rPr>
          <w:sz w:val="20"/>
          <w:szCs w:val="20"/>
        </w:rPr>
        <w:t xml:space="preserve">. </w:t>
      </w:r>
      <w:r w:rsidRPr="00034F5D">
        <w:rPr>
          <w:sz w:val="20"/>
          <w:szCs w:val="20"/>
        </w:rPr>
        <w:t xml:space="preserve">The preparation of financial statements in conformity with </w:t>
      </w:r>
      <w:r w:rsidR="00EF0501" w:rsidRPr="00034F5D">
        <w:rPr>
          <w:sz w:val="20"/>
          <w:szCs w:val="20"/>
        </w:rPr>
        <w:t>IFRS</w:t>
      </w:r>
      <w:r w:rsidRPr="00034F5D">
        <w:rPr>
          <w:sz w:val="20"/>
          <w:szCs w:val="20"/>
        </w:rPr>
        <w:t xml:space="preserve"> requires management to make estimates and assumptions that affect the reported amounts of assets and liabilities,</w:t>
      </w:r>
      <w:r w:rsidRPr="003F1DCD">
        <w:rPr>
          <w:sz w:val="20"/>
          <w:szCs w:val="20"/>
        </w:rPr>
        <w:t xml:space="preserve"> the disclosure of contingent assets and liabilities at the date of the financial statements and the reported amounts of revenues and expenses during the reporting periods.</w:t>
      </w:r>
    </w:p>
    <w:p w14:paraId="474EB193" w14:textId="77777777" w:rsidR="00635EA9" w:rsidRPr="003F1DCD" w:rsidRDefault="00635EA9" w:rsidP="00635EA9">
      <w:pPr>
        <w:pStyle w:val="NormalWeb"/>
        <w:spacing w:before="0" w:beforeAutospacing="0" w:after="0" w:afterAutospacing="0"/>
        <w:jc w:val="both"/>
        <w:rPr>
          <w:sz w:val="20"/>
          <w:szCs w:val="20"/>
        </w:rPr>
      </w:pPr>
      <w:r w:rsidRPr="003F1DCD">
        <w:rPr>
          <w:sz w:val="20"/>
          <w:szCs w:val="20"/>
        </w:rPr>
        <w:t> </w:t>
      </w:r>
    </w:p>
    <w:p w14:paraId="30FF23E7" w14:textId="77777777" w:rsidR="00635EA9" w:rsidRPr="003F1DCD" w:rsidRDefault="00635EA9" w:rsidP="00635EA9">
      <w:pPr>
        <w:pStyle w:val="NormalWeb"/>
        <w:spacing w:before="0" w:beforeAutospacing="0" w:after="0" w:afterAutospacing="0"/>
        <w:jc w:val="both"/>
        <w:rPr>
          <w:sz w:val="20"/>
          <w:szCs w:val="20"/>
        </w:rPr>
      </w:pPr>
      <w:r w:rsidRPr="003F1DCD">
        <w:rPr>
          <w:sz w:val="20"/>
          <w:szCs w:val="20"/>
        </w:rPr>
        <w:t>We regularly evaluate the accounting policies and estimates that we use to prepare our consolidated financial statements. In general, management’s estimates are based on historical experience, on information from third party professionals, and on various other assumptions that are believed to be reasonable under the facts and circumstances. Actual results could differ from those estimates made by management.</w:t>
      </w:r>
    </w:p>
    <w:p w14:paraId="4711240B" w14:textId="77777777" w:rsidR="00635EA9" w:rsidRPr="003F1DCD" w:rsidRDefault="00635EA9" w:rsidP="00635EA9">
      <w:pPr>
        <w:pStyle w:val="NormalWeb"/>
        <w:spacing w:before="0" w:beforeAutospacing="0" w:after="0" w:afterAutospacing="0"/>
        <w:jc w:val="both"/>
        <w:rPr>
          <w:sz w:val="20"/>
          <w:szCs w:val="20"/>
        </w:rPr>
      </w:pPr>
      <w:r w:rsidRPr="003F1DCD">
        <w:rPr>
          <w:sz w:val="20"/>
          <w:szCs w:val="20"/>
        </w:rPr>
        <w:t> </w:t>
      </w:r>
    </w:p>
    <w:p w14:paraId="77A08CA4" w14:textId="502B4D96" w:rsidR="00635EA9" w:rsidRDefault="00635EA9" w:rsidP="00635EA9">
      <w:pPr>
        <w:pStyle w:val="NormalWeb"/>
        <w:spacing w:before="0" w:beforeAutospacing="0" w:after="0" w:afterAutospacing="0"/>
        <w:jc w:val="both"/>
        <w:rPr>
          <w:sz w:val="20"/>
          <w:szCs w:val="20"/>
        </w:rPr>
      </w:pPr>
      <w:r w:rsidRPr="003F1DCD">
        <w:rPr>
          <w:sz w:val="20"/>
          <w:szCs w:val="20"/>
        </w:rPr>
        <w:t>We believe that our critical accounting policies and estimates include the following:</w:t>
      </w:r>
    </w:p>
    <w:p w14:paraId="284C65AF" w14:textId="15E5BD86" w:rsidR="008B7C3A" w:rsidRDefault="008B7C3A" w:rsidP="00635EA9">
      <w:pPr>
        <w:pStyle w:val="NormalWeb"/>
        <w:spacing w:before="0" w:beforeAutospacing="0" w:after="0" w:afterAutospacing="0"/>
        <w:jc w:val="both"/>
        <w:rPr>
          <w:sz w:val="20"/>
          <w:szCs w:val="20"/>
        </w:rPr>
      </w:pPr>
    </w:p>
    <w:p w14:paraId="6000AC0B" w14:textId="248B92FF" w:rsidR="008B7C3A" w:rsidRPr="003F1DCD" w:rsidRDefault="008B7C3A" w:rsidP="008B7C3A">
      <w:pPr>
        <w:pStyle w:val="NormalWeb"/>
        <w:spacing w:before="0" w:beforeAutospacing="0" w:after="0" w:afterAutospacing="0"/>
        <w:jc w:val="both"/>
        <w:rPr>
          <w:sz w:val="20"/>
          <w:szCs w:val="20"/>
        </w:rPr>
      </w:pPr>
      <w:r>
        <w:rPr>
          <w:i/>
          <w:iCs/>
          <w:sz w:val="20"/>
          <w:szCs w:val="20"/>
        </w:rPr>
        <w:t>Revenue Recognition</w:t>
      </w:r>
    </w:p>
    <w:p w14:paraId="46792842" w14:textId="77DC7851" w:rsidR="008B7C3A" w:rsidRPr="00D2099E" w:rsidRDefault="008B7C3A" w:rsidP="008B7C3A">
      <w:pPr>
        <w:spacing w:after="0"/>
        <w:ind w:left="709" w:hanging="283"/>
        <w:jc w:val="both"/>
        <w:rPr>
          <w:rFonts w:eastAsia="Times New Roman"/>
        </w:rPr>
      </w:pPr>
      <w:r w:rsidRPr="00D2099E">
        <w:rPr>
          <w:rFonts w:eastAsia="Times New Roman"/>
        </w:rPr>
        <w:t>  </w:t>
      </w:r>
    </w:p>
    <w:p w14:paraId="312A060A" w14:textId="77777777" w:rsidR="00CE0703" w:rsidRPr="00CE0703" w:rsidRDefault="00CE0703" w:rsidP="00CE0703">
      <w:pPr>
        <w:autoSpaceDE/>
        <w:autoSpaceDN/>
        <w:adjustRightInd/>
        <w:spacing w:after="0"/>
        <w:jc w:val="both"/>
        <w:rPr>
          <w:rFonts w:eastAsia="Times New Roman"/>
        </w:rPr>
      </w:pPr>
      <w:r w:rsidRPr="00CE0703">
        <w:rPr>
          <w:rFonts w:eastAsia="Times New Roman"/>
          <w:i/>
          <w:iCs/>
        </w:rPr>
        <w:t>Revenue from Contracts with Customers</w:t>
      </w:r>
    </w:p>
    <w:p w14:paraId="34367378"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27F88129" w14:textId="77777777" w:rsidR="00CE0703" w:rsidRPr="00CE0703" w:rsidRDefault="00CE0703" w:rsidP="00CE0703">
      <w:pPr>
        <w:autoSpaceDE/>
        <w:autoSpaceDN/>
        <w:adjustRightInd/>
        <w:spacing w:after="0"/>
        <w:jc w:val="both"/>
        <w:rPr>
          <w:rFonts w:eastAsia="Times New Roman"/>
        </w:rPr>
      </w:pPr>
      <w:r w:rsidRPr="00CE0703">
        <w:rPr>
          <w:rFonts w:eastAsia="Times New Roman"/>
        </w:rPr>
        <w:t>The Company recognizes revenue when it satisfies its performance obligation(s) by transferring control over a product to a customer. Revenue is measured based on the consideration the Company expects to receive in exchange for those products.</w:t>
      </w:r>
    </w:p>
    <w:p w14:paraId="037FCF13"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5937C2D3" w14:textId="77777777" w:rsidR="00CE0703" w:rsidRPr="00CE0703" w:rsidRDefault="00CE0703" w:rsidP="00CE0703">
      <w:pPr>
        <w:autoSpaceDE/>
        <w:autoSpaceDN/>
        <w:adjustRightInd/>
        <w:spacing w:after="0"/>
        <w:jc w:val="both"/>
        <w:rPr>
          <w:rFonts w:eastAsia="Times New Roman"/>
        </w:rPr>
      </w:pPr>
      <w:r w:rsidRPr="00CE0703">
        <w:rPr>
          <w:rFonts w:eastAsia="Times New Roman"/>
          <w:i/>
          <w:iCs/>
        </w:rPr>
        <w:t>Performance Obligations and Significant Judgments</w:t>
      </w:r>
    </w:p>
    <w:p w14:paraId="4B39F7F6"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09EA7402" w14:textId="77777777" w:rsidR="00CE0703" w:rsidRPr="00CE0703" w:rsidRDefault="00CE0703" w:rsidP="00CE0703">
      <w:pPr>
        <w:autoSpaceDE/>
        <w:autoSpaceDN/>
        <w:adjustRightInd/>
        <w:spacing w:after="0"/>
        <w:jc w:val="both"/>
        <w:rPr>
          <w:rFonts w:eastAsia="Times New Roman"/>
        </w:rPr>
      </w:pPr>
      <w:r w:rsidRPr="00CE0703">
        <w:rPr>
          <w:rFonts w:eastAsia="Times New Roman"/>
        </w:rPr>
        <w:t xml:space="preserve">The Company sells oil and natural gas products in Turkey. The Company </w:t>
      </w:r>
      <w:proofErr w:type="gramStart"/>
      <w:r w:rsidRPr="00CE0703">
        <w:rPr>
          <w:rFonts w:eastAsia="Times New Roman"/>
        </w:rPr>
        <w:t>enters into</w:t>
      </w:r>
      <w:proofErr w:type="gramEnd"/>
      <w:r w:rsidRPr="00CE0703">
        <w:rPr>
          <w:rFonts w:eastAsia="Times New Roman"/>
        </w:rPr>
        <w:t xml:space="preserve"> contracts that generally include one type of distinct product in variable quantities and priced based on a specific index related to the type of product.</w:t>
      </w:r>
    </w:p>
    <w:p w14:paraId="027129D3"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4A5E46DD" w14:textId="77777777" w:rsidR="00CE0703" w:rsidRPr="00CE0703" w:rsidRDefault="00CE0703" w:rsidP="00CE0703">
      <w:pPr>
        <w:autoSpaceDE/>
        <w:autoSpaceDN/>
        <w:adjustRightInd/>
        <w:spacing w:after="0"/>
        <w:jc w:val="both"/>
        <w:rPr>
          <w:rFonts w:eastAsia="Times New Roman"/>
        </w:rPr>
      </w:pPr>
      <w:r w:rsidRPr="00CE0703">
        <w:rPr>
          <w:rFonts w:eastAsia="Times New Roman"/>
        </w:rPr>
        <w:t>The oil and natural gas are typically sold in an unprocessed state to processors and other third parties for processing and sale to customers. The Company recognizes revenue at a point in time when control of the oil is transferred. For oil sales, control is typically transferred to the customer upon receipt at the wellhead or a contractually agreed upon delivery point. Under the Company’s natural gas contracts with processors, control transfers upon delivery at the wellhead or the inlet of the processing entity’s system. For the Company’s other natural gas contracts, control transfers upon delivery to the inlet or to a contractually agreed upon delivery point. In the cases where the Company sells to a processor, the Company has determined that the Company is the principal in the arrangement and the processors are the Company’s customers. The Company recognizes the revenue in these contracts based on the net proceeds received from the processor.</w:t>
      </w:r>
    </w:p>
    <w:p w14:paraId="1DD16382"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04E326D5" w14:textId="77777777" w:rsidR="00CE0703" w:rsidRPr="00CE0703" w:rsidRDefault="00CE0703" w:rsidP="00CE0703">
      <w:pPr>
        <w:autoSpaceDE/>
        <w:autoSpaceDN/>
        <w:adjustRightInd/>
        <w:spacing w:after="0"/>
        <w:jc w:val="both"/>
        <w:rPr>
          <w:rFonts w:eastAsia="Times New Roman"/>
        </w:rPr>
      </w:pPr>
      <w:r w:rsidRPr="00CE0703">
        <w:rPr>
          <w:rFonts w:eastAsia="Times New Roman"/>
        </w:rPr>
        <w:t xml:space="preserve">Transfer of control drives the presentation of transportation and gathering costs within the accompanying consolidated statements of loss and comprehensive loss. Transportation and gathering costs incurred prior to transfer of control are recorded within the general and administrative expense line item on the accompanying consolidated statements of loss and comprehensive loss, while transportation and gathering costs incurred </w:t>
      </w:r>
      <w:proofErr w:type="gramStart"/>
      <w:r w:rsidRPr="00CE0703">
        <w:rPr>
          <w:rFonts w:eastAsia="Times New Roman"/>
        </w:rPr>
        <w:t>subsequent to</w:t>
      </w:r>
      <w:proofErr w:type="gramEnd"/>
      <w:r w:rsidRPr="00CE0703">
        <w:rPr>
          <w:rFonts w:eastAsia="Times New Roman"/>
        </w:rPr>
        <w:t xml:space="preserve"> control transfer are recorded as a reduction to the related revenue.</w:t>
      </w:r>
    </w:p>
    <w:p w14:paraId="19555A20"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7A6F3F8F" w14:textId="77777777" w:rsidR="00CE0703" w:rsidRPr="00CE0703" w:rsidRDefault="00CE0703" w:rsidP="00CE0703">
      <w:pPr>
        <w:autoSpaceDE/>
        <w:autoSpaceDN/>
        <w:adjustRightInd/>
        <w:spacing w:after="0"/>
        <w:jc w:val="both"/>
        <w:rPr>
          <w:rFonts w:eastAsia="Times New Roman"/>
        </w:rPr>
      </w:pPr>
      <w:r w:rsidRPr="00CE0703">
        <w:rPr>
          <w:rFonts w:eastAsia="Times New Roman"/>
        </w:rPr>
        <w:t>A portion of the Company’s product sales are short-term in nature. For those contracts, the Company uses the practical expedient in IFRS 15 “Revenue from Contracts with Customers” (“IFRS 15”) Paragraph 121 exempting the Company from disclosure of the transaction price allocated to remaining performance obligations if the performance obligation is part of a contract that has an original expected duration of one year or less.</w:t>
      </w:r>
    </w:p>
    <w:p w14:paraId="18E64B29"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5D782244" w14:textId="77777777" w:rsidR="00B2631D" w:rsidRDefault="00B2631D">
      <w:pPr>
        <w:autoSpaceDE/>
        <w:autoSpaceDN/>
        <w:adjustRightInd/>
        <w:spacing w:after="160" w:line="259" w:lineRule="auto"/>
        <w:rPr>
          <w:rFonts w:eastAsia="Times New Roman"/>
        </w:rPr>
      </w:pPr>
      <w:r>
        <w:rPr>
          <w:rFonts w:eastAsia="Times New Roman"/>
        </w:rPr>
        <w:br w:type="page"/>
      </w:r>
    </w:p>
    <w:p w14:paraId="55DE2143" w14:textId="7E715934" w:rsidR="00CE0703" w:rsidRPr="00CE0703" w:rsidRDefault="00CE0703" w:rsidP="00CE0703">
      <w:pPr>
        <w:autoSpaceDE/>
        <w:autoSpaceDN/>
        <w:adjustRightInd/>
        <w:spacing w:after="0"/>
        <w:jc w:val="both"/>
        <w:rPr>
          <w:rFonts w:eastAsia="Times New Roman"/>
        </w:rPr>
      </w:pPr>
      <w:r w:rsidRPr="00CE0703">
        <w:rPr>
          <w:rFonts w:eastAsia="Times New Roman"/>
        </w:rPr>
        <w:lastRenderedPageBreak/>
        <w:t>For the Company’s product sales that have a contract term greater than one year, the Company uses the practical expedient in IFRS 15 Paragraph 121(a) which states the Company is not required to disclose the transaction price allocated to remaining performance obligations if the variable consideration is allocated entirely to an unsatisfied performance obligation. Under these sales contracts, each unit of product represents a separate performance obligation; therefore, future volumes are unsatisfied, and disclosure of the transaction price allocated to remaining performance obligations is not required. The Company has no unsatisfied performance obligations at the end of each reporting period.</w:t>
      </w:r>
    </w:p>
    <w:p w14:paraId="45AED81D" w14:textId="77777777" w:rsidR="00CE0703" w:rsidRPr="00CE0703" w:rsidRDefault="00CE0703" w:rsidP="00CE0703">
      <w:pPr>
        <w:autoSpaceDE/>
        <w:autoSpaceDN/>
        <w:adjustRightInd/>
        <w:spacing w:after="0"/>
        <w:ind w:left="720"/>
        <w:jc w:val="both"/>
        <w:rPr>
          <w:rFonts w:eastAsia="Times New Roman"/>
        </w:rPr>
      </w:pPr>
      <w:r w:rsidRPr="00CE0703">
        <w:rPr>
          <w:rFonts w:eastAsia="Times New Roman"/>
        </w:rPr>
        <w:t> </w:t>
      </w:r>
    </w:p>
    <w:p w14:paraId="5FA5A308" w14:textId="77777777" w:rsidR="00CE0703" w:rsidRPr="00CE0703" w:rsidRDefault="00CE0703" w:rsidP="00CE0703">
      <w:pPr>
        <w:autoSpaceDE/>
        <w:autoSpaceDN/>
        <w:adjustRightInd/>
        <w:spacing w:after="0"/>
        <w:jc w:val="both"/>
        <w:rPr>
          <w:rFonts w:eastAsia="Times New Roman"/>
        </w:rPr>
      </w:pPr>
      <w:r w:rsidRPr="00CE0703">
        <w:rPr>
          <w:rFonts w:eastAsia="Times New Roman"/>
        </w:rPr>
        <w:t>The Company does not believe that significant judgments are required with respect to the determination of the transaction price, including any variable consideration identified. There is a low level of uncertainty due to the precision of measurement and use of index-based pricing with predictable differentials. Additionally, any variable consideration identified is not constrained.</w:t>
      </w:r>
    </w:p>
    <w:p w14:paraId="0B96B474" w14:textId="77777777" w:rsidR="008B7C3A" w:rsidRPr="00D2099E" w:rsidRDefault="008B7C3A" w:rsidP="008B7C3A">
      <w:pPr>
        <w:spacing w:after="0"/>
        <w:ind w:left="720"/>
        <w:jc w:val="both"/>
        <w:rPr>
          <w:rFonts w:eastAsia="Times New Roman"/>
        </w:rPr>
      </w:pPr>
      <w:r w:rsidRPr="00D2099E">
        <w:rPr>
          <w:rFonts w:eastAsia="Times New Roman"/>
        </w:rPr>
        <w:t> </w:t>
      </w:r>
    </w:p>
    <w:p w14:paraId="2F9587EE" w14:textId="77777777" w:rsidR="008B7C3A" w:rsidRPr="00D2099E" w:rsidRDefault="008B7C3A" w:rsidP="008B7C3A">
      <w:pPr>
        <w:spacing w:after="0"/>
        <w:jc w:val="both"/>
        <w:rPr>
          <w:rFonts w:eastAsia="Times New Roman"/>
        </w:rPr>
      </w:pPr>
      <w:r w:rsidRPr="00D2099E">
        <w:rPr>
          <w:rFonts w:eastAsia="Times New Roman"/>
        </w:rPr>
        <w:t> </w:t>
      </w:r>
    </w:p>
    <w:p w14:paraId="52744A1A" w14:textId="6D99D277" w:rsidR="008B7C3A" w:rsidRPr="003F1DCD" w:rsidRDefault="008B7C3A" w:rsidP="008B7C3A">
      <w:pPr>
        <w:pStyle w:val="NormalWeb"/>
        <w:spacing w:before="0" w:beforeAutospacing="0" w:after="0" w:afterAutospacing="0"/>
        <w:jc w:val="both"/>
        <w:rPr>
          <w:sz w:val="20"/>
          <w:szCs w:val="20"/>
        </w:rPr>
      </w:pPr>
      <w:r>
        <w:rPr>
          <w:i/>
          <w:iCs/>
          <w:sz w:val="20"/>
          <w:szCs w:val="20"/>
        </w:rPr>
        <w:t>Accounts Receivable</w:t>
      </w:r>
    </w:p>
    <w:p w14:paraId="7BBD7F68" w14:textId="77777777" w:rsidR="008B7C3A" w:rsidRPr="00D2099E" w:rsidRDefault="008B7C3A" w:rsidP="008B7C3A">
      <w:pPr>
        <w:spacing w:after="0"/>
        <w:ind w:left="709" w:hanging="283"/>
        <w:jc w:val="both"/>
        <w:rPr>
          <w:rFonts w:eastAsia="Times New Roman"/>
        </w:rPr>
      </w:pPr>
      <w:r w:rsidRPr="00D2099E">
        <w:rPr>
          <w:rFonts w:eastAsia="Times New Roman"/>
        </w:rPr>
        <w:t> </w:t>
      </w:r>
    </w:p>
    <w:p w14:paraId="2FCDA62E" w14:textId="77777777" w:rsidR="008B7C3A" w:rsidRPr="00D2099E" w:rsidRDefault="008B7C3A" w:rsidP="0052343D">
      <w:pPr>
        <w:spacing w:after="0"/>
        <w:jc w:val="both"/>
        <w:rPr>
          <w:rFonts w:eastAsia="Times New Roman"/>
        </w:rPr>
      </w:pPr>
      <w:r w:rsidRPr="00D2099E">
        <w:rPr>
          <w:rFonts w:eastAsia="Times New Roman"/>
        </w:rPr>
        <w:t>Accounts receivable consist of oil and gas receivables. The Company has classified these as short-term assets in the balance sheet because the Company expects repayment or recovery within the next 12 months. The Company evaluates these accounts receivable for collectability and, when necessary, records allowances for expected unrecoverable amounts. The Company deems all accounts receivable to be collectable and has not recorded any allowance for doubtful accounts.</w:t>
      </w:r>
    </w:p>
    <w:p w14:paraId="29A47414" w14:textId="77777777" w:rsidR="008B7C3A" w:rsidRPr="003F1DCD" w:rsidRDefault="008B7C3A" w:rsidP="00635EA9">
      <w:pPr>
        <w:pStyle w:val="NormalWeb"/>
        <w:spacing w:before="0" w:beforeAutospacing="0" w:after="0" w:afterAutospacing="0"/>
        <w:jc w:val="both"/>
        <w:rPr>
          <w:sz w:val="20"/>
          <w:szCs w:val="20"/>
        </w:rPr>
      </w:pPr>
    </w:p>
    <w:p w14:paraId="654056D4" w14:textId="65963C38" w:rsidR="00635EA9" w:rsidRPr="00B46699" w:rsidRDefault="00635EA9" w:rsidP="00635EA9">
      <w:pPr>
        <w:pStyle w:val="NormalWeb"/>
        <w:spacing w:before="0" w:beforeAutospacing="0" w:after="0" w:afterAutospacing="0"/>
        <w:jc w:val="both"/>
        <w:rPr>
          <w:i/>
          <w:iCs/>
          <w:sz w:val="20"/>
          <w:szCs w:val="20"/>
        </w:rPr>
      </w:pPr>
      <w:r w:rsidRPr="003F1DCD">
        <w:rPr>
          <w:sz w:val="20"/>
          <w:szCs w:val="20"/>
        </w:rPr>
        <w:t> </w:t>
      </w:r>
      <w:r w:rsidR="00B46699" w:rsidRPr="00B46699">
        <w:rPr>
          <w:i/>
          <w:iCs/>
          <w:sz w:val="20"/>
          <w:szCs w:val="20"/>
        </w:rPr>
        <w:t>Exploration and Evaluation Assets</w:t>
      </w:r>
    </w:p>
    <w:p w14:paraId="4F911A97" w14:textId="77777777" w:rsidR="00B46699" w:rsidRDefault="00B46699" w:rsidP="00635EA9">
      <w:pPr>
        <w:pStyle w:val="NormalWeb"/>
        <w:spacing w:before="0" w:beforeAutospacing="0" w:after="0" w:afterAutospacing="0"/>
        <w:jc w:val="both"/>
        <w:rPr>
          <w:sz w:val="20"/>
          <w:szCs w:val="20"/>
        </w:rPr>
      </w:pPr>
    </w:p>
    <w:p w14:paraId="74465279" w14:textId="77777777" w:rsidR="00B46699" w:rsidRDefault="00B46699" w:rsidP="00B46699">
      <w:pPr>
        <w:spacing w:after="0"/>
        <w:jc w:val="both"/>
        <w:rPr>
          <w:rFonts w:eastAsia="Times New Roman"/>
        </w:rPr>
      </w:pPr>
      <w:r w:rsidRPr="00324FD5">
        <w:rPr>
          <w:rFonts w:eastAsia="Times New Roman"/>
        </w:rPr>
        <w:t xml:space="preserve">Pre-license </w:t>
      </w:r>
      <w:r>
        <w:rPr>
          <w:rFonts w:eastAsia="Times New Roman"/>
        </w:rPr>
        <w:t xml:space="preserve">exploration </w:t>
      </w:r>
      <w:r w:rsidRPr="00324FD5">
        <w:rPr>
          <w:rFonts w:eastAsia="Times New Roman"/>
        </w:rPr>
        <w:t xml:space="preserve">costs are recognized in the </w:t>
      </w:r>
      <w:r>
        <w:rPr>
          <w:rFonts w:eastAsia="Times New Roman"/>
        </w:rPr>
        <w:t xml:space="preserve">consolidated </w:t>
      </w:r>
      <w:r w:rsidRPr="00324FD5">
        <w:rPr>
          <w:rFonts w:eastAsia="Times New Roman"/>
        </w:rPr>
        <w:t xml:space="preserve">statement of </w:t>
      </w:r>
      <w:r>
        <w:rPr>
          <w:rFonts w:eastAsia="Times New Roman"/>
        </w:rPr>
        <w:t xml:space="preserve">operations and </w:t>
      </w:r>
      <w:r w:rsidRPr="00324FD5">
        <w:rPr>
          <w:rFonts w:eastAsia="Times New Roman"/>
        </w:rPr>
        <w:t xml:space="preserve">comprehensive </w:t>
      </w:r>
      <w:r>
        <w:rPr>
          <w:rFonts w:eastAsia="Times New Roman"/>
        </w:rPr>
        <w:t>loss</w:t>
      </w:r>
      <w:r w:rsidRPr="00324FD5">
        <w:rPr>
          <w:rFonts w:eastAsia="Times New Roman"/>
        </w:rPr>
        <w:t xml:space="preserve"> as incurred.</w:t>
      </w:r>
    </w:p>
    <w:p w14:paraId="48D6E1D2" w14:textId="77777777" w:rsidR="00B46699" w:rsidRDefault="00B46699" w:rsidP="00B46699">
      <w:pPr>
        <w:spacing w:after="0"/>
        <w:jc w:val="both"/>
        <w:rPr>
          <w:rFonts w:eastAsia="Times New Roman"/>
        </w:rPr>
      </w:pPr>
    </w:p>
    <w:p w14:paraId="76A2047C" w14:textId="77777777" w:rsidR="00B46699" w:rsidRDefault="00B46699" w:rsidP="00B46699">
      <w:pPr>
        <w:spacing w:after="0"/>
        <w:jc w:val="both"/>
        <w:rPr>
          <w:rFonts w:eastAsia="Times New Roman"/>
        </w:rPr>
      </w:pPr>
      <w:r w:rsidRPr="004C228F">
        <w:rPr>
          <w:rFonts w:eastAsia="Times New Roman"/>
        </w:rPr>
        <w:t xml:space="preserve">The costs to acquire non-producing oil and gas properties or </w:t>
      </w:r>
      <w:proofErr w:type="spellStart"/>
      <w:r w:rsidRPr="004C228F">
        <w:rPr>
          <w:rFonts w:eastAsia="Times New Roman"/>
        </w:rPr>
        <w:t>licences</w:t>
      </w:r>
      <w:proofErr w:type="spellEnd"/>
      <w:r w:rsidRPr="004C228F">
        <w:rPr>
          <w:rFonts w:eastAsia="Times New Roman"/>
        </w:rPr>
        <w:t xml:space="preserve"> to explore, drill exploratory wells and the costs to evaluate</w:t>
      </w:r>
      <w:r>
        <w:rPr>
          <w:rFonts w:eastAsia="Times New Roman"/>
        </w:rPr>
        <w:t xml:space="preserve"> </w:t>
      </w:r>
      <w:r w:rsidRPr="004C228F">
        <w:rPr>
          <w:rFonts w:eastAsia="Times New Roman"/>
        </w:rPr>
        <w:t xml:space="preserve">the commercial potential of underlying resources, including related borrowing costs, are initially capitalized as </w:t>
      </w:r>
      <w:r>
        <w:rPr>
          <w:rFonts w:eastAsia="Times New Roman"/>
        </w:rPr>
        <w:t>e</w:t>
      </w:r>
      <w:r w:rsidRPr="004C228F">
        <w:rPr>
          <w:rFonts w:eastAsia="Times New Roman"/>
        </w:rPr>
        <w:t>xploration and</w:t>
      </w:r>
      <w:r>
        <w:rPr>
          <w:rFonts w:eastAsia="Times New Roman"/>
        </w:rPr>
        <w:t xml:space="preserve"> e</w:t>
      </w:r>
      <w:r w:rsidRPr="004C228F">
        <w:rPr>
          <w:rFonts w:eastAsia="Times New Roman"/>
        </w:rPr>
        <w:t xml:space="preserve">valuation assets. </w:t>
      </w:r>
    </w:p>
    <w:p w14:paraId="40930906" w14:textId="77777777" w:rsidR="00B46699" w:rsidRPr="004C228F" w:rsidRDefault="00B46699" w:rsidP="00B46699">
      <w:pPr>
        <w:spacing w:after="0"/>
        <w:jc w:val="both"/>
        <w:rPr>
          <w:rFonts w:eastAsia="Times New Roman"/>
        </w:rPr>
      </w:pPr>
    </w:p>
    <w:p w14:paraId="63CE0E4F" w14:textId="77777777" w:rsidR="00B46699" w:rsidRDefault="00B46699" w:rsidP="00B46699">
      <w:pPr>
        <w:spacing w:after="0"/>
        <w:jc w:val="both"/>
        <w:rPr>
          <w:rFonts w:eastAsia="Times New Roman"/>
        </w:rPr>
      </w:pPr>
      <w:r w:rsidRPr="004C228F">
        <w:rPr>
          <w:rFonts w:eastAsia="Times New Roman"/>
        </w:rPr>
        <w:t xml:space="preserve">Exploration and </w:t>
      </w:r>
      <w:r>
        <w:rPr>
          <w:rFonts w:eastAsia="Times New Roman"/>
        </w:rPr>
        <w:t>e</w:t>
      </w:r>
      <w:r w:rsidRPr="004C228F">
        <w:rPr>
          <w:rFonts w:eastAsia="Times New Roman"/>
        </w:rPr>
        <w:t>valuation assets are subject to technical, commercial and management review to confirm the continued intent</w:t>
      </w:r>
      <w:r>
        <w:rPr>
          <w:rFonts w:eastAsia="Times New Roman"/>
        </w:rPr>
        <w:t xml:space="preserve"> </w:t>
      </w:r>
      <w:r w:rsidRPr="004C228F">
        <w:rPr>
          <w:rFonts w:eastAsia="Times New Roman"/>
        </w:rPr>
        <w:t>to develop and extract the underlying resources. If an area or exploration well is no longer considered commercially viable,</w:t>
      </w:r>
      <w:r>
        <w:rPr>
          <w:rFonts w:eastAsia="Times New Roman"/>
        </w:rPr>
        <w:t xml:space="preserve"> </w:t>
      </w:r>
      <w:r w:rsidRPr="004C228F">
        <w:rPr>
          <w:rFonts w:eastAsia="Times New Roman"/>
        </w:rPr>
        <w:t xml:space="preserve">the related capitalized costs are charged to </w:t>
      </w:r>
      <w:r>
        <w:rPr>
          <w:rFonts w:eastAsia="Times New Roman"/>
        </w:rPr>
        <w:t>e</w:t>
      </w:r>
      <w:r w:rsidRPr="004C228F">
        <w:rPr>
          <w:rFonts w:eastAsia="Times New Roman"/>
        </w:rPr>
        <w:t>xploration expense.</w:t>
      </w:r>
    </w:p>
    <w:p w14:paraId="7307D273" w14:textId="77777777" w:rsidR="00B46699" w:rsidRDefault="00B46699" w:rsidP="00B46699">
      <w:pPr>
        <w:spacing w:after="0"/>
        <w:jc w:val="both"/>
        <w:rPr>
          <w:rFonts w:eastAsia="Times New Roman"/>
        </w:rPr>
      </w:pPr>
    </w:p>
    <w:p w14:paraId="0E21793F" w14:textId="77777777" w:rsidR="00B46699" w:rsidRDefault="00B46699" w:rsidP="00B46699">
      <w:pPr>
        <w:spacing w:after="0"/>
        <w:jc w:val="both"/>
        <w:rPr>
          <w:rFonts w:eastAsia="Times New Roman"/>
        </w:rPr>
      </w:pPr>
      <w:r w:rsidRPr="009274AA">
        <w:rPr>
          <w:rFonts w:eastAsia="Times New Roman"/>
        </w:rPr>
        <w:t xml:space="preserve">Exploration and </w:t>
      </w:r>
      <w:r>
        <w:rPr>
          <w:rFonts w:eastAsia="Times New Roman"/>
        </w:rPr>
        <w:t>e</w:t>
      </w:r>
      <w:r w:rsidRPr="009274AA">
        <w:rPr>
          <w:rFonts w:eastAsia="Times New Roman"/>
        </w:rPr>
        <w:t xml:space="preserve">valuation assets are not subject to depreciation, </w:t>
      </w:r>
      <w:proofErr w:type="gramStart"/>
      <w:r w:rsidRPr="009274AA">
        <w:rPr>
          <w:rFonts w:eastAsia="Times New Roman"/>
        </w:rPr>
        <w:t>depletion</w:t>
      </w:r>
      <w:proofErr w:type="gramEnd"/>
      <w:r w:rsidRPr="009274AA">
        <w:rPr>
          <w:rFonts w:eastAsia="Times New Roman"/>
        </w:rPr>
        <w:t xml:space="preserve"> and amortization.</w:t>
      </w:r>
    </w:p>
    <w:p w14:paraId="353515EB" w14:textId="77777777" w:rsidR="00B46699" w:rsidRPr="004C228F" w:rsidRDefault="00B46699" w:rsidP="00B46699">
      <w:pPr>
        <w:spacing w:after="0"/>
        <w:jc w:val="both"/>
        <w:rPr>
          <w:rFonts w:eastAsia="Times New Roman"/>
        </w:rPr>
      </w:pPr>
    </w:p>
    <w:p w14:paraId="50969C68" w14:textId="77777777" w:rsidR="00B46699" w:rsidRDefault="00B46699" w:rsidP="00B46699">
      <w:pPr>
        <w:spacing w:after="0"/>
        <w:jc w:val="both"/>
        <w:rPr>
          <w:rFonts w:eastAsia="Times New Roman"/>
        </w:rPr>
      </w:pPr>
      <w:r w:rsidRPr="004C228F">
        <w:rPr>
          <w:rFonts w:eastAsia="Times New Roman"/>
        </w:rPr>
        <w:t xml:space="preserve">When management determines with reasonable certainty that an </w:t>
      </w:r>
      <w:r>
        <w:rPr>
          <w:rFonts w:eastAsia="Times New Roman"/>
        </w:rPr>
        <w:t>e</w:t>
      </w:r>
      <w:r w:rsidRPr="004C228F">
        <w:rPr>
          <w:rFonts w:eastAsia="Times New Roman"/>
        </w:rPr>
        <w:t xml:space="preserve">xploration and </w:t>
      </w:r>
      <w:r>
        <w:rPr>
          <w:rFonts w:eastAsia="Times New Roman"/>
        </w:rPr>
        <w:t>e</w:t>
      </w:r>
      <w:r w:rsidRPr="004C228F">
        <w:rPr>
          <w:rFonts w:eastAsia="Times New Roman"/>
        </w:rPr>
        <w:t>valuation asset will be developed, as</w:t>
      </w:r>
      <w:r>
        <w:rPr>
          <w:rFonts w:eastAsia="Times New Roman"/>
        </w:rPr>
        <w:t xml:space="preserve"> </w:t>
      </w:r>
      <w:r w:rsidRPr="004C228F">
        <w:rPr>
          <w:rFonts w:eastAsia="Times New Roman"/>
        </w:rPr>
        <w:t>evidenced by the classification of proved or probable reserves and the appropriate internal and external approvals, the asset is</w:t>
      </w:r>
      <w:r>
        <w:rPr>
          <w:rFonts w:eastAsia="Times New Roman"/>
        </w:rPr>
        <w:t xml:space="preserve"> transferred to oil and gas properties.</w:t>
      </w:r>
    </w:p>
    <w:p w14:paraId="0D39F3A8" w14:textId="03453B71" w:rsidR="00B46699" w:rsidRDefault="00B46699" w:rsidP="00635EA9">
      <w:pPr>
        <w:pStyle w:val="NormalWeb"/>
        <w:spacing w:before="0" w:beforeAutospacing="0" w:after="0" w:afterAutospacing="0"/>
        <w:jc w:val="both"/>
        <w:rPr>
          <w:sz w:val="20"/>
          <w:szCs w:val="20"/>
        </w:rPr>
      </w:pPr>
    </w:p>
    <w:p w14:paraId="704FE88A" w14:textId="77777777" w:rsidR="00635EA9" w:rsidRPr="003F1DCD" w:rsidRDefault="00635EA9" w:rsidP="00635EA9">
      <w:pPr>
        <w:pStyle w:val="NormalWeb"/>
        <w:spacing w:before="0" w:beforeAutospacing="0" w:after="0" w:afterAutospacing="0"/>
        <w:jc w:val="both"/>
        <w:rPr>
          <w:sz w:val="20"/>
          <w:szCs w:val="20"/>
        </w:rPr>
      </w:pPr>
      <w:r w:rsidRPr="003F1DCD">
        <w:rPr>
          <w:i/>
          <w:iCs/>
          <w:sz w:val="20"/>
          <w:szCs w:val="20"/>
        </w:rPr>
        <w:t>Oil and gas properties</w:t>
      </w:r>
    </w:p>
    <w:p w14:paraId="4498FB0E" w14:textId="77777777" w:rsidR="00635EA9" w:rsidRPr="003F1DCD" w:rsidRDefault="00635EA9" w:rsidP="00635EA9">
      <w:pPr>
        <w:pStyle w:val="NormalWeb"/>
        <w:spacing w:before="0" w:beforeAutospacing="0" w:after="0" w:afterAutospacing="0"/>
        <w:jc w:val="both"/>
        <w:rPr>
          <w:sz w:val="20"/>
          <w:szCs w:val="20"/>
        </w:rPr>
      </w:pPr>
      <w:r w:rsidRPr="003F1DCD">
        <w:rPr>
          <w:sz w:val="20"/>
          <w:szCs w:val="20"/>
        </w:rPr>
        <w:t> </w:t>
      </w:r>
    </w:p>
    <w:p w14:paraId="727F9CD7" w14:textId="77777777" w:rsidR="00F86352" w:rsidRDefault="00F86352" w:rsidP="00F86352">
      <w:pPr>
        <w:spacing w:after="0"/>
        <w:jc w:val="both"/>
        <w:rPr>
          <w:rFonts w:eastAsia="Times New Roman"/>
        </w:rPr>
      </w:pPr>
      <w:r>
        <w:rPr>
          <w:rFonts w:eastAsia="Times New Roman"/>
        </w:rPr>
        <w:t xml:space="preserve">Oil and gas properties (“O&amp;G”) include exploration and evaluation expenditures, development and productions costs, less accumulated depletion and depreciation and accumulated impairment loss. </w:t>
      </w:r>
      <w:r w:rsidRPr="000F24E9">
        <w:rPr>
          <w:rFonts w:eastAsia="Times New Roman"/>
        </w:rPr>
        <w:t xml:space="preserve">O&amp;G </w:t>
      </w:r>
      <w:r>
        <w:rPr>
          <w:rFonts w:eastAsia="Times New Roman"/>
        </w:rPr>
        <w:t xml:space="preserve">are grouped into cash generating units for impairment testing. </w:t>
      </w:r>
      <w:r w:rsidRPr="00D2099E">
        <w:rPr>
          <w:rFonts w:eastAsia="Times New Roman"/>
        </w:rPr>
        <w:t> </w:t>
      </w:r>
      <w:r>
        <w:rPr>
          <w:rFonts w:eastAsia="Times New Roman"/>
        </w:rPr>
        <w:t xml:space="preserve">The Company has grouped its </w:t>
      </w:r>
      <w:r w:rsidRPr="009446F6">
        <w:rPr>
          <w:rFonts w:eastAsia="Times New Roman"/>
        </w:rPr>
        <w:t>O&amp;G</w:t>
      </w:r>
      <w:r>
        <w:rPr>
          <w:rFonts w:eastAsia="Times New Roman"/>
        </w:rPr>
        <w:t xml:space="preserve"> into two CGUs: the Cendere Oil Field and SASB Gas Field. </w:t>
      </w:r>
    </w:p>
    <w:p w14:paraId="24B0D71F" w14:textId="77777777" w:rsidR="00F86352" w:rsidRDefault="00F86352" w:rsidP="00F86352">
      <w:pPr>
        <w:spacing w:after="0"/>
        <w:ind w:left="720"/>
        <w:jc w:val="both"/>
        <w:rPr>
          <w:rFonts w:eastAsia="Times New Roman"/>
        </w:rPr>
      </w:pPr>
    </w:p>
    <w:p w14:paraId="2F399335" w14:textId="77777777" w:rsidR="00F86352" w:rsidRDefault="00F86352" w:rsidP="00F86352">
      <w:pPr>
        <w:spacing w:after="0"/>
        <w:jc w:val="both"/>
        <w:rPr>
          <w:rFonts w:eastAsia="Times New Roman"/>
        </w:rPr>
      </w:pPr>
      <w:r w:rsidRPr="006A0E44">
        <w:rPr>
          <w:rFonts w:eastAsia="Times New Roman"/>
        </w:rPr>
        <w:t xml:space="preserve">When significant parts of an item of </w:t>
      </w:r>
      <w:r>
        <w:rPr>
          <w:rFonts w:eastAsia="Times New Roman"/>
        </w:rPr>
        <w:t xml:space="preserve">O&amp;G </w:t>
      </w:r>
      <w:r w:rsidRPr="006A0E44">
        <w:rPr>
          <w:rFonts w:eastAsia="Times New Roman"/>
        </w:rPr>
        <w:t>have different useful lives, they are accounted for as separate items (major components).</w:t>
      </w:r>
    </w:p>
    <w:p w14:paraId="4ED13504" w14:textId="77777777" w:rsidR="00F86352" w:rsidRDefault="00F86352" w:rsidP="00F86352">
      <w:pPr>
        <w:spacing w:after="0"/>
        <w:ind w:left="720"/>
        <w:jc w:val="both"/>
        <w:rPr>
          <w:rFonts w:eastAsia="Times New Roman"/>
        </w:rPr>
      </w:pPr>
    </w:p>
    <w:p w14:paraId="116CD8FA" w14:textId="77777777" w:rsidR="00B2631D" w:rsidRDefault="00B2631D">
      <w:pPr>
        <w:autoSpaceDE/>
        <w:autoSpaceDN/>
        <w:adjustRightInd/>
        <w:spacing w:after="160" w:line="259" w:lineRule="auto"/>
        <w:rPr>
          <w:rFonts w:eastAsia="Times New Roman"/>
        </w:rPr>
      </w:pPr>
      <w:r>
        <w:rPr>
          <w:rFonts w:eastAsia="Times New Roman"/>
        </w:rPr>
        <w:br w:type="page"/>
      </w:r>
    </w:p>
    <w:p w14:paraId="54A0FE93" w14:textId="77777777" w:rsidR="00B2631D" w:rsidRDefault="00B2631D" w:rsidP="00F86352">
      <w:pPr>
        <w:spacing w:after="0"/>
        <w:jc w:val="both"/>
        <w:rPr>
          <w:rFonts w:eastAsia="Times New Roman"/>
        </w:rPr>
      </w:pPr>
    </w:p>
    <w:p w14:paraId="4AEBAF59" w14:textId="090309F0" w:rsidR="00F86352" w:rsidRDefault="00F86352" w:rsidP="00F86352">
      <w:pPr>
        <w:spacing w:after="0"/>
        <w:jc w:val="both"/>
        <w:rPr>
          <w:rFonts w:eastAsia="Times New Roman"/>
        </w:rPr>
      </w:pPr>
      <w:r w:rsidRPr="00F229CE">
        <w:rPr>
          <w:rFonts w:eastAsia="Times New Roman"/>
        </w:rPr>
        <w:t xml:space="preserve">Costs incurred </w:t>
      </w:r>
      <w:proofErr w:type="gramStart"/>
      <w:r w:rsidRPr="00F229CE">
        <w:rPr>
          <w:rFonts w:eastAsia="Times New Roman"/>
        </w:rPr>
        <w:t>subsequent to</w:t>
      </w:r>
      <w:proofErr w:type="gramEnd"/>
      <w:r w:rsidRPr="00F229CE">
        <w:rPr>
          <w:rFonts w:eastAsia="Times New Roman"/>
        </w:rPr>
        <w:t xml:space="preserve"> the determination of technical feasibility and commercial viability and the costs of replacing parts of O&amp;G are </w:t>
      </w:r>
      <w:r>
        <w:rPr>
          <w:rFonts w:eastAsia="Times New Roman"/>
        </w:rPr>
        <w:t>capitalized</w:t>
      </w:r>
      <w:r w:rsidRPr="00F229CE">
        <w:rPr>
          <w:rFonts w:eastAsia="Times New Roman"/>
        </w:rPr>
        <w:t xml:space="preserve"> only when they increase the future economic benefits embodied in the specific asset to</w:t>
      </w:r>
      <w:r>
        <w:rPr>
          <w:rFonts w:eastAsia="Times New Roman"/>
        </w:rPr>
        <w:t xml:space="preserve"> </w:t>
      </w:r>
      <w:r w:rsidRPr="00F229CE">
        <w:rPr>
          <w:rFonts w:eastAsia="Times New Roman"/>
        </w:rPr>
        <w:t xml:space="preserve">which they relate. All other expenditures are recognized in profit or loss as incurred. Such capitalized </w:t>
      </w:r>
      <w:r>
        <w:rPr>
          <w:rFonts w:eastAsia="Times New Roman"/>
        </w:rPr>
        <w:t>items</w:t>
      </w:r>
      <w:r w:rsidRPr="00F229CE">
        <w:rPr>
          <w:rFonts w:eastAsia="Times New Roman"/>
        </w:rPr>
        <w:t xml:space="preserve"> generally</w:t>
      </w:r>
      <w:r>
        <w:rPr>
          <w:rFonts w:eastAsia="Times New Roman"/>
        </w:rPr>
        <w:t xml:space="preserve"> </w:t>
      </w:r>
      <w:r w:rsidRPr="00F229CE">
        <w:rPr>
          <w:rFonts w:eastAsia="Times New Roman"/>
        </w:rPr>
        <w:t xml:space="preserve">represent costs incurred in developing proved and/or probable reserves and bringing on or enhancing production from such </w:t>
      </w:r>
      <w:r w:rsidR="00997E01" w:rsidRPr="00F229CE">
        <w:rPr>
          <w:rFonts w:eastAsia="Times New Roman"/>
        </w:rPr>
        <w:t>reserves and</w:t>
      </w:r>
      <w:r>
        <w:rPr>
          <w:rFonts w:eastAsia="Times New Roman"/>
        </w:rPr>
        <w:t xml:space="preserve"> </w:t>
      </w:r>
      <w:r w:rsidRPr="00F229CE">
        <w:rPr>
          <w:rFonts w:eastAsia="Times New Roman"/>
        </w:rPr>
        <w:t>are accumulated on a field or geotechnical area basis. The carrying amount of any replaced or sold component is derecognized. The costs</w:t>
      </w:r>
      <w:r>
        <w:rPr>
          <w:rFonts w:eastAsia="Times New Roman"/>
        </w:rPr>
        <w:t xml:space="preserve"> </w:t>
      </w:r>
      <w:r w:rsidRPr="00F229CE">
        <w:rPr>
          <w:rFonts w:eastAsia="Times New Roman"/>
        </w:rPr>
        <w:t xml:space="preserve">of the day-to-day servicing of </w:t>
      </w:r>
      <w:r>
        <w:rPr>
          <w:rFonts w:eastAsia="Times New Roman"/>
        </w:rPr>
        <w:t xml:space="preserve">oil ang gas </w:t>
      </w:r>
      <w:proofErr w:type="gramStart"/>
      <w:r>
        <w:rPr>
          <w:rFonts w:eastAsia="Times New Roman"/>
        </w:rPr>
        <w:t xml:space="preserve">properties </w:t>
      </w:r>
      <w:r w:rsidRPr="00F229CE">
        <w:rPr>
          <w:rFonts w:eastAsia="Times New Roman"/>
        </w:rPr>
        <w:t xml:space="preserve"> are</w:t>
      </w:r>
      <w:proofErr w:type="gramEnd"/>
      <w:r w:rsidRPr="00F229CE">
        <w:rPr>
          <w:rFonts w:eastAsia="Times New Roman"/>
        </w:rPr>
        <w:t xml:space="preserve"> recognized in profit or loss as incurred.</w:t>
      </w:r>
    </w:p>
    <w:p w14:paraId="4EB2BB74" w14:textId="77777777" w:rsidR="00F86352" w:rsidRPr="00F229CE" w:rsidRDefault="00F86352" w:rsidP="00F86352">
      <w:pPr>
        <w:spacing w:after="0"/>
        <w:ind w:left="720"/>
        <w:jc w:val="both"/>
        <w:rPr>
          <w:rFonts w:eastAsia="Times New Roman"/>
        </w:rPr>
      </w:pPr>
    </w:p>
    <w:p w14:paraId="39CE2DFA" w14:textId="77777777" w:rsidR="00F86352" w:rsidRDefault="00F86352" w:rsidP="00F86352">
      <w:pPr>
        <w:spacing w:after="0"/>
        <w:jc w:val="both"/>
        <w:rPr>
          <w:rFonts w:eastAsia="Times New Roman"/>
        </w:rPr>
      </w:pPr>
      <w:r w:rsidRPr="00F229CE">
        <w:rPr>
          <w:rFonts w:eastAsia="Times New Roman"/>
        </w:rPr>
        <w:t xml:space="preserve">The net carrying value of </w:t>
      </w:r>
      <w:r>
        <w:rPr>
          <w:rFonts w:eastAsia="Times New Roman"/>
        </w:rPr>
        <w:t>oil and gas properties</w:t>
      </w:r>
      <w:r w:rsidRPr="00F229CE">
        <w:rPr>
          <w:rFonts w:eastAsia="Times New Roman"/>
        </w:rPr>
        <w:t xml:space="preserve"> is depleted using the unit-of-production method by reference to the ratio of</w:t>
      </w:r>
      <w:r>
        <w:rPr>
          <w:rFonts w:eastAsia="Times New Roman"/>
        </w:rPr>
        <w:t xml:space="preserve"> </w:t>
      </w:r>
      <w:r w:rsidRPr="00F229CE">
        <w:rPr>
          <w:rFonts w:eastAsia="Times New Roman"/>
        </w:rPr>
        <w:t xml:space="preserve">production in the year to the related proved reserves, </w:t>
      </w:r>
      <w:proofErr w:type="gramStart"/>
      <w:r w:rsidRPr="00F229CE">
        <w:rPr>
          <w:rFonts w:eastAsia="Times New Roman"/>
        </w:rPr>
        <w:t>taking into account</w:t>
      </w:r>
      <w:proofErr w:type="gramEnd"/>
      <w:r w:rsidRPr="00F229CE">
        <w:rPr>
          <w:rFonts w:eastAsia="Times New Roman"/>
        </w:rPr>
        <w:t xml:space="preserve"> estimated future development costs necessary to</w:t>
      </w:r>
      <w:r>
        <w:rPr>
          <w:rFonts w:eastAsia="Times New Roman"/>
        </w:rPr>
        <w:t xml:space="preserve"> </w:t>
      </w:r>
      <w:r w:rsidRPr="00F229CE">
        <w:rPr>
          <w:rFonts w:eastAsia="Times New Roman"/>
        </w:rPr>
        <w:t>bring those reserves into production. These estimates are reviewed by independent reservoir engineers at least annually.</w:t>
      </w:r>
      <w:r>
        <w:rPr>
          <w:rFonts w:eastAsia="Times New Roman"/>
        </w:rPr>
        <w:t xml:space="preserve">  </w:t>
      </w:r>
    </w:p>
    <w:p w14:paraId="44F8279F" w14:textId="77777777" w:rsidR="00635EA9" w:rsidRPr="003F1DCD" w:rsidRDefault="00635EA9" w:rsidP="00635EA9">
      <w:pPr>
        <w:pStyle w:val="NormalWeb"/>
        <w:spacing w:before="0" w:beforeAutospacing="0" w:after="0" w:afterAutospacing="0"/>
        <w:jc w:val="both"/>
        <w:rPr>
          <w:sz w:val="20"/>
          <w:szCs w:val="20"/>
        </w:rPr>
      </w:pPr>
      <w:r w:rsidRPr="003F1DCD">
        <w:rPr>
          <w:sz w:val="20"/>
          <w:szCs w:val="20"/>
        </w:rPr>
        <w:t> </w:t>
      </w:r>
    </w:p>
    <w:p w14:paraId="7F14CA36" w14:textId="25F8C908" w:rsidR="00635EA9" w:rsidRPr="003F1DCD" w:rsidRDefault="00635EA9" w:rsidP="00635EA9">
      <w:pPr>
        <w:pStyle w:val="NormalWeb"/>
        <w:spacing w:before="0" w:beforeAutospacing="0" w:after="0" w:afterAutospacing="0"/>
        <w:jc w:val="both"/>
        <w:rPr>
          <w:sz w:val="20"/>
          <w:szCs w:val="20"/>
        </w:rPr>
      </w:pPr>
      <w:r w:rsidRPr="003F1DCD">
        <w:rPr>
          <w:i/>
          <w:iCs/>
          <w:sz w:val="20"/>
          <w:szCs w:val="20"/>
        </w:rPr>
        <w:t>Stock-based compensation</w:t>
      </w:r>
    </w:p>
    <w:p w14:paraId="5B9E7672" w14:textId="77777777" w:rsidR="00635EA9" w:rsidRPr="003F1DCD" w:rsidRDefault="00635EA9" w:rsidP="00635EA9">
      <w:pPr>
        <w:pStyle w:val="NormalWeb"/>
        <w:spacing w:before="0" w:beforeAutospacing="0" w:after="0" w:afterAutospacing="0"/>
        <w:jc w:val="both"/>
        <w:rPr>
          <w:sz w:val="20"/>
          <w:szCs w:val="20"/>
        </w:rPr>
      </w:pPr>
      <w:r w:rsidRPr="003F1DCD">
        <w:rPr>
          <w:sz w:val="20"/>
          <w:szCs w:val="20"/>
        </w:rPr>
        <w:t> </w:t>
      </w:r>
    </w:p>
    <w:p w14:paraId="4FE17344" w14:textId="77777777" w:rsidR="00181164" w:rsidRPr="00181164" w:rsidRDefault="00181164" w:rsidP="00961713">
      <w:pPr>
        <w:pStyle w:val="NormalWeb"/>
        <w:spacing w:before="0" w:beforeAutospacing="0" w:after="0" w:afterAutospacing="0"/>
        <w:jc w:val="both"/>
        <w:rPr>
          <w:sz w:val="20"/>
          <w:szCs w:val="20"/>
        </w:rPr>
      </w:pPr>
      <w:r w:rsidRPr="00181164">
        <w:rPr>
          <w:sz w:val="20"/>
          <w:szCs w:val="20"/>
        </w:rPr>
        <w:t xml:space="preserve">Under the company’s share-based compensation plans, share-based awards may be granted to executives, </w:t>
      </w:r>
      <w:proofErr w:type="gramStart"/>
      <w:r w:rsidRPr="00181164">
        <w:rPr>
          <w:sz w:val="20"/>
          <w:szCs w:val="20"/>
        </w:rPr>
        <w:t>employees</w:t>
      </w:r>
      <w:proofErr w:type="gramEnd"/>
      <w:r w:rsidRPr="00181164">
        <w:rPr>
          <w:sz w:val="20"/>
          <w:szCs w:val="20"/>
        </w:rPr>
        <w:t xml:space="preserve"> and nonemployee directors.</w:t>
      </w:r>
    </w:p>
    <w:p w14:paraId="0817BF0A" w14:textId="583F2CA1" w:rsidR="0063318D" w:rsidRDefault="00181164" w:rsidP="00181164">
      <w:pPr>
        <w:pStyle w:val="NormalWeb"/>
        <w:spacing w:before="0" w:beforeAutospacing="0" w:after="0" w:afterAutospacing="0"/>
        <w:jc w:val="both"/>
        <w:rPr>
          <w:sz w:val="20"/>
          <w:szCs w:val="20"/>
        </w:rPr>
      </w:pPr>
      <w:r w:rsidRPr="00181164">
        <w:rPr>
          <w:sz w:val="20"/>
          <w:szCs w:val="20"/>
        </w:rPr>
        <w:t>Stock options that give the holder the right to purchase common shares are accounted for as equity-settled plans. The expense is based on the fair value of the options at the time of grant using the Black-Scholes options pricing model and is recognized over the vesting periods of the respective options. A corresponding increase is recorded to option reserve. Consideration paid to the company on exercise of options is credited to share capital and the associated amount in contributed surplus is reclassified to share capital.</w:t>
      </w:r>
    </w:p>
    <w:p w14:paraId="2F573338" w14:textId="77777777" w:rsidR="00181164" w:rsidRDefault="00181164" w:rsidP="008B7C3A">
      <w:pPr>
        <w:pStyle w:val="NormalWeb"/>
        <w:spacing w:before="0" w:beforeAutospacing="0" w:after="0" w:afterAutospacing="0"/>
        <w:jc w:val="both"/>
        <w:rPr>
          <w:i/>
          <w:iCs/>
          <w:sz w:val="20"/>
          <w:szCs w:val="20"/>
        </w:rPr>
      </w:pPr>
    </w:p>
    <w:p w14:paraId="0323F2BB" w14:textId="52415498" w:rsidR="008B7C3A" w:rsidRPr="003F1DCD" w:rsidRDefault="008B7C3A" w:rsidP="008B7C3A">
      <w:pPr>
        <w:pStyle w:val="NormalWeb"/>
        <w:spacing w:before="0" w:beforeAutospacing="0" w:after="0" w:afterAutospacing="0"/>
        <w:jc w:val="both"/>
        <w:rPr>
          <w:sz w:val="20"/>
          <w:szCs w:val="20"/>
        </w:rPr>
      </w:pPr>
      <w:r>
        <w:rPr>
          <w:i/>
          <w:iCs/>
          <w:sz w:val="20"/>
          <w:szCs w:val="20"/>
        </w:rPr>
        <w:t>Unit Offerings</w:t>
      </w:r>
    </w:p>
    <w:p w14:paraId="35AE5EFC" w14:textId="77777777" w:rsidR="008B7C3A" w:rsidRPr="00D2099E" w:rsidRDefault="008B7C3A" w:rsidP="008B7C3A">
      <w:pPr>
        <w:spacing w:after="0"/>
        <w:jc w:val="both"/>
        <w:rPr>
          <w:rFonts w:eastAsia="Times New Roman"/>
        </w:rPr>
      </w:pPr>
      <w:r w:rsidRPr="00D2099E">
        <w:rPr>
          <w:rFonts w:eastAsia="Times New Roman"/>
        </w:rPr>
        <w:t> </w:t>
      </w:r>
    </w:p>
    <w:p w14:paraId="7D7EC15C" w14:textId="77777777" w:rsidR="008B7C3A" w:rsidRPr="00D2099E" w:rsidRDefault="008B7C3A" w:rsidP="0052343D">
      <w:pPr>
        <w:spacing w:after="0"/>
        <w:jc w:val="both"/>
        <w:rPr>
          <w:rFonts w:eastAsia="Times New Roman"/>
        </w:rPr>
      </w:pPr>
      <w:r>
        <w:rPr>
          <w:rFonts w:eastAsia="Times New Roman"/>
        </w:rPr>
        <w:t>Common shares are classified as equity. Proceeds from unit placements are allocated between shares and warrants issued using the residual method. The residual method first allocates fair value to the component with the best evidence of fair value and then the residual value, if any, to the less easily measurable component. The fair value of the common shares, measured on date of issue, was determined to be the component with the best evidence of fair value. The balance, if any, was allocated to the attached warrants. Costs directly identifiable with share capital financing are charged against share capital.</w:t>
      </w:r>
    </w:p>
    <w:p w14:paraId="34C1B6D1" w14:textId="77777777" w:rsidR="008B7C3A" w:rsidRDefault="008B7C3A" w:rsidP="00635EA9">
      <w:pPr>
        <w:pStyle w:val="NormalWeb"/>
        <w:spacing w:before="0" w:beforeAutospacing="0" w:after="0" w:afterAutospacing="0"/>
        <w:jc w:val="both"/>
        <w:rPr>
          <w:sz w:val="20"/>
          <w:szCs w:val="20"/>
        </w:rPr>
      </w:pPr>
    </w:p>
    <w:p w14:paraId="77AA675B" w14:textId="1A28540D" w:rsidR="00635EA9" w:rsidRPr="00034F5D" w:rsidRDefault="00635EA9" w:rsidP="00635EA9">
      <w:pPr>
        <w:jc w:val="both"/>
        <w:rPr>
          <w:b/>
          <w:bCs/>
          <w:i/>
          <w:iCs/>
          <w:color w:val="000000"/>
        </w:rPr>
      </w:pPr>
      <w:r w:rsidRPr="00034F5D">
        <w:rPr>
          <w:b/>
          <w:bCs/>
          <w:i/>
          <w:iCs/>
          <w:color w:val="000000"/>
        </w:rPr>
        <w:t>Initial adoption of new accounting standards</w:t>
      </w:r>
    </w:p>
    <w:p w14:paraId="4E8D0E16" w14:textId="52E257FC" w:rsidR="00993BC7" w:rsidRDefault="006B09E5" w:rsidP="006A183C">
      <w:pPr>
        <w:jc w:val="both"/>
        <w:rPr>
          <w:color w:val="000000"/>
        </w:rPr>
      </w:pPr>
      <w:r w:rsidRPr="00C82AA6">
        <w:rPr>
          <w:color w:val="000000"/>
        </w:rPr>
        <w:t>The Company adopted IFRS for the fi</w:t>
      </w:r>
      <w:r w:rsidR="00BC10B4" w:rsidRPr="00C82AA6">
        <w:rPr>
          <w:color w:val="000000"/>
        </w:rPr>
        <w:t>r</w:t>
      </w:r>
      <w:r w:rsidRPr="00C82AA6">
        <w:rPr>
          <w:color w:val="000000"/>
        </w:rPr>
        <w:t xml:space="preserve">st time effective </w:t>
      </w:r>
      <w:r w:rsidR="00BC10B4" w:rsidRPr="00C82AA6">
        <w:rPr>
          <w:color w:val="000000"/>
        </w:rPr>
        <w:t xml:space="preserve">for the </w:t>
      </w:r>
      <w:r w:rsidR="00461243" w:rsidRPr="00C82AA6">
        <w:rPr>
          <w:color w:val="000000"/>
        </w:rPr>
        <w:t>six</w:t>
      </w:r>
      <w:r w:rsidR="00BC10B4" w:rsidRPr="00C82AA6">
        <w:rPr>
          <w:color w:val="000000"/>
        </w:rPr>
        <w:t xml:space="preserve"> month</w:t>
      </w:r>
      <w:r w:rsidR="005E37DA" w:rsidRPr="00C82AA6">
        <w:rPr>
          <w:color w:val="000000"/>
        </w:rPr>
        <w:t>s</w:t>
      </w:r>
      <w:r w:rsidR="00BC10B4" w:rsidRPr="00C82AA6">
        <w:rPr>
          <w:color w:val="000000"/>
        </w:rPr>
        <w:t xml:space="preserve"> ended </w:t>
      </w:r>
      <w:r w:rsidR="00461243" w:rsidRPr="00C82AA6">
        <w:rPr>
          <w:color w:val="000000"/>
        </w:rPr>
        <w:t>June 30</w:t>
      </w:r>
      <w:r w:rsidR="00BC10B4" w:rsidRPr="00C82AA6">
        <w:rPr>
          <w:color w:val="000000"/>
        </w:rPr>
        <w:t>, 2022</w:t>
      </w:r>
      <w:r w:rsidRPr="00C82AA6">
        <w:rPr>
          <w:color w:val="000000"/>
        </w:rPr>
        <w:t>,</w:t>
      </w:r>
      <w:r w:rsidRPr="00034F5D">
        <w:rPr>
          <w:color w:val="000000"/>
        </w:rPr>
        <w:t xml:space="preserve"> with a</w:t>
      </w:r>
      <w:r>
        <w:rPr>
          <w:color w:val="000000"/>
        </w:rPr>
        <w:t xml:space="preserve"> transition date on January 1, 2021. See Note 2(r) of the accompanying </w:t>
      </w:r>
      <w:r w:rsidR="00862C00">
        <w:rPr>
          <w:color w:val="000000"/>
        </w:rPr>
        <w:t xml:space="preserve">condensed </w:t>
      </w:r>
      <w:r>
        <w:rPr>
          <w:color w:val="000000"/>
        </w:rPr>
        <w:t xml:space="preserve">consolidated interim financial statements for the </w:t>
      </w:r>
      <w:r w:rsidR="00461243">
        <w:rPr>
          <w:color w:val="000000"/>
        </w:rPr>
        <w:t>six</w:t>
      </w:r>
      <w:r>
        <w:rPr>
          <w:color w:val="000000"/>
        </w:rPr>
        <w:t xml:space="preserve"> months ended </w:t>
      </w:r>
      <w:r w:rsidR="00461243">
        <w:rPr>
          <w:color w:val="000000"/>
        </w:rPr>
        <w:t>June 30</w:t>
      </w:r>
      <w:r>
        <w:rPr>
          <w:color w:val="000000"/>
        </w:rPr>
        <w:t xml:space="preserve">, </w:t>
      </w:r>
      <w:proofErr w:type="gramStart"/>
      <w:r>
        <w:rPr>
          <w:color w:val="000000"/>
        </w:rPr>
        <w:t>2022</w:t>
      </w:r>
      <w:proofErr w:type="gramEnd"/>
      <w:r>
        <w:rPr>
          <w:color w:val="000000"/>
        </w:rPr>
        <w:t xml:space="preserve"> and 2021 for details on the adoption. </w:t>
      </w:r>
    </w:p>
    <w:p w14:paraId="68B57BEA" w14:textId="0FCB2D79" w:rsidR="005B71BA" w:rsidRPr="004050BC" w:rsidRDefault="00D12C06" w:rsidP="00B84E24">
      <w:pPr>
        <w:pStyle w:val="Heading1"/>
      </w:pPr>
      <w:bookmarkStart w:id="28" w:name="_Toc103780861"/>
      <w:r w:rsidRPr="004050BC">
        <w:t>Subsequent Events</w:t>
      </w:r>
      <w:bookmarkEnd w:id="28"/>
    </w:p>
    <w:p w14:paraId="009C285E" w14:textId="77777777" w:rsidR="00B84E24" w:rsidRPr="0060136A" w:rsidRDefault="00B84E24" w:rsidP="00583A17">
      <w:pPr>
        <w:spacing w:after="0"/>
      </w:pPr>
    </w:p>
    <w:p w14:paraId="5E7A4542" w14:textId="15CCE17C" w:rsidR="00DE73E1" w:rsidRPr="00A44638" w:rsidRDefault="00DE73E1" w:rsidP="00A44638">
      <w:pPr>
        <w:jc w:val="both"/>
        <w:rPr>
          <w:color w:val="000000"/>
        </w:rPr>
      </w:pPr>
      <w:bookmarkStart w:id="29" w:name="_Hlk111029335"/>
      <w:proofErr w:type="gramStart"/>
      <w:r w:rsidRPr="00A44638">
        <w:rPr>
          <w:color w:val="000000"/>
        </w:rPr>
        <w:t>Subsequent to</w:t>
      </w:r>
      <w:proofErr w:type="gramEnd"/>
      <w:r w:rsidRPr="00A44638">
        <w:rPr>
          <w:color w:val="000000"/>
        </w:rPr>
        <w:t xml:space="preserve"> June 30, 2022, the Company issued 1,250,000 shares pursuant to the exercise of 1,250,000 warrants at </w:t>
      </w:r>
      <w:r w:rsidR="003263F1">
        <w:rPr>
          <w:color w:val="000000"/>
        </w:rPr>
        <w:t>US</w:t>
      </w:r>
      <w:r w:rsidRPr="00A44638">
        <w:rPr>
          <w:color w:val="000000"/>
        </w:rPr>
        <w:t>$0.08 ($0.10 CAD) for proceeds of $100,000 ($128,913 CAD).</w:t>
      </w:r>
    </w:p>
    <w:p w14:paraId="4381962A" w14:textId="1A8F3CC4" w:rsidR="00DE73E1" w:rsidRPr="00A44638" w:rsidRDefault="00DE73E1" w:rsidP="00A44638">
      <w:pPr>
        <w:jc w:val="both"/>
        <w:rPr>
          <w:color w:val="000000"/>
        </w:rPr>
      </w:pPr>
      <w:proofErr w:type="gramStart"/>
      <w:r w:rsidRPr="00A44638">
        <w:rPr>
          <w:color w:val="000000"/>
        </w:rPr>
        <w:t>Subsequent to</w:t>
      </w:r>
      <w:proofErr w:type="gramEnd"/>
      <w:r w:rsidRPr="00A44638">
        <w:rPr>
          <w:color w:val="000000"/>
        </w:rPr>
        <w:t xml:space="preserve"> June 30, 2022, the Company issued 475,000 shares pursuant to the exercise of 475,000 options with exercise prices ranging from $0.08 - $0.12 for proceeds of approximately $45,332 ($58,439 CAD).</w:t>
      </w:r>
    </w:p>
    <w:p w14:paraId="5D6A9203" w14:textId="77777777" w:rsidR="00DE73E1" w:rsidRPr="00A44638" w:rsidRDefault="00DE73E1" w:rsidP="00A44638">
      <w:pPr>
        <w:jc w:val="both"/>
        <w:rPr>
          <w:color w:val="000000"/>
        </w:rPr>
      </w:pPr>
      <w:proofErr w:type="gramStart"/>
      <w:r w:rsidRPr="00A44638">
        <w:rPr>
          <w:color w:val="000000"/>
        </w:rPr>
        <w:t>Subsequent to</w:t>
      </w:r>
      <w:proofErr w:type="gramEnd"/>
      <w:r w:rsidRPr="00A44638">
        <w:rPr>
          <w:color w:val="000000"/>
        </w:rPr>
        <w:t xml:space="preserve"> June 30, 2022, the Company granted 2,560,000 stock options to various employees of the Company. Each stock option can be exercised at $0.30 CAD (USD$0.23) for three years from the date of grant.</w:t>
      </w:r>
    </w:p>
    <w:bookmarkEnd w:id="29"/>
    <w:p w14:paraId="7EBB150C" w14:textId="77777777" w:rsidR="00034F5D" w:rsidRPr="00C82AA6" w:rsidRDefault="00034F5D" w:rsidP="00C82AA6">
      <w:pPr>
        <w:jc w:val="both"/>
        <w:rPr>
          <w:color w:val="000000"/>
        </w:rPr>
      </w:pPr>
      <w:proofErr w:type="gramStart"/>
      <w:r w:rsidRPr="00C82AA6">
        <w:rPr>
          <w:color w:val="000000"/>
        </w:rPr>
        <w:t>Subsequent to</w:t>
      </w:r>
      <w:proofErr w:type="gramEnd"/>
      <w:r w:rsidRPr="00C82AA6">
        <w:rPr>
          <w:color w:val="000000"/>
        </w:rPr>
        <w:t xml:space="preserve"> June 30, 2022, the Company issued 750,000 RSUs to an officer of the Company which vests immediately.</w:t>
      </w:r>
    </w:p>
    <w:p w14:paraId="6630C202" w14:textId="77777777" w:rsidR="004050BC" w:rsidRPr="002556D0" w:rsidRDefault="004050BC" w:rsidP="002A28CC">
      <w:pPr>
        <w:rPr>
          <w:highlight w:val="yellow"/>
        </w:rPr>
      </w:pPr>
    </w:p>
    <w:sectPr w:rsidR="004050BC" w:rsidRPr="00255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A228" w14:textId="77777777" w:rsidR="00C81310" w:rsidRDefault="00C81310">
      <w:pPr>
        <w:spacing w:after="0"/>
      </w:pPr>
      <w:r>
        <w:separator/>
      </w:r>
    </w:p>
  </w:endnote>
  <w:endnote w:type="continuationSeparator" w:id="0">
    <w:p w14:paraId="4FD1F116" w14:textId="77777777" w:rsidR="00C81310" w:rsidRDefault="00C81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55CD" w14:textId="77777777" w:rsidR="00C81310" w:rsidRDefault="00C81310" w:rsidP="005B71BA">
      <w:pPr>
        <w:spacing w:after="0"/>
      </w:pPr>
      <w:r>
        <w:separator/>
      </w:r>
    </w:p>
  </w:footnote>
  <w:footnote w:type="continuationSeparator" w:id="0">
    <w:p w14:paraId="0B5264F1" w14:textId="77777777" w:rsidR="00C81310" w:rsidRDefault="00C81310" w:rsidP="005B71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62457B8"/>
    <w:name w:val="WW8Num3"/>
    <w:lvl w:ilvl="0">
      <w:start w:val="1"/>
      <w:numFmt w:val="decimal"/>
      <w:lvlText w:val="%1."/>
      <w:lvlJc w:val="left"/>
      <w:pPr>
        <w:tabs>
          <w:tab w:val="num" w:pos="-360"/>
        </w:tabs>
        <w:ind w:left="-360" w:hanging="1080"/>
      </w:pPr>
      <w:rPr>
        <w:rFonts w:ascii="Times New Roman" w:hAnsi="Times New Roman" w:cs="Times New Roman" w:hint="default"/>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15:restartNumberingAfterBreak="0">
    <w:nsid w:val="0000000A"/>
    <w:multiLevelType w:val="multilevel"/>
    <w:tmpl w:val="0000000A"/>
    <w:name w:val="WW8Num10"/>
    <w:lvl w:ilvl="0">
      <w:start w:val="1"/>
      <w:numFmt w:val="bullet"/>
      <w:lvlText w:val=""/>
      <w:lvlJc w:val="left"/>
      <w:pPr>
        <w:tabs>
          <w:tab w:val="num" w:pos="-22500"/>
        </w:tabs>
        <w:ind w:left="-20700" w:hanging="360"/>
      </w:pPr>
      <w:rPr>
        <w:rFonts w:ascii="Symbol" w:hAnsi="Symbol" w:cs="Symbol"/>
      </w:rPr>
    </w:lvl>
    <w:lvl w:ilvl="1">
      <w:start w:val="1"/>
      <w:numFmt w:val="bullet"/>
      <w:lvlText w:val="o"/>
      <w:lvlJc w:val="left"/>
      <w:pPr>
        <w:tabs>
          <w:tab w:val="num" w:pos="-22500"/>
        </w:tabs>
        <w:ind w:left="-19980" w:hanging="360"/>
      </w:pPr>
      <w:rPr>
        <w:rFonts w:ascii="Courier New" w:hAnsi="Courier New" w:cs="Courier New"/>
      </w:rPr>
    </w:lvl>
    <w:lvl w:ilvl="2">
      <w:start w:val="1"/>
      <w:numFmt w:val="bullet"/>
      <w:lvlText w:val=""/>
      <w:lvlJc w:val="left"/>
      <w:pPr>
        <w:tabs>
          <w:tab w:val="num" w:pos="-22500"/>
        </w:tabs>
        <w:ind w:left="-19260" w:hanging="360"/>
      </w:pPr>
      <w:rPr>
        <w:rFonts w:ascii="Wingdings" w:hAnsi="Wingdings" w:cs="Wingdings"/>
      </w:rPr>
    </w:lvl>
    <w:lvl w:ilvl="3">
      <w:start w:val="1"/>
      <w:numFmt w:val="bullet"/>
      <w:lvlText w:val=""/>
      <w:lvlJc w:val="left"/>
      <w:pPr>
        <w:tabs>
          <w:tab w:val="num" w:pos="-22500"/>
        </w:tabs>
        <w:ind w:left="-18540" w:hanging="360"/>
      </w:pPr>
      <w:rPr>
        <w:rFonts w:ascii="Symbol" w:hAnsi="Symbol" w:cs="Symbol"/>
      </w:rPr>
    </w:lvl>
    <w:lvl w:ilvl="4">
      <w:start w:val="1"/>
      <w:numFmt w:val="bullet"/>
      <w:lvlText w:val="o"/>
      <w:lvlJc w:val="left"/>
      <w:pPr>
        <w:tabs>
          <w:tab w:val="num" w:pos="-22500"/>
        </w:tabs>
        <w:ind w:left="-17820" w:hanging="360"/>
      </w:pPr>
      <w:rPr>
        <w:rFonts w:ascii="Courier New" w:hAnsi="Courier New" w:cs="Courier New"/>
      </w:rPr>
    </w:lvl>
    <w:lvl w:ilvl="5">
      <w:start w:val="1"/>
      <w:numFmt w:val="bullet"/>
      <w:lvlText w:val=""/>
      <w:lvlJc w:val="left"/>
      <w:pPr>
        <w:tabs>
          <w:tab w:val="num" w:pos="-22500"/>
        </w:tabs>
        <w:ind w:left="-17100" w:hanging="360"/>
      </w:pPr>
      <w:rPr>
        <w:rFonts w:ascii="Wingdings" w:hAnsi="Wingdings" w:cs="Wingdings"/>
      </w:rPr>
    </w:lvl>
    <w:lvl w:ilvl="6">
      <w:start w:val="1"/>
      <w:numFmt w:val="bullet"/>
      <w:lvlText w:val=""/>
      <w:lvlJc w:val="left"/>
      <w:pPr>
        <w:tabs>
          <w:tab w:val="num" w:pos="-22500"/>
        </w:tabs>
        <w:ind w:left="-16380" w:hanging="360"/>
      </w:pPr>
      <w:rPr>
        <w:rFonts w:ascii="Symbol" w:hAnsi="Symbol" w:cs="Symbol"/>
      </w:rPr>
    </w:lvl>
    <w:lvl w:ilvl="7">
      <w:start w:val="1"/>
      <w:numFmt w:val="bullet"/>
      <w:lvlText w:val="o"/>
      <w:lvlJc w:val="left"/>
      <w:pPr>
        <w:tabs>
          <w:tab w:val="num" w:pos="-22500"/>
        </w:tabs>
        <w:ind w:left="-15660" w:hanging="360"/>
      </w:pPr>
      <w:rPr>
        <w:rFonts w:ascii="Courier New" w:hAnsi="Courier New" w:cs="Courier New"/>
      </w:rPr>
    </w:lvl>
    <w:lvl w:ilvl="8">
      <w:start w:val="1"/>
      <w:numFmt w:val="bullet"/>
      <w:lvlText w:val=""/>
      <w:lvlJc w:val="left"/>
      <w:pPr>
        <w:tabs>
          <w:tab w:val="num" w:pos="-22500"/>
        </w:tabs>
        <w:ind w:left="-14940" w:hanging="360"/>
      </w:pPr>
      <w:rPr>
        <w:rFonts w:ascii="Wingdings" w:hAnsi="Wingdings" w:cs="Wingdings"/>
      </w:rPr>
    </w:lvl>
  </w:abstractNum>
  <w:abstractNum w:abstractNumId="2" w15:restartNumberingAfterBreak="0">
    <w:nsid w:val="02D66A5F"/>
    <w:multiLevelType w:val="hybridMultilevel"/>
    <w:tmpl w:val="02B40AF0"/>
    <w:lvl w:ilvl="0" w:tplc="A6C08586">
      <w:start w:val="1"/>
      <w:numFmt w:val="bullet"/>
      <w:lvlText w:val=""/>
      <w:lvlJc w:val="left"/>
      <w:pPr>
        <w:ind w:left="360" w:hanging="360"/>
      </w:pPr>
      <w:rPr>
        <w:rFonts w:ascii="Symbol" w:hAnsi="Symbol" w:hint="default"/>
      </w:rPr>
    </w:lvl>
    <w:lvl w:ilvl="1" w:tplc="F710C2DC" w:tentative="1">
      <w:start w:val="1"/>
      <w:numFmt w:val="bullet"/>
      <w:lvlText w:val="o"/>
      <w:lvlJc w:val="left"/>
      <w:pPr>
        <w:ind w:left="1080" w:hanging="360"/>
      </w:pPr>
      <w:rPr>
        <w:rFonts w:ascii="Courier New" w:hAnsi="Courier New" w:cs="Courier New" w:hint="default"/>
      </w:rPr>
    </w:lvl>
    <w:lvl w:ilvl="2" w:tplc="0A3E287C" w:tentative="1">
      <w:start w:val="1"/>
      <w:numFmt w:val="bullet"/>
      <w:lvlText w:val=""/>
      <w:lvlJc w:val="left"/>
      <w:pPr>
        <w:ind w:left="1800" w:hanging="360"/>
      </w:pPr>
      <w:rPr>
        <w:rFonts w:ascii="Wingdings" w:hAnsi="Wingdings" w:hint="default"/>
      </w:rPr>
    </w:lvl>
    <w:lvl w:ilvl="3" w:tplc="7AE06DAE" w:tentative="1">
      <w:start w:val="1"/>
      <w:numFmt w:val="bullet"/>
      <w:lvlText w:val=""/>
      <w:lvlJc w:val="left"/>
      <w:pPr>
        <w:ind w:left="2520" w:hanging="360"/>
      </w:pPr>
      <w:rPr>
        <w:rFonts w:ascii="Symbol" w:hAnsi="Symbol" w:hint="default"/>
      </w:rPr>
    </w:lvl>
    <w:lvl w:ilvl="4" w:tplc="3184FF1C" w:tentative="1">
      <w:start w:val="1"/>
      <w:numFmt w:val="bullet"/>
      <w:lvlText w:val="o"/>
      <w:lvlJc w:val="left"/>
      <w:pPr>
        <w:ind w:left="3240" w:hanging="360"/>
      </w:pPr>
      <w:rPr>
        <w:rFonts w:ascii="Courier New" w:hAnsi="Courier New" w:cs="Courier New" w:hint="default"/>
      </w:rPr>
    </w:lvl>
    <w:lvl w:ilvl="5" w:tplc="5BECE554" w:tentative="1">
      <w:start w:val="1"/>
      <w:numFmt w:val="bullet"/>
      <w:lvlText w:val=""/>
      <w:lvlJc w:val="left"/>
      <w:pPr>
        <w:ind w:left="3960" w:hanging="360"/>
      </w:pPr>
      <w:rPr>
        <w:rFonts w:ascii="Wingdings" w:hAnsi="Wingdings" w:hint="default"/>
      </w:rPr>
    </w:lvl>
    <w:lvl w:ilvl="6" w:tplc="57328140" w:tentative="1">
      <w:start w:val="1"/>
      <w:numFmt w:val="bullet"/>
      <w:lvlText w:val=""/>
      <w:lvlJc w:val="left"/>
      <w:pPr>
        <w:ind w:left="4680" w:hanging="360"/>
      </w:pPr>
      <w:rPr>
        <w:rFonts w:ascii="Symbol" w:hAnsi="Symbol" w:hint="default"/>
      </w:rPr>
    </w:lvl>
    <w:lvl w:ilvl="7" w:tplc="EBAE2CA8" w:tentative="1">
      <w:start w:val="1"/>
      <w:numFmt w:val="bullet"/>
      <w:lvlText w:val="o"/>
      <w:lvlJc w:val="left"/>
      <w:pPr>
        <w:ind w:left="5400" w:hanging="360"/>
      </w:pPr>
      <w:rPr>
        <w:rFonts w:ascii="Courier New" w:hAnsi="Courier New" w:cs="Courier New" w:hint="default"/>
      </w:rPr>
    </w:lvl>
    <w:lvl w:ilvl="8" w:tplc="AAEA464E" w:tentative="1">
      <w:start w:val="1"/>
      <w:numFmt w:val="bullet"/>
      <w:lvlText w:val=""/>
      <w:lvlJc w:val="left"/>
      <w:pPr>
        <w:ind w:left="6120" w:hanging="360"/>
      </w:pPr>
      <w:rPr>
        <w:rFonts w:ascii="Wingdings" w:hAnsi="Wingdings" w:hint="default"/>
      </w:rPr>
    </w:lvl>
  </w:abstractNum>
  <w:abstractNum w:abstractNumId="3" w15:restartNumberingAfterBreak="0">
    <w:nsid w:val="03116429"/>
    <w:multiLevelType w:val="hybridMultilevel"/>
    <w:tmpl w:val="68609296"/>
    <w:lvl w:ilvl="0" w:tplc="53AE8C6A">
      <w:start w:val="1"/>
      <w:numFmt w:val="bullet"/>
      <w:lvlText w:val=""/>
      <w:lvlJc w:val="left"/>
      <w:pPr>
        <w:ind w:left="360" w:hanging="360"/>
      </w:pPr>
      <w:rPr>
        <w:rFonts w:ascii="Symbol" w:hAnsi="Symbol" w:hint="default"/>
      </w:rPr>
    </w:lvl>
    <w:lvl w:ilvl="1" w:tplc="5080C280" w:tentative="1">
      <w:start w:val="1"/>
      <w:numFmt w:val="bullet"/>
      <w:lvlText w:val="o"/>
      <w:lvlJc w:val="left"/>
      <w:pPr>
        <w:ind w:left="1080" w:hanging="360"/>
      </w:pPr>
      <w:rPr>
        <w:rFonts w:ascii="Courier New" w:hAnsi="Courier New" w:cs="Courier New" w:hint="default"/>
      </w:rPr>
    </w:lvl>
    <w:lvl w:ilvl="2" w:tplc="614AA890" w:tentative="1">
      <w:start w:val="1"/>
      <w:numFmt w:val="bullet"/>
      <w:lvlText w:val=""/>
      <w:lvlJc w:val="left"/>
      <w:pPr>
        <w:ind w:left="1800" w:hanging="360"/>
      </w:pPr>
      <w:rPr>
        <w:rFonts w:ascii="Wingdings" w:hAnsi="Wingdings" w:hint="default"/>
      </w:rPr>
    </w:lvl>
    <w:lvl w:ilvl="3" w:tplc="306AA1BC" w:tentative="1">
      <w:start w:val="1"/>
      <w:numFmt w:val="bullet"/>
      <w:lvlText w:val=""/>
      <w:lvlJc w:val="left"/>
      <w:pPr>
        <w:ind w:left="2520" w:hanging="360"/>
      </w:pPr>
      <w:rPr>
        <w:rFonts w:ascii="Symbol" w:hAnsi="Symbol" w:hint="default"/>
      </w:rPr>
    </w:lvl>
    <w:lvl w:ilvl="4" w:tplc="48A66A12" w:tentative="1">
      <w:start w:val="1"/>
      <w:numFmt w:val="bullet"/>
      <w:lvlText w:val="o"/>
      <w:lvlJc w:val="left"/>
      <w:pPr>
        <w:ind w:left="3240" w:hanging="360"/>
      </w:pPr>
      <w:rPr>
        <w:rFonts w:ascii="Courier New" w:hAnsi="Courier New" w:cs="Courier New" w:hint="default"/>
      </w:rPr>
    </w:lvl>
    <w:lvl w:ilvl="5" w:tplc="CC300662" w:tentative="1">
      <w:start w:val="1"/>
      <w:numFmt w:val="bullet"/>
      <w:lvlText w:val=""/>
      <w:lvlJc w:val="left"/>
      <w:pPr>
        <w:ind w:left="3960" w:hanging="360"/>
      </w:pPr>
      <w:rPr>
        <w:rFonts w:ascii="Wingdings" w:hAnsi="Wingdings" w:hint="default"/>
      </w:rPr>
    </w:lvl>
    <w:lvl w:ilvl="6" w:tplc="582031A8" w:tentative="1">
      <w:start w:val="1"/>
      <w:numFmt w:val="bullet"/>
      <w:lvlText w:val=""/>
      <w:lvlJc w:val="left"/>
      <w:pPr>
        <w:ind w:left="4680" w:hanging="360"/>
      </w:pPr>
      <w:rPr>
        <w:rFonts w:ascii="Symbol" w:hAnsi="Symbol" w:hint="default"/>
      </w:rPr>
    </w:lvl>
    <w:lvl w:ilvl="7" w:tplc="706440EC" w:tentative="1">
      <w:start w:val="1"/>
      <w:numFmt w:val="bullet"/>
      <w:lvlText w:val="o"/>
      <w:lvlJc w:val="left"/>
      <w:pPr>
        <w:ind w:left="5400" w:hanging="360"/>
      </w:pPr>
      <w:rPr>
        <w:rFonts w:ascii="Courier New" w:hAnsi="Courier New" w:cs="Courier New" w:hint="default"/>
      </w:rPr>
    </w:lvl>
    <w:lvl w:ilvl="8" w:tplc="EAE61D68" w:tentative="1">
      <w:start w:val="1"/>
      <w:numFmt w:val="bullet"/>
      <w:lvlText w:val=""/>
      <w:lvlJc w:val="left"/>
      <w:pPr>
        <w:ind w:left="6120" w:hanging="360"/>
      </w:pPr>
      <w:rPr>
        <w:rFonts w:ascii="Wingdings" w:hAnsi="Wingdings" w:hint="default"/>
      </w:rPr>
    </w:lvl>
  </w:abstractNum>
  <w:abstractNum w:abstractNumId="4" w15:restartNumberingAfterBreak="0">
    <w:nsid w:val="0F9F75D8"/>
    <w:multiLevelType w:val="hybridMultilevel"/>
    <w:tmpl w:val="7D0E06C0"/>
    <w:lvl w:ilvl="0" w:tplc="38CAFA9A">
      <w:numFmt w:val="bullet"/>
      <w:lvlText w:val=""/>
      <w:lvlJc w:val="left"/>
      <w:pPr>
        <w:ind w:left="835" w:hanging="361"/>
      </w:pPr>
      <w:rPr>
        <w:rFonts w:ascii="Symbol" w:eastAsia="Symbol" w:hAnsi="Symbol" w:cs="Symbol" w:hint="default"/>
        <w:w w:val="100"/>
        <w:sz w:val="18"/>
        <w:szCs w:val="18"/>
      </w:rPr>
    </w:lvl>
    <w:lvl w:ilvl="1" w:tplc="8408A70A">
      <w:numFmt w:val="bullet"/>
      <w:lvlText w:val="•"/>
      <w:lvlJc w:val="left"/>
      <w:pPr>
        <w:ind w:left="1222" w:hanging="361"/>
      </w:pPr>
      <w:rPr>
        <w:rFonts w:hint="default"/>
      </w:rPr>
    </w:lvl>
    <w:lvl w:ilvl="2" w:tplc="C65C50E0">
      <w:numFmt w:val="bullet"/>
      <w:lvlText w:val="•"/>
      <w:lvlJc w:val="left"/>
      <w:pPr>
        <w:ind w:left="1605" w:hanging="361"/>
      </w:pPr>
      <w:rPr>
        <w:rFonts w:hint="default"/>
      </w:rPr>
    </w:lvl>
    <w:lvl w:ilvl="3" w:tplc="117617CC">
      <w:numFmt w:val="bullet"/>
      <w:lvlText w:val="•"/>
      <w:lvlJc w:val="left"/>
      <w:pPr>
        <w:ind w:left="1987" w:hanging="361"/>
      </w:pPr>
      <w:rPr>
        <w:rFonts w:hint="default"/>
      </w:rPr>
    </w:lvl>
    <w:lvl w:ilvl="4" w:tplc="716A865A">
      <w:numFmt w:val="bullet"/>
      <w:lvlText w:val="•"/>
      <w:lvlJc w:val="left"/>
      <w:pPr>
        <w:ind w:left="2370" w:hanging="361"/>
      </w:pPr>
      <w:rPr>
        <w:rFonts w:hint="default"/>
      </w:rPr>
    </w:lvl>
    <w:lvl w:ilvl="5" w:tplc="A1E2D624">
      <w:numFmt w:val="bullet"/>
      <w:lvlText w:val="•"/>
      <w:lvlJc w:val="left"/>
      <w:pPr>
        <w:ind w:left="2752" w:hanging="361"/>
      </w:pPr>
      <w:rPr>
        <w:rFonts w:hint="default"/>
      </w:rPr>
    </w:lvl>
    <w:lvl w:ilvl="6" w:tplc="B2F01D2E">
      <w:numFmt w:val="bullet"/>
      <w:lvlText w:val="•"/>
      <w:lvlJc w:val="left"/>
      <w:pPr>
        <w:ind w:left="3135" w:hanging="361"/>
      </w:pPr>
      <w:rPr>
        <w:rFonts w:hint="default"/>
      </w:rPr>
    </w:lvl>
    <w:lvl w:ilvl="7" w:tplc="B39C111A">
      <w:numFmt w:val="bullet"/>
      <w:lvlText w:val="•"/>
      <w:lvlJc w:val="left"/>
      <w:pPr>
        <w:ind w:left="3517" w:hanging="361"/>
      </w:pPr>
      <w:rPr>
        <w:rFonts w:hint="default"/>
      </w:rPr>
    </w:lvl>
    <w:lvl w:ilvl="8" w:tplc="7CC88AEA">
      <w:numFmt w:val="bullet"/>
      <w:lvlText w:val="•"/>
      <w:lvlJc w:val="left"/>
      <w:pPr>
        <w:ind w:left="3900" w:hanging="361"/>
      </w:pPr>
      <w:rPr>
        <w:rFonts w:hint="default"/>
      </w:rPr>
    </w:lvl>
  </w:abstractNum>
  <w:abstractNum w:abstractNumId="5" w15:restartNumberingAfterBreak="0">
    <w:nsid w:val="14CE59BB"/>
    <w:multiLevelType w:val="hybridMultilevel"/>
    <w:tmpl w:val="27427F56"/>
    <w:lvl w:ilvl="0" w:tplc="E6E6C598">
      <w:start w:val="1"/>
      <w:numFmt w:val="bullet"/>
      <w:lvlText w:val=""/>
      <w:lvlJc w:val="left"/>
      <w:pPr>
        <w:ind w:left="720" w:hanging="360"/>
      </w:pPr>
      <w:rPr>
        <w:rFonts w:ascii="Symbol" w:hAnsi="Symbol" w:hint="default"/>
      </w:rPr>
    </w:lvl>
    <w:lvl w:ilvl="1" w:tplc="074A0F1C" w:tentative="1">
      <w:start w:val="1"/>
      <w:numFmt w:val="bullet"/>
      <w:lvlText w:val="o"/>
      <w:lvlJc w:val="left"/>
      <w:pPr>
        <w:ind w:left="1440" w:hanging="360"/>
      </w:pPr>
      <w:rPr>
        <w:rFonts w:ascii="Courier New" w:hAnsi="Courier New" w:hint="default"/>
      </w:rPr>
    </w:lvl>
    <w:lvl w:ilvl="2" w:tplc="0656528E" w:tentative="1">
      <w:start w:val="1"/>
      <w:numFmt w:val="bullet"/>
      <w:lvlText w:val=""/>
      <w:lvlJc w:val="left"/>
      <w:pPr>
        <w:ind w:left="2160" w:hanging="360"/>
      </w:pPr>
      <w:rPr>
        <w:rFonts w:ascii="Wingdings" w:hAnsi="Wingdings" w:hint="default"/>
      </w:rPr>
    </w:lvl>
    <w:lvl w:ilvl="3" w:tplc="8E9A339C" w:tentative="1">
      <w:start w:val="1"/>
      <w:numFmt w:val="bullet"/>
      <w:lvlText w:val=""/>
      <w:lvlJc w:val="left"/>
      <w:pPr>
        <w:ind w:left="2880" w:hanging="360"/>
      </w:pPr>
      <w:rPr>
        <w:rFonts w:ascii="Symbol" w:hAnsi="Symbol" w:hint="default"/>
      </w:rPr>
    </w:lvl>
    <w:lvl w:ilvl="4" w:tplc="67AEFD84" w:tentative="1">
      <w:start w:val="1"/>
      <w:numFmt w:val="bullet"/>
      <w:lvlText w:val="o"/>
      <w:lvlJc w:val="left"/>
      <w:pPr>
        <w:ind w:left="3600" w:hanging="360"/>
      </w:pPr>
      <w:rPr>
        <w:rFonts w:ascii="Courier New" w:hAnsi="Courier New" w:hint="default"/>
      </w:rPr>
    </w:lvl>
    <w:lvl w:ilvl="5" w:tplc="7AC2D15A" w:tentative="1">
      <w:start w:val="1"/>
      <w:numFmt w:val="bullet"/>
      <w:lvlText w:val=""/>
      <w:lvlJc w:val="left"/>
      <w:pPr>
        <w:ind w:left="4320" w:hanging="360"/>
      </w:pPr>
      <w:rPr>
        <w:rFonts w:ascii="Wingdings" w:hAnsi="Wingdings" w:hint="default"/>
      </w:rPr>
    </w:lvl>
    <w:lvl w:ilvl="6" w:tplc="0680D3C0" w:tentative="1">
      <w:start w:val="1"/>
      <w:numFmt w:val="bullet"/>
      <w:lvlText w:val=""/>
      <w:lvlJc w:val="left"/>
      <w:pPr>
        <w:ind w:left="5040" w:hanging="360"/>
      </w:pPr>
      <w:rPr>
        <w:rFonts w:ascii="Symbol" w:hAnsi="Symbol" w:hint="default"/>
      </w:rPr>
    </w:lvl>
    <w:lvl w:ilvl="7" w:tplc="097C34E8" w:tentative="1">
      <w:start w:val="1"/>
      <w:numFmt w:val="bullet"/>
      <w:lvlText w:val="o"/>
      <w:lvlJc w:val="left"/>
      <w:pPr>
        <w:ind w:left="5760" w:hanging="360"/>
      </w:pPr>
      <w:rPr>
        <w:rFonts w:ascii="Courier New" w:hAnsi="Courier New" w:hint="default"/>
      </w:rPr>
    </w:lvl>
    <w:lvl w:ilvl="8" w:tplc="F940CE62" w:tentative="1">
      <w:start w:val="1"/>
      <w:numFmt w:val="bullet"/>
      <w:lvlText w:val=""/>
      <w:lvlJc w:val="left"/>
      <w:pPr>
        <w:ind w:left="6480" w:hanging="360"/>
      </w:pPr>
      <w:rPr>
        <w:rFonts w:ascii="Wingdings" w:hAnsi="Wingdings" w:hint="default"/>
      </w:rPr>
    </w:lvl>
  </w:abstractNum>
  <w:abstractNum w:abstractNumId="6" w15:restartNumberingAfterBreak="0">
    <w:nsid w:val="1B096500"/>
    <w:multiLevelType w:val="hybridMultilevel"/>
    <w:tmpl w:val="026C2DE0"/>
    <w:lvl w:ilvl="0" w:tplc="DE98E646">
      <w:start w:val="1"/>
      <w:numFmt w:val="bullet"/>
      <w:lvlText w:val=""/>
      <w:lvlJc w:val="left"/>
      <w:pPr>
        <w:ind w:left="720" w:hanging="360"/>
      </w:pPr>
      <w:rPr>
        <w:rFonts w:ascii="Symbol" w:hAnsi="Symbol" w:hint="default"/>
      </w:rPr>
    </w:lvl>
    <w:lvl w:ilvl="1" w:tplc="9A285D6E">
      <w:start w:val="1"/>
      <w:numFmt w:val="bullet"/>
      <w:lvlText w:val="o"/>
      <w:lvlJc w:val="left"/>
      <w:pPr>
        <w:ind w:left="1440" w:hanging="360"/>
      </w:pPr>
      <w:rPr>
        <w:rFonts w:ascii="Courier New" w:hAnsi="Courier New" w:cs="Courier New" w:hint="default"/>
      </w:rPr>
    </w:lvl>
    <w:lvl w:ilvl="2" w:tplc="AFF6E332" w:tentative="1">
      <w:start w:val="1"/>
      <w:numFmt w:val="bullet"/>
      <w:lvlText w:val=""/>
      <w:lvlJc w:val="left"/>
      <w:pPr>
        <w:ind w:left="2160" w:hanging="360"/>
      </w:pPr>
      <w:rPr>
        <w:rFonts w:ascii="Wingdings" w:hAnsi="Wingdings" w:hint="default"/>
      </w:rPr>
    </w:lvl>
    <w:lvl w:ilvl="3" w:tplc="AA6A1B20" w:tentative="1">
      <w:start w:val="1"/>
      <w:numFmt w:val="bullet"/>
      <w:lvlText w:val=""/>
      <w:lvlJc w:val="left"/>
      <w:pPr>
        <w:ind w:left="2880" w:hanging="360"/>
      </w:pPr>
      <w:rPr>
        <w:rFonts w:ascii="Symbol" w:hAnsi="Symbol" w:hint="default"/>
      </w:rPr>
    </w:lvl>
    <w:lvl w:ilvl="4" w:tplc="F438B4F8" w:tentative="1">
      <w:start w:val="1"/>
      <w:numFmt w:val="bullet"/>
      <w:lvlText w:val="o"/>
      <w:lvlJc w:val="left"/>
      <w:pPr>
        <w:ind w:left="3600" w:hanging="360"/>
      </w:pPr>
      <w:rPr>
        <w:rFonts w:ascii="Courier New" w:hAnsi="Courier New" w:cs="Courier New" w:hint="default"/>
      </w:rPr>
    </w:lvl>
    <w:lvl w:ilvl="5" w:tplc="2DAA4F1A" w:tentative="1">
      <w:start w:val="1"/>
      <w:numFmt w:val="bullet"/>
      <w:lvlText w:val=""/>
      <w:lvlJc w:val="left"/>
      <w:pPr>
        <w:ind w:left="4320" w:hanging="360"/>
      </w:pPr>
      <w:rPr>
        <w:rFonts w:ascii="Wingdings" w:hAnsi="Wingdings" w:hint="default"/>
      </w:rPr>
    </w:lvl>
    <w:lvl w:ilvl="6" w:tplc="E9144AEA" w:tentative="1">
      <w:start w:val="1"/>
      <w:numFmt w:val="bullet"/>
      <w:lvlText w:val=""/>
      <w:lvlJc w:val="left"/>
      <w:pPr>
        <w:ind w:left="5040" w:hanging="360"/>
      </w:pPr>
      <w:rPr>
        <w:rFonts w:ascii="Symbol" w:hAnsi="Symbol" w:hint="default"/>
      </w:rPr>
    </w:lvl>
    <w:lvl w:ilvl="7" w:tplc="57361010" w:tentative="1">
      <w:start w:val="1"/>
      <w:numFmt w:val="bullet"/>
      <w:lvlText w:val="o"/>
      <w:lvlJc w:val="left"/>
      <w:pPr>
        <w:ind w:left="5760" w:hanging="360"/>
      </w:pPr>
      <w:rPr>
        <w:rFonts w:ascii="Courier New" w:hAnsi="Courier New" w:cs="Courier New" w:hint="default"/>
      </w:rPr>
    </w:lvl>
    <w:lvl w:ilvl="8" w:tplc="75D6346A" w:tentative="1">
      <w:start w:val="1"/>
      <w:numFmt w:val="bullet"/>
      <w:lvlText w:val=""/>
      <w:lvlJc w:val="left"/>
      <w:pPr>
        <w:ind w:left="6480" w:hanging="360"/>
      </w:pPr>
      <w:rPr>
        <w:rFonts w:ascii="Wingdings" w:hAnsi="Wingdings" w:hint="default"/>
      </w:rPr>
    </w:lvl>
  </w:abstractNum>
  <w:abstractNum w:abstractNumId="7" w15:restartNumberingAfterBreak="0">
    <w:nsid w:val="1BC57D43"/>
    <w:multiLevelType w:val="hybridMultilevel"/>
    <w:tmpl w:val="804C5124"/>
    <w:lvl w:ilvl="0" w:tplc="3D9E4026">
      <w:numFmt w:val="bullet"/>
      <w:lvlText w:val=""/>
      <w:lvlJc w:val="left"/>
      <w:pPr>
        <w:ind w:left="835" w:hanging="361"/>
      </w:pPr>
      <w:rPr>
        <w:rFonts w:ascii="Symbol" w:eastAsia="Symbol" w:hAnsi="Symbol" w:cs="Symbol" w:hint="default"/>
        <w:w w:val="100"/>
        <w:sz w:val="18"/>
        <w:szCs w:val="18"/>
      </w:rPr>
    </w:lvl>
    <w:lvl w:ilvl="1" w:tplc="7662F6E6">
      <w:numFmt w:val="bullet"/>
      <w:lvlText w:val="•"/>
      <w:lvlJc w:val="left"/>
      <w:pPr>
        <w:ind w:left="1222" w:hanging="361"/>
      </w:pPr>
      <w:rPr>
        <w:rFonts w:hint="default"/>
      </w:rPr>
    </w:lvl>
    <w:lvl w:ilvl="2" w:tplc="7250E86E">
      <w:numFmt w:val="bullet"/>
      <w:lvlText w:val="•"/>
      <w:lvlJc w:val="left"/>
      <w:pPr>
        <w:ind w:left="1605" w:hanging="361"/>
      </w:pPr>
      <w:rPr>
        <w:rFonts w:hint="default"/>
      </w:rPr>
    </w:lvl>
    <w:lvl w:ilvl="3" w:tplc="74267596">
      <w:numFmt w:val="bullet"/>
      <w:lvlText w:val="•"/>
      <w:lvlJc w:val="left"/>
      <w:pPr>
        <w:ind w:left="1987" w:hanging="361"/>
      </w:pPr>
      <w:rPr>
        <w:rFonts w:hint="default"/>
      </w:rPr>
    </w:lvl>
    <w:lvl w:ilvl="4" w:tplc="568CA7F2">
      <w:numFmt w:val="bullet"/>
      <w:lvlText w:val="•"/>
      <w:lvlJc w:val="left"/>
      <w:pPr>
        <w:ind w:left="2370" w:hanging="361"/>
      </w:pPr>
      <w:rPr>
        <w:rFonts w:hint="default"/>
      </w:rPr>
    </w:lvl>
    <w:lvl w:ilvl="5" w:tplc="97F04ADC">
      <w:numFmt w:val="bullet"/>
      <w:lvlText w:val="•"/>
      <w:lvlJc w:val="left"/>
      <w:pPr>
        <w:ind w:left="2752" w:hanging="361"/>
      </w:pPr>
      <w:rPr>
        <w:rFonts w:hint="default"/>
      </w:rPr>
    </w:lvl>
    <w:lvl w:ilvl="6" w:tplc="3DFE8BF6">
      <w:numFmt w:val="bullet"/>
      <w:lvlText w:val="•"/>
      <w:lvlJc w:val="left"/>
      <w:pPr>
        <w:ind w:left="3135" w:hanging="361"/>
      </w:pPr>
      <w:rPr>
        <w:rFonts w:hint="default"/>
      </w:rPr>
    </w:lvl>
    <w:lvl w:ilvl="7" w:tplc="D2C69F0E">
      <w:numFmt w:val="bullet"/>
      <w:lvlText w:val="•"/>
      <w:lvlJc w:val="left"/>
      <w:pPr>
        <w:ind w:left="3517" w:hanging="361"/>
      </w:pPr>
      <w:rPr>
        <w:rFonts w:hint="default"/>
      </w:rPr>
    </w:lvl>
    <w:lvl w:ilvl="8" w:tplc="4A68FC0E">
      <w:numFmt w:val="bullet"/>
      <w:lvlText w:val="•"/>
      <w:lvlJc w:val="left"/>
      <w:pPr>
        <w:ind w:left="3900" w:hanging="361"/>
      </w:pPr>
      <w:rPr>
        <w:rFonts w:hint="default"/>
      </w:rPr>
    </w:lvl>
  </w:abstractNum>
  <w:abstractNum w:abstractNumId="8" w15:restartNumberingAfterBreak="0">
    <w:nsid w:val="1F582621"/>
    <w:multiLevelType w:val="hybridMultilevel"/>
    <w:tmpl w:val="DA187A60"/>
    <w:lvl w:ilvl="0" w:tplc="EA241186">
      <w:start w:val="1"/>
      <w:numFmt w:val="bullet"/>
      <w:lvlText w:val=""/>
      <w:lvlJc w:val="left"/>
      <w:pPr>
        <w:ind w:left="720" w:hanging="360"/>
      </w:pPr>
      <w:rPr>
        <w:rFonts w:ascii="Symbol" w:hAnsi="Symbol" w:hint="default"/>
      </w:rPr>
    </w:lvl>
    <w:lvl w:ilvl="1" w:tplc="B452555A" w:tentative="1">
      <w:start w:val="1"/>
      <w:numFmt w:val="bullet"/>
      <w:lvlText w:val="o"/>
      <w:lvlJc w:val="left"/>
      <w:pPr>
        <w:ind w:left="1440" w:hanging="360"/>
      </w:pPr>
      <w:rPr>
        <w:rFonts w:ascii="Courier New" w:hAnsi="Courier New" w:cs="Courier New" w:hint="default"/>
      </w:rPr>
    </w:lvl>
    <w:lvl w:ilvl="2" w:tplc="BFBC081A" w:tentative="1">
      <w:start w:val="1"/>
      <w:numFmt w:val="bullet"/>
      <w:lvlText w:val=""/>
      <w:lvlJc w:val="left"/>
      <w:pPr>
        <w:ind w:left="2160" w:hanging="360"/>
      </w:pPr>
      <w:rPr>
        <w:rFonts w:ascii="Wingdings" w:hAnsi="Wingdings" w:hint="default"/>
      </w:rPr>
    </w:lvl>
    <w:lvl w:ilvl="3" w:tplc="0C58E7CE" w:tentative="1">
      <w:start w:val="1"/>
      <w:numFmt w:val="bullet"/>
      <w:lvlText w:val=""/>
      <w:lvlJc w:val="left"/>
      <w:pPr>
        <w:ind w:left="2880" w:hanging="360"/>
      </w:pPr>
      <w:rPr>
        <w:rFonts w:ascii="Symbol" w:hAnsi="Symbol" w:hint="default"/>
      </w:rPr>
    </w:lvl>
    <w:lvl w:ilvl="4" w:tplc="4FF84388" w:tentative="1">
      <w:start w:val="1"/>
      <w:numFmt w:val="bullet"/>
      <w:lvlText w:val="o"/>
      <w:lvlJc w:val="left"/>
      <w:pPr>
        <w:ind w:left="3600" w:hanging="360"/>
      </w:pPr>
      <w:rPr>
        <w:rFonts w:ascii="Courier New" w:hAnsi="Courier New" w:cs="Courier New" w:hint="default"/>
      </w:rPr>
    </w:lvl>
    <w:lvl w:ilvl="5" w:tplc="35D69DF4" w:tentative="1">
      <w:start w:val="1"/>
      <w:numFmt w:val="bullet"/>
      <w:lvlText w:val=""/>
      <w:lvlJc w:val="left"/>
      <w:pPr>
        <w:ind w:left="4320" w:hanging="360"/>
      </w:pPr>
      <w:rPr>
        <w:rFonts w:ascii="Wingdings" w:hAnsi="Wingdings" w:hint="default"/>
      </w:rPr>
    </w:lvl>
    <w:lvl w:ilvl="6" w:tplc="3D1EF22C" w:tentative="1">
      <w:start w:val="1"/>
      <w:numFmt w:val="bullet"/>
      <w:lvlText w:val=""/>
      <w:lvlJc w:val="left"/>
      <w:pPr>
        <w:ind w:left="5040" w:hanging="360"/>
      </w:pPr>
      <w:rPr>
        <w:rFonts w:ascii="Symbol" w:hAnsi="Symbol" w:hint="default"/>
      </w:rPr>
    </w:lvl>
    <w:lvl w:ilvl="7" w:tplc="32CC3212" w:tentative="1">
      <w:start w:val="1"/>
      <w:numFmt w:val="bullet"/>
      <w:lvlText w:val="o"/>
      <w:lvlJc w:val="left"/>
      <w:pPr>
        <w:ind w:left="5760" w:hanging="360"/>
      </w:pPr>
      <w:rPr>
        <w:rFonts w:ascii="Courier New" w:hAnsi="Courier New" w:cs="Courier New" w:hint="default"/>
      </w:rPr>
    </w:lvl>
    <w:lvl w:ilvl="8" w:tplc="66867A8A" w:tentative="1">
      <w:start w:val="1"/>
      <w:numFmt w:val="bullet"/>
      <w:lvlText w:val=""/>
      <w:lvlJc w:val="left"/>
      <w:pPr>
        <w:ind w:left="6480" w:hanging="360"/>
      </w:pPr>
      <w:rPr>
        <w:rFonts w:ascii="Wingdings" w:hAnsi="Wingdings" w:hint="default"/>
      </w:rPr>
    </w:lvl>
  </w:abstractNum>
  <w:abstractNum w:abstractNumId="9" w15:restartNumberingAfterBreak="0">
    <w:nsid w:val="21766F4F"/>
    <w:multiLevelType w:val="hybridMultilevel"/>
    <w:tmpl w:val="1220BB80"/>
    <w:lvl w:ilvl="0" w:tplc="92A2E1C6">
      <w:numFmt w:val="bullet"/>
      <w:lvlText w:val=""/>
      <w:lvlJc w:val="left"/>
      <w:pPr>
        <w:ind w:left="835" w:hanging="361"/>
      </w:pPr>
      <w:rPr>
        <w:rFonts w:ascii="Symbol" w:eastAsia="Symbol" w:hAnsi="Symbol" w:cs="Symbol" w:hint="default"/>
        <w:w w:val="100"/>
        <w:sz w:val="18"/>
        <w:szCs w:val="18"/>
      </w:rPr>
    </w:lvl>
    <w:lvl w:ilvl="1" w:tplc="0CBE40C4">
      <w:numFmt w:val="bullet"/>
      <w:lvlText w:val="•"/>
      <w:lvlJc w:val="left"/>
      <w:pPr>
        <w:ind w:left="1222" w:hanging="361"/>
      </w:pPr>
      <w:rPr>
        <w:rFonts w:hint="default"/>
      </w:rPr>
    </w:lvl>
    <w:lvl w:ilvl="2" w:tplc="2BE8E49E">
      <w:numFmt w:val="bullet"/>
      <w:lvlText w:val="•"/>
      <w:lvlJc w:val="left"/>
      <w:pPr>
        <w:ind w:left="1605" w:hanging="361"/>
      </w:pPr>
      <w:rPr>
        <w:rFonts w:hint="default"/>
      </w:rPr>
    </w:lvl>
    <w:lvl w:ilvl="3" w:tplc="48486368">
      <w:numFmt w:val="bullet"/>
      <w:lvlText w:val="•"/>
      <w:lvlJc w:val="left"/>
      <w:pPr>
        <w:ind w:left="1987" w:hanging="361"/>
      </w:pPr>
      <w:rPr>
        <w:rFonts w:hint="default"/>
      </w:rPr>
    </w:lvl>
    <w:lvl w:ilvl="4" w:tplc="EA28BA7C">
      <w:numFmt w:val="bullet"/>
      <w:lvlText w:val="•"/>
      <w:lvlJc w:val="left"/>
      <w:pPr>
        <w:ind w:left="2370" w:hanging="361"/>
      </w:pPr>
      <w:rPr>
        <w:rFonts w:hint="default"/>
      </w:rPr>
    </w:lvl>
    <w:lvl w:ilvl="5" w:tplc="B8B0C8A2">
      <w:numFmt w:val="bullet"/>
      <w:lvlText w:val="•"/>
      <w:lvlJc w:val="left"/>
      <w:pPr>
        <w:ind w:left="2752" w:hanging="361"/>
      </w:pPr>
      <w:rPr>
        <w:rFonts w:hint="default"/>
      </w:rPr>
    </w:lvl>
    <w:lvl w:ilvl="6" w:tplc="65389084">
      <w:numFmt w:val="bullet"/>
      <w:lvlText w:val="•"/>
      <w:lvlJc w:val="left"/>
      <w:pPr>
        <w:ind w:left="3135" w:hanging="361"/>
      </w:pPr>
      <w:rPr>
        <w:rFonts w:hint="default"/>
      </w:rPr>
    </w:lvl>
    <w:lvl w:ilvl="7" w:tplc="C2C6D5D0">
      <w:numFmt w:val="bullet"/>
      <w:lvlText w:val="•"/>
      <w:lvlJc w:val="left"/>
      <w:pPr>
        <w:ind w:left="3517" w:hanging="361"/>
      </w:pPr>
      <w:rPr>
        <w:rFonts w:hint="default"/>
      </w:rPr>
    </w:lvl>
    <w:lvl w:ilvl="8" w:tplc="492A3802">
      <w:numFmt w:val="bullet"/>
      <w:lvlText w:val="•"/>
      <w:lvlJc w:val="left"/>
      <w:pPr>
        <w:ind w:left="3900" w:hanging="361"/>
      </w:pPr>
      <w:rPr>
        <w:rFonts w:hint="default"/>
      </w:rPr>
    </w:lvl>
  </w:abstractNum>
  <w:abstractNum w:abstractNumId="10" w15:restartNumberingAfterBreak="0">
    <w:nsid w:val="22E860CA"/>
    <w:multiLevelType w:val="hybridMultilevel"/>
    <w:tmpl w:val="444442B2"/>
    <w:lvl w:ilvl="0" w:tplc="8FCAA33C">
      <w:start w:val="1"/>
      <w:numFmt w:val="lowerLetter"/>
      <w:lvlText w:val="%1)"/>
      <w:lvlJc w:val="left"/>
      <w:pPr>
        <w:ind w:left="720" w:hanging="360"/>
      </w:pPr>
      <w:rPr>
        <w:rFonts w:hint="default"/>
      </w:rPr>
    </w:lvl>
    <w:lvl w:ilvl="1" w:tplc="E52C4756">
      <w:start w:val="1"/>
      <w:numFmt w:val="lowerLetter"/>
      <w:lvlText w:val="%2."/>
      <w:lvlJc w:val="left"/>
      <w:pPr>
        <w:ind w:left="1440" w:hanging="360"/>
      </w:pPr>
    </w:lvl>
    <w:lvl w:ilvl="2" w:tplc="35A68006">
      <w:start w:val="1"/>
      <w:numFmt w:val="lowerRoman"/>
      <w:lvlText w:val="%3."/>
      <w:lvlJc w:val="right"/>
      <w:pPr>
        <w:ind w:left="2160" w:hanging="180"/>
      </w:pPr>
    </w:lvl>
    <w:lvl w:ilvl="3" w:tplc="C3DA105E" w:tentative="1">
      <w:start w:val="1"/>
      <w:numFmt w:val="decimal"/>
      <w:lvlText w:val="%4."/>
      <w:lvlJc w:val="left"/>
      <w:pPr>
        <w:ind w:left="2880" w:hanging="360"/>
      </w:pPr>
    </w:lvl>
    <w:lvl w:ilvl="4" w:tplc="3FF4BFF2" w:tentative="1">
      <w:start w:val="1"/>
      <w:numFmt w:val="lowerLetter"/>
      <w:lvlText w:val="%5."/>
      <w:lvlJc w:val="left"/>
      <w:pPr>
        <w:ind w:left="3600" w:hanging="360"/>
      </w:pPr>
    </w:lvl>
    <w:lvl w:ilvl="5" w:tplc="2EB2DBA2" w:tentative="1">
      <w:start w:val="1"/>
      <w:numFmt w:val="lowerRoman"/>
      <w:lvlText w:val="%6."/>
      <w:lvlJc w:val="right"/>
      <w:pPr>
        <w:ind w:left="4320" w:hanging="180"/>
      </w:pPr>
    </w:lvl>
    <w:lvl w:ilvl="6" w:tplc="71CC074C" w:tentative="1">
      <w:start w:val="1"/>
      <w:numFmt w:val="decimal"/>
      <w:lvlText w:val="%7."/>
      <w:lvlJc w:val="left"/>
      <w:pPr>
        <w:ind w:left="5040" w:hanging="360"/>
      </w:pPr>
    </w:lvl>
    <w:lvl w:ilvl="7" w:tplc="577475A0" w:tentative="1">
      <w:start w:val="1"/>
      <w:numFmt w:val="lowerLetter"/>
      <w:lvlText w:val="%8."/>
      <w:lvlJc w:val="left"/>
      <w:pPr>
        <w:ind w:left="5760" w:hanging="360"/>
      </w:pPr>
    </w:lvl>
    <w:lvl w:ilvl="8" w:tplc="09D45A02" w:tentative="1">
      <w:start w:val="1"/>
      <w:numFmt w:val="lowerRoman"/>
      <w:lvlText w:val="%9."/>
      <w:lvlJc w:val="right"/>
      <w:pPr>
        <w:ind w:left="6480" w:hanging="180"/>
      </w:pPr>
    </w:lvl>
  </w:abstractNum>
  <w:abstractNum w:abstractNumId="11" w15:restartNumberingAfterBreak="0">
    <w:nsid w:val="26FF30AC"/>
    <w:multiLevelType w:val="hybridMultilevel"/>
    <w:tmpl w:val="DF9C164E"/>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2" w15:restartNumberingAfterBreak="0">
    <w:nsid w:val="2A5F31E8"/>
    <w:multiLevelType w:val="hybridMultilevel"/>
    <w:tmpl w:val="D34831D0"/>
    <w:lvl w:ilvl="0" w:tplc="05109C8C">
      <w:start w:val="1"/>
      <w:numFmt w:val="bullet"/>
      <w:lvlText w:val=""/>
      <w:lvlJc w:val="left"/>
      <w:pPr>
        <w:ind w:left="720" w:hanging="360"/>
      </w:pPr>
      <w:rPr>
        <w:rFonts w:ascii="Symbol" w:hAnsi="Symbol" w:cs="Symbol" w:hint="default"/>
      </w:rPr>
    </w:lvl>
    <w:lvl w:ilvl="1" w:tplc="47805FD8" w:tentative="1">
      <w:start w:val="1"/>
      <w:numFmt w:val="bullet"/>
      <w:lvlText w:val="o"/>
      <w:lvlJc w:val="left"/>
      <w:pPr>
        <w:ind w:left="1440" w:hanging="360"/>
      </w:pPr>
      <w:rPr>
        <w:rFonts w:ascii="Courier New" w:hAnsi="Courier New" w:cs="Courier New" w:hint="default"/>
      </w:rPr>
    </w:lvl>
    <w:lvl w:ilvl="2" w:tplc="6882D13E" w:tentative="1">
      <w:start w:val="1"/>
      <w:numFmt w:val="bullet"/>
      <w:lvlText w:val=""/>
      <w:lvlJc w:val="left"/>
      <w:pPr>
        <w:ind w:left="2160" w:hanging="360"/>
      </w:pPr>
      <w:rPr>
        <w:rFonts w:ascii="Wingdings" w:hAnsi="Wingdings" w:cs="Wingdings" w:hint="default"/>
      </w:rPr>
    </w:lvl>
    <w:lvl w:ilvl="3" w:tplc="ACD012AE" w:tentative="1">
      <w:start w:val="1"/>
      <w:numFmt w:val="bullet"/>
      <w:lvlText w:val=""/>
      <w:lvlJc w:val="left"/>
      <w:pPr>
        <w:ind w:left="2880" w:hanging="360"/>
      </w:pPr>
      <w:rPr>
        <w:rFonts w:ascii="Symbol" w:hAnsi="Symbol" w:cs="Symbol" w:hint="default"/>
      </w:rPr>
    </w:lvl>
    <w:lvl w:ilvl="4" w:tplc="123A9518" w:tentative="1">
      <w:start w:val="1"/>
      <w:numFmt w:val="bullet"/>
      <w:lvlText w:val="o"/>
      <w:lvlJc w:val="left"/>
      <w:pPr>
        <w:ind w:left="3600" w:hanging="360"/>
      </w:pPr>
      <w:rPr>
        <w:rFonts w:ascii="Courier New" w:hAnsi="Courier New" w:cs="Courier New" w:hint="default"/>
      </w:rPr>
    </w:lvl>
    <w:lvl w:ilvl="5" w:tplc="587E49EC" w:tentative="1">
      <w:start w:val="1"/>
      <w:numFmt w:val="bullet"/>
      <w:lvlText w:val=""/>
      <w:lvlJc w:val="left"/>
      <w:pPr>
        <w:ind w:left="4320" w:hanging="360"/>
      </w:pPr>
      <w:rPr>
        <w:rFonts w:ascii="Wingdings" w:hAnsi="Wingdings" w:cs="Wingdings" w:hint="default"/>
      </w:rPr>
    </w:lvl>
    <w:lvl w:ilvl="6" w:tplc="72BABE9C" w:tentative="1">
      <w:start w:val="1"/>
      <w:numFmt w:val="bullet"/>
      <w:lvlText w:val=""/>
      <w:lvlJc w:val="left"/>
      <w:pPr>
        <w:ind w:left="5040" w:hanging="360"/>
      </w:pPr>
      <w:rPr>
        <w:rFonts w:ascii="Symbol" w:hAnsi="Symbol" w:cs="Symbol" w:hint="default"/>
      </w:rPr>
    </w:lvl>
    <w:lvl w:ilvl="7" w:tplc="07C8F066" w:tentative="1">
      <w:start w:val="1"/>
      <w:numFmt w:val="bullet"/>
      <w:lvlText w:val="o"/>
      <w:lvlJc w:val="left"/>
      <w:pPr>
        <w:ind w:left="5760" w:hanging="360"/>
      </w:pPr>
      <w:rPr>
        <w:rFonts w:ascii="Courier New" w:hAnsi="Courier New" w:cs="Courier New" w:hint="default"/>
      </w:rPr>
    </w:lvl>
    <w:lvl w:ilvl="8" w:tplc="2FB6DAC0" w:tentative="1">
      <w:start w:val="1"/>
      <w:numFmt w:val="bullet"/>
      <w:lvlText w:val=""/>
      <w:lvlJc w:val="left"/>
      <w:pPr>
        <w:ind w:left="6480" w:hanging="360"/>
      </w:pPr>
      <w:rPr>
        <w:rFonts w:ascii="Wingdings" w:hAnsi="Wingdings" w:cs="Wingdings" w:hint="default"/>
      </w:rPr>
    </w:lvl>
  </w:abstractNum>
  <w:abstractNum w:abstractNumId="13" w15:restartNumberingAfterBreak="0">
    <w:nsid w:val="2DED15DE"/>
    <w:multiLevelType w:val="hybridMultilevel"/>
    <w:tmpl w:val="109A4BCA"/>
    <w:lvl w:ilvl="0" w:tplc="4376540A">
      <w:numFmt w:val="bullet"/>
      <w:lvlText w:val=""/>
      <w:lvlJc w:val="left"/>
      <w:pPr>
        <w:ind w:left="835" w:hanging="361"/>
      </w:pPr>
      <w:rPr>
        <w:rFonts w:ascii="Symbol" w:eastAsia="Symbol" w:hAnsi="Symbol" w:cs="Symbol" w:hint="default"/>
        <w:w w:val="100"/>
        <w:sz w:val="18"/>
        <w:szCs w:val="18"/>
      </w:rPr>
    </w:lvl>
    <w:lvl w:ilvl="1" w:tplc="67A6E43C">
      <w:numFmt w:val="bullet"/>
      <w:lvlText w:val="•"/>
      <w:lvlJc w:val="left"/>
      <w:pPr>
        <w:ind w:left="1222" w:hanging="361"/>
      </w:pPr>
      <w:rPr>
        <w:rFonts w:hint="default"/>
      </w:rPr>
    </w:lvl>
    <w:lvl w:ilvl="2" w:tplc="9510FDDA">
      <w:numFmt w:val="bullet"/>
      <w:lvlText w:val="•"/>
      <w:lvlJc w:val="left"/>
      <w:pPr>
        <w:ind w:left="1605" w:hanging="361"/>
      </w:pPr>
      <w:rPr>
        <w:rFonts w:hint="default"/>
      </w:rPr>
    </w:lvl>
    <w:lvl w:ilvl="3" w:tplc="185E21AC">
      <w:numFmt w:val="bullet"/>
      <w:lvlText w:val="•"/>
      <w:lvlJc w:val="left"/>
      <w:pPr>
        <w:ind w:left="1987" w:hanging="361"/>
      </w:pPr>
      <w:rPr>
        <w:rFonts w:hint="default"/>
      </w:rPr>
    </w:lvl>
    <w:lvl w:ilvl="4" w:tplc="2FB232EC">
      <w:numFmt w:val="bullet"/>
      <w:lvlText w:val="•"/>
      <w:lvlJc w:val="left"/>
      <w:pPr>
        <w:ind w:left="2370" w:hanging="361"/>
      </w:pPr>
      <w:rPr>
        <w:rFonts w:hint="default"/>
      </w:rPr>
    </w:lvl>
    <w:lvl w:ilvl="5" w:tplc="13A4F136">
      <w:numFmt w:val="bullet"/>
      <w:lvlText w:val="•"/>
      <w:lvlJc w:val="left"/>
      <w:pPr>
        <w:ind w:left="2752" w:hanging="361"/>
      </w:pPr>
      <w:rPr>
        <w:rFonts w:hint="default"/>
      </w:rPr>
    </w:lvl>
    <w:lvl w:ilvl="6" w:tplc="48647AFC">
      <w:numFmt w:val="bullet"/>
      <w:lvlText w:val="•"/>
      <w:lvlJc w:val="left"/>
      <w:pPr>
        <w:ind w:left="3135" w:hanging="361"/>
      </w:pPr>
      <w:rPr>
        <w:rFonts w:hint="default"/>
      </w:rPr>
    </w:lvl>
    <w:lvl w:ilvl="7" w:tplc="971EEB7C">
      <w:numFmt w:val="bullet"/>
      <w:lvlText w:val="•"/>
      <w:lvlJc w:val="left"/>
      <w:pPr>
        <w:ind w:left="3517" w:hanging="361"/>
      </w:pPr>
      <w:rPr>
        <w:rFonts w:hint="default"/>
      </w:rPr>
    </w:lvl>
    <w:lvl w:ilvl="8" w:tplc="A23661C6">
      <w:numFmt w:val="bullet"/>
      <w:lvlText w:val="•"/>
      <w:lvlJc w:val="left"/>
      <w:pPr>
        <w:ind w:left="3900" w:hanging="361"/>
      </w:pPr>
      <w:rPr>
        <w:rFonts w:hint="default"/>
      </w:rPr>
    </w:lvl>
  </w:abstractNum>
  <w:abstractNum w:abstractNumId="14" w15:restartNumberingAfterBreak="0">
    <w:nsid w:val="3891422E"/>
    <w:multiLevelType w:val="hybridMultilevel"/>
    <w:tmpl w:val="5908EECC"/>
    <w:lvl w:ilvl="0" w:tplc="B6EC0806">
      <w:numFmt w:val="bullet"/>
      <w:lvlText w:val=""/>
      <w:lvlJc w:val="left"/>
      <w:pPr>
        <w:ind w:left="835" w:hanging="361"/>
      </w:pPr>
      <w:rPr>
        <w:rFonts w:ascii="Symbol" w:eastAsia="Symbol" w:hAnsi="Symbol" w:cs="Symbol" w:hint="default"/>
        <w:w w:val="100"/>
        <w:sz w:val="18"/>
        <w:szCs w:val="18"/>
      </w:rPr>
    </w:lvl>
    <w:lvl w:ilvl="1" w:tplc="51B2AB22">
      <w:numFmt w:val="bullet"/>
      <w:lvlText w:val="•"/>
      <w:lvlJc w:val="left"/>
      <w:pPr>
        <w:ind w:left="1222" w:hanging="361"/>
      </w:pPr>
      <w:rPr>
        <w:rFonts w:hint="default"/>
      </w:rPr>
    </w:lvl>
    <w:lvl w:ilvl="2" w:tplc="AA6EBEEC">
      <w:numFmt w:val="bullet"/>
      <w:lvlText w:val="•"/>
      <w:lvlJc w:val="left"/>
      <w:pPr>
        <w:ind w:left="1605" w:hanging="361"/>
      </w:pPr>
      <w:rPr>
        <w:rFonts w:hint="default"/>
      </w:rPr>
    </w:lvl>
    <w:lvl w:ilvl="3" w:tplc="0608CC12">
      <w:numFmt w:val="bullet"/>
      <w:lvlText w:val="•"/>
      <w:lvlJc w:val="left"/>
      <w:pPr>
        <w:ind w:left="1987" w:hanging="361"/>
      </w:pPr>
      <w:rPr>
        <w:rFonts w:hint="default"/>
      </w:rPr>
    </w:lvl>
    <w:lvl w:ilvl="4" w:tplc="89BC9376">
      <w:numFmt w:val="bullet"/>
      <w:lvlText w:val="•"/>
      <w:lvlJc w:val="left"/>
      <w:pPr>
        <w:ind w:left="2370" w:hanging="361"/>
      </w:pPr>
      <w:rPr>
        <w:rFonts w:hint="default"/>
      </w:rPr>
    </w:lvl>
    <w:lvl w:ilvl="5" w:tplc="7946E22C">
      <w:numFmt w:val="bullet"/>
      <w:lvlText w:val="•"/>
      <w:lvlJc w:val="left"/>
      <w:pPr>
        <w:ind w:left="2752" w:hanging="361"/>
      </w:pPr>
      <w:rPr>
        <w:rFonts w:hint="default"/>
      </w:rPr>
    </w:lvl>
    <w:lvl w:ilvl="6" w:tplc="5CA459EC">
      <w:numFmt w:val="bullet"/>
      <w:lvlText w:val="•"/>
      <w:lvlJc w:val="left"/>
      <w:pPr>
        <w:ind w:left="3135" w:hanging="361"/>
      </w:pPr>
      <w:rPr>
        <w:rFonts w:hint="default"/>
      </w:rPr>
    </w:lvl>
    <w:lvl w:ilvl="7" w:tplc="1C847B36">
      <w:numFmt w:val="bullet"/>
      <w:lvlText w:val="•"/>
      <w:lvlJc w:val="left"/>
      <w:pPr>
        <w:ind w:left="3517" w:hanging="361"/>
      </w:pPr>
      <w:rPr>
        <w:rFonts w:hint="default"/>
      </w:rPr>
    </w:lvl>
    <w:lvl w:ilvl="8" w:tplc="6C32272C">
      <w:numFmt w:val="bullet"/>
      <w:lvlText w:val="•"/>
      <w:lvlJc w:val="left"/>
      <w:pPr>
        <w:ind w:left="3900" w:hanging="361"/>
      </w:pPr>
      <w:rPr>
        <w:rFonts w:hint="default"/>
      </w:rPr>
    </w:lvl>
  </w:abstractNum>
  <w:abstractNum w:abstractNumId="15" w15:restartNumberingAfterBreak="0">
    <w:nsid w:val="3CA413D9"/>
    <w:multiLevelType w:val="hybridMultilevel"/>
    <w:tmpl w:val="36E674D4"/>
    <w:lvl w:ilvl="0" w:tplc="3456414E">
      <w:start w:val="1"/>
      <w:numFmt w:val="decimal"/>
      <w:lvlText w:val="%1."/>
      <w:lvlJc w:val="left"/>
      <w:pPr>
        <w:ind w:left="720" w:hanging="360"/>
      </w:pPr>
    </w:lvl>
    <w:lvl w:ilvl="1" w:tplc="B224C224">
      <w:start w:val="1"/>
      <w:numFmt w:val="lowerLetter"/>
      <w:lvlText w:val="%2."/>
      <w:lvlJc w:val="left"/>
      <w:pPr>
        <w:ind w:left="1440" w:hanging="360"/>
      </w:pPr>
    </w:lvl>
    <w:lvl w:ilvl="2" w:tplc="5C4669D2" w:tentative="1">
      <w:start w:val="1"/>
      <w:numFmt w:val="lowerRoman"/>
      <w:lvlText w:val="%3."/>
      <w:lvlJc w:val="right"/>
      <w:pPr>
        <w:ind w:left="2160" w:hanging="180"/>
      </w:pPr>
    </w:lvl>
    <w:lvl w:ilvl="3" w:tplc="33FE1646" w:tentative="1">
      <w:start w:val="1"/>
      <w:numFmt w:val="decimal"/>
      <w:lvlText w:val="%4."/>
      <w:lvlJc w:val="left"/>
      <w:pPr>
        <w:ind w:left="2880" w:hanging="360"/>
      </w:pPr>
    </w:lvl>
    <w:lvl w:ilvl="4" w:tplc="E49CB3C4" w:tentative="1">
      <w:start w:val="1"/>
      <w:numFmt w:val="lowerLetter"/>
      <w:lvlText w:val="%5."/>
      <w:lvlJc w:val="left"/>
      <w:pPr>
        <w:ind w:left="3600" w:hanging="360"/>
      </w:pPr>
    </w:lvl>
    <w:lvl w:ilvl="5" w:tplc="D8C82F30" w:tentative="1">
      <w:start w:val="1"/>
      <w:numFmt w:val="lowerRoman"/>
      <w:lvlText w:val="%6."/>
      <w:lvlJc w:val="right"/>
      <w:pPr>
        <w:ind w:left="4320" w:hanging="180"/>
      </w:pPr>
    </w:lvl>
    <w:lvl w:ilvl="6" w:tplc="A9A484CC" w:tentative="1">
      <w:start w:val="1"/>
      <w:numFmt w:val="decimal"/>
      <w:lvlText w:val="%7."/>
      <w:lvlJc w:val="left"/>
      <w:pPr>
        <w:ind w:left="5040" w:hanging="360"/>
      </w:pPr>
    </w:lvl>
    <w:lvl w:ilvl="7" w:tplc="146CB18C" w:tentative="1">
      <w:start w:val="1"/>
      <w:numFmt w:val="lowerLetter"/>
      <w:lvlText w:val="%8."/>
      <w:lvlJc w:val="left"/>
      <w:pPr>
        <w:ind w:left="5760" w:hanging="360"/>
      </w:pPr>
    </w:lvl>
    <w:lvl w:ilvl="8" w:tplc="EE582414" w:tentative="1">
      <w:start w:val="1"/>
      <w:numFmt w:val="lowerRoman"/>
      <w:lvlText w:val="%9."/>
      <w:lvlJc w:val="right"/>
      <w:pPr>
        <w:ind w:left="6480" w:hanging="180"/>
      </w:pPr>
    </w:lvl>
  </w:abstractNum>
  <w:abstractNum w:abstractNumId="16" w15:restartNumberingAfterBreak="0">
    <w:nsid w:val="3CCD537E"/>
    <w:multiLevelType w:val="hybridMultilevel"/>
    <w:tmpl w:val="8E922044"/>
    <w:lvl w:ilvl="0" w:tplc="EFAC2462">
      <w:start w:val="1"/>
      <w:numFmt w:val="bullet"/>
      <w:lvlText w:val=""/>
      <w:lvlJc w:val="left"/>
      <w:pPr>
        <w:ind w:left="360" w:hanging="360"/>
      </w:pPr>
      <w:rPr>
        <w:rFonts w:ascii="Symbol" w:hAnsi="Symbol" w:hint="default"/>
      </w:rPr>
    </w:lvl>
    <w:lvl w:ilvl="1" w:tplc="0B1EBEF6" w:tentative="1">
      <w:start w:val="1"/>
      <w:numFmt w:val="bullet"/>
      <w:lvlText w:val="o"/>
      <w:lvlJc w:val="left"/>
      <w:pPr>
        <w:ind w:left="1080" w:hanging="360"/>
      </w:pPr>
      <w:rPr>
        <w:rFonts w:ascii="Courier New" w:hAnsi="Courier New" w:cs="Courier New" w:hint="default"/>
      </w:rPr>
    </w:lvl>
    <w:lvl w:ilvl="2" w:tplc="6F98883E" w:tentative="1">
      <w:start w:val="1"/>
      <w:numFmt w:val="bullet"/>
      <w:lvlText w:val=""/>
      <w:lvlJc w:val="left"/>
      <w:pPr>
        <w:ind w:left="1800" w:hanging="360"/>
      </w:pPr>
      <w:rPr>
        <w:rFonts w:ascii="Wingdings" w:hAnsi="Wingdings" w:hint="default"/>
      </w:rPr>
    </w:lvl>
    <w:lvl w:ilvl="3" w:tplc="20D0522A" w:tentative="1">
      <w:start w:val="1"/>
      <w:numFmt w:val="bullet"/>
      <w:lvlText w:val=""/>
      <w:lvlJc w:val="left"/>
      <w:pPr>
        <w:ind w:left="2520" w:hanging="360"/>
      </w:pPr>
      <w:rPr>
        <w:rFonts w:ascii="Symbol" w:hAnsi="Symbol" w:hint="default"/>
      </w:rPr>
    </w:lvl>
    <w:lvl w:ilvl="4" w:tplc="93BE85A6" w:tentative="1">
      <w:start w:val="1"/>
      <w:numFmt w:val="bullet"/>
      <w:lvlText w:val="o"/>
      <w:lvlJc w:val="left"/>
      <w:pPr>
        <w:ind w:left="3240" w:hanging="360"/>
      </w:pPr>
      <w:rPr>
        <w:rFonts w:ascii="Courier New" w:hAnsi="Courier New" w:cs="Courier New" w:hint="default"/>
      </w:rPr>
    </w:lvl>
    <w:lvl w:ilvl="5" w:tplc="B4B05380" w:tentative="1">
      <w:start w:val="1"/>
      <w:numFmt w:val="bullet"/>
      <w:lvlText w:val=""/>
      <w:lvlJc w:val="left"/>
      <w:pPr>
        <w:ind w:left="3960" w:hanging="360"/>
      </w:pPr>
      <w:rPr>
        <w:rFonts w:ascii="Wingdings" w:hAnsi="Wingdings" w:hint="default"/>
      </w:rPr>
    </w:lvl>
    <w:lvl w:ilvl="6" w:tplc="DC82ED86" w:tentative="1">
      <w:start w:val="1"/>
      <w:numFmt w:val="bullet"/>
      <w:lvlText w:val=""/>
      <w:lvlJc w:val="left"/>
      <w:pPr>
        <w:ind w:left="4680" w:hanging="360"/>
      </w:pPr>
      <w:rPr>
        <w:rFonts w:ascii="Symbol" w:hAnsi="Symbol" w:hint="default"/>
      </w:rPr>
    </w:lvl>
    <w:lvl w:ilvl="7" w:tplc="BC189A1A" w:tentative="1">
      <w:start w:val="1"/>
      <w:numFmt w:val="bullet"/>
      <w:lvlText w:val="o"/>
      <w:lvlJc w:val="left"/>
      <w:pPr>
        <w:ind w:left="5400" w:hanging="360"/>
      </w:pPr>
      <w:rPr>
        <w:rFonts w:ascii="Courier New" w:hAnsi="Courier New" w:cs="Courier New" w:hint="default"/>
      </w:rPr>
    </w:lvl>
    <w:lvl w:ilvl="8" w:tplc="8832643A" w:tentative="1">
      <w:start w:val="1"/>
      <w:numFmt w:val="bullet"/>
      <w:lvlText w:val=""/>
      <w:lvlJc w:val="left"/>
      <w:pPr>
        <w:ind w:left="6120" w:hanging="360"/>
      </w:pPr>
      <w:rPr>
        <w:rFonts w:ascii="Wingdings" w:hAnsi="Wingdings" w:hint="default"/>
      </w:rPr>
    </w:lvl>
  </w:abstractNum>
  <w:abstractNum w:abstractNumId="17" w15:restartNumberingAfterBreak="0">
    <w:nsid w:val="3D8F58FE"/>
    <w:multiLevelType w:val="hybridMultilevel"/>
    <w:tmpl w:val="A8263F40"/>
    <w:lvl w:ilvl="0" w:tplc="249E4706">
      <w:start w:val="1"/>
      <w:numFmt w:val="bullet"/>
      <w:lvlText w:val=""/>
      <w:lvlJc w:val="left"/>
      <w:pPr>
        <w:ind w:left="360" w:hanging="360"/>
      </w:pPr>
      <w:rPr>
        <w:rFonts w:ascii="Symbol" w:hAnsi="Symbol" w:hint="default"/>
      </w:rPr>
    </w:lvl>
    <w:lvl w:ilvl="1" w:tplc="2D069304" w:tentative="1">
      <w:start w:val="1"/>
      <w:numFmt w:val="bullet"/>
      <w:lvlText w:val="o"/>
      <w:lvlJc w:val="left"/>
      <w:pPr>
        <w:ind w:left="1080" w:hanging="360"/>
      </w:pPr>
      <w:rPr>
        <w:rFonts w:ascii="Courier New" w:hAnsi="Courier New" w:cs="Courier New" w:hint="default"/>
      </w:rPr>
    </w:lvl>
    <w:lvl w:ilvl="2" w:tplc="786E9638" w:tentative="1">
      <w:start w:val="1"/>
      <w:numFmt w:val="bullet"/>
      <w:lvlText w:val=""/>
      <w:lvlJc w:val="left"/>
      <w:pPr>
        <w:ind w:left="1800" w:hanging="360"/>
      </w:pPr>
      <w:rPr>
        <w:rFonts w:ascii="Wingdings" w:hAnsi="Wingdings" w:hint="default"/>
      </w:rPr>
    </w:lvl>
    <w:lvl w:ilvl="3" w:tplc="5FF4836C" w:tentative="1">
      <w:start w:val="1"/>
      <w:numFmt w:val="bullet"/>
      <w:lvlText w:val=""/>
      <w:lvlJc w:val="left"/>
      <w:pPr>
        <w:ind w:left="2520" w:hanging="360"/>
      </w:pPr>
      <w:rPr>
        <w:rFonts w:ascii="Symbol" w:hAnsi="Symbol" w:hint="default"/>
      </w:rPr>
    </w:lvl>
    <w:lvl w:ilvl="4" w:tplc="2E98FCDE" w:tentative="1">
      <w:start w:val="1"/>
      <w:numFmt w:val="bullet"/>
      <w:lvlText w:val="o"/>
      <w:lvlJc w:val="left"/>
      <w:pPr>
        <w:ind w:left="3240" w:hanging="360"/>
      </w:pPr>
      <w:rPr>
        <w:rFonts w:ascii="Courier New" w:hAnsi="Courier New" w:cs="Courier New" w:hint="default"/>
      </w:rPr>
    </w:lvl>
    <w:lvl w:ilvl="5" w:tplc="8D6AB660" w:tentative="1">
      <w:start w:val="1"/>
      <w:numFmt w:val="bullet"/>
      <w:lvlText w:val=""/>
      <w:lvlJc w:val="left"/>
      <w:pPr>
        <w:ind w:left="3960" w:hanging="360"/>
      </w:pPr>
      <w:rPr>
        <w:rFonts w:ascii="Wingdings" w:hAnsi="Wingdings" w:hint="default"/>
      </w:rPr>
    </w:lvl>
    <w:lvl w:ilvl="6" w:tplc="1616AD06" w:tentative="1">
      <w:start w:val="1"/>
      <w:numFmt w:val="bullet"/>
      <w:lvlText w:val=""/>
      <w:lvlJc w:val="left"/>
      <w:pPr>
        <w:ind w:left="4680" w:hanging="360"/>
      </w:pPr>
      <w:rPr>
        <w:rFonts w:ascii="Symbol" w:hAnsi="Symbol" w:hint="default"/>
      </w:rPr>
    </w:lvl>
    <w:lvl w:ilvl="7" w:tplc="3EF0DA2A" w:tentative="1">
      <w:start w:val="1"/>
      <w:numFmt w:val="bullet"/>
      <w:lvlText w:val="o"/>
      <w:lvlJc w:val="left"/>
      <w:pPr>
        <w:ind w:left="5400" w:hanging="360"/>
      </w:pPr>
      <w:rPr>
        <w:rFonts w:ascii="Courier New" w:hAnsi="Courier New" w:cs="Courier New" w:hint="default"/>
      </w:rPr>
    </w:lvl>
    <w:lvl w:ilvl="8" w:tplc="2104206E" w:tentative="1">
      <w:start w:val="1"/>
      <w:numFmt w:val="bullet"/>
      <w:lvlText w:val=""/>
      <w:lvlJc w:val="left"/>
      <w:pPr>
        <w:ind w:left="6120" w:hanging="360"/>
      </w:pPr>
      <w:rPr>
        <w:rFonts w:ascii="Wingdings" w:hAnsi="Wingdings" w:hint="default"/>
      </w:rPr>
    </w:lvl>
  </w:abstractNum>
  <w:abstractNum w:abstractNumId="18" w15:restartNumberingAfterBreak="0">
    <w:nsid w:val="3F710B7A"/>
    <w:multiLevelType w:val="hybridMultilevel"/>
    <w:tmpl w:val="53A2C9F8"/>
    <w:lvl w:ilvl="0" w:tplc="F934F020">
      <w:start w:val="1"/>
      <w:numFmt w:val="bullet"/>
      <w:lvlText w:val=""/>
      <w:lvlJc w:val="left"/>
      <w:pPr>
        <w:ind w:left="360" w:hanging="360"/>
      </w:pPr>
      <w:rPr>
        <w:rFonts w:ascii="Symbol" w:hAnsi="Symbol" w:hint="default"/>
        <w:vertAlign w:val="baseline"/>
      </w:rPr>
    </w:lvl>
    <w:lvl w:ilvl="1" w:tplc="A10CD5B2" w:tentative="1">
      <w:start w:val="1"/>
      <w:numFmt w:val="bullet"/>
      <w:lvlText w:val="o"/>
      <w:lvlJc w:val="left"/>
      <w:pPr>
        <w:ind w:left="1080" w:hanging="360"/>
      </w:pPr>
      <w:rPr>
        <w:rFonts w:ascii="Courier New" w:hAnsi="Courier New" w:cs="Courier New" w:hint="default"/>
      </w:rPr>
    </w:lvl>
    <w:lvl w:ilvl="2" w:tplc="8DDEF986" w:tentative="1">
      <w:start w:val="1"/>
      <w:numFmt w:val="bullet"/>
      <w:lvlText w:val=""/>
      <w:lvlJc w:val="left"/>
      <w:pPr>
        <w:ind w:left="1800" w:hanging="360"/>
      </w:pPr>
      <w:rPr>
        <w:rFonts w:ascii="Wingdings" w:hAnsi="Wingdings" w:hint="default"/>
      </w:rPr>
    </w:lvl>
    <w:lvl w:ilvl="3" w:tplc="146A9D6A" w:tentative="1">
      <w:start w:val="1"/>
      <w:numFmt w:val="bullet"/>
      <w:lvlText w:val=""/>
      <w:lvlJc w:val="left"/>
      <w:pPr>
        <w:ind w:left="2520" w:hanging="360"/>
      </w:pPr>
      <w:rPr>
        <w:rFonts w:ascii="Symbol" w:hAnsi="Symbol" w:hint="default"/>
      </w:rPr>
    </w:lvl>
    <w:lvl w:ilvl="4" w:tplc="73F297A8" w:tentative="1">
      <w:start w:val="1"/>
      <w:numFmt w:val="bullet"/>
      <w:lvlText w:val="o"/>
      <w:lvlJc w:val="left"/>
      <w:pPr>
        <w:ind w:left="3240" w:hanging="360"/>
      </w:pPr>
      <w:rPr>
        <w:rFonts w:ascii="Courier New" w:hAnsi="Courier New" w:cs="Courier New" w:hint="default"/>
      </w:rPr>
    </w:lvl>
    <w:lvl w:ilvl="5" w:tplc="B30E9EA4" w:tentative="1">
      <w:start w:val="1"/>
      <w:numFmt w:val="bullet"/>
      <w:lvlText w:val=""/>
      <w:lvlJc w:val="left"/>
      <w:pPr>
        <w:ind w:left="3960" w:hanging="360"/>
      </w:pPr>
      <w:rPr>
        <w:rFonts w:ascii="Wingdings" w:hAnsi="Wingdings" w:hint="default"/>
      </w:rPr>
    </w:lvl>
    <w:lvl w:ilvl="6" w:tplc="AB58CDFA" w:tentative="1">
      <w:start w:val="1"/>
      <w:numFmt w:val="bullet"/>
      <w:lvlText w:val=""/>
      <w:lvlJc w:val="left"/>
      <w:pPr>
        <w:ind w:left="4680" w:hanging="360"/>
      </w:pPr>
      <w:rPr>
        <w:rFonts w:ascii="Symbol" w:hAnsi="Symbol" w:hint="default"/>
      </w:rPr>
    </w:lvl>
    <w:lvl w:ilvl="7" w:tplc="64AA4DBE" w:tentative="1">
      <w:start w:val="1"/>
      <w:numFmt w:val="bullet"/>
      <w:lvlText w:val="o"/>
      <w:lvlJc w:val="left"/>
      <w:pPr>
        <w:ind w:left="5400" w:hanging="360"/>
      </w:pPr>
      <w:rPr>
        <w:rFonts w:ascii="Courier New" w:hAnsi="Courier New" w:cs="Courier New" w:hint="default"/>
      </w:rPr>
    </w:lvl>
    <w:lvl w:ilvl="8" w:tplc="E9E4975A" w:tentative="1">
      <w:start w:val="1"/>
      <w:numFmt w:val="bullet"/>
      <w:lvlText w:val=""/>
      <w:lvlJc w:val="left"/>
      <w:pPr>
        <w:ind w:left="6120" w:hanging="360"/>
      </w:pPr>
      <w:rPr>
        <w:rFonts w:ascii="Wingdings" w:hAnsi="Wingdings" w:hint="default"/>
      </w:rPr>
    </w:lvl>
  </w:abstractNum>
  <w:abstractNum w:abstractNumId="19" w15:restartNumberingAfterBreak="0">
    <w:nsid w:val="439C711C"/>
    <w:multiLevelType w:val="hybridMultilevel"/>
    <w:tmpl w:val="320EAAA2"/>
    <w:lvl w:ilvl="0" w:tplc="4C3CF9B4">
      <w:start w:val="1"/>
      <w:numFmt w:val="bullet"/>
      <w:lvlText w:val=""/>
      <w:lvlJc w:val="left"/>
      <w:pPr>
        <w:ind w:left="720" w:hanging="360"/>
      </w:pPr>
      <w:rPr>
        <w:rFonts w:ascii="Symbol" w:hAnsi="Symbol" w:hint="default"/>
      </w:rPr>
    </w:lvl>
    <w:lvl w:ilvl="1" w:tplc="F3A6B61A" w:tentative="1">
      <w:start w:val="1"/>
      <w:numFmt w:val="bullet"/>
      <w:lvlText w:val="o"/>
      <w:lvlJc w:val="left"/>
      <w:pPr>
        <w:ind w:left="1440" w:hanging="360"/>
      </w:pPr>
      <w:rPr>
        <w:rFonts w:ascii="Courier New" w:hAnsi="Courier New" w:cs="Courier New" w:hint="default"/>
      </w:rPr>
    </w:lvl>
    <w:lvl w:ilvl="2" w:tplc="8CA653BE" w:tentative="1">
      <w:start w:val="1"/>
      <w:numFmt w:val="bullet"/>
      <w:lvlText w:val=""/>
      <w:lvlJc w:val="left"/>
      <w:pPr>
        <w:ind w:left="2160" w:hanging="360"/>
      </w:pPr>
      <w:rPr>
        <w:rFonts w:ascii="Wingdings" w:hAnsi="Wingdings" w:hint="default"/>
      </w:rPr>
    </w:lvl>
    <w:lvl w:ilvl="3" w:tplc="36DC232E" w:tentative="1">
      <w:start w:val="1"/>
      <w:numFmt w:val="bullet"/>
      <w:lvlText w:val=""/>
      <w:lvlJc w:val="left"/>
      <w:pPr>
        <w:ind w:left="2880" w:hanging="360"/>
      </w:pPr>
      <w:rPr>
        <w:rFonts w:ascii="Symbol" w:hAnsi="Symbol" w:hint="default"/>
      </w:rPr>
    </w:lvl>
    <w:lvl w:ilvl="4" w:tplc="EED28E5E" w:tentative="1">
      <w:start w:val="1"/>
      <w:numFmt w:val="bullet"/>
      <w:lvlText w:val="o"/>
      <w:lvlJc w:val="left"/>
      <w:pPr>
        <w:ind w:left="3600" w:hanging="360"/>
      </w:pPr>
      <w:rPr>
        <w:rFonts w:ascii="Courier New" w:hAnsi="Courier New" w:cs="Courier New" w:hint="default"/>
      </w:rPr>
    </w:lvl>
    <w:lvl w:ilvl="5" w:tplc="4A725536" w:tentative="1">
      <w:start w:val="1"/>
      <w:numFmt w:val="bullet"/>
      <w:lvlText w:val=""/>
      <w:lvlJc w:val="left"/>
      <w:pPr>
        <w:ind w:left="4320" w:hanging="360"/>
      </w:pPr>
      <w:rPr>
        <w:rFonts w:ascii="Wingdings" w:hAnsi="Wingdings" w:hint="default"/>
      </w:rPr>
    </w:lvl>
    <w:lvl w:ilvl="6" w:tplc="5E4E5056" w:tentative="1">
      <w:start w:val="1"/>
      <w:numFmt w:val="bullet"/>
      <w:lvlText w:val=""/>
      <w:lvlJc w:val="left"/>
      <w:pPr>
        <w:ind w:left="5040" w:hanging="360"/>
      </w:pPr>
      <w:rPr>
        <w:rFonts w:ascii="Symbol" w:hAnsi="Symbol" w:hint="default"/>
      </w:rPr>
    </w:lvl>
    <w:lvl w:ilvl="7" w:tplc="8CEA52E0" w:tentative="1">
      <w:start w:val="1"/>
      <w:numFmt w:val="bullet"/>
      <w:lvlText w:val="o"/>
      <w:lvlJc w:val="left"/>
      <w:pPr>
        <w:ind w:left="5760" w:hanging="360"/>
      </w:pPr>
      <w:rPr>
        <w:rFonts w:ascii="Courier New" w:hAnsi="Courier New" w:cs="Courier New" w:hint="default"/>
      </w:rPr>
    </w:lvl>
    <w:lvl w:ilvl="8" w:tplc="C952E47C" w:tentative="1">
      <w:start w:val="1"/>
      <w:numFmt w:val="bullet"/>
      <w:lvlText w:val=""/>
      <w:lvlJc w:val="left"/>
      <w:pPr>
        <w:ind w:left="6480" w:hanging="360"/>
      </w:pPr>
      <w:rPr>
        <w:rFonts w:ascii="Wingdings" w:hAnsi="Wingdings" w:hint="default"/>
      </w:rPr>
    </w:lvl>
  </w:abstractNum>
  <w:abstractNum w:abstractNumId="20" w15:restartNumberingAfterBreak="0">
    <w:nsid w:val="455D56DB"/>
    <w:multiLevelType w:val="hybridMultilevel"/>
    <w:tmpl w:val="9D9253B2"/>
    <w:lvl w:ilvl="0" w:tplc="748EED92">
      <w:numFmt w:val="bullet"/>
      <w:lvlText w:val=""/>
      <w:lvlJc w:val="left"/>
      <w:pPr>
        <w:ind w:left="835" w:hanging="361"/>
      </w:pPr>
      <w:rPr>
        <w:rFonts w:ascii="Symbol" w:eastAsia="Symbol" w:hAnsi="Symbol" w:cs="Symbol" w:hint="default"/>
        <w:w w:val="100"/>
        <w:sz w:val="18"/>
        <w:szCs w:val="18"/>
      </w:rPr>
    </w:lvl>
    <w:lvl w:ilvl="1" w:tplc="BEC4FFF0">
      <w:numFmt w:val="bullet"/>
      <w:lvlText w:val="•"/>
      <w:lvlJc w:val="left"/>
      <w:pPr>
        <w:ind w:left="1222" w:hanging="361"/>
      </w:pPr>
      <w:rPr>
        <w:rFonts w:hint="default"/>
      </w:rPr>
    </w:lvl>
    <w:lvl w:ilvl="2" w:tplc="53044CF6">
      <w:numFmt w:val="bullet"/>
      <w:lvlText w:val="•"/>
      <w:lvlJc w:val="left"/>
      <w:pPr>
        <w:ind w:left="1605" w:hanging="361"/>
      </w:pPr>
      <w:rPr>
        <w:rFonts w:hint="default"/>
      </w:rPr>
    </w:lvl>
    <w:lvl w:ilvl="3" w:tplc="0CAECC44">
      <w:numFmt w:val="bullet"/>
      <w:lvlText w:val="•"/>
      <w:lvlJc w:val="left"/>
      <w:pPr>
        <w:ind w:left="1987" w:hanging="361"/>
      </w:pPr>
      <w:rPr>
        <w:rFonts w:hint="default"/>
      </w:rPr>
    </w:lvl>
    <w:lvl w:ilvl="4" w:tplc="D0642688">
      <w:numFmt w:val="bullet"/>
      <w:lvlText w:val="•"/>
      <w:lvlJc w:val="left"/>
      <w:pPr>
        <w:ind w:left="2370" w:hanging="361"/>
      </w:pPr>
      <w:rPr>
        <w:rFonts w:hint="default"/>
      </w:rPr>
    </w:lvl>
    <w:lvl w:ilvl="5" w:tplc="8264A8A8">
      <w:numFmt w:val="bullet"/>
      <w:lvlText w:val="•"/>
      <w:lvlJc w:val="left"/>
      <w:pPr>
        <w:ind w:left="2752" w:hanging="361"/>
      </w:pPr>
      <w:rPr>
        <w:rFonts w:hint="default"/>
      </w:rPr>
    </w:lvl>
    <w:lvl w:ilvl="6" w:tplc="AE823F7E">
      <w:numFmt w:val="bullet"/>
      <w:lvlText w:val="•"/>
      <w:lvlJc w:val="left"/>
      <w:pPr>
        <w:ind w:left="3135" w:hanging="361"/>
      </w:pPr>
      <w:rPr>
        <w:rFonts w:hint="default"/>
      </w:rPr>
    </w:lvl>
    <w:lvl w:ilvl="7" w:tplc="49325F26">
      <w:numFmt w:val="bullet"/>
      <w:lvlText w:val="•"/>
      <w:lvlJc w:val="left"/>
      <w:pPr>
        <w:ind w:left="3517" w:hanging="361"/>
      </w:pPr>
      <w:rPr>
        <w:rFonts w:hint="default"/>
      </w:rPr>
    </w:lvl>
    <w:lvl w:ilvl="8" w:tplc="A6F0D45C">
      <w:numFmt w:val="bullet"/>
      <w:lvlText w:val="•"/>
      <w:lvlJc w:val="left"/>
      <w:pPr>
        <w:ind w:left="3900" w:hanging="361"/>
      </w:pPr>
      <w:rPr>
        <w:rFonts w:hint="default"/>
      </w:rPr>
    </w:lvl>
  </w:abstractNum>
  <w:abstractNum w:abstractNumId="21" w15:restartNumberingAfterBreak="0">
    <w:nsid w:val="45800E43"/>
    <w:multiLevelType w:val="hybridMultilevel"/>
    <w:tmpl w:val="2BE454E4"/>
    <w:lvl w:ilvl="0" w:tplc="2674BA28">
      <w:start w:val="1"/>
      <w:numFmt w:val="lowerLetter"/>
      <w:lvlText w:val="%1)"/>
      <w:lvlJc w:val="left"/>
      <w:pPr>
        <w:ind w:left="720" w:hanging="360"/>
      </w:pPr>
      <w:rPr>
        <w:rFonts w:hint="default"/>
      </w:rPr>
    </w:lvl>
    <w:lvl w:ilvl="1" w:tplc="1DE89552" w:tentative="1">
      <w:start w:val="1"/>
      <w:numFmt w:val="lowerLetter"/>
      <w:lvlText w:val="%2."/>
      <w:lvlJc w:val="left"/>
      <w:pPr>
        <w:ind w:left="1440" w:hanging="360"/>
      </w:pPr>
    </w:lvl>
    <w:lvl w:ilvl="2" w:tplc="0010DC18" w:tentative="1">
      <w:start w:val="1"/>
      <w:numFmt w:val="lowerRoman"/>
      <w:lvlText w:val="%3."/>
      <w:lvlJc w:val="right"/>
      <w:pPr>
        <w:ind w:left="2160" w:hanging="180"/>
      </w:pPr>
    </w:lvl>
    <w:lvl w:ilvl="3" w:tplc="052A968C" w:tentative="1">
      <w:start w:val="1"/>
      <w:numFmt w:val="decimal"/>
      <w:lvlText w:val="%4."/>
      <w:lvlJc w:val="left"/>
      <w:pPr>
        <w:ind w:left="2880" w:hanging="360"/>
      </w:pPr>
    </w:lvl>
    <w:lvl w:ilvl="4" w:tplc="09F8E4BE" w:tentative="1">
      <w:start w:val="1"/>
      <w:numFmt w:val="lowerLetter"/>
      <w:lvlText w:val="%5."/>
      <w:lvlJc w:val="left"/>
      <w:pPr>
        <w:ind w:left="3600" w:hanging="360"/>
      </w:pPr>
    </w:lvl>
    <w:lvl w:ilvl="5" w:tplc="F864D8A6" w:tentative="1">
      <w:start w:val="1"/>
      <w:numFmt w:val="lowerRoman"/>
      <w:lvlText w:val="%6."/>
      <w:lvlJc w:val="right"/>
      <w:pPr>
        <w:ind w:left="4320" w:hanging="180"/>
      </w:pPr>
    </w:lvl>
    <w:lvl w:ilvl="6" w:tplc="FF7CF846" w:tentative="1">
      <w:start w:val="1"/>
      <w:numFmt w:val="decimal"/>
      <w:lvlText w:val="%7."/>
      <w:lvlJc w:val="left"/>
      <w:pPr>
        <w:ind w:left="5040" w:hanging="360"/>
      </w:pPr>
    </w:lvl>
    <w:lvl w:ilvl="7" w:tplc="4DECCCB6" w:tentative="1">
      <w:start w:val="1"/>
      <w:numFmt w:val="lowerLetter"/>
      <w:lvlText w:val="%8."/>
      <w:lvlJc w:val="left"/>
      <w:pPr>
        <w:ind w:left="5760" w:hanging="360"/>
      </w:pPr>
    </w:lvl>
    <w:lvl w:ilvl="8" w:tplc="103AFE2A" w:tentative="1">
      <w:start w:val="1"/>
      <w:numFmt w:val="lowerRoman"/>
      <w:lvlText w:val="%9."/>
      <w:lvlJc w:val="right"/>
      <w:pPr>
        <w:ind w:left="6480" w:hanging="180"/>
      </w:pPr>
    </w:lvl>
  </w:abstractNum>
  <w:abstractNum w:abstractNumId="22" w15:restartNumberingAfterBreak="0">
    <w:nsid w:val="499D441C"/>
    <w:multiLevelType w:val="hybridMultilevel"/>
    <w:tmpl w:val="58D081EA"/>
    <w:lvl w:ilvl="0" w:tplc="31444912">
      <w:start w:val="1"/>
      <w:numFmt w:val="bullet"/>
      <w:lvlText w:val=""/>
      <w:lvlJc w:val="left"/>
      <w:pPr>
        <w:ind w:left="1620" w:hanging="360"/>
      </w:pPr>
      <w:rPr>
        <w:rFonts w:ascii="Symbol" w:hAnsi="Symbol" w:hint="default"/>
      </w:rPr>
    </w:lvl>
    <w:lvl w:ilvl="1" w:tplc="AEE868CC">
      <w:start w:val="1"/>
      <w:numFmt w:val="bullet"/>
      <w:lvlText w:val="o"/>
      <w:lvlJc w:val="left"/>
      <w:pPr>
        <w:ind w:left="2340" w:hanging="360"/>
      </w:pPr>
      <w:rPr>
        <w:rFonts w:ascii="Courier New" w:hAnsi="Courier New" w:cs="Courier New" w:hint="default"/>
      </w:rPr>
    </w:lvl>
    <w:lvl w:ilvl="2" w:tplc="CA0A831C" w:tentative="1">
      <w:start w:val="1"/>
      <w:numFmt w:val="bullet"/>
      <w:lvlText w:val=""/>
      <w:lvlJc w:val="left"/>
      <w:pPr>
        <w:ind w:left="3060" w:hanging="360"/>
      </w:pPr>
      <w:rPr>
        <w:rFonts w:ascii="Wingdings" w:hAnsi="Wingdings" w:hint="default"/>
      </w:rPr>
    </w:lvl>
    <w:lvl w:ilvl="3" w:tplc="72BADAA6" w:tentative="1">
      <w:start w:val="1"/>
      <w:numFmt w:val="bullet"/>
      <w:lvlText w:val=""/>
      <w:lvlJc w:val="left"/>
      <w:pPr>
        <w:ind w:left="3780" w:hanging="360"/>
      </w:pPr>
      <w:rPr>
        <w:rFonts w:ascii="Symbol" w:hAnsi="Symbol" w:hint="default"/>
      </w:rPr>
    </w:lvl>
    <w:lvl w:ilvl="4" w:tplc="C978A94E" w:tentative="1">
      <w:start w:val="1"/>
      <w:numFmt w:val="bullet"/>
      <w:lvlText w:val="o"/>
      <w:lvlJc w:val="left"/>
      <w:pPr>
        <w:ind w:left="4500" w:hanging="360"/>
      </w:pPr>
      <w:rPr>
        <w:rFonts w:ascii="Courier New" w:hAnsi="Courier New" w:cs="Courier New" w:hint="default"/>
      </w:rPr>
    </w:lvl>
    <w:lvl w:ilvl="5" w:tplc="A8D8CF38" w:tentative="1">
      <w:start w:val="1"/>
      <w:numFmt w:val="bullet"/>
      <w:lvlText w:val=""/>
      <w:lvlJc w:val="left"/>
      <w:pPr>
        <w:ind w:left="5220" w:hanging="360"/>
      </w:pPr>
      <w:rPr>
        <w:rFonts w:ascii="Wingdings" w:hAnsi="Wingdings" w:hint="default"/>
      </w:rPr>
    </w:lvl>
    <w:lvl w:ilvl="6" w:tplc="48123536" w:tentative="1">
      <w:start w:val="1"/>
      <w:numFmt w:val="bullet"/>
      <w:lvlText w:val=""/>
      <w:lvlJc w:val="left"/>
      <w:pPr>
        <w:ind w:left="5940" w:hanging="360"/>
      </w:pPr>
      <w:rPr>
        <w:rFonts w:ascii="Symbol" w:hAnsi="Symbol" w:hint="default"/>
      </w:rPr>
    </w:lvl>
    <w:lvl w:ilvl="7" w:tplc="B0AC5CF8" w:tentative="1">
      <w:start w:val="1"/>
      <w:numFmt w:val="bullet"/>
      <w:lvlText w:val="o"/>
      <w:lvlJc w:val="left"/>
      <w:pPr>
        <w:ind w:left="6660" w:hanging="360"/>
      </w:pPr>
      <w:rPr>
        <w:rFonts w:ascii="Courier New" w:hAnsi="Courier New" w:cs="Courier New" w:hint="default"/>
      </w:rPr>
    </w:lvl>
    <w:lvl w:ilvl="8" w:tplc="F52ACEF6" w:tentative="1">
      <w:start w:val="1"/>
      <w:numFmt w:val="bullet"/>
      <w:lvlText w:val=""/>
      <w:lvlJc w:val="left"/>
      <w:pPr>
        <w:ind w:left="7380" w:hanging="360"/>
      </w:pPr>
      <w:rPr>
        <w:rFonts w:ascii="Wingdings" w:hAnsi="Wingdings" w:hint="default"/>
      </w:rPr>
    </w:lvl>
  </w:abstractNum>
  <w:abstractNum w:abstractNumId="23" w15:restartNumberingAfterBreak="0">
    <w:nsid w:val="4ECC3034"/>
    <w:multiLevelType w:val="hybridMultilevel"/>
    <w:tmpl w:val="C9B25A14"/>
    <w:lvl w:ilvl="0" w:tplc="2DC2E0C6">
      <w:start w:val="1"/>
      <w:numFmt w:val="bullet"/>
      <w:lvlText w:val=""/>
      <w:lvlJc w:val="left"/>
      <w:pPr>
        <w:ind w:left="1260" w:hanging="360"/>
      </w:pPr>
      <w:rPr>
        <w:rFonts w:ascii="Symbol" w:hAnsi="Symbol" w:hint="default"/>
      </w:rPr>
    </w:lvl>
    <w:lvl w:ilvl="1" w:tplc="B0809BB0" w:tentative="1">
      <w:start w:val="1"/>
      <w:numFmt w:val="bullet"/>
      <w:lvlText w:val="o"/>
      <w:lvlJc w:val="left"/>
      <w:pPr>
        <w:ind w:left="1980" w:hanging="360"/>
      </w:pPr>
      <w:rPr>
        <w:rFonts w:ascii="Courier New" w:hAnsi="Courier New" w:cs="Courier New" w:hint="default"/>
      </w:rPr>
    </w:lvl>
    <w:lvl w:ilvl="2" w:tplc="2D2A3344" w:tentative="1">
      <w:start w:val="1"/>
      <w:numFmt w:val="bullet"/>
      <w:lvlText w:val=""/>
      <w:lvlJc w:val="left"/>
      <w:pPr>
        <w:ind w:left="2700" w:hanging="360"/>
      </w:pPr>
      <w:rPr>
        <w:rFonts w:ascii="Wingdings" w:hAnsi="Wingdings" w:hint="default"/>
      </w:rPr>
    </w:lvl>
    <w:lvl w:ilvl="3" w:tplc="2EF03572" w:tentative="1">
      <w:start w:val="1"/>
      <w:numFmt w:val="bullet"/>
      <w:lvlText w:val=""/>
      <w:lvlJc w:val="left"/>
      <w:pPr>
        <w:ind w:left="3420" w:hanging="360"/>
      </w:pPr>
      <w:rPr>
        <w:rFonts w:ascii="Symbol" w:hAnsi="Symbol" w:hint="default"/>
      </w:rPr>
    </w:lvl>
    <w:lvl w:ilvl="4" w:tplc="B426CAD4" w:tentative="1">
      <w:start w:val="1"/>
      <w:numFmt w:val="bullet"/>
      <w:lvlText w:val="o"/>
      <w:lvlJc w:val="left"/>
      <w:pPr>
        <w:ind w:left="4140" w:hanging="360"/>
      </w:pPr>
      <w:rPr>
        <w:rFonts w:ascii="Courier New" w:hAnsi="Courier New" w:cs="Courier New" w:hint="default"/>
      </w:rPr>
    </w:lvl>
    <w:lvl w:ilvl="5" w:tplc="A2CE2A6A" w:tentative="1">
      <w:start w:val="1"/>
      <w:numFmt w:val="bullet"/>
      <w:lvlText w:val=""/>
      <w:lvlJc w:val="left"/>
      <w:pPr>
        <w:ind w:left="4860" w:hanging="360"/>
      </w:pPr>
      <w:rPr>
        <w:rFonts w:ascii="Wingdings" w:hAnsi="Wingdings" w:hint="default"/>
      </w:rPr>
    </w:lvl>
    <w:lvl w:ilvl="6" w:tplc="6F72F61A" w:tentative="1">
      <w:start w:val="1"/>
      <w:numFmt w:val="bullet"/>
      <w:lvlText w:val=""/>
      <w:lvlJc w:val="left"/>
      <w:pPr>
        <w:ind w:left="5580" w:hanging="360"/>
      </w:pPr>
      <w:rPr>
        <w:rFonts w:ascii="Symbol" w:hAnsi="Symbol" w:hint="default"/>
      </w:rPr>
    </w:lvl>
    <w:lvl w:ilvl="7" w:tplc="C92C4168" w:tentative="1">
      <w:start w:val="1"/>
      <w:numFmt w:val="bullet"/>
      <w:lvlText w:val="o"/>
      <w:lvlJc w:val="left"/>
      <w:pPr>
        <w:ind w:left="6300" w:hanging="360"/>
      </w:pPr>
      <w:rPr>
        <w:rFonts w:ascii="Courier New" w:hAnsi="Courier New" w:cs="Courier New" w:hint="default"/>
      </w:rPr>
    </w:lvl>
    <w:lvl w:ilvl="8" w:tplc="C20262B4" w:tentative="1">
      <w:start w:val="1"/>
      <w:numFmt w:val="bullet"/>
      <w:lvlText w:val=""/>
      <w:lvlJc w:val="left"/>
      <w:pPr>
        <w:ind w:left="7020" w:hanging="360"/>
      </w:pPr>
      <w:rPr>
        <w:rFonts w:ascii="Wingdings" w:hAnsi="Wingdings" w:hint="default"/>
      </w:rPr>
    </w:lvl>
  </w:abstractNum>
  <w:abstractNum w:abstractNumId="24" w15:restartNumberingAfterBreak="0">
    <w:nsid w:val="4F5953ED"/>
    <w:multiLevelType w:val="multilevel"/>
    <w:tmpl w:val="7D3CFCCA"/>
    <w:lvl w:ilvl="0">
      <w:start w:val="2"/>
      <w:numFmt w:val="decimal"/>
      <w:lvlText w:val="%1."/>
      <w:lvlJc w:val="left"/>
      <w:pPr>
        <w:tabs>
          <w:tab w:val="num" w:pos="1455"/>
        </w:tabs>
        <w:ind w:left="1455" w:hanging="1095"/>
      </w:pPr>
      <w:rPr>
        <w:rFonts w:ascii="Times New Roman" w:hAnsi="Times New Roman" w:cs="Times New Roman"/>
        <w:b/>
        <w:sz w:val="22"/>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965CD1"/>
    <w:multiLevelType w:val="hybridMultilevel"/>
    <w:tmpl w:val="CC709CF6"/>
    <w:lvl w:ilvl="0" w:tplc="C15A5460">
      <w:numFmt w:val="bullet"/>
      <w:lvlText w:val="-"/>
      <w:lvlJc w:val="left"/>
      <w:pPr>
        <w:ind w:left="720" w:hanging="360"/>
      </w:pPr>
      <w:rPr>
        <w:rFonts w:ascii="Times New Roman" w:eastAsia="Times New Roman" w:hAnsi="Times New Roman" w:cs="Times New Roman" w:hint="default"/>
      </w:rPr>
    </w:lvl>
    <w:lvl w:ilvl="1" w:tplc="71D459B4" w:tentative="1">
      <w:start w:val="1"/>
      <w:numFmt w:val="bullet"/>
      <w:lvlText w:val="o"/>
      <w:lvlJc w:val="left"/>
      <w:pPr>
        <w:ind w:left="1440" w:hanging="360"/>
      </w:pPr>
      <w:rPr>
        <w:rFonts w:ascii="Courier New" w:hAnsi="Courier New" w:cs="Courier New" w:hint="default"/>
      </w:rPr>
    </w:lvl>
    <w:lvl w:ilvl="2" w:tplc="C708F122" w:tentative="1">
      <w:start w:val="1"/>
      <w:numFmt w:val="bullet"/>
      <w:lvlText w:val=""/>
      <w:lvlJc w:val="left"/>
      <w:pPr>
        <w:ind w:left="2160" w:hanging="360"/>
      </w:pPr>
      <w:rPr>
        <w:rFonts w:ascii="Wingdings" w:hAnsi="Wingdings" w:cs="Wingdings" w:hint="default"/>
      </w:rPr>
    </w:lvl>
    <w:lvl w:ilvl="3" w:tplc="665A2498" w:tentative="1">
      <w:start w:val="1"/>
      <w:numFmt w:val="bullet"/>
      <w:lvlText w:val=""/>
      <w:lvlJc w:val="left"/>
      <w:pPr>
        <w:ind w:left="2880" w:hanging="360"/>
      </w:pPr>
      <w:rPr>
        <w:rFonts w:ascii="Symbol" w:hAnsi="Symbol" w:cs="Symbol" w:hint="default"/>
      </w:rPr>
    </w:lvl>
    <w:lvl w:ilvl="4" w:tplc="396C34EC" w:tentative="1">
      <w:start w:val="1"/>
      <w:numFmt w:val="bullet"/>
      <w:lvlText w:val="o"/>
      <w:lvlJc w:val="left"/>
      <w:pPr>
        <w:ind w:left="3600" w:hanging="360"/>
      </w:pPr>
      <w:rPr>
        <w:rFonts w:ascii="Courier New" w:hAnsi="Courier New" w:cs="Courier New" w:hint="default"/>
      </w:rPr>
    </w:lvl>
    <w:lvl w:ilvl="5" w:tplc="A64E94BE" w:tentative="1">
      <w:start w:val="1"/>
      <w:numFmt w:val="bullet"/>
      <w:lvlText w:val=""/>
      <w:lvlJc w:val="left"/>
      <w:pPr>
        <w:ind w:left="4320" w:hanging="360"/>
      </w:pPr>
      <w:rPr>
        <w:rFonts w:ascii="Wingdings" w:hAnsi="Wingdings" w:cs="Wingdings" w:hint="default"/>
      </w:rPr>
    </w:lvl>
    <w:lvl w:ilvl="6" w:tplc="C79AFE00" w:tentative="1">
      <w:start w:val="1"/>
      <w:numFmt w:val="bullet"/>
      <w:lvlText w:val=""/>
      <w:lvlJc w:val="left"/>
      <w:pPr>
        <w:ind w:left="5040" w:hanging="360"/>
      </w:pPr>
      <w:rPr>
        <w:rFonts w:ascii="Symbol" w:hAnsi="Symbol" w:cs="Symbol" w:hint="default"/>
      </w:rPr>
    </w:lvl>
    <w:lvl w:ilvl="7" w:tplc="FDB485E8" w:tentative="1">
      <w:start w:val="1"/>
      <w:numFmt w:val="bullet"/>
      <w:lvlText w:val="o"/>
      <w:lvlJc w:val="left"/>
      <w:pPr>
        <w:ind w:left="5760" w:hanging="360"/>
      </w:pPr>
      <w:rPr>
        <w:rFonts w:ascii="Courier New" w:hAnsi="Courier New" w:cs="Courier New" w:hint="default"/>
      </w:rPr>
    </w:lvl>
    <w:lvl w:ilvl="8" w:tplc="97588180" w:tentative="1">
      <w:start w:val="1"/>
      <w:numFmt w:val="bullet"/>
      <w:lvlText w:val=""/>
      <w:lvlJc w:val="left"/>
      <w:pPr>
        <w:ind w:left="6480" w:hanging="360"/>
      </w:pPr>
      <w:rPr>
        <w:rFonts w:ascii="Wingdings" w:hAnsi="Wingdings" w:cs="Wingdings" w:hint="default"/>
      </w:rPr>
    </w:lvl>
  </w:abstractNum>
  <w:abstractNum w:abstractNumId="26" w15:restartNumberingAfterBreak="0">
    <w:nsid w:val="547301B8"/>
    <w:multiLevelType w:val="hybridMultilevel"/>
    <w:tmpl w:val="1DAE062C"/>
    <w:lvl w:ilvl="0" w:tplc="A8DA5332">
      <w:numFmt w:val="bullet"/>
      <w:lvlText w:val=""/>
      <w:lvlJc w:val="left"/>
      <w:pPr>
        <w:ind w:left="835" w:hanging="361"/>
      </w:pPr>
      <w:rPr>
        <w:rFonts w:ascii="Symbol" w:eastAsia="Symbol" w:hAnsi="Symbol" w:cs="Symbol" w:hint="default"/>
        <w:w w:val="100"/>
        <w:sz w:val="18"/>
        <w:szCs w:val="18"/>
      </w:rPr>
    </w:lvl>
    <w:lvl w:ilvl="1" w:tplc="015A10EA">
      <w:numFmt w:val="bullet"/>
      <w:lvlText w:val="•"/>
      <w:lvlJc w:val="left"/>
      <w:pPr>
        <w:ind w:left="1222" w:hanging="361"/>
      </w:pPr>
      <w:rPr>
        <w:rFonts w:hint="default"/>
      </w:rPr>
    </w:lvl>
    <w:lvl w:ilvl="2" w:tplc="45F2BA56">
      <w:numFmt w:val="bullet"/>
      <w:lvlText w:val="•"/>
      <w:lvlJc w:val="left"/>
      <w:pPr>
        <w:ind w:left="1605" w:hanging="361"/>
      </w:pPr>
      <w:rPr>
        <w:rFonts w:hint="default"/>
      </w:rPr>
    </w:lvl>
    <w:lvl w:ilvl="3" w:tplc="0B5667EA">
      <w:numFmt w:val="bullet"/>
      <w:lvlText w:val="•"/>
      <w:lvlJc w:val="left"/>
      <w:pPr>
        <w:ind w:left="1987" w:hanging="361"/>
      </w:pPr>
      <w:rPr>
        <w:rFonts w:hint="default"/>
      </w:rPr>
    </w:lvl>
    <w:lvl w:ilvl="4" w:tplc="1838867E">
      <w:numFmt w:val="bullet"/>
      <w:lvlText w:val="•"/>
      <w:lvlJc w:val="left"/>
      <w:pPr>
        <w:ind w:left="2370" w:hanging="361"/>
      </w:pPr>
      <w:rPr>
        <w:rFonts w:hint="default"/>
      </w:rPr>
    </w:lvl>
    <w:lvl w:ilvl="5" w:tplc="33D27D06">
      <w:numFmt w:val="bullet"/>
      <w:lvlText w:val="•"/>
      <w:lvlJc w:val="left"/>
      <w:pPr>
        <w:ind w:left="2752" w:hanging="361"/>
      </w:pPr>
      <w:rPr>
        <w:rFonts w:hint="default"/>
      </w:rPr>
    </w:lvl>
    <w:lvl w:ilvl="6" w:tplc="B0F40B76">
      <w:numFmt w:val="bullet"/>
      <w:lvlText w:val="•"/>
      <w:lvlJc w:val="left"/>
      <w:pPr>
        <w:ind w:left="3135" w:hanging="361"/>
      </w:pPr>
      <w:rPr>
        <w:rFonts w:hint="default"/>
      </w:rPr>
    </w:lvl>
    <w:lvl w:ilvl="7" w:tplc="155008B0">
      <w:numFmt w:val="bullet"/>
      <w:lvlText w:val="•"/>
      <w:lvlJc w:val="left"/>
      <w:pPr>
        <w:ind w:left="3517" w:hanging="361"/>
      </w:pPr>
      <w:rPr>
        <w:rFonts w:hint="default"/>
      </w:rPr>
    </w:lvl>
    <w:lvl w:ilvl="8" w:tplc="817ABEAE">
      <w:numFmt w:val="bullet"/>
      <w:lvlText w:val="•"/>
      <w:lvlJc w:val="left"/>
      <w:pPr>
        <w:ind w:left="3900" w:hanging="361"/>
      </w:pPr>
      <w:rPr>
        <w:rFonts w:hint="default"/>
      </w:rPr>
    </w:lvl>
  </w:abstractNum>
  <w:abstractNum w:abstractNumId="27" w15:restartNumberingAfterBreak="0">
    <w:nsid w:val="54D532BF"/>
    <w:multiLevelType w:val="hybridMultilevel"/>
    <w:tmpl w:val="1F7404DE"/>
    <w:lvl w:ilvl="0" w:tplc="480C516E">
      <w:numFmt w:val="bullet"/>
      <w:lvlText w:val=""/>
      <w:lvlJc w:val="left"/>
      <w:pPr>
        <w:ind w:left="835" w:hanging="361"/>
      </w:pPr>
      <w:rPr>
        <w:rFonts w:ascii="Symbol" w:eastAsia="Symbol" w:hAnsi="Symbol" w:cs="Symbol" w:hint="default"/>
        <w:w w:val="100"/>
        <w:sz w:val="18"/>
        <w:szCs w:val="18"/>
      </w:rPr>
    </w:lvl>
    <w:lvl w:ilvl="1" w:tplc="3FF61B88">
      <w:numFmt w:val="bullet"/>
      <w:lvlText w:val="•"/>
      <w:lvlJc w:val="left"/>
      <w:pPr>
        <w:ind w:left="1222" w:hanging="361"/>
      </w:pPr>
      <w:rPr>
        <w:rFonts w:hint="default"/>
      </w:rPr>
    </w:lvl>
    <w:lvl w:ilvl="2" w:tplc="95847042">
      <w:numFmt w:val="bullet"/>
      <w:lvlText w:val="•"/>
      <w:lvlJc w:val="left"/>
      <w:pPr>
        <w:ind w:left="1605" w:hanging="361"/>
      </w:pPr>
      <w:rPr>
        <w:rFonts w:hint="default"/>
      </w:rPr>
    </w:lvl>
    <w:lvl w:ilvl="3" w:tplc="27D80354">
      <w:numFmt w:val="bullet"/>
      <w:lvlText w:val="•"/>
      <w:lvlJc w:val="left"/>
      <w:pPr>
        <w:ind w:left="1987" w:hanging="361"/>
      </w:pPr>
      <w:rPr>
        <w:rFonts w:hint="default"/>
      </w:rPr>
    </w:lvl>
    <w:lvl w:ilvl="4" w:tplc="F266F6EA">
      <w:numFmt w:val="bullet"/>
      <w:lvlText w:val="•"/>
      <w:lvlJc w:val="left"/>
      <w:pPr>
        <w:ind w:left="2370" w:hanging="361"/>
      </w:pPr>
      <w:rPr>
        <w:rFonts w:hint="default"/>
      </w:rPr>
    </w:lvl>
    <w:lvl w:ilvl="5" w:tplc="F8C8B730">
      <w:numFmt w:val="bullet"/>
      <w:lvlText w:val="•"/>
      <w:lvlJc w:val="left"/>
      <w:pPr>
        <w:ind w:left="2752" w:hanging="361"/>
      </w:pPr>
      <w:rPr>
        <w:rFonts w:hint="default"/>
      </w:rPr>
    </w:lvl>
    <w:lvl w:ilvl="6" w:tplc="4FCA5D0A">
      <w:numFmt w:val="bullet"/>
      <w:lvlText w:val="•"/>
      <w:lvlJc w:val="left"/>
      <w:pPr>
        <w:ind w:left="3135" w:hanging="361"/>
      </w:pPr>
      <w:rPr>
        <w:rFonts w:hint="default"/>
      </w:rPr>
    </w:lvl>
    <w:lvl w:ilvl="7" w:tplc="CB38AADA">
      <w:numFmt w:val="bullet"/>
      <w:lvlText w:val="•"/>
      <w:lvlJc w:val="left"/>
      <w:pPr>
        <w:ind w:left="3517" w:hanging="361"/>
      </w:pPr>
      <w:rPr>
        <w:rFonts w:hint="default"/>
      </w:rPr>
    </w:lvl>
    <w:lvl w:ilvl="8" w:tplc="DFB25972">
      <w:numFmt w:val="bullet"/>
      <w:lvlText w:val="•"/>
      <w:lvlJc w:val="left"/>
      <w:pPr>
        <w:ind w:left="3900" w:hanging="361"/>
      </w:pPr>
      <w:rPr>
        <w:rFonts w:hint="default"/>
      </w:rPr>
    </w:lvl>
  </w:abstractNum>
  <w:abstractNum w:abstractNumId="28" w15:restartNumberingAfterBreak="0">
    <w:nsid w:val="57A22397"/>
    <w:multiLevelType w:val="hybridMultilevel"/>
    <w:tmpl w:val="3DD0BAA8"/>
    <w:lvl w:ilvl="0" w:tplc="2D8E0384">
      <w:start w:val="1"/>
      <w:numFmt w:val="bullet"/>
      <w:lvlText w:val=""/>
      <w:lvlJc w:val="left"/>
      <w:pPr>
        <w:ind w:left="360" w:hanging="360"/>
      </w:pPr>
      <w:rPr>
        <w:rFonts w:ascii="Symbol" w:hAnsi="Symbol" w:hint="default"/>
      </w:rPr>
    </w:lvl>
    <w:lvl w:ilvl="1" w:tplc="5E147E94" w:tentative="1">
      <w:start w:val="1"/>
      <w:numFmt w:val="bullet"/>
      <w:lvlText w:val="o"/>
      <w:lvlJc w:val="left"/>
      <w:pPr>
        <w:ind w:left="1080" w:hanging="360"/>
      </w:pPr>
      <w:rPr>
        <w:rFonts w:ascii="Courier New" w:hAnsi="Courier New" w:cs="Courier New" w:hint="default"/>
      </w:rPr>
    </w:lvl>
    <w:lvl w:ilvl="2" w:tplc="68948A4E" w:tentative="1">
      <w:start w:val="1"/>
      <w:numFmt w:val="bullet"/>
      <w:lvlText w:val=""/>
      <w:lvlJc w:val="left"/>
      <w:pPr>
        <w:ind w:left="1800" w:hanging="360"/>
      </w:pPr>
      <w:rPr>
        <w:rFonts w:ascii="Wingdings" w:hAnsi="Wingdings" w:hint="default"/>
      </w:rPr>
    </w:lvl>
    <w:lvl w:ilvl="3" w:tplc="62802EF8" w:tentative="1">
      <w:start w:val="1"/>
      <w:numFmt w:val="bullet"/>
      <w:lvlText w:val=""/>
      <w:lvlJc w:val="left"/>
      <w:pPr>
        <w:ind w:left="2520" w:hanging="360"/>
      </w:pPr>
      <w:rPr>
        <w:rFonts w:ascii="Symbol" w:hAnsi="Symbol" w:hint="default"/>
      </w:rPr>
    </w:lvl>
    <w:lvl w:ilvl="4" w:tplc="2970F0AC" w:tentative="1">
      <w:start w:val="1"/>
      <w:numFmt w:val="bullet"/>
      <w:lvlText w:val="o"/>
      <w:lvlJc w:val="left"/>
      <w:pPr>
        <w:ind w:left="3240" w:hanging="360"/>
      </w:pPr>
      <w:rPr>
        <w:rFonts w:ascii="Courier New" w:hAnsi="Courier New" w:cs="Courier New" w:hint="default"/>
      </w:rPr>
    </w:lvl>
    <w:lvl w:ilvl="5" w:tplc="7532906A" w:tentative="1">
      <w:start w:val="1"/>
      <w:numFmt w:val="bullet"/>
      <w:lvlText w:val=""/>
      <w:lvlJc w:val="left"/>
      <w:pPr>
        <w:ind w:left="3960" w:hanging="360"/>
      </w:pPr>
      <w:rPr>
        <w:rFonts w:ascii="Wingdings" w:hAnsi="Wingdings" w:hint="default"/>
      </w:rPr>
    </w:lvl>
    <w:lvl w:ilvl="6" w:tplc="9B687D4A" w:tentative="1">
      <w:start w:val="1"/>
      <w:numFmt w:val="bullet"/>
      <w:lvlText w:val=""/>
      <w:lvlJc w:val="left"/>
      <w:pPr>
        <w:ind w:left="4680" w:hanging="360"/>
      </w:pPr>
      <w:rPr>
        <w:rFonts w:ascii="Symbol" w:hAnsi="Symbol" w:hint="default"/>
      </w:rPr>
    </w:lvl>
    <w:lvl w:ilvl="7" w:tplc="E4345656" w:tentative="1">
      <w:start w:val="1"/>
      <w:numFmt w:val="bullet"/>
      <w:lvlText w:val="o"/>
      <w:lvlJc w:val="left"/>
      <w:pPr>
        <w:ind w:left="5400" w:hanging="360"/>
      </w:pPr>
      <w:rPr>
        <w:rFonts w:ascii="Courier New" w:hAnsi="Courier New" w:cs="Courier New" w:hint="default"/>
      </w:rPr>
    </w:lvl>
    <w:lvl w:ilvl="8" w:tplc="AAF2BAE6" w:tentative="1">
      <w:start w:val="1"/>
      <w:numFmt w:val="bullet"/>
      <w:lvlText w:val=""/>
      <w:lvlJc w:val="left"/>
      <w:pPr>
        <w:ind w:left="6120" w:hanging="360"/>
      </w:pPr>
      <w:rPr>
        <w:rFonts w:ascii="Wingdings" w:hAnsi="Wingdings" w:hint="default"/>
      </w:rPr>
    </w:lvl>
  </w:abstractNum>
  <w:abstractNum w:abstractNumId="29" w15:restartNumberingAfterBreak="0">
    <w:nsid w:val="5CD051EF"/>
    <w:multiLevelType w:val="hybridMultilevel"/>
    <w:tmpl w:val="1F068594"/>
    <w:lvl w:ilvl="0" w:tplc="90B0145C">
      <w:numFmt w:val="bullet"/>
      <w:lvlText w:val=""/>
      <w:lvlJc w:val="left"/>
      <w:pPr>
        <w:ind w:left="835" w:hanging="361"/>
      </w:pPr>
      <w:rPr>
        <w:rFonts w:ascii="Symbol" w:eastAsia="Symbol" w:hAnsi="Symbol" w:cs="Symbol" w:hint="default"/>
        <w:w w:val="100"/>
        <w:sz w:val="18"/>
        <w:szCs w:val="18"/>
      </w:rPr>
    </w:lvl>
    <w:lvl w:ilvl="1" w:tplc="5CE6527C">
      <w:numFmt w:val="bullet"/>
      <w:lvlText w:val="•"/>
      <w:lvlJc w:val="left"/>
      <w:pPr>
        <w:ind w:left="1222" w:hanging="361"/>
      </w:pPr>
      <w:rPr>
        <w:rFonts w:hint="default"/>
      </w:rPr>
    </w:lvl>
    <w:lvl w:ilvl="2" w:tplc="BF76C63E">
      <w:numFmt w:val="bullet"/>
      <w:lvlText w:val="•"/>
      <w:lvlJc w:val="left"/>
      <w:pPr>
        <w:ind w:left="1605" w:hanging="361"/>
      </w:pPr>
      <w:rPr>
        <w:rFonts w:hint="default"/>
      </w:rPr>
    </w:lvl>
    <w:lvl w:ilvl="3" w:tplc="AA94A2AA">
      <w:numFmt w:val="bullet"/>
      <w:lvlText w:val="•"/>
      <w:lvlJc w:val="left"/>
      <w:pPr>
        <w:ind w:left="1987" w:hanging="361"/>
      </w:pPr>
      <w:rPr>
        <w:rFonts w:hint="default"/>
      </w:rPr>
    </w:lvl>
    <w:lvl w:ilvl="4" w:tplc="EB141ABE">
      <w:numFmt w:val="bullet"/>
      <w:lvlText w:val="•"/>
      <w:lvlJc w:val="left"/>
      <w:pPr>
        <w:ind w:left="2370" w:hanging="361"/>
      </w:pPr>
      <w:rPr>
        <w:rFonts w:hint="default"/>
      </w:rPr>
    </w:lvl>
    <w:lvl w:ilvl="5" w:tplc="5ED232D6">
      <w:numFmt w:val="bullet"/>
      <w:lvlText w:val="•"/>
      <w:lvlJc w:val="left"/>
      <w:pPr>
        <w:ind w:left="2752" w:hanging="361"/>
      </w:pPr>
      <w:rPr>
        <w:rFonts w:hint="default"/>
      </w:rPr>
    </w:lvl>
    <w:lvl w:ilvl="6" w:tplc="891A3952">
      <w:numFmt w:val="bullet"/>
      <w:lvlText w:val="•"/>
      <w:lvlJc w:val="left"/>
      <w:pPr>
        <w:ind w:left="3135" w:hanging="361"/>
      </w:pPr>
      <w:rPr>
        <w:rFonts w:hint="default"/>
      </w:rPr>
    </w:lvl>
    <w:lvl w:ilvl="7" w:tplc="8792537A">
      <w:numFmt w:val="bullet"/>
      <w:lvlText w:val="•"/>
      <w:lvlJc w:val="left"/>
      <w:pPr>
        <w:ind w:left="3517" w:hanging="361"/>
      </w:pPr>
      <w:rPr>
        <w:rFonts w:hint="default"/>
      </w:rPr>
    </w:lvl>
    <w:lvl w:ilvl="8" w:tplc="E25EE926">
      <w:numFmt w:val="bullet"/>
      <w:lvlText w:val="•"/>
      <w:lvlJc w:val="left"/>
      <w:pPr>
        <w:ind w:left="3900" w:hanging="361"/>
      </w:pPr>
      <w:rPr>
        <w:rFonts w:hint="default"/>
      </w:rPr>
    </w:lvl>
  </w:abstractNum>
  <w:abstractNum w:abstractNumId="30" w15:restartNumberingAfterBreak="0">
    <w:nsid w:val="683A3DC4"/>
    <w:multiLevelType w:val="hybridMultilevel"/>
    <w:tmpl w:val="75EA1B5E"/>
    <w:lvl w:ilvl="0" w:tplc="8A0ED3EC">
      <w:start w:val="1"/>
      <w:numFmt w:val="bullet"/>
      <w:lvlText w:val=""/>
      <w:lvlJc w:val="left"/>
      <w:pPr>
        <w:ind w:left="720" w:hanging="360"/>
      </w:pPr>
      <w:rPr>
        <w:rFonts w:ascii="Symbol" w:hAnsi="Symbol" w:hint="default"/>
      </w:rPr>
    </w:lvl>
    <w:lvl w:ilvl="1" w:tplc="97C4BE70" w:tentative="1">
      <w:start w:val="1"/>
      <w:numFmt w:val="bullet"/>
      <w:lvlText w:val="o"/>
      <w:lvlJc w:val="left"/>
      <w:pPr>
        <w:ind w:left="1440" w:hanging="360"/>
      </w:pPr>
      <w:rPr>
        <w:rFonts w:ascii="Courier New" w:hAnsi="Courier New" w:cs="Courier New" w:hint="default"/>
      </w:rPr>
    </w:lvl>
    <w:lvl w:ilvl="2" w:tplc="49220E9E" w:tentative="1">
      <w:start w:val="1"/>
      <w:numFmt w:val="bullet"/>
      <w:lvlText w:val=""/>
      <w:lvlJc w:val="left"/>
      <w:pPr>
        <w:ind w:left="2160" w:hanging="360"/>
      </w:pPr>
      <w:rPr>
        <w:rFonts w:ascii="Wingdings" w:hAnsi="Wingdings" w:hint="default"/>
      </w:rPr>
    </w:lvl>
    <w:lvl w:ilvl="3" w:tplc="34F27F9E" w:tentative="1">
      <w:start w:val="1"/>
      <w:numFmt w:val="bullet"/>
      <w:lvlText w:val=""/>
      <w:lvlJc w:val="left"/>
      <w:pPr>
        <w:ind w:left="2880" w:hanging="360"/>
      </w:pPr>
      <w:rPr>
        <w:rFonts w:ascii="Symbol" w:hAnsi="Symbol" w:hint="default"/>
      </w:rPr>
    </w:lvl>
    <w:lvl w:ilvl="4" w:tplc="53DE00FE" w:tentative="1">
      <w:start w:val="1"/>
      <w:numFmt w:val="bullet"/>
      <w:lvlText w:val="o"/>
      <w:lvlJc w:val="left"/>
      <w:pPr>
        <w:ind w:left="3600" w:hanging="360"/>
      </w:pPr>
      <w:rPr>
        <w:rFonts w:ascii="Courier New" w:hAnsi="Courier New" w:cs="Courier New" w:hint="default"/>
      </w:rPr>
    </w:lvl>
    <w:lvl w:ilvl="5" w:tplc="8E62C91C" w:tentative="1">
      <w:start w:val="1"/>
      <w:numFmt w:val="bullet"/>
      <w:lvlText w:val=""/>
      <w:lvlJc w:val="left"/>
      <w:pPr>
        <w:ind w:left="4320" w:hanging="360"/>
      </w:pPr>
      <w:rPr>
        <w:rFonts w:ascii="Wingdings" w:hAnsi="Wingdings" w:hint="default"/>
      </w:rPr>
    </w:lvl>
    <w:lvl w:ilvl="6" w:tplc="C3669DC6" w:tentative="1">
      <w:start w:val="1"/>
      <w:numFmt w:val="bullet"/>
      <w:lvlText w:val=""/>
      <w:lvlJc w:val="left"/>
      <w:pPr>
        <w:ind w:left="5040" w:hanging="360"/>
      </w:pPr>
      <w:rPr>
        <w:rFonts w:ascii="Symbol" w:hAnsi="Symbol" w:hint="default"/>
      </w:rPr>
    </w:lvl>
    <w:lvl w:ilvl="7" w:tplc="3814E7EE" w:tentative="1">
      <w:start w:val="1"/>
      <w:numFmt w:val="bullet"/>
      <w:lvlText w:val="o"/>
      <w:lvlJc w:val="left"/>
      <w:pPr>
        <w:ind w:left="5760" w:hanging="360"/>
      </w:pPr>
      <w:rPr>
        <w:rFonts w:ascii="Courier New" w:hAnsi="Courier New" w:cs="Courier New" w:hint="default"/>
      </w:rPr>
    </w:lvl>
    <w:lvl w:ilvl="8" w:tplc="1346C1CC" w:tentative="1">
      <w:start w:val="1"/>
      <w:numFmt w:val="bullet"/>
      <w:lvlText w:val=""/>
      <w:lvlJc w:val="left"/>
      <w:pPr>
        <w:ind w:left="6480" w:hanging="360"/>
      </w:pPr>
      <w:rPr>
        <w:rFonts w:ascii="Wingdings" w:hAnsi="Wingdings" w:hint="default"/>
      </w:rPr>
    </w:lvl>
  </w:abstractNum>
  <w:abstractNum w:abstractNumId="31" w15:restartNumberingAfterBreak="0">
    <w:nsid w:val="6E866800"/>
    <w:multiLevelType w:val="hybridMultilevel"/>
    <w:tmpl w:val="DC4266B8"/>
    <w:lvl w:ilvl="0" w:tplc="6C60FB6A">
      <w:numFmt w:val="bullet"/>
      <w:lvlText w:val="-"/>
      <w:lvlJc w:val="left"/>
      <w:pPr>
        <w:ind w:left="720" w:hanging="360"/>
      </w:pPr>
      <w:rPr>
        <w:rFonts w:ascii="Times New Roman" w:eastAsia="Times New Roman" w:hAnsi="Times New Roman" w:cs="Times New Roman" w:hint="default"/>
      </w:rPr>
    </w:lvl>
    <w:lvl w:ilvl="1" w:tplc="B7FE42DA" w:tentative="1">
      <w:start w:val="1"/>
      <w:numFmt w:val="bullet"/>
      <w:lvlText w:val="o"/>
      <w:lvlJc w:val="left"/>
      <w:pPr>
        <w:ind w:left="1440" w:hanging="360"/>
      </w:pPr>
      <w:rPr>
        <w:rFonts w:ascii="Courier New" w:hAnsi="Courier New" w:cs="Courier New" w:hint="default"/>
      </w:rPr>
    </w:lvl>
    <w:lvl w:ilvl="2" w:tplc="F8B0FD26" w:tentative="1">
      <w:start w:val="1"/>
      <w:numFmt w:val="bullet"/>
      <w:lvlText w:val=""/>
      <w:lvlJc w:val="left"/>
      <w:pPr>
        <w:ind w:left="2160" w:hanging="360"/>
      </w:pPr>
      <w:rPr>
        <w:rFonts w:ascii="Wingdings" w:hAnsi="Wingdings" w:cs="Wingdings" w:hint="default"/>
      </w:rPr>
    </w:lvl>
    <w:lvl w:ilvl="3" w:tplc="31DC34D4" w:tentative="1">
      <w:start w:val="1"/>
      <w:numFmt w:val="bullet"/>
      <w:lvlText w:val=""/>
      <w:lvlJc w:val="left"/>
      <w:pPr>
        <w:ind w:left="2880" w:hanging="360"/>
      </w:pPr>
      <w:rPr>
        <w:rFonts w:ascii="Symbol" w:hAnsi="Symbol" w:cs="Symbol" w:hint="default"/>
      </w:rPr>
    </w:lvl>
    <w:lvl w:ilvl="4" w:tplc="28D4D4D6" w:tentative="1">
      <w:start w:val="1"/>
      <w:numFmt w:val="bullet"/>
      <w:lvlText w:val="o"/>
      <w:lvlJc w:val="left"/>
      <w:pPr>
        <w:ind w:left="3600" w:hanging="360"/>
      </w:pPr>
      <w:rPr>
        <w:rFonts w:ascii="Courier New" w:hAnsi="Courier New" w:cs="Courier New" w:hint="default"/>
      </w:rPr>
    </w:lvl>
    <w:lvl w:ilvl="5" w:tplc="B5FE45D0" w:tentative="1">
      <w:start w:val="1"/>
      <w:numFmt w:val="bullet"/>
      <w:lvlText w:val=""/>
      <w:lvlJc w:val="left"/>
      <w:pPr>
        <w:ind w:left="4320" w:hanging="360"/>
      </w:pPr>
      <w:rPr>
        <w:rFonts w:ascii="Wingdings" w:hAnsi="Wingdings" w:cs="Wingdings" w:hint="default"/>
      </w:rPr>
    </w:lvl>
    <w:lvl w:ilvl="6" w:tplc="D164986E" w:tentative="1">
      <w:start w:val="1"/>
      <w:numFmt w:val="bullet"/>
      <w:lvlText w:val=""/>
      <w:lvlJc w:val="left"/>
      <w:pPr>
        <w:ind w:left="5040" w:hanging="360"/>
      </w:pPr>
      <w:rPr>
        <w:rFonts w:ascii="Symbol" w:hAnsi="Symbol" w:cs="Symbol" w:hint="default"/>
      </w:rPr>
    </w:lvl>
    <w:lvl w:ilvl="7" w:tplc="3C5AA8B2" w:tentative="1">
      <w:start w:val="1"/>
      <w:numFmt w:val="bullet"/>
      <w:lvlText w:val="o"/>
      <w:lvlJc w:val="left"/>
      <w:pPr>
        <w:ind w:left="5760" w:hanging="360"/>
      </w:pPr>
      <w:rPr>
        <w:rFonts w:ascii="Courier New" w:hAnsi="Courier New" w:cs="Courier New" w:hint="default"/>
      </w:rPr>
    </w:lvl>
    <w:lvl w:ilvl="8" w:tplc="55249F3C" w:tentative="1">
      <w:start w:val="1"/>
      <w:numFmt w:val="bullet"/>
      <w:lvlText w:val=""/>
      <w:lvlJc w:val="left"/>
      <w:pPr>
        <w:ind w:left="6480" w:hanging="360"/>
      </w:pPr>
      <w:rPr>
        <w:rFonts w:ascii="Wingdings" w:hAnsi="Wingdings" w:cs="Wingdings" w:hint="default"/>
      </w:rPr>
    </w:lvl>
  </w:abstractNum>
  <w:abstractNum w:abstractNumId="32" w15:restartNumberingAfterBreak="0">
    <w:nsid w:val="71E24D10"/>
    <w:multiLevelType w:val="hybridMultilevel"/>
    <w:tmpl w:val="4ABC6412"/>
    <w:lvl w:ilvl="0" w:tplc="91B8E0C8">
      <w:numFmt w:val="bullet"/>
      <w:lvlText w:val=""/>
      <w:lvlJc w:val="left"/>
      <w:pPr>
        <w:ind w:left="835" w:hanging="361"/>
      </w:pPr>
      <w:rPr>
        <w:rFonts w:ascii="Symbol" w:eastAsia="Symbol" w:hAnsi="Symbol" w:cs="Symbol" w:hint="default"/>
        <w:w w:val="100"/>
        <w:sz w:val="18"/>
        <w:szCs w:val="18"/>
      </w:rPr>
    </w:lvl>
    <w:lvl w:ilvl="1" w:tplc="D6FE513C">
      <w:numFmt w:val="bullet"/>
      <w:lvlText w:val="•"/>
      <w:lvlJc w:val="left"/>
      <w:pPr>
        <w:ind w:left="1222" w:hanging="361"/>
      </w:pPr>
      <w:rPr>
        <w:rFonts w:hint="default"/>
      </w:rPr>
    </w:lvl>
    <w:lvl w:ilvl="2" w:tplc="EA4AA4EC">
      <w:numFmt w:val="bullet"/>
      <w:lvlText w:val="•"/>
      <w:lvlJc w:val="left"/>
      <w:pPr>
        <w:ind w:left="1605" w:hanging="361"/>
      </w:pPr>
      <w:rPr>
        <w:rFonts w:hint="default"/>
      </w:rPr>
    </w:lvl>
    <w:lvl w:ilvl="3" w:tplc="5BF8C4E4">
      <w:numFmt w:val="bullet"/>
      <w:lvlText w:val="•"/>
      <w:lvlJc w:val="left"/>
      <w:pPr>
        <w:ind w:left="1987" w:hanging="361"/>
      </w:pPr>
      <w:rPr>
        <w:rFonts w:hint="default"/>
      </w:rPr>
    </w:lvl>
    <w:lvl w:ilvl="4" w:tplc="111488E8">
      <w:numFmt w:val="bullet"/>
      <w:lvlText w:val="•"/>
      <w:lvlJc w:val="left"/>
      <w:pPr>
        <w:ind w:left="2370" w:hanging="361"/>
      </w:pPr>
      <w:rPr>
        <w:rFonts w:hint="default"/>
      </w:rPr>
    </w:lvl>
    <w:lvl w:ilvl="5" w:tplc="BEC4EDBE">
      <w:numFmt w:val="bullet"/>
      <w:lvlText w:val="•"/>
      <w:lvlJc w:val="left"/>
      <w:pPr>
        <w:ind w:left="2752" w:hanging="361"/>
      </w:pPr>
      <w:rPr>
        <w:rFonts w:hint="default"/>
      </w:rPr>
    </w:lvl>
    <w:lvl w:ilvl="6" w:tplc="5718CF02">
      <w:numFmt w:val="bullet"/>
      <w:lvlText w:val="•"/>
      <w:lvlJc w:val="left"/>
      <w:pPr>
        <w:ind w:left="3135" w:hanging="361"/>
      </w:pPr>
      <w:rPr>
        <w:rFonts w:hint="default"/>
      </w:rPr>
    </w:lvl>
    <w:lvl w:ilvl="7" w:tplc="1F2063A0">
      <w:numFmt w:val="bullet"/>
      <w:lvlText w:val="•"/>
      <w:lvlJc w:val="left"/>
      <w:pPr>
        <w:ind w:left="3517" w:hanging="361"/>
      </w:pPr>
      <w:rPr>
        <w:rFonts w:hint="default"/>
      </w:rPr>
    </w:lvl>
    <w:lvl w:ilvl="8" w:tplc="66BCB358">
      <w:numFmt w:val="bullet"/>
      <w:lvlText w:val="•"/>
      <w:lvlJc w:val="left"/>
      <w:pPr>
        <w:ind w:left="3900" w:hanging="361"/>
      </w:pPr>
      <w:rPr>
        <w:rFonts w:hint="default"/>
      </w:rPr>
    </w:lvl>
  </w:abstractNum>
  <w:abstractNum w:abstractNumId="33" w15:restartNumberingAfterBreak="0">
    <w:nsid w:val="727955DF"/>
    <w:multiLevelType w:val="hybridMultilevel"/>
    <w:tmpl w:val="4776E8F8"/>
    <w:lvl w:ilvl="0" w:tplc="D23A9DE4">
      <w:start w:val="1"/>
      <w:numFmt w:val="lowerLetter"/>
      <w:lvlText w:val="%1."/>
      <w:lvlJc w:val="left"/>
      <w:pPr>
        <w:ind w:left="1440" w:hanging="360"/>
      </w:pPr>
    </w:lvl>
    <w:lvl w:ilvl="1" w:tplc="AA6C8440" w:tentative="1">
      <w:start w:val="1"/>
      <w:numFmt w:val="lowerLetter"/>
      <w:lvlText w:val="%2."/>
      <w:lvlJc w:val="left"/>
      <w:pPr>
        <w:ind w:left="1440" w:hanging="360"/>
      </w:pPr>
    </w:lvl>
    <w:lvl w:ilvl="2" w:tplc="1264D1B6" w:tentative="1">
      <w:start w:val="1"/>
      <w:numFmt w:val="lowerRoman"/>
      <w:lvlText w:val="%3."/>
      <w:lvlJc w:val="right"/>
      <w:pPr>
        <w:ind w:left="2160" w:hanging="180"/>
      </w:pPr>
    </w:lvl>
    <w:lvl w:ilvl="3" w:tplc="F034A160" w:tentative="1">
      <w:start w:val="1"/>
      <w:numFmt w:val="decimal"/>
      <w:lvlText w:val="%4."/>
      <w:lvlJc w:val="left"/>
      <w:pPr>
        <w:ind w:left="2880" w:hanging="360"/>
      </w:pPr>
    </w:lvl>
    <w:lvl w:ilvl="4" w:tplc="862E0D96" w:tentative="1">
      <w:start w:val="1"/>
      <w:numFmt w:val="lowerLetter"/>
      <w:lvlText w:val="%5."/>
      <w:lvlJc w:val="left"/>
      <w:pPr>
        <w:ind w:left="3600" w:hanging="360"/>
      </w:pPr>
    </w:lvl>
    <w:lvl w:ilvl="5" w:tplc="6F0A4FF8" w:tentative="1">
      <w:start w:val="1"/>
      <w:numFmt w:val="lowerRoman"/>
      <w:lvlText w:val="%6."/>
      <w:lvlJc w:val="right"/>
      <w:pPr>
        <w:ind w:left="4320" w:hanging="180"/>
      </w:pPr>
    </w:lvl>
    <w:lvl w:ilvl="6" w:tplc="38EAB35C" w:tentative="1">
      <w:start w:val="1"/>
      <w:numFmt w:val="decimal"/>
      <w:lvlText w:val="%7."/>
      <w:lvlJc w:val="left"/>
      <w:pPr>
        <w:ind w:left="5040" w:hanging="360"/>
      </w:pPr>
    </w:lvl>
    <w:lvl w:ilvl="7" w:tplc="6A66248A" w:tentative="1">
      <w:start w:val="1"/>
      <w:numFmt w:val="lowerLetter"/>
      <w:lvlText w:val="%8."/>
      <w:lvlJc w:val="left"/>
      <w:pPr>
        <w:ind w:left="5760" w:hanging="360"/>
      </w:pPr>
    </w:lvl>
    <w:lvl w:ilvl="8" w:tplc="2D603F6E" w:tentative="1">
      <w:start w:val="1"/>
      <w:numFmt w:val="lowerRoman"/>
      <w:lvlText w:val="%9."/>
      <w:lvlJc w:val="right"/>
      <w:pPr>
        <w:ind w:left="6480" w:hanging="180"/>
      </w:pPr>
    </w:lvl>
  </w:abstractNum>
  <w:abstractNum w:abstractNumId="34" w15:restartNumberingAfterBreak="0">
    <w:nsid w:val="73CD4137"/>
    <w:multiLevelType w:val="hybridMultilevel"/>
    <w:tmpl w:val="22C43444"/>
    <w:lvl w:ilvl="0" w:tplc="05EC7260">
      <w:start w:val="1"/>
      <w:numFmt w:val="bullet"/>
      <w:lvlText w:val=""/>
      <w:lvlJc w:val="left"/>
      <w:pPr>
        <w:ind w:left="720" w:hanging="360"/>
      </w:pPr>
      <w:rPr>
        <w:rFonts w:ascii="Symbol" w:hAnsi="Symbol" w:hint="default"/>
      </w:rPr>
    </w:lvl>
    <w:lvl w:ilvl="1" w:tplc="53E4AFA4" w:tentative="1">
      <w:start w:val="1"/>
      <w:numFmt w:val="bullet"/>
      <w:lvlText w:val="o"/>
      <w:lvlJc w:val="left"/>
      <w:pPr>
        <w:ind w:left="1440" w:hanging="360"/>
      </w:pPr>
      <w:rPr>
        <w:rFonts w:ascii="Courier New" w:hAnsi="Courier New" w:cs="Courier New" w:hint="default"/>
      </w:rPr>
    </w:lvl>
    <w:lvl w:ilvl="2" w:tplc="DD3C0222" w:tentative="1">
      <w:start w:val="1"/>
      <w:numFmt w:val="bullet"/>
      <w:lvlText w:val=""/>
      <w:lvlJc w:val="left"/>
      <w:pPr>
        <w:ind w:left="2160" w:hanging="360"/>
      </w:pPr>
      <w:rPr>
        <w:rFonts w:ascii="Wingdings" w:hAnsi="Wingdings" w:hint="default"/>
      </w:rPr>
    </w:lvl>
    <w:lvl w:ilvl="3" w:tplc="1AB05ACC" w:tentative="1">
      <w:start w:val="1"/>
      <w:numFmt w:val="bullet"/>
      <w:lvlText w:val=""/>
      <w:lvlJc w:val="left"/>
      <w:pPr>
        <w:ind w:left="2880" w:hanging="360"/>
      </w:pPr>
      <w:rPr>
        <w:rFonts w:ascii="Symbol" w:hAnsi="Symbol" w:hint="default"/>
      </w:rPr>
    </w:lvl>
    <w:lvl w:ilvl="4" w:tplc="B5E6B932" w:tentative="1">
      <w:start w:val="1"/>
      <w:numFmt w:val="bullet"/>
      <w:lvlText w:val="o"/>
      <w:lvlJc w:val="left"/>
      <w:pPr>
        <w:ind w:left="3600" w:hanging="360"/>
      </w:pPr>
      <w:rPr>
        <w:rFonts w:ascii="Courier New" w:hAnsi="Courier New" w:cs="Courier New" w:hint="default"/>
      </w:rPr>
    </w:lvl>
    <w:lvl w:ilvl="5" w:tplc="2DE03660" w:tentative="1">
      <w:start w:val="1"/>
      <w:numFmt w:val="bullet"/>
      <w:lvlText w:val=""/>
      <w:lvlJc w:val="left"/>
      <w:pPr>
        <w:ind w:left="4320" w:hanging="360"/>
      </w:pPr>
      <w:rPr>
        <w:rFonts w:ascii="Wingdings" w:hAnsi="Wingdings" w:hint="default"/>
      </w:rPr>
    </w:lvl>
    <w:lvl w:ilvl="6" w:tplc="74AEA79A" w:tentative="1">
      <w:start w:val="1"/>
      <w:numFmt w:val="bullet"/>
      <w:lvlText w:val=""/>
      <w:lvlJc w:val="left"/>
      <w:pPr>
        <w:ind w:left="5040" w:hanging="360"/>
      </w:pPr>
      <w:rPr>
        <w:rFonts w:ascii="Symbol" w:hAnsi="Symbol" w:hint="default"/>
      </w:rPr>
    </w:lvl>
    <w:lvl w:ilvl="7" w:tplc="695085E8" w:tentative="1">
      <w:start w:val="1"/>
      <w:numFmt w:val="bullet"/>
      <w:lvlText w:val="o"/>
      <w:lvlJc w:val="left"/>
      <w:pPr>
        <w:ind w:left="5760" w:hanging="360"/>
      </w:pPr>
      <w:rPr>
        <w:rFonts w:ascii="Courier New" w:hAnsi="Courier New" w:cs="Courier New" w:hint="default"/>
      </w:rPr>
    </w:lvl>
    <w:lvl w:ilvl="8" w:tplc="A72CB9F0" w:tentative="1">
      <w:start w:val="1"/>
      <w:numFmt w:val="bullet"/>
      <w:lvlText w:val=""/>
      <w:lvlJc w:val="left"/>
      <w:pPr>
        <w:ind w:left="6480" w:hanging="360"/>
      </w:pPr>
      <w:rPr>
        <w:rFonts w:ascii="Wingdings" w:hAnsi="Wingdings" w:hint="default"/>
      </w:rPr>
    </w:lvl>
  </w:abstractNum>
  <w:abstractNum w:abstractNumId="35" w15:restartNumberingAfterBreak="0">
    <w:nsid w:val="740A635C"/>
    <w:multiLevelType w:val="hybridMultilevel"/>
    <w:tmpl w:val="0C6A8D30"/>
    <w:lvl w:ilvl="0" w:tplc="98102230">
      <w:numFmt w:val="bullet"/>
      <w:lvlText w:val=""/>
      <w:lvlJc w:val="left"/>
      <w:pPr>
        <w:ind w:left="835" w:hanging="361"/>
      </w:pPr>
      <w:rPr>
        <w:rFonts w:ascii="Symbol" w:eastAsia="Symbol" w:hAnsi="Symbol" w:cs="Symbol" w:hint="default"/>
        <w:w w:val="100"/>
        <w:sz w:val="18"/>
        <w:szCs w:val="18"/>
      </w:rPr>
    </w:lvl>
    <w:lvl w:ilvl="1" w:tplc="D554ADC4">
      <w:numFmt w:val="bullet"/>
      <w:lvlText w:val="•"/>
      <w:lvlJc w:val="left"/>
      <w:pPr>
        <w:ind w:left="1222" w:hanging="361"/>
      </w:pPr>
      <w:rPr>
        <w:rFonts w:hint="default"/>
      </w:rPr>
    </w:lvl>
    <w:lvl w:ilvl="2" w:tplc="ED90433A">
      <w:numFmt w:val="bullet"/>
      <w:lvlText w:val="•"/>
      <w:lvlJc w:val="left"/>
      <w:pPr>
        <w:ind w:left="1605" w:hanging="361"/>
      </w:pPr>
      <w:rPr>
        <w:rFonts w:hint="default"/>
      </w:rPr>
    </w:lvl>
    <w:lvl w:ilvl="3" w:tplc="589E349E">
      <w:numFmt w:val="bullet"/>
      <w:lvlText w:val="•"/>
      <w:lvlJc w:val="left"/>
      <w:pPr>
        <w:ind w:left="1987" w:hanging="361"/>
      </w:pPr>
      <w:rPr>
        <w:rFonts w:hint="default"/>
      </w:rPr>
    </w:lvl>
    <w:lvl w:ilvl="4" w:tplc="E36AFD68">
      <w:numFmt w:val="bullet"/>
      <w:lvlText w:val="•"/>
      <w:lvlJc w:val="left"/>
      <w:pPr>
        <w:ind w:left="2370" w:hanging="361"/>
      </w:pPr>
      <w:rPr>
        <w:rFonts w:hint="default"/>
      </w:rPr>
    </w:lvl>
    <w:lvl w:ilvl="5" w:tplc="0E00536E">
      <w:numFmt w:val="bullet"/>
      <w:lvlText w:val="•"/>
      <w:lvlJc w:val="left"/>
      <w:pPr>
        <w:ind w:left="2752" w:hanging="361"/>
      </w:pPr>
      <w:rPr>
        <w:rFonts w:hint="default"/>
      </w:rPr>
    </w:lvl>
    <w:lvl w:ilvl="6" w:tplc="00EE18C0">
      <w:numFmt w:val="bullet"/>
      <w:lvlText w:val="•"/>
      <w:lvlJc w:val="left"/>
      <w:pPr>
        <w:ind w:left="3135" w:hanging="361"/>
      </w:pPr>
      <w:rPr>
        <w:rFonts w:hint="default"/>
      </w:rPr>
    </w:lvl>
    <w:lvl w:ilvl="7" w:tplc="C4B4E02E">
      <w:numFmt w:val="bullet"/>
      <w:lvlText w:val="•"/>
      <w:lvlJc w:val="left"/>
      <w:pPr>
        <w:ind w:left="3517" w:hanging="361"/>
      </w:pPr>
      <w:rPr>
        <w:rFonts w:hint="default"/>
      </w:rPr>
    </w:lvl>
    <w:lvl w:ilvl="8" w:tplc="DB282CF4">
      <w:numFmt w:val="bullet"/>
      <w:lvlText w:val="•"/>
      <w:lvlJc w:val="left"/>
      <w:pPr>
        <w:ind w:left="3900" w:hanging="361"/>
      </w:pPr>
      <w:rPr>
        <w:rFonts w:hint="default"/>
      </w:rPr>
    </w:lvl>
  </w:abstractNum>
  <w:abstractNum w:abstractNumId="36" w15:restartNumberingAfterBreak="0">
    <w:nsid w:val="756329EE"/>
    <w:multiLevelType w:val="hybridMultilevel"/>
    <w:tmpl w:val="893C48CE"/>
    <w:lvl w:ilvl="0" w:tplc="3028C49E">
      <w:start w:val="1"/>
      <w:numFmt w:val="bullet"/>
      <w:lvlText w:val=""/>
      <w:lvlJc w:val="left"/>
      <w:pPr>
        <w:ind w:left="720" w:hanging="360"/>
      </w:pPr>
      <w:rPr>
        <w:rFonts w:ascii="Symbol" w:hAnsi="Symbol" w:hint="default"/>
      </w:rPr>
    </w:lvl>
    <w:lvl w:ilvl="1" w:tplc="698C9C54">
      <w:start w:val="1"/>
      <w:numFmt w:val="bullet"/>
      <w:lvlText w:val="o"/>
      <w:lvlJc w:val="left"/>
      <w:pPr>
        <w:ind w:left="1440" w:hanging="360"/>
      </w:pPr>
      <w:rPr>
        <w:rFonts w:ascii="Courier New" w:hAnsi="Courier New" w:cs="Courier New" w:hint="default"/>
      </w:rPr>
    </w:lvl>
    <w:lvl w:ilvl="2" w:tplc="CF12A222" w:tentative="1">
      <w:start w:val="1"/>
      <w:numFmt w:val="bullet"/>
      <w:lvlText w:val=""/>
      <w:lvlJc w:val="left"/>
      <w:pPr>
        <w:ind w:left="2160" w:hanging="360"/>
      </w:pPr>
      <w:rPr>
        <w:rFonts w:ascii="Wingdings" w:hAnsi="Wingdings" w:hint="default"/>
      </w:rPr>
    </w:lvl>
    <w:lvl w:ilvl="3" w:tplc="731C6C92" w:tentative="1">
      <w:start w:val="1"/>
      <w:numFmt w:val="bullet"/>
      <w:lvlText w:val=""/>
      <w:lvlJc w:val="left"/>
      <w:pPr>
        <w:ind w:left="2880" w:hanging="360"/>
      </w:pPr>
      <w:rPr>
        <w:rFonts w:ascii="Symbol" w:hAnsi="Symbol" w:hint="default"/>
      </w:rPr>
    </w:lvl>
    <w:lvl w:ilvl="4" w:tplc="82E88168" w:tentative="1">
      <w:start w:val="1"/>
      <w:numFmt w:val="bullet"/>
      <w:lvlText w:val="o"/>
      <w:lvlJc w:val="left"/>
      <w:pPr>
        <w:ind w:left="3600" w:hanging="360"/>
      </w:pPr>
      <w:rPr>
        <w:rFonts w:ascii="Courier New" w:hAnsi="Courier New" w:cs="Courier New" w:hint="default"/>
      </w:rPr>
    </w:lvl>
    <w:lvl w:ilvl="5" w:tplc="ED84A570" w:tentative="1">
      <w:start w:val="1"/>
      <w:numFmt w:val="bullet"/>
      <w:lvlText w:val=""/>
      <w:lvlJc w:val="left"/>
      <w:pPr>
        <w:ind w:left="4320" w:hanging="360"/>
      </w:pPr>
      <w:rPr>
        <w:rFonts w:ascii="Wingdings" w:hAnsi="Wingdings" w:hint="default"/>
      </w:rPr>
    </w:lvl>
    <w:lvl w:ilvl="6" w:tplc="3FA62D5E" w:tentative="1">
      <w:start w:val="1"/>
      <w:numFmt w:val="bullet"/>
      <w:lvlText w:val=""/>
      <w:lvlJc w:val="left"/>
      <w:pPr>
        <w:ind w:left="5040" w:hanging="360"/>
      </w:pPr>
      <w:rPr>
        <w:rFonts w:ascii="Symbol" w:hAnsi="Symbol" w:hint="default"/>
      </w:rPr>
    </w:lvl>
    <w:lvl w:ilvl="7" w:tplc="BDC82B76" w:tentative="1">
      <w:start w:val="1"/>
      <w:numFmt w:val="bullet"/>
      <w:lvlText w:val="o"/>
      <w:lvlJc w:val="left"/>
      <w:pPr>
        <w:ind w:left="5760" w:hanging="360"/>
      </w:pPr>
      <w:rPr>
        <w:rFonts w:ascii="Courier New" w:hAnsi="Courier New" w:cs="Courier New" w:hint="default"/>
      </w:rPr>
    </w:lvl>
    <w:lvl w:ilvl="8" w:tplc="C58637C8" w:tentative="1">
      <w:start w:val="1"/>
      <w:numFmt w:val="bullet"/>
      <w:lvlText w:val=""/>
      <w:lvlJc w:val="left"/>
      <w:pPr>
        <w:ind w:left="6480" w:hanging="360"/>
      </w:pPr>
      <w:rPr>
        <w:rFonts w:ascii="Wingdings" w:hAnsi="Wingdings" w:hint="default"/>
      </w:rPr>
    </w:lvl>
  </w:abstractNum>
  <w:abstractNum w:abstractNumId="37" w15:restartNumberingAfterBreak="0">
    <w:nsid w:val="756B49C0"/>
    <w:multiLevelType w:val="hybridMultilevel"/>
    <w:tmpl w:val="9E223078"/>
    <w:lvl w:ilvl="0" w:tplc="B5561AFA">
      <w:start w:val="1"/>
      <w:numFmt w:val="lowerLetter"/>
      <w:lvlText w:val="(%1)"/>
      <w:lvlJc w:val="left"/>
      <w:pPr>
        <w:ind w:left="720" w:hanging="360"/>
      </w:pPr>
      <w:rPr>
        <w:rFonts w:hint="default"/>
      </w:rPr>
    </w:lvl>
    <w:lvl w:ilvl="1" w:tplc="501E0F90" w:tentative="1">
      <w:start w:val="1"/>
      <w:numFmt w:val="lowerLetter"/>
      <w:lvlText w:val="%2."/>
      <w:lvlJc w:val="left"/>
      <w:pPr>
        <w:ind w:left="1440" w:hanging="360"/>
      </w:pPr>
    </w:lvl>
    <w:lvl w:ilvl="2" w:tplc="448C2C28" w:tentative="1">
      <w:start w:val="1"/>
      <w:numFmt w:val="lowerRoman"/>
      <w:lvlText w:val="%3."/>
      <w:lvlJc w:val="right"/>
      <w:pPr>
        <w:ind w:left="2160" w:hanging="180"/>
      </w:pPr>
    </w:lvl>
    <w:lvl w:ilvl="3" w:tplc="649C16C0" w:tentative="1">
      <w:start w:val="1"/>
      <w:numFmt w:val="decimal"/>
      <w:lvlText w:val="%4."/>
      <w:lvlJc w:val="left"/>
      <w:pPr>
        <w:ind w:left="2880" w:hanging="360"/>
      </w:pPr>
    </w:lvl>
    <w:lvl w:ilvl="4" w:tplc="394689C8" w:tentative="1">
      <w:start w:val="1"/>
      <w:numFmt w:val="lowerLetter"/>
      <w:lvlText w:val="%5."/>
      <w:lvlJc w:val="left"/>
      <w:pPr>
        <w:ind w:left="3600" w:hanging="360"/>
      </w:pPr>
    </w:lvl>
    <w:lvl w:ilvl="5" w:tplc="527CF6A2" w:tentative="1">
      <w:start w:val="1"/>
      <w:numFmt w:val="lowerRoman"/>
      <w:lvlText w:val="%6."/>
      <w:lvlJc w:val="right"/>
      <w:pPr>
        <w:ind w:left="4320" w:hanging="180"/>
      </w:pPr>
    </w:lvl>
    <w:lvl w:ilvl="6" w:tplc="4C3CF3F2" w:tentative="1">
      <w:start w:val="1"/>
      <w:numFmt w:val="decimal"/>
      <w:lvlText w:val="%7."/>
      <w:lvlJc w:val="left"/>
      <w:pPr>
        <w:ind w:left="5040" w:hanging="360"/>
      </w:pPr>
    </w:lvl>
    <w:lvl w:ilvl="7" w:tplc="2A206A8A" w:tentative="1">
      <w:start w:val="1"/>
      <w:numFmt w:val="lowerLetter"/>
      <w:lvlText w:val="%8."/>
      <w:lvlJc w:val="left"/>
      <w:pPr>
        <w:ind w:left="5760" w:hanging="360"/>
      </w:pPr>
    </w:lvl>
    <w:lvl w:ilvl="8" w:tplc="A5786B3C" w:tentative="1">
      <w:start w:val="1"/>
      <w:numFmt w:val="lowerRoman"/>
      <w:lvlText w:val="%9."/>
      <w:lvlJc w:val="right"/>
      <w:pPr>
        <w:ind w:left="6480" w:hanging="180"/>
      </w:pPr>
    </w:lvl>
  </w:abstractNum>
  <w:abstractNum w:abstractNumId="38" w15:restartNumberingAfterBreak="0">
    <w:nsid w:val="7B900AFA"/>
    <w:multiLevelType w:val="hybridMultilevel"/>
    <w:tmpl w:val="B07AAF36"/>
    <w:lvl w:ilvl="0" w:tplc="A38CC266">
      <w:start w:val="1"/>
      <w:numFmt w:val="decimal"/>
      <w:pStyle w:val="NotesList"/>
      <w:lvlText w:val="(%1)"/>
      <w:lvlJc w:val="left"/>
      <w:pPr>
        <w:ind w:left="720" w:hanging="360"/>
      </w:pPr>
      <w:rPr>
        <w:rFonts w:hint="default"/>
      </w:rPr>
    </w:lvl>
    <w:lvl w:ilvl="1" w:tplc="48381F76">
      <w:start w:val="1"/>
      <w:numFmt w:val="lowerLetter"/>
      <w:lvlText w:val="%2."/>
      <w:lvlJc w:val="left"/>
      <w:pPr>
        <w:ind w:left="1440" w:hanging="360"/>
      </w:pPr>
    </w:lvl>
    <w:lvl w:ilvl="2" w:tplc="53E87B74" w:tentative="1">
      <w:start w:val="1"/>
      <w:numFmt w:val="lowerRoman"/>
      <w:lvlText w:val="%3."/>
      <w:lvlJc w:val="right"/>
      <w:pPr>
        <w:ind w:left="2160" w:hanging="180"/>
      </w:pPr>
    </w:lvl>
    <w:lvl w:ilvl="3" w:tplc="B78CFF4E" w:tentative="1">
      <w:start w:val="1"/>
      <w:numFmt w:val="decimal"/>
      <w:lvlText w:val="%4."/>
      <w:lvlJc w:val="left"/>
      <w:pPr>
        <w:ind w:left="2880" w:hanging="360"/>
      </w:pPr>
    </w:lvl>
    <w:lvl w:ilvl="4" w:tplc="E3FA8FF0" w:tentative="1">
      <w:start w:val="1"/>
      <w:numFmt w:val="lowerLetter"/>
      <w:lvlText w:val="%5."/>
      <w:lvlJc w:val="left"/>
      <w:pPr>
        <w:ind w:left="3600" w:hanging="360"/>
      </w:pPr>
    </w:lvl>
    <w:lvl w:ilvl="5" w:tplc="6CDEF286" w:tentative="1">
      <w:start w:val="1"/>
      <w:numFmt w:val="lowerRoman"/>
      <w:lvlText w:val="%6."/>
      <w:lvlJc w:val="right"/>
      <w:pPr>
        <w:ind w:left="4320" w:hanging="180"/>
      </w:pPr>
    </w:lvl>
    <w:lvl w:ilvl="6" w:tplc="86420696" w:tentative="1">
      <w:start w:val="1"/>
      <w:numFmt w:val="decimal"/>
      <w:lvlText w:val="%7."/>
      <w:lvlJc w:val="left"/>
      <w:pPr>
        <w:ind w:left="5040" w:hanging="360"/>
      </w:pPr>
    </w:lvl>
    <w:lvl w:ilvl="7" w:tplc="08EED996" w:tentative="1">
      <w:start w:val="1"/>
      <w:numFmt w:val="lowerLetter"/>
      <w:lvlText w:val="%8."/>
      <w:lvlJc w:val="left"/>
      <w:pPr>
        <w:ind w:left="5760" w:hanging="360"/>
      </w:pPr>
    </w:lvl>
    <w:lvl w:ilvl="8" w:tplc="CD6AE94E" w:tentative="1">
      <w:start w:val="1"/>
      <w:numFmt w:val="lowerRoman"/>
      <w:lvlText w:val="%9."/>
      <w:lvlJc w:val="right"/>
      <w:pPr>
        <w:ind w:left="6480" w:hanging="180"/>
      </w:pPr>
    </w:lvl>
  </w:abstractNum>
  <w:abstractNum w:abstractNumId="39" w15:restartNumberingAfterBreak="0">
    <w:nsid w:val="7DCE1E0E"/>
    <w:multiLevelType w:val="hybridMultilevel"/>
    <w:tmpl w:val="87D0A2FC"/>
    <w:lvl w:ilvl="0" w:tplc="822C5C16">
      <w:numFmt w:val="bullet"/>
      <w:lvlText w:val=""/>
      <w:lvlJc w:val="left"/>
      <w:pPr>
        <w:ind w:left="835" w:hanging="361"/>
      </w:pPr>
      <w:rPr>
        <w:rFonts w:ascii="Symbol" w:eastAsia="Symbol" w:hAnsi="Symbol" w:cs="Symbol" w:hint="default"/>
        <w:w w:val="100"/>
        <w:sz w:val="18"/>
        <w:szCs w:val="18"/>
      </w:rPr>
    </w:lvl>
    <w:lvl w:ilvl="1" w:tplc="30FC8312">
      <w:numFmt w:val="bullet"/>
      <w:lvlText w:val="•"/>
      <w:lvlJc w:val="left"/>
      <w:pPr>
        <w:ind w:left="1222" w:hanging="361"/>
      </w:pPr>
      <w:rPr>
        <w:rFonts w:hint="default"/>
      </w:rPr>
    </w:lvl>
    <w:lvl w:ilvl="2" w:tplc="E4D20E3E">
      <w:numFmt w:val="bullet"/>
      <w:lvlText w:val="•"/>
      <w:lvlJc w:val="left"/>
      <w:pPr>
        <w:ind w:left="1605" w:hanging="361"/>
      </w:pPr>
      <w:rPr>
        <w:rFonts w:hint="default"/>
      </w:rPr>
    </w:lvl>
    <w:lvl w:ilvl="3" w:tplc="9E688038">
      <w:numFmt w:val="bullet"/>
      <w:lvlText w:val="•"/>
      <w:lvlJc w:val="left"/>
      <w:pPr>
        <w:ind w:left="1987" w:hanging="361"/>
      </w:pPr>
      <w:rPr>
        <w:rFonts w:hint="default"/>
      </w:rPr>
    </w:lvl>
    <w:lvl w:ilvl="4" w:tplc="7B0CFEEA">
      <w:numFmt w:val="bullet"/>
      <w:lvlText w:val="•"/>
      <w:lvlJc w:val="left"/>
      <w:pPr>
        <w:ind w:left="2370" w:hanging="361"/>
      </w:pPr>
      <w:rPr>
        <w:rFonts w:hint="default"/>
      </w:rPr>
    </w:lvl>
    <w:lvl w:ilvl="5" w:tplc="E8464212">
      <w:numFmt w:val="bullet"/>
      <w:lvlText w:val="•"/>
      <w:lvlJc w:val="left"/>
      <w:pPr>
        <w:ind w:left="2752" w:hanging="361"/>
      </w:pPr>
      <w:rPr>
        <w:rFonts w:hint="default"/>
      </w:rPr>
    </w:lvl>
    <w:lvl w:ilvl="6" w:tplc="0054EDE0">
      <w:numFmt w:val="bullet"/>
      <w:lvlText w:val="•"/>
      <w:lvlJc w:val="left"/>
      <w:pPr>
        <w:ind w:left="3135" w:hanging="361"/>
      </w:pPr>
      <w:rPr>
        <w:rFonts w:hint="default"/>
      </w:rPr>
    </w:lvl>
    <w:lvl w:ilvl="7" w:tplc="3384C304">
      <w:numFmt w:val="bullet"/>
      <w:lvlText w:val="•"/>
      <w:lvlJc w:val="left"/>
      <w:pPr>
        <w:ind w:left="3517" w:hanging="361"/>
      </w:pPr>
      <w:rPr>
        <w:rFonts w:hint="default"/>
      </w:rPr>
    </w:lvl>
    <w:lvl w:ilvl="8" w:tplc="1396C11C">
      <w:numFmt w:val="bullet"/>
      <w:lvlText w:val="•"/>
      <w:lvlJc w:val="left"/>
      <w:pPr>
        <w:ind w:left="3900" w:hanging="361"/>
      </w:pPr>
      <w:rPr>
        <w:rFonts w:hint="default"/>
      </w:rPr>
    </w:lvl>
  </w:abstractNum>
  <w:num w:numId="1" w16cid:durableId="979725648">
    <w:abstractNumId w:val="1"/>
  </w:num>
  <w:num w:numId="2" w16cid:durableId="467017743">
    <w:abstractNumId w:val="24"/>
  </w:num>
  <w:num w:numId="3" w16cid:durableId="335234459">
    <w:abstractNumId w:val="0"/>
  </w:num>
  <w:num w:numId="4" w16cid:durableId="1725255409">
    <w:abstractNumId w:val="37"/>
  </w:num>
  <w:num w:numId="5" w16cid:durableId="1870295875">
    <w:abstractNumId w:val="15"/>
  </w:num>
  <w:num w:numId="6" w16cid:durableId="818033540">
    <w:abstractNumId w:val="36"/>
  </w:num>
  <w:num w:numId="7" w16cid:durableId="1358114527">
    <w:abstractNumId w:val="19"/>
  </w:num>
  <w:num w:numId="8" w16cid:durableId="1248348091">
    <w:abstractNumId w:val="5"/>
  </w:num>
  <w:num w:numId="9" w16cid:durableId="986592731">
    <w:abstractNumId w:val="30"/>
  </w:num>
  <w:num w:numId="10" w16cid:durableId="245261730">
    <w:abstractNumId w:val="6"/>
  </w:num>
  <w:num w:numId="11" w16cid:durableId="233779177">
    <w:abstractNumId w:val="28"/>
  </w:num>
  <w:num w:numId="12" w16cid:durableId="1155416104">
    <w:abstractNumId w:val="16"/>
  </w:num>
  <w:num w:numId="13" w16cid:durableId="349793247">
    <w:abstractNumId w:val="8"/>
  </w:num>
  <w:num w:numId="14" w16cid:durableId="324894370">
    <w:abstractNumId w:val="23"/>
  </w:num>
  <w:num w:numId="15" w16cid:durableId="1069184553">
    <w:abstractNumId w:val="25"/>
  </w:num>
  <w:num w:numId="16" w16cid:durableId="931858971">
    <w:abstractNumId w:val="31"/>
  </w:num>
  <w:num w:numId="17" w16cid:durableId="1734573937">
    <w:abstractNumId w:val="12"/>
  </w:num>
  <w:num w:numId="18" w16cid:durableId="514149186">
    <w:abstractNumId w:val="22"/>
  </w:num>
  <w:num w:numId="19" w16cid:durableId="1162354745">
    <w:abstractNumId w:val="2"/>
  </w:num>
  <w:num w:numId="20" w16cid:durableId="1529639346">
    <w:abstractNumId w:val="10"/>
  </w:num>
  <w:num w:numId="21" w16cid:durableId="19012268">
    <w:abstractNumId w:val="21"/>
  </w:num>
  <w:num w:numId="22" w16cid:durableId="1504278137">
    <w:abstractNumId w:val="33"/>
  </w:num>
  <w:num w:numId="23" w16cid:durableId="1867479363">
    <w:abstractNumId w:val="34"/>
  </w:num>
  <w:num w:numId="24" w16cid:durableId="638728362">
    <w:abstractNumId w:val="39"/>
  </w:num>
  <w:num w:numId="25" w16cid:durableId="287663611">
    <w:abstractNumId w:val="29"/>
  </w:num>
  <w:num w:numId="26" w16cid:durableId="1517501796">
    <w:abstractNumId w:val="13"/>
  </w:num>
  <w:num w:numId="27" w16cid:durableId="953634387">
    <w:abstractNumId w:val="7"/>
  </w:num>
  <w:num w:numId="28" w16cid:durableId="1323045080">
    <w:abstractNumId w:val="32"/>
  </w:num>
  <w:num w:numId="29" w16cid:durableId="1179849464">
    <w:abstractNumId w:val="9"/>
  </w:num>
  <w:num w:numId="30" w16cid:durableId="1097482379">
    <w:abstractNumId w:val="4"/>
  </w:num>
  <w:num w:numId="31" w16cid:durableId="1309819124">
    <w:abstractNumId w:val="14"/>
  </w:num>
  <w:num w:numId="32" w16cid:durableId="61567580">
    <w:abstractNumId w:val="27"/>
  </w:num>
  <w:num w:numId="33" w16cid:durableId="20208113">
    <w:abstractNumId w:val="26"/>
  </w:num>
  <w:num w:numId="34" w16cid:durableId="988097958">
    <w:abstractNumId w:val="35"/>
  </w:num>
  <w:num w:numId="35" w16cid:durableId="1678118774">
    <w:abstractNumId w:val="20"/>
  </w:num>
  <w:num w:numId="36" w16cid:durableId="476387473">
    <w:abstractNumId w:val="38"/>
  </w:num>
  <w:num w:numId="37" w16cid:durableId="793988766">
    <w:abstractNumId w:val="38"/>
    <w:lvlOverride w:ilvl="0">
      <w:startOverride w:val="1"/>
    </w:lvlOverride>
  </w:num>
  <w:num w:numId="38" w16cid:durableId="1004548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0277838">
    <w:abstractNumId w:val="17"/>
  </w:num>
  <w:num w:numId="40" w16cid:durableId="1086732044">
    <w:abstractNumId w:val="18"/>
  </w:num>
  <w:num w:numId="41" w16cid:durableId="1614752595">
    <w:abstractNumId w:val="3"/>
  </w:num>
  <w:num w:numId="42" w16cid:durableId="1074012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1901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E5"/>
    <w:rsid w:val="0000162C"/>
    <w:rsid w:val="00002221"/>
    <w:rsid w:val="00002B65"/>
    <w:rsid w:val="00004B1C"/>
    <w:rsid w:val="000069C2"/>
    <w:rsid w:val="000102AE"/>
    <w:rsid w:val="00010F46"/>
    <w:rsid w:val="00011211"/>
    <w:rsid w:val="00011A96"/>
    <w:rsid w:val="000121B4"/>
    <w:rsid w:val="00012A98"/>
    <w:rsid w:val="0001303D"/>
    <w:rsid w:val="00022E38"/>
    <w:rsid w:val="0002389C"/>
    <w:rsid w:val="000260DC"/>
    <w:rsid w:val="00030E5B"/>
    <w:rsid w:val="000320D1"/>
    <w:rsid w:val="000346E8"/>
    <w:rsid w:val="00034F5D"/>
    <w:rsid w:val="000365AF"/>
    <w:rsid w:val="000412AB"/>
    <w:rsid w:val="00042689"/>
    <w:rsid w:val="00043427"/>
    <w:rsid w:val="0004618F"/>
    <w:rsid w:val="000463F9"/>
    <w:rsid w:val="00047B34"/>
    <w:rsid w:val="00050D14"/>
    <w:rsid w:val="00051E7C"/>
    <w:rsid w:val="00056797"/>
    <w:rsid w:val="00056C1A"/>
    <w:rsid w:val="00057726"/>
    <w:rsid w:val="00057BA3"/>
    <w:rsid w:val="0006092D"/>
    <w:rsid w:val="00062089"/>
    <w:rsid w:val="00065598"/>
    <w:rsid w:val="0006630C"/>
    <w:rsid w:val="00066963"/>
    <w:rsid w:val="000678D5"/>
    <w:rsid w:val="000706A8"/>
    <w:rsid w:val="0007298E"/>
    <w:rsid w:val="00075EF1"/>
    <w:rsid w:val="0007691D"/>
    <w:rsid w:val="00077B34"/>
    <w:rsid w:val="0008014D"/>
    <w:rsid w:val="00083CC3"/>
    <w:rsid w:val="00084158"/>
    <w:rsid w:val="00085025"/>
    <w:rsid w:val="00085999"/>
    <w:rsid w:val="00086ACB"/>
    <w:rsid w:val="00091452"/>
    <w:rsid w:val="00093475"/>
    <w:rsid w:val="00094E8A"/>
    <w:rsid w:val="00097D58"/>
    <w:rsid w:val="000A02A5"/>
    <w:rsid w:val="000A0332"/>
    <w:rsid w:val="000A344B"/>
    <w:rsid w:val="000A72A0"/>
    <w:rsid w:val="000B003E"/>
    <w:rsid w:val="000B0618"/>
    <w:rsid w:val="000B2714"/>
    <w:rsid w:val="000B6098"/>
    <w:rsid w:val="000B7169"/>
    <w:rsid w:val="000C17E8"/>
    <w:rsid w:val="000C5C7D"/>
    <w:rsid w:val="000C7116"/>
    <w:rsid w:val="000D205F"/>
    <w:rsid w:val="000D35EB"/>
    <w:rsid w:val="000D4ADA"/>
    <w:rsid w:val="000D75B9"/>
    <w:rsid w:val="000D7C93"/>
    <w:rsid w:val="000E071C"/>
    <w:rsid w:val="000E31DD"/>
    <w:rsid w:val="000E4FDD"/>
    <w:rsid w:val="000E56E5"/>
    <w:rsid w:val="000E671C"/>
    <w:rsid w:val="000E7D6D"/>
    <w:rsid w:val="000F1051"/>
    <w:rsid w:val="000F18D6"/>
    <w:rsid w:val="000F1CA1"/>
    <w:rsid w:val="000F3287"/>
    <w:rsid w:val="000F3BB0"/>
    <w:rsid w:val="000F4634"/>
    <w:rsid w:val="000F6A50"/>
    <w:rsid w:val="000F7FCA"/>
    <w:rsid w:val="001003C5"/>
    <w:rsid w:val="0010120C"/>
    <w:rsid w:val="00101DD3"/>
    <w:rsid w:val="0010245A"/>
    <w:rsid w:val="001039E9"/>
    <w:rsid w:val="00104672"/>
    <w:rsid w:val="0010494B"/>
    <w:rsid w:val="00105095"/>
    <w:rsid w:val="001109CD"/>
    <w:rsid w:val="00110E76"/>
    <w:rsid w:val="0011257E"/>
    <w:rsid w:val="00112B3B"/>
    <w:rsid w:val="00114802"/>
    <w:rsid w:val="00114C81"/>
    <w:rsid w:val="00117D32"/>
    <w:rsid w:val="00122DEC"/>
    <w:rsid w:val="001231AC"/>
    <w:rsid w:val="00126231"/>
    <w:rsid w:val="00127F14"/>
    <w:rsid w:val="00131A79"/>
    <w:rsid w:val="0013351A"/>
    <w:rsid w:val="00134FE4"/>
    <w:rsid w:val="00141C56"/>
    <w:rsid w:val="00141F85"/>
    <w:rsid w:val="00142CFD"/>
    <w:rsid w:val="001454D0"/>
    <w:rsid w:val="0015094E"/>
    <w:rsid w:val="0015190B"/>
    <w:rsid w:val="00151C32"/>
    <w:rsid w:val="001529C6"/>
    <w:rsid w:val="001543EA"/>
    <w:rsid w:val="00160735"/>
    <w:rsid w:val="00161810"/>
    <w:rsid w:val="00162FE8"/>
    <w:rsid w:val="001630DC"/>
    <w:rsid w:val="00164941"/>
    <w:rsid w:val="00165232"/>
    <w:rsid w:val="001655C9"/>
    <w:rsid w:val="00173370"/>
    <w:rsid w:val="00175286"/>
    <w:rsid w:val="00175D50"/>
    <w:rsid w:val="001769F9"/>
    <w:rsid w:val="00181164"/>
    <w:rsid w:val="00181CFC"/>
    <w:rsid w:val="00182D09"/>
    <w:rsid w:val="00182D10"/>
    <w:rsid w:val="0018315E"/>
    <w:rsid w:val="0018337A"/>
    <w:rsid w:val="001835D9"/>
    <w:rsid w:val="0018468E"/>
    <w:rsid w:val="0018499A"/>
    <w:rsid w:val="00185458"/>
    <w:rsid w:val="00185509"/>
    <w:rsid w:val="00185E41"/>
    <w:rsid w:val="0018696F"/>
    <w:rsid w:val="001910ED"/>
    <w:rsid w:val="001916C8"/>
    <w:rsid w:val="0019241D"/>
    <w:rsid w:val="00193AB8"/>
    <w:rsid w:val="0019735C"/>
    <w:rsid w:val="001A0CA0"/>
    <w:rsid w:val="001A1635"/>
    <w:rsid w:val="001A24A7"/>
    <w:rsid w:val="001A2910"/>
    <w:rsid w:val="001A2AF5"/>
    <w:rsid w:val="001A716D"/>
    <w:rsid w:val="001A729D"/>
    <w:rsid w:val="001A7EAC"/>
    <w:rsid w:val="001B14F7"/>
    <w:rsid w:val="001B20AE"/>
    <w:rsid w:val="001B3BD4"/>
    <w:rsid w:val="001B3C37"/>
    <w:rsid w:val="001B46D2"/>
    <w:rsid w:val="001B46EF"/>
    <w:rsid w:val="001B67E9"/>
    <w:rsid w:val="001B7A83"/>
    <w:rsid w:val="001C05AE"/>
    <w:rsid w:val="001C2109"/>
    <w:rsid w:val="001C39B2"/>
    <w:rsid w:val="001C3E27"/>
    <w:rsid w:val="001C42D3"/>
    <w:rsid w:val="001C51AF"/>
    <w:rsid w:val="001C77E4"/>
    <w:rsid w:val="001C7C81"/>
    <w:rsid w:val="001D0815"/>
    <w:rsid w:val="001D18AC"/>
    <w:rsid w:val="001D35A1"/>
    <w:rsid w:val="001D5C4F"/>
    <w:rsid w:val="001D6472"/>
    <w:rsid w:val="001E05C8"/>
    <w:rsid w:val="001E0C52"/>
    <w:rsid w:val="001E109A"/>
    <w:rsid w:val="001E1B89"/>
    <w:rsid w:val="001E3338"/>
    <w:rsid w:val="001E48F7"/>
    <w:rsid w:val="001F0962"/>
    <w:rsid w:val="001F0B04"/>
    <w:rsid w:val="001F7AE8"/>
    <w:rsid w:val="0021021D"/>
    <w:rsid w:val="00212235"/>
    <w:rsid w:val="00214121"/>
    <w:rsid w:val="0021524A"/>
    <w:rsid w:val="00215692"/>
    <w:rsid w:val="00216935"/>
    <w:rsid w:val="00216DB7"/>
    <w:rsid w:val="00223A23"/>
    <w:rsid w:val="00226757"/>
    <w:rsid w:val="00226BF2"/>
    <w:rsid w:val="00226E87"/>
    <w:rsid w:val="00230011"/>
    <w:rsid w:val="0023051D"/>
    <w:rsid w:val="00230F85"/>
    <w:rsid w:val="00235090"/>
    <w:rsid w:val="00235C4F"/>
    <w:rsid w:val="00236CA4"/>
    <w:rsid w:val="00236CC5"/>
    <w:rsid w:val="002374FA"/>
    <w:rsid w:val="00237921"/>
    <w:rsid w:val="0024267B"/>
    <w:rsid w:val="002448B5"/>
    <w:rsid w:val="00245FBF"/>
    <w:rsid w:val="0024652C"/>
    <w:rsid w:val="002506AB"/>
    <w:rsid w:val="0025105A"/>
    <w:rsid w:val="00251D0F"/>
    <w:rsid w:val="0025229D"/>
    <w:rsid w:val="00252A6C"/>
    <w:rsid w:val="00253B63"/>
    <w:rsid w:val="00254DBB"/>
    <w:rsid w:val="002556D0"/>
    <w:rsid w:val="0025786D"/>
    <w:rsid w:val="00260AF3"/>
    <w:rsid w:val="00261B39"/>
    <w:rsid w:val="00261FB2"/>
    <w:rsid w:val="00263145"/>
    <w:rsid w:val="0026325B"/>
    <w:rsid w:val="00263500"/>
    <w:rsid w:val="002647F5"/>
    <w:rsid w:val="0026534A"/>
    <w:rsid w:val="002655A4"/>
    <w:rsid w:val="0026655A"/>
    <w:rsid w:val="00267995"/>
    <w:rsid w:val="00272232"/>
    <w:rsid w:val="00275B03"/>
    <w:rsid w:val="00280340"/>
    <w:rsid w:val="0028048F"/>
    <w:rsid w:val="00280CB4"/>
    <w:rsid w:val="00280D65"/>
    <w:rsid w:val="00282D36"/>
    <w:rsid w:val="00282D70"/>
    <w:rsid w:val="00284336"/>
    <w:rsid w:val="00284A8F"/>
    <w:rsid w:val="00284EFE"/>
    <w:rsid w:val="002851C7"/>
    <w:rsid w:val="00285C71"/>
    <w:rsid w:val="00287782"/>
    <w:rsid w:val="002929B3"/>
    <w:rsid w:val="002939CB"/>
    <w:rsid w:val="002945DF"/>
    <w:rsid w:val="00295EAF"/>
    <w:rsid w:val="00296E95"/>
    <w:rsid w:val="002A0DE9"/>
    <w:rsid w:val="002A1678"/>
    <w:rsid w:val="002A28CC"/>
    <w:rsid w:val="002A3D98"/>
    <w:rsid w:val="002B1213"/>
    <w:rsid w:val="002B7DDF"/>
    <w:rsid w:val="002C12E6"/>
    <w:rsid w:val="002C24D9"/>
    <w:rsid w:val="002C5C4A"/>
    <w:rsid w:val="002C5E0B"/>
    <w:rsid w:val="002D2FA2"/>
    <w:rsid w:val="002D3049"/>
    <w:rsid w:val="002D5667"/>
    <w:rsid w:val="002E0705"/>
    <w:rsid w:val="002E3D2E"/>
    <w:rsid w:val="002E5C1A"/>
    <w:rsid w:val="002E5D96"/>
    <w:rsid w:val="002E6A1F"/>
    <w:rsid w:val="002E6A84"/>
    <w:rsid w:val="002E6ACB"/>
    <w:rsid w:val="002E6D51"/>
    <w:rsid w:val="002E6DF3"/>
    <w:rsid w:val="002E7052"/>
    <w:rsid w:val="003008CB"/>
    <w:rsid w:val="00305167"/>
    <w:rsid w:val="00305E9C"/>
    <w:rsid w:val="00306634"/>
    <w:rsid w:val="0030797B"/>
    <w:rsid w:val="00310ED0"/>
    <w:rsid w:val="003116CB"/>
    <w:rsid w:val="0031227E"/>
    <w:rsid w:val="00312CF3"/>
    <w:rsid w:val="00312EF0"/>
    <w:rsid w:val="00314015"/>
    <w:rsid w:val="00314470"/>
    <w:rsid w:val="00314893"/>
    <w:rsid w:val="003153B8"/>
    <w:rsid w:val="00316B3F"/>
    <w:rsid w:val="00316CA8"/>
    <w:rsid w:val="00316DB3"/>
    <w:rsid w:val="00320773"/>
    <w:rsid w:val="00320E69"/>
    <w:rsid w:val="003254BC"/>
    <w:rsid w:val="003263F1"/>
    <w:rsid w:val="00326EF0"/>
    <w:rsid w:val="0033127A"/>
    <w:rsid w:val="00331FCD"/>
    <w:rsid w:val="00334645"/>
    <w:rsid w:val="00334F46"/>
    <w:rsid w:val="00335735"/>
    <w:rsid w:val="003365AD"/>
    <w:rsid w:val="00336F72"/>
    <w:rsid w:val="003400B6"/>
    <w:rsid w:val="003405A2"/>
    <w:rsid w:val="003429E2"/>
    <w:rsid w:val="00342A50"/>
    <w:rsid w:val="003430B5"/>
    <w:rsid w:val="003446FB"/>
    <w:rsid w:val="00344A8B"/>
    <w:rsid w:val="00345751"/>
    <w:rsid w:val="00345874"/>
    <w:rsid w:val="00345B9A"/>
    <w:rsid w:val="00345E3B"/>
    <w:rsid w:val="00347093"/>
    <w:rsid w:val="00347275"/>
    <w:rsid w:val="0035150D"/>
    <w:rsid w:val="0035165C"/>
    <w:rsid w:val="00353018"/>
    <w:rsid w:val="00353EC4"/>
    <w:rsid w:val="003546A8"/>
    <w:rsid w:val="00354838"/>
    <w:rsid w:val="00355A8B"/>
    <w:rsid w:val="003563C7"/>
    <w:rsid w:val="00356497"/>
    <w:rsid w:val="00357A18"/>
    <w:rsid w:val="003628D6"/>
    <w:rsid w:val="00363104"/>
    <w:rsid w:val="0036675D"/>
    <w:rsid w:val="0036744F"/>
    <w:rsid w:val="00371C79"/>
    <w:rsid w:val="0037426C"/>
    <w:rsid w:val="00376BB3"/>
    <w:rsid w:val="00377B25"/>
    <w:rsid w:val="00383AA6"/>
    <w:rsid w:val="00384CE4"/>
    <w:rsid w:val="00386675"/>
    <w:rsid w:val="003868B0"/>
    <w:rsid w:val="00386E95"/>
    <w:rsid w:val="0038742E"/>
    <w:rsid w:val="00387FB1"/>
    <w:rsid w:val="00391BE4"/>
    <w:rsid w:val="003931E2"/>
    <w:rsid w:val="00394E0E"/>
    <w:rsid w:val="00396298"/>
    <w:rsid w:val="003965DA"/>
    <w:rsid w:val="00396680"/>
    <w:rsid w:val="003A141E"/>
    <w:rsid w:val="003A15DD"/>
    <w:rsid w:val="003A1612"/>
    <w:rsid w:val="003A18CE"/>
    <w:rsid w:val="003A40E3"/>
    <w:rsid w:val="003A4F66"/>
    <w:rsid w:val="003B06D2"/>
    <w:rsid w:val="003B1DF9"/>
    <w:rsid w:val="003B2C34"/>
    <w:rsid w:val="003B58E7"/>
    <w:rsid w:val="003B5C93"/>
    <w:rsid w:val="003B5FBA"/>
    <w:rsid w:val="003B77E1"/>
    <w:rsid w:val="003C051B"/>
    <w:rsid w:val="003C08FF"/>
    <w:rsid w:val="003C099C"/>
    <w:rsid w:val="003C2073"/>
    <w:rsid w:val="003C2894"/>
    <w:rsid w:val="003C5389"/>
    <w:rsid w:val="003C7F7D"/>
    <w:rsid w:val="003D0BDD"/>
    <w:rsid w:val="003D1419"/>
    <w:rsid w:val="003D4567"/>
    <w:rsid w:val="003D485B"/>
    <w:rsid w:val="003D4911"/>
    <w:rsid w:val="003D6928"/>
    <w:rsid w:val="003E080C"/>
    <w:rsid w:val="003E175B"/>
    <w:rsid w:val="003E288B"/>
    <w:rsid w:val="003E2897"/>
    <w:rsid w:val="003E30D5"/>
    <w:rsid w:val="003E3804"/>
    <w:rsid w:val="003E3F9C"/>
    <w:rsid w:val="003E412B"/>
    <w:rsid w:val="003E61CE"/>
    <w:rsid w:val="003E745C"/>
    <w:rsid w:val="003E7850"/>
    <w:rsid w:val="003E7CB1"/>
    <w:rsid w:val="003F06A4"/>
    <w:rsid w:val="003F1DCD"/>
    <w:rsid w:val="003F2BE3"/>
    <w:rsid w:val="003F3084"/>
    <w:rsid w:val="003F38FF"/>
    <w:rsid w:val="003F3E30"/>
    <w:rsid w:val="003F4FFD"/>
    <w:rsid w:val="003F5432"/>
    <w:rsid w:val="0040071A"/>
    <w:rsid w:val="0040255A"/>
    <w:rsid w:val="004025B9"/>
    <w:rsid w:val="00402E3B"/>
    <w:rsid w:val="004033BB"/>
    <w:rsid w:val="00404B96"/>
    <w:rsid w:val="004050BC"/>
    <w:rsid w:val="004051FA"/>
    <w:rsid w:val="004113BF"/>
    <w:rsid w:val="00413108"/>
    <w:rsid w:val="004138FC"/>
    <w:rsid w:val="00413D58"/>
    <w:rsid w:val="004165B6"/>
    <w:rsid w:val="00420088"/>
    <w:rsid w:val="004206E6"/>
    <w:rsid w:val="00421277"/>
    <w:rsid w:val="004220B2"/>
    <w:rsid w:val="004227BC"/>
    <w:rsid w:val="004229BA"/>
    <w:rsid w:val="0042525A"/>
    <w:rsid w:val="00425DC2"/>
    <w:rsid w:val="00426006"/>
    <w:rsid w:val="0042726B"/>
    <w:rsid w:val="004277C2"/>
    <w:rsid w:val="00427CD4"/>
    <w:rsid w:val="00431411"/>
    <w:rsid w:val="004330A9"/>
    <w:rsid w:val="0043373D"/>
    <w:rsid w:val="00433E7F"/>
    <w:rsid w:val="004408C0"/>
    <w:rsid w:val="00440C6C"/>
    <w:rsid w:val="00441E52"/>
    <w:rsid w:val="00442057"/>
    <w:rsid w:val="0044356C"/>
    <w:rsid w:val="0044488C"/>
    <w:rsid w:val="00447C2D"/>
    <w:rsid w:val="004504DF"/>
    <w:rsid w:val="0045116E"/>
    <w:rsid w:val="00451787"/>
    <w:rsid w:val="0045356E"/>
    <w:rsid w:val="004549A6"/>
    <w:rsid w:val="00455123"/>
    <w:rsid w:val="00455E2A"/>
    <w:rsid w:val="0045622A"/>
    <w:rsid w:val="00456859"/>
    <w:rsid w:val="00460548"/>
    <w:rsid w:val="00460977"/>
    <w:rsid w:val="00461243"/>
    <w:rsid w:val="004612C6"/>
    <w:rsid w:val="00462DCF"/>
    <w:rsid w:val="0046434E"/>
    <w:rsid w:val="00467D49"/>
    <w:rsid w:val="004707F8"/>
    <w:rsid w:val="00470932"/>
    <w:rsid w:val="00473A6A"/>
    <w:rsid w:val="00474935"/>
    <w:rsid w:val="00474BE4"/>
    <w:rsid w:val="0047626C"/>
    <w:rsid w:val="00481123"/>
    <w:rsid w:val="00482AB2"/>
    <w:rsid w:val="00483429"/>
    <w:rsid w:val="00483F67"/>
    <w:rsid w:val="0048401F"/>
    <w:rsid w:val="00484ADA"/>
    <w:rsid w:val="004852BE"/>
    <w:rsid w:val="00486D59"/>
    <w:rsid w:val="0049068F"/>
    <w:rsid w:val="00493C13"/>
    <w:rsid w:val="0049562C"/>
    <w:rsid w:val="0049631C"/>
    <w:rsid w:val="0049653A"/>
    <w:rsid w:val="00496DE4"/>
    <w:rsid w:val="00497034"/>
    <w:rsid w:val="004A1CC3"/>
    <w:rsid w:val="004A4B18"/>
    <w:rsid w:val="004A5984"/>
    <w:rsid w:val="004A632A"/>
    <w:rsid w:val="004A64F1"/>
    <w:rsid w:val="004A7671"/>
    <w:rsid w:val="004B0B3B"/>
    <w:rsid w:val="004B3176"/>
    <w:rsid w:val="004B3441"/>
    <w:rsid w:val="004B3C80"/>
    <w:rsid w:val="004B6EBB"/>
    <w:rsid w:val="004C0715"/>
    <w:rsid w:val="004C2EE0"/>
    <w:rsid w:val="004C311A"/>
    <w:rsid w:val="004C475E"/>
    <w:rsid w:val="004D2C01"/>
    <w:rsid w:val="004D3422"/>
    <w:rsid w:val="004D377E"/>
    <w:rsid w:val="004D5749"/>
    <w:rsid w:val="004D6A33"/>
    <w:rsid w:val="004D7A3E"/>
    <w:rsid w:val="004E01EA"/>
    <w:rsid w:val="004E0456"/>
    <w:rsid w:val="004E1427"/>
    <w:rsid w:val="004E4063"/>
    <w:rsid w:val="004E5B9E"/>
    <w:rsid w:val="004E629A"/>
    <w:rsid w:val="004E64BF"/>
    <w:rsid w:val="004F0B65"/>
    <w:rsid w:val="004F1EC0"/>
    <w:rsid w:val="004F26FB"/>
    <w:rsid w:val="004F36E3"/>
    <w:rsid w:val="004F3704"/>
    <w:rsid w:val="004F39DF"/>
    <w:rsid w:val="005005B9"/>
    <w:rsid w:val="00500F4B"/>
    <w:rsid w:val="00501AA6"/>
    <w:rsid w:val="005037D8"/>
    <w:rsid w:val="00506F23"/>
    <w:rsid w:val="00510C06"/>
    <w:rsid w:val="00511D1C"/>
    <w:rsid w:val="00512D35"/>
    <w:rsid w:val="00515D32"/>
    <w:rsid w:val="005167E0"/>
    <w:rsid w:val="00516BA2"/>
    <w:rsid w:val="0051759A"/>
    <w:rsid w:val="00517645"/>
    <w:rsid w:val="005178BB"/>
    <w:rsid w:val="005210F7"/>
    <w:rsid w:val="0052179C"/>
    <w:rsid w:val="0052343D"/>
    <w:rsid w:val="00524D7E"/>
    <w:rsid w:val="00527959"/>
    <w:rsid w:val="00527D29"/>
    <w:rsid w:val="00532D57"/>
    <w:rsid w:val="005335B2"/>
    <w:rsid w:val="00533B6F"/>
    <w:rsid w:val="00534272"/>
    <w:rsid w:val="005370AC"/>
    <w:rsid w:val="005375A9"/>
    <w:rsid w:val="00542C36"/>
    <w:rsid w:val="00552525"/>
    <w:rsid w:val="00553892"/>
    <w:rsid w:val="0055437D"/>
    <w:rsid w:val="00557618"/>
    <w:rsid w:val="005602DC"/>
    <w:rsid w:val="00562D95"/>
    <w:rsid w:val="005639F0"/>
    <w:rsid w:val="00564A55"/>
    <w:rsid w:val="00566302"/>
    <w:rsid w:val="0056640A"/>
    <w:rsid w:val="005664BE"/>
    <w:rsid w:val="00570F9A"/>
    <w:rsid w:val="005732E5"/>
    <w:rsid w:val="00582D2B"/>
    <w:rsid w:val="00583A17"/>
    <w:rsid w:val="00583DC1"/>
    <w:rsid w:val="00586ABD"/>
    <w:rsid w:val="00587060"/>
    <w:rsid w:val="00587E3B"/>
    <w:rsid w:val="00590DBE"/>
    <w:rsid w:val="00591332"/>
    <w:rsid w:val="00592BA4"/>
    <w:rsid w:val="005A0744"/>
    <w:rsid w:val="005A26BC"/>
    <w:rsid w:val="005A3165"/>
    <w:rsid w:val="005A755C"/>
    <w:rsid w:val="005A7CE4"/>
    <w:rsid w:val="005B0F9A"/>
    <w:rsid w:val="005B4642"/>
    <w:rsid w:val="005B471E"/>
    <w:rsid w:val="005B6F1B"/>
    <w:rsid w:val="005B6F48"/>
    <w:rsid w:val="005B71BA"/>
    <w:rsid w:val="005B7BB4"/>
    <w:rsid w:val="005C0544"/>
    <w:rsid w:val="005C12D2"/>
    <w:rsid w:val="005C3577"/>
    <w:rsid w:val="005C3B54"/>
    <w:rsid w:val="005C4291"/>
    <w:rsid w:val="005C68AB"/>
    <w:rsid w:val="005D0AA4"/>
    <w:rsid w:val="005D1E82"/>
    <w:rsid w:val="005D308E"/>
    <w:rsid w:val="005D3E72"/>
    <w:rsid w:val="005E0F70"/>
    <w:rsid w:val="005E1DAC"/>
    <w:rsid w:val="005E37DA"/>
    <w:rsid w:val="005E4A78"/>
    <w:rsid w:val="005E736A"/>
    <w:rsid w:val="005E7DA8"/>
    <w:rsid w:val="005F020A"/>
    <w:rsid w:val="005F16A1"/>
    <w:rsid w:val="005F2D7C"/>
    <w:rsid w:val="005F364B"/>
    <w:rsid w:val="005F372B"/>
    <w:rsid w:val="005F3E35"/>
    <w:rsid w:val="005F6F1F"/>
    <w:rsid w:val="00600005"/>
    <w:rsid w:val="0060136A"/>
    <w:rsid w:val="00602B89"/>
    <w:rsid w:val="0060409A"/>
    <w:rsid w:val="006054A5"/>
    <w:rsid w:val="00611A2F"/>
    <w:rsid w:val="00612FF8"/>
    <w:rsid w:val="0061333E"/>
    <w:rsid w:val="00615881"/>
    <w:rsid w:val="0061616C"/>
    <w:rsid w:val="00616D6A"/>
    <w:rsid w:val="00617D70"/>
    <w:rsid w:val="00622289"/>
    <w:rsid w:val="00623180"/>
    <w:rsid w:val="0062374F"/>
    <w:rsid w:val="00625AC3"/>
    <w:rsid w:val="006266F8"/>
    <w:rsid w:val="00630F49"/>
    <w:rsid w:val="0063113A"/>
    <w:rsid w:val="00631C14"/>
    <w:rsid w:val="00632E97"/>
    <w:rsid w:val="0063318D"/>
    <w:rsid w:val="006336EA"/>
    <w:rsid w:val="00633749"/>
    <w:rsid w:val="006341C4"/>
    <w:rsid w:val="00635EA9"/>
    <w:rsid w:val="00641AEB"/>
    <w:rsid w:val="00642716"/>
    <w:rsid w:val="006428EF"/>
    <w:rsid w:val="006439DC"/>
    <w:rsid w:val="00643ADB"/>
    <w:rsid w:val="00644DBD"/>
    <w:rsid w:val="00646839"/>
    <w:rsid w:val="006501FA"/>
    <w:rsid w:val="00651ADD"/>
    <w:rsid w:val="006533F8"/>
    <w:rsid w:val="006556C4"/>
    <w:rsid w:val="0066087B"/>
    <w:rsid w:val="00660CCD"/>
    <w:rsid w:val="006610D8"/>
    <w:rsid w:val="0066177E"/>
    <w:rsid w:val="00663087"/>
    <w:rsid w:val="0066555C"/>
    <w:rsid w:val="00670441"/>
    <w:rsid w:val="00670D96"/>
    <w:rsid w:val="00672E65"/>
    <w:rsid w:val="00673CD7"/>
    <w:rsid w:val="006740C0"/>
    <w:rsid w:val="00677B13"/>
    <w:rsid w:val="0068082B"/>
    <w:rsid w:val="006816A9"/>
    <w:rsid w:val="00681BA9"/>
    <w:rsid w:val="00683756"/>
    <w:rsid w:val="00683DF0"/>
    <w:rsid w:val="00684CE6"/>
    <w:rsid w:val="00686E51"/>
    <w:rsid w:val="00690678"/>
    <w:rsid w:val="00690F0A"/>
    <w:rsid w:val="00692DBA"/>
    <w:rsid w:val="00693415"/>
    <w:rsid w:val="0069460F"/>
    <w:rsid w:val="00697945"/>
    <w:rsid w:val="006A0FFD"/>
    <w:rsid w:val="006A183C"/>
    <w:rsid w:val="006A2292"/>
    <w:rsid w:val="006B09E5"/>
    <w:rsid w:val="006B12C1"/>
    <w:rsid w:val="006B1A8E"/>
    <w:rsid w:val="006B1B6D"/>
    <w:rsid w:val="006B1F97"/>
    <w:rsid w:val="006B3E98"/>
    <w:rsid w:val="006B4985"/>
    <w:rsid w:val="006B57AE"/>
    <w:rsid w:val="006B5DF0"/>
    <w:rsid w:val="006B6215"/>
    <w:rsid w:val="006B6D51"/>
    <w:rsid w:val="006C0813"/>
    <w:rsid w:val="006C0DB4"/>
    <w:rsid w:val="006C2C5B"/>
    <w:rsid w:val="006C319A"/>
    <w:rsid w:val="006C3FBD"/>
    <w:rsid w:val="006C420B"/>
    <w:rsid w:val="006C4EF8"/>
    <w:rsid w:val="006D0888"/>
    <w:rsid w:val="006D0CAB"/>
    <w:rsid w:val="006D0D95"/>
    <w:rsid w:val="006D22F0"/>
    <w:rsid w:val="006D3C66"/>
    <w:rsid w:val="006D42F9"/>
    <w:rsid w:val="006D5353"/>
    <w:rsid w:val="006D5927"/>
    <w:rsid w:val="006D7426"/>
    <w:rsid w:val="006E158B"/>
    <w:rsid w:val="006E22E7"/>
    <w:rsid w:val="006E2798"/>
    <w:rsid w:val="006E55B2"/>
    <w:rsid w:val="006E7C29"/>
    <w:rsid w:val="006F45E7"/>
    <w:rsid w:val="006F6534"/>
    <w:rsid w:val="006F6D1D"/>
    <w:rsid w:val="006F747F"/>
    <w:rsid w:val="006F7C6C"/>
    <w:rsid w:val="00700134"/>
    <w:rsid w:val="00700983"/>
    <w:rsid w:val="00700DFF"/>
    <w:rsid w:val="0070279F"/>
    <w:rsid w:val="00711845"/>
    <w:rsid w:val="0071235D"/>
    <w:rsid w:val="0072032D"/>
    <w:rsid w:val="007212B5"/>
    <w:rsid w:val="0072308F"/>
    <w:rsid w:val="00723588"/>
    <w:rsid w:val="0072421D"/>
    <w:rsid w:val="0072496B"/>
    <w:rsid w:val="00725B05"/>
    <w:rsid w:val="0072704D"/>
    <w:rsid w:val="00734043"/>
    <w:rsid w:val="00734122"/>
    <w:rsid w:val="0073476E"/>
    <w:rsid w:val="00735773"/>
    <w:rsid w:val="00735AF7"/>
    <w:rsid w:val="007362B2"/>
    <w:rsid w:val="00737F30"/>
    <w:rsid w:val="0074156B"/>
    <w:rsid w:val="0074169D"/>
    <w:rsid w:val="00742D38"/>
    <w:rsid w:val="0074384A"/>
    <w:rsid w:val="00746509"/>
    <w:rsid w:val="00746874"/>
    <w:rsid w:val="007506BB"/>
    <w:rsid w:val="00752994"/>
    <w:rsid w:val="00752A74"/>
    <w:rsid w:val="007531B3"/>
    <w:rsid w:val="00753411"/>
    <w:rsid w:val="007535C2"/>
    <w:rsid w:val="007543AA"/>
    <w:rsid w:val="007568FC"/>
    <w:rsid w:val="00757A53"/>
    <w:rsid w:val="00765ACE"/>
    <w:rsid w:val="0077077C"/>
    <w:rsid w:val="007743F4"/>
    <w:rsid w:val="007744B3"/>
    <w:rsid w:val="00776741"/>
    <w:rsid w:val="00777BDD"/>
    <w:rsid w:val="00782997"/>
    <w:rsid w:val="00782F03"/>
    <w:rsid w:val="00785E72"/>
    <w:rsid w:val="00786851"/>
    <w:rsid w:val="007873ED"/>
    <w:rsid w:val="0078769C"/>
    <w:rsid w:val="00790203"/>
    <w:rsid w:val="00794C12"/>
    <w:rsid w:val="00796905"/>
    <w:rsid w:val="00796FAF"/>
    <w:rsid w:val="007A1D68"/>
    <w:rsid w:val="007A207C"/>
    <w:rsid w:val="007A2AF5"/>
    <w:rsid w:val="007A3A50"/>
    <w:rsid w:val="007A3C9C"/>
    <w:rsid w:val="007A48F6"/>
    <w:rsid w:val="007A4BEA"/>
    <w:rsid w:val="007A4E6C"/>
    <w:rsid w:val="007A7277"/>
    <w:rsid w:val="007A76EE"/>
    <w:rsid w:val="007A7D2D"/>
    <w:rsid w:val="007B0B13"/>
    <w:rsid w:val="007B41DB"/>
    <w:rsid w:val="007B4BB0"/>
    <w:rsid w:val="007B5011"/>
    <w:rsid w:val="007B61AC"/>
    <w:rsid w:val="007B69F8"/>
    <w:rsid w:val="007C059A"/>
    <w:rsid w:val="007C5E48"/>
    <w:rsid w:val="007D1C16"/>
    <w:rsid w:val="007D1EEF"/>
    <w:rsid w:val="007D3013"/>
    <w:rsid w:val="007D429B"/>
    <w:rsid w:val="007D4782"/>
    <w:rsid w:val="007D5F2E"/>
    <w:rsid w:val="007D6E0B"/>
    <w:rsid w:val="007D7A9E"/>
    <w:rsid w:val="007E0B5D"/>
    <w:rsid w:val="007E0D63"/>
    <w:rsid w:val="007E1021"/>
    <w:rsid w:val="007E3316"/>
    <w:rsid w:val="007E35CD"/>
    <w:rsid w:val="007E6BDE"/>
    <w:rsid w:val="007E6F35"/>
    <w:rsid w:val="007F037E"/>
    <w:rsid w:val="007F09BA"/>
    <w:rsid w:val="007F0EAC"/>
    <w:rsid w:val="007F2206"/>
    <w:rsid w:val="007F5CB0"/>
    <w:rsid w:val="007F7137"/>
    <w:rsid w:val="007F78BC"/>
    <w:rsid w:val="0080021F"/>
    <w:rsid w:val="0080078B"/>
    <w:rsid w:val="00800D4E"/>
    <w:rsid w:val="00800DD4"/>
    <w:rsid w:val="00802E6F"/>
    <w:rsid w:val="008035B0"/>
    <w:rsid w:val="008041FD"/>
    <w:rsid w:val="00804E75"/>
    <w:rsid w:val="00805036"/>
    <w:rsid w:val="008053BD"/>
    <w:rsid w:val="00807A62"/>
    <w:rsid w:val="00807F2F"/>
    <w:rsid w:val="00810602"/>
    <w:rsid w:val="00811228"/>
    <w:rsid w:val="00814BAF"/>
    <w:rsid w:val="00815AD1"/>
    <w:rsid w:val="008205D6"/>
    <w:rsid w:val="00820850"/>
    <w:rsid w:val="008213CB"/>
    <w:rsid w:val="00822AAB"/>
    <w:rsid w:val="0082640F"/>
    <w:rsid w:val="00831052"/>
    <w:rsid w:val="0083315D"/>
    <w:rsid w:val="00834D85"/>
    <w:rsid w:val="00835647"/>
    <w:rsid w:val="00835D4E"/>
    <w:rsid w:val="008367BC"/>
    <w:rsid w:val="00837297"/>
    <w:rsid w:val="00837C0F"/>
    <w:rsid w:val="00837EA0"/>
    <w:rsid w:val="008403B5"/>
    <w:rsid w:val="00841229"/>
    <w:rsid w:val="0084196A"/>
    <w:rsid w:val="0084265D"/>
    <w:rsid w:val="0084722F"/>
    <w:rsid w:val="00847430"/>
    <w:rsid w:val="0084797D"/>
    <w:rsid w:val="0085005C"/>
    <w:rsid w:val="00850D71"/>
    <w:rsid w:val="00855C11"/>
    <w:rsid w:val="008562E3"/>
    <w:rsid w:val="00856FAA"/>
    <w:rsid w:val="00857369"/>
    <w:rsid w:val="00860BBF"/>
    <w:rsid w:val="00860CDE"/>
    <w:rsid w:val="00861246"/>
    <w:rsid w:val="00862C00"/>
    <w:rsid w:val="0086398E"/>
    <w:rsid w:val="00864543"/>
    <w:rsid w:val="00864B34"/>
    <w:rsid w:val="00864D90"/>
    <w:rsid w:val="008652D5"/>
    <w:rsid w:val="00865FE3"/>
    <w:rsid w:val="00866611"/>
    <w:rsid w:val="00866B4D"/>
    <w:rsid w:val="00866D75"/>
    <w:rsid w:val="00867153"/>
    <w:rsid w:val="00871700"/>
    <w:rsid w:val="00871893"/>
    <w:rsid w:val="00874233"/>
    <w:rsid w:val="00874CE6"/>
    <w:rsid w:val="008757A6"/>
    <w:rsid w:val="00875DDB"/>
    <w:rsid w:val="0087671C"/>
    <w:rsid w:val="00876C50"/>
    <w:rsid w:val="008801B0"/>
    <w:rsid w:val="00880B6D"/>
    <w:rsid w:val="00880CDB"/>
    <w:rsid w:val="00880FBC"/>
    <w:rsid w:val="0088109D"/>
    <w:rsid w:val="00881B0C"/>
    <w:rsid w:val="00890706"/>
    <w:rsid w:val="00890F49"/>
    <w:rsid w:val="00891835"/>
    <w:rsid w:val="00894278"/>
    <w:rsid w:val="0089455F"/>
    <w:rsid w:val="008955A5"/>
    <w:rsid w:val="00896E29"/>
    <w:rsid w:val="008A0AAE"/>
    <w:rsid w:val="008A147A"/>
    <w:rsid w:val="008A1A33"/>
    <w:rsid w:val="008A6496"/>
    <w:rsid w:val="008A6AD0"/>
    <w:rsid w:val="008A70AE"/>
    <w:rsid w:val="008A75CA"/>
    <w:rsid w:val="008B0027"/>
    <w:rsid w:val="008B2ACE"/>
    <w:rsid w:val="008B39E3"/>
    <w:rsid w:val="008B56BB"/>
    <w:rsid w:val="008B62F0"/>
    <w:rsid w:val="008B6AF4"/>
    <w:rsid w:val="008B7C3A"/>
    <w:rsid w:val="008C0A13"/>
    <w:rsid w:val="008C0B7C"/>
    <w:rsid w:val="008C0DA4"/>
    <w:rsid w:val="008C2A55"/>
    <w:rsid w:val="008C4A7D"/>
    <w:rsid w:val="008C4BA6"/>
    <w:rsid w:val="008C5336"/>
    <w:rsid w:val="008C5763"/>
    <w:rsid w:val="008D140B"/>
    <w:rsid w:val="008D3D51"/>
    <w:rsid w:val="008D432F"/>
    <w:rsid w:val="008D6181"/>
    <w:rsid w:val="008D6739"/>
    <w:rsid w:val="008D7208"/>
    <w:rsid w:val="008E040F"/>
    <w:rsid w:val="008E12F0"/>
    <w:rsid w:val="008E2C69"/>
    <w:rsid w:val="008E2EAE"/>
    <w:rsid w:val="008E388F"/>
    <w:rsid w:val="008E3D2F"/>
    <w:rsid w:val="008E7A78"/>
    <w:rsid w:val="008F44B3"/>
    <w:rsid w:val="008F4D13"/>
    <w:rsid w:val="008F590D"/>
    <w:rsid w:val="008F680B"/>
    <w:rsid w:val="00901173"/>
    <w:rsid w:val="00904ECC"/>
    <w:rsid w:val="00906A03"/>
    <w:rsid w:val="009071BD"/>
    <w:rsid w:val="0091017A"/>
    <w:rsid w:val="00913A06"/>
    <w:rsid w:val="00920BF2"/>
    <w:rsid w:val="00921251"/>
    <w:rsid w:val="0092431B"/>
    <w:rsid w:val="0092545E"/>
    <w:rsid w:val="00925B2C"/>
    <w:rsid w:val="00930A35"/>
    <w:rsid w:val="00930C82"/>
    <w:rsid w:val="00931722"/>
    <w:rsid w:val="009326F3"/>
    <w:rsid w:val="0093351E"/>
    <w:rsid w:val="00934944"/>
    <w:rsid w:val="00934F85"/>
    <w:rsid w:val="00934FE2"/>
    <w:rsid w:val="0093583C"/>
    <w:rsid w:val="00940C88"/>
    <w:rsid w:val="00941ECB"/>
    <w:rsid w:val="0094438E"/>
    <w:rsid w:val="009455C7"/>
    <w:rsid w:val="00945C32"/>
    <w:rsid w:val="00946D22"/>
    <w:rsid w:val="00947F82"/>
    <w:rsid w:val="009553A8"/>
    <w:rsid w:val="0096090B"/>
    <w:rsid w:val="00961713"/>
    <w:rsid w:val="009619F5"/>
    <w:rsid w:val="00962574"/>
    <w:rsid w:val="00962E05"/>
    <w:rsid w:val="00963D10"/>
    <w:rsid w:val="00963F2F"/>
    <w:rsid w:val="009662C6"/>
    <w:rsid w:val="00966D11"/>
    <w:rsid w:val="00967042"/>
    <w:rsid w:val="009674F9"/>
    <w:rsid w:val="009679C0"/>
    <w:rsid w:val="00970CAC"/>
    <w:rsid w:val="009727FD"/>
    <w:rsid w:val="0097381D"/>
    <w:rsid w:val="00973E9D"/>
    <w:rsid w:val="00974609"/>
    <w:rsid w:val="00975C7C"/>
    <w:rsid w:val="00977604"/>
    <w:rsid w:val="0098070B"/>
    <w:rsid w:val="009813F2"/>
    <w:rsid w:val="009817E2"/>
    <w:rsid w:val="0098320E"/>
    <w:rsid w:val="00984714"/>
    <w:rsid w:val="00986530"/>
    <w:rsid w:val="00986917"/>
    <w:rsid w:val="00987411"/>
    <w:rsid w:val="00987B8C"/>
    <w:rsid w:val="00987CA2"/>
    <w:rsid w:val="00990D55"/>
    <w:rsid w:val="009923E2"/>
    <w:rsid w:val="00992537"/>
    <w:rsid w:val="009934D0"/>
    <w:rsid w:val="009936A9"/>
    <w:rsid w:val="00993BC7"/>
    <w:rsid w:val="00993BD3"/>
    <w:rsid w:val="0099597A"/>
    <w:rsid w:val="00997358"/>
    <w:rsid w:val="00997C25"/>
    <w:rsid w:val="00997E01"/>
    <w:rsid w:val="009A0A60"/>
    <w:rsid w:val="009A0BB7"/>
    <w:rsid w:val="009A21DA"/>
    <w:rsid w:val="009A28D8"/>
    <w:rsid w:val="009A67DB"/>
    <w:rsid w:val="009B0823"/>
    <w:rsid w:val="009B46AE"/>
    <w:rsid w:val="009B594E"/>
    <w:rsid w:val="009B61C1"/>
    <w:rsid w:val="009B6A92"/>
    <w:rsid w:val="009C09AE"/>
    <w:rsid w:val="009C1F6C"/>
    <w:rsid w:val="009C3234"/>
    <w:rsid w:val="009C5051"/>
    <w:rsid w:val="009D0AF9"/>
    <w:rsid w:val="009D4A21"/>
    <w:rsid w:val="009D562F"/>
    <w:rsid w:val="009D7547"/>
    <w:rsid w:val="009E0363"/>
    <w:rsid w:val="009E1188"/>
    <w:rsid w:val="009E1252"/>
    <w:rsid w:val="009E3192"/>
    <w:rsid w:val="009E58FC"/>
    <w:rsid w:val="009E623A"/>
    <w:rsid w:val="009F3FE2"/>
    <w:rsid w:val="009F726B"/>
    <w:rsid w:val="00A0018C"/>
    <w:rsid w:val="00A00285"/>
    <w:rsid w:val="00A02D3D"/>
    <w:rsid w:val="00A032C4"/>
    <w:rsid w:val="00A03871"/>
    <w:rsid w:val="00A038D8"/>
    <w:rsid w:val="00A03BEC"/>
    <w:rsid w:val="00A0454F"/>
    <w:rsid w:val="00A07BF5"/>
    <w:rsid w:val="00A117CF"/>
    <w:rsid w:val="00A146B6"/>
    <w:rsid w:val="00A15021"/>
    <w:rsid w:val="00A153EA"/>
    <w:rsid w:val="00A204A5"/>
    <w:rsid w:val="00A263B8"/>
    <w:rsid w:val="00A269DA"/>
    <w:rsid w:val="00A37228"/>
    <w:rsid w:val="00A37506"/>
    <w:rsid w:val="00A37F30"/>
    <w:rsid w:val="00A44638"/>
    <w:rsid w:val="00A47AD0"/>
    <w:rsid w:val="00A55A8B"/>
    <w:rsid w:val="00A55F38"/>
    <w:rsid w:val="00A604B3"/>
    <w:rsid w:val="00A60F66"/>
    <w:rsid w:val="00A61905"/>
    <w:rsid w:val="00A64029"/>
    <w:rsid w:val="00A666A0"/>
    <w:rsid w:val="00A675D9"/>
    <w:rsid w:val="00A70C31"/>
    <w:rsid w:val="00A729A5"/>
    <w:rsid w:val="00A74798"/>
    <w:rsid w:val="00A75527"/>
    <w:rsid w:val="00A7692B"/>
    <w:rsid w:val="00A80428"/>
    <w:rsid w:val="00A80687"/>
    <w:rsid w:val="00A810ED"/>
    <w:rsid w:val="00A8171B"/>
    <w:rsid w:val="00A81D15"/>
    <w:rsid w:val="00A81E3D"/>
    <w:rsid w:val="00A87B5B"/>
    <w:rsid w:val="00A92336"/>
    <w:rsid w:val="00A93359"/>
    <w:rsid w:val="00A9366B"/>
    <w:rsid w:val="00A93883"/>
    <w:rsid w:val="00A939C2"/>
    <w:rsid w:val="00A9433D"/>
    <w:rsid w:val="00A944D3"/>
    <w:rsid w:val="00A95C57"/>
    <w:rsid w:val="00A968B4"/>
    <w:rsid w:val="00AA130C"/>
    <w:rsid w:val="00AA1DAA"/>
    <w:rsid w:val="00AA2512"/>
    <w:rsid w:val="00AA5064"/>
    <w:rsid w:val="00AA7F12"/>
    <w:rsid w:val="00AB1240"/>
    <w:rsid w:val="00AB1CEC"/>
    <w:rsid w:val="00AB27E6"/>
    <w:rsid w:val="00AB407B"/>
    <w:rsid w:val="00AB5340"/>
    <w:rsid w:val="00AB5CEE"/>
    <w:rsid w:val="00AB64E9"/>
    <w:rsid w:val="00AC002C"/>
    <w:rsid w:val="00AC0FDE"/>
    <w:rsid w:val="00AC20DC"/>
    <w:rsid w:val="00AC4982"/>
    <w:rsid w:val="00AC4A1F"/>
    <w:rsid w:val="00AC5063"/>
    <w:rsid w:val="00AC684D"/>
    <w:rsid w:val="00AC76C3"/>
    <w:rsid w:val="00AD0340"/>
    <w:rsid w:val="00AD1E2A"/>
    <w:rsid w:val="00AD2E36"/>
    <w:rsid w:val="00AD49C9"/>
    <w:rsid w:val="00AD4CE1"/>
    <w:rsid w:val="00AD7002"/>
    <w:rsid w:val="00AE071A"/>
    <w:rsid w:val="00AE1CF5"/>
    <w:rsid w:val="00AE2E66"/>
    <w:rsid w:val="00AE5230"/>
    <w:rsid w:val="00AE56A6"/>
    <w:rsid w:val="00AE60DD"/>
    <w:rsid w:val="00AE7A58"/>
    <w:rsid w:val="00AF19D6"/>
    <w:rsid w:val="00AF2C8C"/>
    <w:rsid w:val="00AF2CA8"/>
    <w:rsid w:val="00AF3618"/>
    <w:rsid w:val="00AF4189"/>
    <w:rsid w:val="00AF44BD"/>
    <w:rsid w:val="00AF469B"/>
    <w:rsid w:val="00B036C3"/>
    <w:rsid w:val="00B038C7"/>
    <w:rsid w:val="00B04A01"/>
    <w:rsid w:val="00B07BA1"/>
    <w:rsid w:val="00B131DE"/>
    <w:rsid w:val="00B1421A"/>
    <w:rsid w:val="00B16C64"/>
    <w:rsid w:val="00B16DEB"/>
    <w:rsid w:val="00B17606"/>
    <w:rsid w:val="00B20D3C"/>
    <w:rsid w:val="00B214A1"/>
    <w:rsid w:val="00B221F9"/>
    <w:rsid w:val="00B24280"/>
    <w:rsid w:val="00B2540D"/>
    <w:rsid w:val="00B25B54"/>
    <w:rsid w:val="00B2631D"/>
    <w:rsid w:val="00B3071F"/>
    <w:rsid w:val="00B31909"/>
    <w:rsid w:val="00B31BBF"/>
    <w:rsid w:val="00B33035"/>
    <w:rsid w:val="00B3375E"/>
    <w:rsid w:val="00B34396"/>
    <w:rsid w:val="00B3565B"/>
    <w:rsid w:val="00B35F26"/>
    <w:rsid w:val="00B41703"/>
    <w:rsid w:val="00B46699"/>
    <w:rsid w:val="00B5460F"/>
    <w:rsid w:val="00B5580D"/>
    <w:rsid w:val="00B6097B"/>
    <w:rsid w:val="00B61EA0"/>
    <w:rsid w:val="00B62999"/>
    <w:rsid w:val="00B62DCB"/>
    <w:rsid w:val="00B634F3"/>
    <w:rsid w:val="00B63716"/>
    <w:rsid w:val="00B6444F"/>
    <w:rsid w:val="00B65B41"/>
    <w:rsid w:val="00B66611"/>
    <w:rsid w:val="00B67D93"/>
    <w:rsid w:val="00B72993"/>
    <w:rsid w:val="00B72ED3"/>
    <w:rsid w:val="00B738D6"/>
    <w:rsid w:val="00B7530B"/>
    <w:rsid w:val="00B76440"/>
    <w:rsid w:val="00B7724C"/>
    <w:rsid w:val="00B8014A"/>
    <w:rsid w:val="00B83794"/>
    <w:rsid w:val="00B844D7"/>
    <w:rsid w:val="00B84B53"/>
    <w:rsid w:val="00B84E24"/>
    <w:rsid w:val="00B87CB0"/>
    <w:rsid w:val="00B9101F"/>
    <w:rsid w:val="00B91940"/>
    <w:rsid w:val="00B928DE"/>
    <w:rsid w:val="00B945E2"/>
    <w:rsid w:val="00B963FD"/>
    <w:rsid w:val="00B96820"/>
    <w:rsid w:val="00BA35C2"/>
    <w:rsid w:val="00BA676F"/>
    <w:rsid w:val="00BA6E0C"/>
    <w:rsid w:val="00BA729B"/>
    <w:rsid w:val="00BA7F6D"/>
    <w:rsid w:val="00BB0B96"/>
    <w:rsid w:val="00BB1FB1"/>
    <w:rsid w:val="00BC10B4"/>
    <w:rsid w:val="00BC12A6"/>
    <w:rsid w:val="00BC6C4A"/>
    <w:rsid w:val="00BD1778"/>
    <w:rsid w:val="00BD1FC8"/>
    <w:rsid w:val="00BD450A"/>
    <w:rsid w:val="00BD70AD"/>
    <w:rsid w:val="00BE3E96"/>
    <w:rsid w:val="00BE68E8"/>
    <w:rsid w:val="00BE7A73"/>
    <w:rsid w:val="00BF0CFA"/>
    <w:rsid w:val="00BF13AA"/>
    <w:rsid w:val="00BF17C4"/>
    <w:rsid w:val="00BF1F9C"/>
    <w:rsid w:val="00BF25AF"/>
    <w:rsid w:val="00BF4792"/>
    <w:rsid w:val="00BF4AE3"/>
    <w:rsid w:val="00BF5B86"/>
    <w:rsid w:val="00BF6C7F"/>
    <w:rsid w:val="00BF7919"/>
    <w:rsid w:val="00C00091"/>
    <w:rsid w:val="00C009A1"/>
    <w:rsid w:val="00C00A2F"/>
    <w:rsid w:val="00C016D7"/>
    <w:rsid w:val="00C04CA0"/>
    <w:rsid w:val="00C05D5D"/>
    <w:rsid w:val="00C0680A"/>
    <w:rsid w:val="00C1093A"/>
    <w:rsid w:val="00C1124C"/>
    <w:rsid w:val="00C11A29"/>
    <w:rsid w:val="00C11A67"/>
    <w:rsid w:val="00C12657"/>
    <w:rsid w:val="00C12A14"/>
    <w:rsid w:val="00C13024"/>
    <w:rsid w:val="00C13BA7"/>
    <w:rsid w:val="00C14A14"/>
    <w:rsid w:val="00C14A45"/>
    <w:rsid w:val="00C14EC4"/>
    <w:rsid w:val="00C167DA"/>
    <w:rsid w:val="00C232D0"/>
    <w:rsid w:val="00C26D62"/>
    <w:rsid w:val="00C2762D"/>
    <w:rsid w:val="00C313BF"/>
    <w:rsid w:val="00C31E42"/>
    <w:rsid w:val="00C32871"/>
    <w:rsid w:val="00C34020"/>
    <w:rsid w:val="00C344FD"/>
    <w:rsid w:val="00C34549"/>
    <w:rsid w:val="00C36A77"/>
    <w:rsid w:val="00C376E7"/>
    <w:rsid w:val="00C42054"/>
    <w:rsid w:val="00C426EF"/>
    <w:rsid w:val="00C44446"/>
    <w:rsid w:val="00C447F5"/>
    <w:rsid w:val="00C47FF4"/>
    <w:rsid w:val="00C5104C"/>
    <w:rsid w:val="00C52D9E"/>
    <w:rsid w:val="00C52F34"/>
    <w:rsid w:val="00C52F39"/>
    <w:rsid w:val="00C5442D"/>
    <w:rsid w:val="00C5563A"/>
    <w:rsid w:val="00C600C6"/>
    <w:rsid w:val="00C604EE"/>
    <w:rsid w:val="00C60C99"/>
    <w:rsid w:val="00C61AFD"/>
    <w:rsid w:val="00C620FA"/>
    <w:rsid w:val="00C63B22"/>
    <w:rsid w:val="00C64E1B"/>
    <w:rsid w:val="00C6676A"/>
    <w:rsid w:val="00C71421"/>
    <w:rsid w:val="00C719D4"/>
    <w:rsid w:val="00C73269"/>
    <w:rsid w:val="00C7340F"/>
    <w:rsid w:val="00C7371C"/>
    <w:rsid w:val="00C80685"/>
    <w:rsid w:val="00C81310"/>
    <w:rsid w:val="00C82AA6"/>
    <w:rsid w:val="00C8590B"/>
    <w:rsid w:val="00C874EB"/>
    <w:rsid w:val="00C908FB"/>
    <w:rsid w:val="00C91049"/>
    <w:rsid w:val="00C91E7D"/>
    <w:rsid w:val="00C93315"/>
    <w:rsid w:val="00C957EC"/>
    <w:rsid w:val="00C95A74"/>
    <w:rsid w:val="00C961C9"/>
    <w:rsid w:val="00C96C13"/>
    <w:rsid w:val="00C97701"/>
    <w:rsid w:val="00CA0C42"/>
    <w:rsid w:val="00CA21E0"/>
    <w:rsid w:val="00CA5192"/>
    <w:rsid w:val="00CA5859"/>
    <w:rsid w:val="00CA743F"/>
    <w:rsid w:val="00CA7864"/>
    <w:rsid w:val="00CA7CAD"/>
    <w:rsid w:val="00CB42D7"/>
    <w:rsid w:val="00CB541C"/>
    <w:rsid w:val="00CB6043"/>
    <w:rsid w:val="00CB6A1F"/>
    <w:rsid w:val="00CC017A"/>
    <w:rsid w:val="00CC06BE"/>
    <w:rsid w:val="00CC17F9"/>
    <w:rsid w:val="00CC1C63"/>
    <w:rsid w:val="00CC4712"/>
    <w:rsid w:val="00CC5D0F"/>
    <w:rsid w:val="00CC735A"/>
    <w:rsid w:val="00CC7921"/>
    <w:rsid w:val="00CC7CB4"/>
    <w:rsid w:val="00CD0266"/>
    <w:rsid w:val="00CD24D9"/>
    <w:rsid w:val="00CD2C04"/>
    <w:rsid w:val="00CD4244"/>
    <w:rsid w:val="00CD6074"/>
    <w:rsid w:val="00CE0703"/>
    <w:rsid w:val="00CE0ECA"/>
    <w:rsid w:val="00CE162E"/>
    <w:rsid w:val="00CE285B"/>
    <w:rsid w:val="00CE4206"/>
    <w:rsid w:val="00CF03E9"/>
    <w:rsid w:val="00CF14A6"/>
    <w:rsid w:val="00CF1F72"/>
    <w:rsid w:val="00CF41D4"/>
    <w:rsid w:val="00CF47FC"/>
    <w:rsid w:val="00CF6500"/>
    <w:rsid w:val="00CF6DD5"/>
    <w:rsid w:val="00D01C26"/>
    <w:rsid w:val="00D03A15"/>
    <w:rsid w:val="00D06FCB"/>
    <w:rsid w:val="00D06FFA"/>
    <w:rsid w:val="00D10461"/>
    <w:rsid w:val="00D10DAC"/>
    <w:rsid w:val="00D112BF"/>
    <w:rsid w:val="00D11959"/>
    <w:rsid w:val="00D12C06"/>
    <w:rsid w:val="00D14BD8"/>
    <w:rsid w:val="00D158CD"/>
    <w:rsid w:val="00D23F9B"/>
    <w:rsid w:val="00D2445F"/>
    <w:rsid w:val="00D24BAB"/>
    <w:rsid w:val="00D24CE1"/>
    <w:rsid w:val="00D25F7D"/>
    <w:rsid w:val="00D267D4"/>
    <w:rsid w:val="00D277D0"/>
    <w:rsid w:val="00D31B5C"/>
    <w:rsid w:val="00D32B58"/>
    <w:rsid w:val="00D32C68"/>
    <w:rsid w:val="00D32DD1"/>
    <w:rsid w:val="00D33868"/>
    <w:rsid w:val="00D33EA9"/>
    <w:rsid w:val="00D344CB"/>
    <w:rsid w:val="00D41F51"/>
    <w:rsid w:val="00D4331B"/>
    <w:rsid w:val="00D45F39"/>
    <w:rsid w:val="00D524B0"/>
    <w:rsid w:val="00D5555B"/>
    <w:rsid w:val="00D57890"/>
    <w:rsid w:val="00D57F45"/>
    <w:rsid w:val="00D62DE9"/>
    <w:rsid w:val="00D63FF0"/>
    <w:rsid w:val="00D640AA"/>
    <w:rsid w:val="00D65466"/>
    <w:rsid w:val="00D657B5"/>
    <w:rsid w:val="00D6767F"/>
    <w:rsid w:val="00D7279F"/>
    <w:rsid w:val="00D73CA8"/>
    <w:rsid w:val="00D740A3"/>
    <w:rsid w:val="00D75041"/>
    <w:rsid w:val="00D75B7F"/>
    <w:rsid w:val="00D805FB"/>
    <w:rsid w:val="00D80704"/>
    <w:rsid w:val="00D81297"/>
    <w:rsid w:val="00D81B7A"/>
    <w:rsid w:val="00D84268"/>
    <w:rsid w:val="00D850C1"/>
    <w:rsid w:val="00D86C5B"/>
    <w:rsid w:val="00D870EE"/>
    <w:rsid w:val="00D909ED"/>
    <w:rsid w:val="00D90B5B"/>
    <w:rsid w:val="00D91921"/>
    <w:rsid w:val="00D939B5"/>
    <w:rsid w:val="00D939B7"/>
    <w:rsid w:val="00D944FB"/>
    <w:rsid w:val="00D95DA9"/>
    <w:rsid w:val="00D96A34"/>
    <w:rsid w:val="00D97495"/>
    <w:rsid w:val="00D975BF"/>
    <w:rsid w:val="00DA00ED"/>
    <w:rsid w:val="00DA0AAE"/>
    <w:rsid w:val="00DA10D8"/>
    <w:rsid w:val="00DA677B"/>
    <w:rsid w:val="00DB1916"/>
    <w:rsid w:val="00DB29B0"/>
    <w:rsid w:val="00DB3095"/>
    <w:rsid w:val="00DB327D"/>
    <w:rsid w:val="00DB34AD"/>
    <w:rsid w:val="00DB45A4"/>
    <w:rsid w:val="00DB51D6"/>
    <w:rsid w:val="00DB6EBC"/>
    <w:rsid w:val="00DB7F5F"/>
    <w:rsid w:val="00DC127D"/>
    <w:rsid w:val="00DC183B"/>
    <w:rsid w:val="00DC696F"/>
    <w:rsid w:val="00DD0560"/>
    <w:rsid w:val="00DD0567"/>
    <w:rsid w:val="00DD0F5C"/>
    <w:rsid w:val="00DD26A6"/>
    <w:rsid w:val="00DD325D"/>
    <w:rsid w:val="00DD3530"/>
    <w:rsid w:val="00DD6F3E"/>
    <w:rsid w:val="00DD763C"/>
    <w:rsid w:val="00DE0E8D"/>
    <w:rsid w:val="00DE23CE"/>
    <w:rsid w:val="00DE288C"/>
    <w:rsid w:val="00DE557F"/>
    <w:rsid w:val="00DE6567"/>
    <w:rsid w:val="00DE6824"/>
    <w:rsid w:val="00DE6B22"/>
    <w:rsid w:val="00DE73E1"/>
    <w:rsid w:val="00DE7882"/>
    <w:rsid w:val="00DF02D3"/>
    <w:rsid w:val="00DF0537"/>
    <w:rsid w:val="00DF129B"/>
    <w:rsid w:val="00DF1CCF"/>
    <w:rsid w:val="00DF1D4F"/>
    <w:rsid w:val="00DF227D"/>
    <w:rsid w:val="00DF40D5"/>
    <w:rsid w:val="00DF5927"/>
    <w:rsid w:val="00DF77E8"/>
    <w:rsid w:val="00DF7F57"/>
    <w:rsid w:val="00E007BA"/>
    <w:rsid w:val="00E027BD"/>
    <w:rsid w:val="00E05CD3"/>
    <w:rsid w:val="00E10896"/>
    <w:rsid w:val="00E11310"/>
    <w:rsid w:val="00E113BE"/>
    <w:rsid w:val="00E11AA7"/>
    <w:rsid w:val="00E12036"/>
    <w:rsid w:val="00E1353A"/>
    <w:rsid w:val="00E22E48"/>
    <w:rsid w:val="00E24781"/>
    <w:rsid w:val="00E24B90"/>
    <w:rsid w:val="00E258E4"/>
    <w:rsid w:val="00E25D61"/>
    <w:rsid w:val="00E33B34"/>
    <w:rsid w:val="00E41BD6"/>
    <w:rsid w:val="00E4214D"/>
    <w:rsid w:val="00E4229A"/>
    <w:rsid w:val="00E43758"/>
    <w:rsid w:val="00E43F8A"/>
    <w:rsid w:val="00E4515A"/>
    <w:rsid w:val="00E46E18"/>
    <w:rsid w:val="00E47C11"/>
    <w:rsid w:val="00E47DBE"/>
    <w:rsid w:val="00E517DA"/>
    <w:rsid w:val="00E51E79"/>
    <w:rsid w:val="00E54965"/>
    <w:rsid w:val="00E62DD3"/>
    <w:rsid w:val="00E639C2"/>
    <w:rsid w:val="00E675C6"/>
    <w:rsid w:val="00E73025"/>
    <w:rsid w:val="00E73311"/>
    <w:rsid w:val="00E751E3"/>
    <w:rsid w:val="00E765F1"/>
    <w:rsid w:val="00E77A76"/>
    <w:rsid w:val="00E80B83"/>
    <w:rsid w:val="00E80FD0"/>
    <w:rsid w:val="00E811E2"/>
    <w:rsid w:val="00E830DF"/>
    <w:rsid w:val="00E84D10"/>
    <w:rsid w:val="00E86111"/>
    <w:rsid w:val="00E86FF9"/>
    <w:rsid w:val="00E87AAE"/>
    <w:rsid w:val="00E9162F"/>
    <w:rsid w:val="00E928D3"/>
    <w:rsid w:val="00E929F9"/>
    <w:rsid w:val="00E9334E"/>
    <w:rsid w:val="00E93529"/>
    <w:rsid w:val="00E9549B"/>
    <w:rsid w:val="00EA0A8F"/>
    <w:rsid w:val="00EA1797"/>
    <w:rsid w:val="00EA30D7"/>
    <w:rsid w:val="00EA5452"/>
    <w:rsid w:val="00EA58E2"/>
    <w:rsid w:val="00EB272B"/>
    <w:rsid w:val="00EB5123"/>
    <w:rsid w:val="00EB6D6D"/>
    <w:rsid w:val="00EB70AA"/>
    <w:rsid w:val="00EB7350"/>
    <w:rsid w:val="00EC0A91"/>
    <w:rsid w:val="00EC156C"/>
    <w:rsid w:val="00EC2F94"/>
    <w:rsid w:val="00EC5334"/>
    <w:rsid w:val="00EC557E"/>
    <w:rsid w:val="00EC5ADF"/>
    <w:rsid w:val="00EC66AA"/>
    <w:rsid w:val="00EC6C70"/>
    <w:rsid w:val="00ED1BC5"/>
    <w:rsid w:val="00ED23A2"/>
    <w:rsid w:val="00ED34CA"/>
    <w:rsid w:val="00ED56AF"/>
    <w:rsid w:val="00EE045E"/>
    <w:rsid w:val="00EE0F15"/>
    <w:rsid w:val="00EE21ED"/>
    <w:rsid w:val="00EE21FC"/>
    <w:rsid w:val="00EE2307"/>
    <w:rsid w:val="00EE3E18"/>
    <w:rsid w:val="00EE4977"/>
    <w:rsid w:val="00EF0501"/>
    <w:rsid w:val="00EF1945"/>
    <w:rsid w:val="00EF263B"/>
    <w:rsid w:val="00EF30E9"/>
    <w:rsid w:val="00EF3BBE"/>
    <w:rsid w:val="00EF46AC"/>
    <w:rsid w:val="00EF4867"/>
    <w:rsid w:val="00EF67F6"/>
    <w:rsid w:val="00EF70B6"/>
    <w:rsid w:val="00F106C7"/>
    <w:rsid w:val="00F10A01"/>
    <w:rsid w:val="00F10F33"/>
    <w:rsid w:val="00F12A4C"/>
    <w:rsid w:val="00F16B1F"/>
    <w:rsid w:val="00F17F7F"/>
    <w:rsid w:val="00F208DB"/>
    <w:rsid w:val="00F20FDE"/>
    <w:rsid w:val="00F219C2"/>
    <w:rsid w:val="00F22F6D"/>
    <w:rsid w:val="00F24678"/>
    <w:rsid w:val="00F24A01"/>
    <w:rsid w:val="00F251D8"/>
    <w:rsid w:val="00F268DA"/>
    <w:rsid w:val="00F26F2D"/>
    <w:rsid w:val="00F27085"/>
    <w:rsid w:val="00F27A6D"/>
    <w:rsid w:val="00F33093"/>
    <w:rsid w:val="00F37780"/>
    <w:rsid w:val="00F438F7"/>
    <w:rsid w:val="00F462E4"/>
    <w:rsid w:val="00F46A88"/>
    <w:rsid w:val="00F51321"/>
    <w:rsid w:val="00F51776"/>
    <w:rsid w:val="00F5291E"/>
    <w:rsid w:val="00F53E77"/>
    <w:rsid w:val="00F54EAB"/>
    <w:rsid w:val="00F55849"/>
    <w:rsid w:val="00F55910"/>
    <w:rsid w:val="00F5623A"/>
    <w:rsid w:val="00F63C41"/>
    <w:rsid w:val="00F6724A"/>
    <w:rsid w:val="00F672AE"/>
    <w:rsid w:val="00F7049D"/>
    <w:rsid w:val="00F70BCE"/>
    <w:rsid w:val="00F71D2D"/>
    <w:rsid w:val="00F72A4F"/>
    <w:rsid w:val="00F75AE5"/>
    <w:rsid w:val="00F76C7F"/>
    <w:rsid w:val="00F77AE1"/>
    <w:rsid w:val="00F80E0A"/>
    <w:rsid w:val="00F8242A"/>
    <w:rsid w:val="00F831DE"/>
    <w:rsid w:val="00F83C02"/>
    <w:rsid w:val="00F83FB2"/>
    <w:rsid w:val="00F83FB8"/>
    <w:rsid w:val="00F84111"/>
    <w:rsid w:val="00F84C4E"/>
    <w:rsid w:val="00F86352"/>
    <w:rsid w:val="00F87DCA"/>
    <w:rsid w:val="00F91DC1"/>
    <w:rsid w:val="00F91E97"/>
    <w:rsid w:val="00F92356"/>
    <w:rsid w:val="00F92B77"/>
    <w:rsid w:val="00F93627"/>
    <w:rsid w:val="00FA0DA4"/>
    <w:rsid w:val="00FA266C"/>
    <w:rsid w:val="00FA2776"/>
    <w:rsid w:val="00FA7CE8"/>
    <w:rsid w:val="00FB1799"/>
    <w:rsid w:val="00FB39B7"/>
    <w:rsid w:val="00FB41D4"/>
    <w:rsid w:val="00FB5B35"/>
    <w:rsid w:val="00FB74AB"/>
    <w:rsid w:val="00FB7D74"/>
    <w:rsid w:val="00FC0B7D"/>
    <w:rsid w:val="00FC1ACB"/>
    <w:rsid w:val="00FC3D18"/>
    <w:rsid w:val="00FC3D25"/>
    <w:rsid w:val="00FC4C7A"/>
    <w:rsid w:val="00FC67D5"/>
    <w:rsid w:val="00FD0AF2"/>
    <w:rsid w:val="00FD3DD4"/>
    <w:rsid w:val="00FD45B4"/>
    <w:rsid w:val="00FE2205"/>
    <w:rsid w:val="00FE23BB"/>
    <w:rsid w:val="00FE32DD"/>
    <w:rsid w:val="00FF0144"/>
    <w:rsid w:val="00FF230B"/>
    <w:rsid w:val="00FF30CD"/>
    <w:rsid w:val="00FF412B"/>
    <w:rsid w:val="00FF4DCC"/>
    <w:rsid w:val="00FF7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57E4"/>
  <w15:docId w15:val="{CBAD0EA4-CBB9-43B6-A130-9B80FFAD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BA"/>
    <w:pPr>
      <w:autoSpaceDE w:val="0"/>
      <w:autoSpaceDN w:val="0"/>
      <w:adjustRightInd w:val="0"/>
      <w:spacing w:after="24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6B5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28D0"/>
    <w:pPr>
      <w:suppressAutoHyphens/>
      <w:autoSpaceDE/>
      <w:autoSpaceDN/>
      <w:adjustRightInd/>
      <w:ind w:left="1080"/>
      <w:jc w:val="both"/>
    </w:pPr>
    <w:rPr>
      <w:rFonts w:eastAsia="Times New Roman"/>
      <w:sz w:val="22"/>
      <w:lang w:val="en-GB"/>
    </w:rPr>
  </w:style>
  <w:style w:type="character" w:customStyle="1" w:styleId="BodyTextIndent2Char">
    <w:name w:val="Body Text Indent 2 Char"/>
    <w:basedOn w:val="DefaultParagraphFont"/>
    <w:link w:val="BodyTextIndent2"/>
    <w:rsid w:val="005428D0"/>
    <w:rPr>
      <w:rFonts w:ascii="Times New Roman" w:eastAsia="Times New Roman" w:hAnsi="Times New Roman" w:cs="Times New Roman"/>
      <w:szCs w:val="20"/>
      <w:lang w:val="en-GB"/>
    </w:rPr>
  </w:style>
  <w:style w:type="paragraph" w:styleId="Header">
    <w:name w:val="header"/>
    <w:basedOn w:val="Normal"/>
    <w:link w:val="HeaderChar"/>
    <w:rsid w:val="00F90C79"/>
    <w:pPr>
      <w:tabs>
        <w:tab w:val="center" w:pos="4320"/>
        <w:tab w:val="right" w:pos="8640"/>
      </w:tabs>
      <w:suppressAutoHyphens/>
      <w:autoSpaceDE/>
      <w:autoSpaceDN/>
      <w:adjustRightInd/>
    </w:pPr>
    <w:rPr>
      <w:rFonts w:ascii="Arial" w:eastAsia="Times New Roman" w:hAnsi="Arial"/>
      <w:lang w:val="en-GB"/>
    </w:rPr>
  </w:style>
  <w:style w:type="character" w:customStyle="1" w:styleId="HeaderChar">
    <w:name w:val="Header Char"/>
    <w:basedOn w:val="DefaultParagraphFont"/>
    <w:link w:val="Header"/>
    <w:rsid w:val="00F90C79"/>
    <w:rPr>
      <w:rFonts w:ascii="Arial" w:eastAsia="Times New Roman" w:hAnsi="Arial" w:cs="Times New Roman"/>
      <w:sz w:val="20"/>
      <w:szCs w:val="20"/>
      <w:lang w:val="en-GB"/>
    </w:rPr>
  </w:style>
  <w:style w:type="paragraph" w:styleId="BodyTextIndent">
    <w:name w:val="Body Text Indent"/>
    <w:basedOn w:val="Normal"/>
    <w:link w:val="BodyTextIndentChar"/>
    <w:uiPriority w:val="99"/>
    <w:unhideWhenUsed/>
    <w:rsid w:val="00D16F56"/>
    <w:pPr>
      <w:spacing w:after="120"/>
      <w:ind w:left="360"/>
    </w:pPr>
  </w:style>
  <w:style w:type="character" w:customStyle="1" w:styleId="BodyTextIndentChar">
    <w:name w:val="Body Text Indent Char"/>
    <w:basedOn w:val="DefaultParagraphFont"/>
    <w:link w:val="BodyTextIndent"/>
    <w:uiPriority w:val="99"/>
    <w:rsid w:val="00D16F56"/>
    <w:rPr>
      <w:rFonts w:ascii="Times New Roman" w:eastAsiaTheme="minorEastAsia" w:hAnsi="Times New Roman" w:cs="Times New Roman"/>
      <w:sz w:val="20"/>
      <w:szCs w:val="20"/>
    </w:rPr>
  </w:style>
  <w:style w:type="table" w:styleId="TableGrid">
    <w:name w:val="Table Grid"/>
    <w:basedOn w:val="TableNormal"/>
    <w:uiPriority w:val="39"/>
    <w:rsid w:val="006A583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C14AA"/>
    <w:pPr>
      <w:spacing w:after="120"/>
    </w:pPr>
  </w:style>
  <w:style w:type="character" w:customStyle="1" w:styleId="BodyTextChar">
    <w:name w:val="Body Text Char"/>
    <w:basedOn w:val="DefaultParagraphFont"/>
    <w:link w:val="BodyText"/>
    <w:uiPriority w:val="99"/>
    <w:rsid w:val="009C14AA"/>
    <w:rPr>
      <w:rFonts w:ascii="Times New Roman" w:eastAsiaTheme="minorEastAsia" w:hAnsi="Times New Roman" w:cs="Times New Roman"/>
      <w:sz w:val="20"/>
      <w:szCs w:val="20"/>
    </w:rPr>
  </w:style>
  <w:style w:type="paragraph" w:styleId="ListParagraph">
    <w:name w:val="List Paragraph"/>
    <w:aliases w:val="Bullets in notes"/>
    <w:basedOn w:val="Normal"/>
    <w:link w:val="ListParagraphChar"/>
    <w:uiPriority w:val="34"/>
    <w:qFormat/>
    <w:rsid w:val="00086D9D"/>
    <w:pPr>
      <w:ind w:left="720"/>
      <w:contextualSpacing/>
    </w:pPr>
  </w:style>
  <w:style w:type="paragraph" w:styleId="Footer">
    <w:name w:val="footer"/>
    <w:basedOn w:val="Normal"/>
    <w:link w:val="FooterChar"/>
    <w:uiPriority w:val="99"/>
    <w:unhideWhenUsed/>
    <w:rsid w:val="006C4ED1"/>
    <w:pPr>
      <w:tabs>
        <w:tab w:val="center" w:pos="4680"/>
        <w:tab w:val="right" w:pos="9360"/>
      </w:tabs>
    </w:pPr>
  </w:style>
  <w:style w:type="character" w:customStyle="1" w:styleId="FooterChar">
    <w:name w:val="Footer Char"/>
    <w:basedOn w:val="DefaultParagraphFont"/>
    <w:link w:val="Footer"/>
    <w:uiPriority w:val="99"/>
    <w:rsid w:val="006C4ED1"/>
    <w:rPr>
      <w:rFonts w:ascii="Times New Roman" w:eastAsiaTheme="minorEastAsia" w:hAnsi="Times New Roman" w:cs="Times New Roman"/>
      <w:sz w:val="20"/>
      <w:szCs w:val="20"/>
    </w:rPr>
  </w:style>
  <w:style w:type="paragraph" w:customStyle="1" w:styleId="Style1">
    <w:name w:val="Style1"/>
    <w:basedOn w:val="Normal"/>
    <w:rsid w:val="001901C0"/>
    <w:pPr>
      <w:suppressAutoHyphens/>
      <w:autoSpaceDE/>
      <w:autoSpaceDN/>
      <w:adjustRightInd/>
      <w:jc w:val="both"/>
    </w:pPr>
    <w:rPr>
      <w:rFonts w:eastAsia="Times New Roman"/>
      <w:sz w:val="22"/>
      <w:lang w:val="en-GB"/>
    </w:rPr>
  </w:style>
  <w:style w:type="paragraph" w:customStyle="1" w:styleId="dr">
    <w:name w:val="dr"/>
    <w:rsid w:val="001901C0"/>
    <w:pPr>
      <w:suppressAutoHyphens/>
      <w:spacing w:after="0" w:line="240" w:lineRule="auto"/>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5C52D0"/>
  </w:style>
  <w:style w:type="character" w:customStyle="1" w:styleId="FootnoteTextChar">
    <w:name w:val="Footnote Text Char"/>
    <w:basedOn w:val="DefaultParagraphFont"/>
    <w:link w:val="FootnoteText"/>
    <w:uiPriority w:val="99"/>
    <w:semiHidden/>
    <w:rsid w:val="005C52D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C52D0"/>
    <w:rPr>
      <w:vertAlign w:val="superscript"/>
    </w:rPr>
  </w:style>
  <w:style w:type="character" w:customStyle="1" w:styleId="DocID">
    <w:name w:val="DocID"/>
    <w:basedOn w:val="DefaultParagraphFont"/>
    <w:rsid w:val="00525687"/>
    <w:rPr>
      <w:rFonts w:ascii="Verdana" w:hAnsi="Verdana"/>
      <w:b w:val="0"/>
      <w:bCs/>
      <w:color w:val="000000"/>
      <w:sz w:val="14"/>
      <w:szCs w:val="22"/>
    </w:rPr>
  </w:style>
  <w:style w:type="character" w:customStyle="1" w:styleId="ListParagraphChar">
    <w:name w:val="List Paragraph Char"/>
    <w:aliases w:val="Bullets in notes Char"/>
    <w:link w:val="ListParagraph"/>
    <w:uiPriority w:val="34"/>
    <w:rsid w:val="00785E72"/>
    <w:rPr>
      <w:rFonts w:ascii="Times New Roman" w:eastAsiaTheme="minorEastAsia" w:hAnsi="Times New Roman" w:cs="Times New Roman"/>
      <w:sz w:val="20"/>
      <w:szCs w:val="20"/>
    </w:rPr>
  </w:style>
  <w:style w:type="paragraph" w:customStyle="1" w:styleId="NotesHeading">
    <w:name w:val="Notes Heading"/>
    <w:basedOn w:val="BodyText"/>
    <w:link w:val="NotesHeadingChar"/>
    <w:qFormat/>
    <w:rsid w:val="00CF6DD5"/>
    <w:pPr>
      <w:autoSpaceDE/>
      <w:autoSpaceDN/>
      <w:adjustRightInd/>
      <w:spacing w:before="60" w:after="60"/>
      <w:ind w:left="360" w:hanging="360"/>
    </w:pPr>
    <w:rPr>
      <w:rFonts w:eastAsia="PMingLiU"/>
      <w:b/>
      <w:sz w:val="18"/>
      <w:szCs w:val="24"/>
      <w:lang w:val="en-CA" w:eastAsia="en-CA"/>
    </w:rPr>
  </w:style>
  <w:style w:type="paragraph" w:customStyle="1" w:styleId="TableText">
    <w:name w:val="Table Text"/>
    <w:basedOn w:val="BodyText"/>
    <w:rsid w:val="00CF6DD5"/>
    <w:pPr>
      <w:autoSpaceDE/>
      <w:autoSpaceDN/>
      <w:adjustRightInd/>
      <w:spacing w:before="60" w:after="60"/>
    </w:pPr>
    <w:rPr>
      <w:rFonts w:eastAsia="PMingLiU"/>
      <w:sz w:val="22"/>
      <w:szCs w:val="24"/>
      <w:lang w:val="en-CA" w:eastAsia="en-CA"/>
    </w:rPr>
  </w:style>
  <w:style w:type="character" w:styleId="Hyperlink">
    <w:name w:val="Hyperlink"/>
    <w:basedOn w:val="DefaultParagraphFont"/>
    <w:uiPriority w:val="99"/>
    <w:unhideWhenUsed/>
    <w:rsid w:val="00CF6DD5"/>
    <w:rPr>
      <w:color w:val="0000FF"/>
      <w:u w:val="single"/>
    </w:rPr>
  </w:style>
  <w:style w:type="character" w:customStyle="1" w:styleId="NotesHeadingChar">
    <w:name w:val="Notes Heading Char"/>
    <w:link w:val="NotesHeading"/>
    <w:rsid w:val="00CF6DD5"/>
    <w:rPr>
      <w:rFonts w:ascii="Times New Roman" w:eastAsia="PMingLiU" w:hAnsi="Times New Roman" w:cs="Times New Roman"/>
      <w:b/>
      <w:sz w:val="18"/>
      <w:szCs w:val="24"/>
      <w:lang w:val="en-CA" w:eastAsia="en-CA"/>
    </w:rPr>
  </w:style>
  <w:style w:type="paragraph" w:customStyle="1" w:styleId="ONEBodyText">
    <w:name w:val="ONE Body Text"/>
    <w:basedOn w:val="Normal"/>
    <w:link w:val="ONEBodyTextChar"/>
    <w:qFormat/>
    <w:rsid w:val="00CF6DD5"/>
    <w:pPr>
      <w:autoSpaceDE/>
      <w:autoSpaceDN/>
      <w:adjustRightInd/>
      <w:spacing w:after="220"/>
      <w:jc w:val="both"/>
    </w:pPr>
    <w:rPr>
      <w:rFonts w:eastAsiaTheme="minorHAnsi" w:cstheme="minorBidi"/>
      <w:sz w:val="22"/>
      <w:szCs w:val="24"/>
      <w:lang w:val="en-CA"/>
    </w:rPr>
  </w:style>
  <w:style w:type="character" w:customStyle="1" w:styleId="ONEBodyTextChar">
    <w:name w:val="ONE Body Text Char"/>
    <w:basedOn w:val="DefaultParagraphFont"/>
    <w:link w:val="ONEBodyText"/>
    <w:rsid w:val="00CF6DD5"/>
    <w:rPr>
      <w:rFonts w:ascii="Times New Roman" w:hAnsi="Times New Roman"/>
      <w:szCs w:val="24"/>
      <w:lang w:val="en-CA"/>
    </w:rPr>
  </w:style>
  <w:style w:type="paragraph" w:customStyle="1" w:styleId="NotesList">
    <w:name w:val="Notes List"/>
    <w:basedOn w:val="Normal"/>
    <w:qFormat/>
    <w:rsid w:val="00CF6DD5"/>
    <w:pPr>
      <w:numPr>
        <w:numId w:val="36"/>
      </w:numPr>
      <w:tabs>
        <w:tab w:val="left" w:pos="-720"/>
      </w:tabs>
      <w:suppressAutoHyphens/>
      <w:spacing w:after="60"/>
      <w:ind w:left="360"/>
      <w:jc w:val="both"/>
    </w:pPr>
    <w:rPr>
      <w:rFonts w:eastAsia="PMingLiU"/>
      <w:sz w:val="18"/>
      <w:szCs w:val="18"/>
      <w:lang w:eastAsia="zh-TW"/>
    </w:rPr>
  </w:style>
  <w:style w:type="paragraph" w:customStyle="1" w:styleId="Notes">
    <w:name w:val="Notes"/>
    <w:basedOn w:val="Normal"/>
    <w:qFormat/>
    <w:rsid w:val="00387FB1"/>
    <w:pPr>
      <w:tabs>
        <w:tab w:val="left" w:pos="-720"/>
        <w:tab w:val="left" w:pos="0"/>
      </w:tabs>
      <w:suppressAutoHyphens/>
      <w:jc w:val="both"/>
    </w:pPr>
    <w:rPr>
      <w:rFonts w:eastAsia="PMingLiU"/>
      <w:sz w:val="16"/>
      <w:szCs w:val="16"/>
      <w:lang w:eastAsia="zh-TW"/>
    </w:rPr>
  </w:style>
  <w:style w:type="character" w:customStyle="1" w:styleId="Heading1Char">
    <w:name w:val="Heading 1 Char"/>
    <w:basedOn w:val="DefaultParagraphFont"/>
    <w:link w:val="Heading1"/>
    <w:uiPriority w:val="9"/>
    <w:rsid w:val="006B57A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B7530B"/>
    <w:rPr>
      <w:sz w:val="16"/>
      <w:szCs w:val="16"/>
    </w:rPr>
  </w:style>
  <w:style w:type="paragraph" w:styleId="CommentText">
    <w:name w:val="annotation text"/>
    <w:basedOn w:val="Normal"/>
    <w:link w:val="CommentTextChar"/>
    <w:uiPriority w:val="99"/>
    <w:unhideWhenUsed/>
    <w:rsid w:val="00B7530B"/>
  </w:style>
  <w:style w:type="character" w:customStyle="1" w:styleId="CommentTextChar">
    <w:name w:val="Comment Text Char"/>
    <w:basedOn w:val="DefaultParagraphFont"/>
    <w:link w:val="CommentText"/>
    <w:uiPriority w:val="99"/>
    <w:rsid w:val="00B7530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75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0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04ECC"/>
    <w:rPr>
      <w:b/>
      <w:bCs/>
    </w:rPr>
  </w:style>
  <w:style w:type="character" w:customStyle="1" w:styleId="CommentSubjectChar">
    <w:name w:val="Comment Subject Char"/>
    <w:basedOn w:val="CommentTextChar"/>
    <w:link w:val="CommentSubject"/>
    <w:uiPriority w:val="99"/>
    <w:semiHidden/>
    <w:rsid w:val="00904ECC"/>
    <w:rPr>
      <w:rFonts w:ascii="Times New Roman" w:eastAsiaTheme="minorEastAsia" w:hAnsi="Times New Roman" w:cs="Times New Roman"/>
      <w:b/>
      <w:bCs/>
      <w:sz w:val="20"/>
      <w:szCs w:val="20"/>
    </w:rPr>
  </w:style>
  <w:style w:type="character" w:customStyle="1" w:styleId="CommentTextChar1">
    <w:name w:val="Comment Text Char1"/>
    <w:basedOn w:val="DefaultParagraphFont"/>
    <w:uiPriority w:val="99"/>
    <w:rsid w:val="00DF1CCF"/>
    <w:rPr>
      <w:rFonts w:ascii="Arial" w:hAnsi="Arial"/>
      <w:lang w:val="en-GB" w:eastAsia="en-US"/>
    </w:rPr>
  </w:style>
  <w:style w:type="character" w:customStyle="1" w:styleId="markgdsgtywly">
    <w:name w:val="markgdsgtywly"/>
    <w:basedOn w:val="DefaultParagraphFont"/>
    <w:rsid w:val="00A61905"/>
  </w:style>
  <w:style w:type="paragraph" w:styleId="Revision">
    <w:name w:val="Revision"/>
    <w:hidden/>
    <w:uiPriority w:val="99"/>
    <w:semiHidden/>
    <w:rsid w:val="00880CDB"/>
    <w:pPr>
      <w:spacing w:after="0" w:line="240" w:lineRule="auto"/>
    </w:pPr>
    <w:rPr>
      <w:rFonts w:ascii="Times New Roman" w:eastAsiaTheme="minorEastAsia" w:hAnsi="Times New Roman" w:cs="Times New Roman"/>
      <w:sz w:val="20"/>
      <w:szCs w:val="20"/>
    </w:rPr>
  </w:style>
  <w:style w:type="table" w:customStyle="1" w:styleId="TableGrid1">
    <w:name w:val="Table Grid1"/>
    <w:basedOn w:val="TableNormal"/>
    <w:next w:val="TableGrid"/>
    <w:uiPriority w:val="39"/>
    <w:rsid w:val="005C3577"/>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07BA"/>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229BA"/>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29F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6AD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BEC"/>
    <w:pPr>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B272B"/>
    <w:rPr>
      <w:color w:val="605E5C"/>
      <w:shd w:val="clear" w:color="auto" w:fill="E1DFDD"/>
    </w:rPr>
  </w:style>
  <w:style w:type="paragraph" w:customStyle="1" w:styleId="Headingext1">
    <w:name w:val="Heading ext 1"/>
    <w:basedOn w:val="Normal"/>
    <w:uiPriority w:val="50"/>
    <w:qFormat/>
    <w:rsid w:val="009A0A60"/>
    <w:pPr>
      <w:autoSpaceDE/>
      <w:autoSpaceDN/>
      <w:adjustRightInd/>
      <w:spacing w:before="240" w:after="0"/>
      <w:jc w:val="both"/>
    </w:pPr>
    <w:rPr>
      <w:rFonts w:asciiTheme="minorHAnsi" w:eastAsiaTheme="minorHAnsi" w:hAnsiTheme="minorHAnsi" w:cstheme="minorHAnsi"/>
      <w:color w:val="000000" w:themeColor="text1"/>
      <w:sz w:val="22"/>
      <w:szCs w:val="22"/>
      <w:lang w:val="en-CA"/>
    </w:rPr>
  </w:style>
  <w:style w:type="paragraph" w:styleId="NoSpacing">
    <w:name w:val="No Spacing"/>
    <w:link w:val="NoSpacingChar"/>
    <w:uiPriority w:val="1"/>
    <w:qFormat/>
    <w:rsid w:val="009A0A60"/>
    <w:pPr>
      <w:spacing w:after="0" w:line="240" w:lineRule="auto"/>
    </w:pPr>
    <w:rPr>
      <w:color w:val="000000" w:themeColor="text1"/>
      <w:sz w:val="24"/>
      <w:lang w:val="en-CA"/>
    </w:rPr>
  </w:style>
  <w:style w:type="character" w:customStyle="1" w:styleId="NoSpacingChar">
    <w:name w:val="No Spacing Char"/>
    <w:link w:val="NoSpacing"/>
    <w:uiPriority w:val="1"/>
    <w:rsid w:val="009A0A60"/>
    <w:rPr>
      <w:color w:val="000000" w:themeColor="text1"/>
      <w:sz w:val="24"/>
      <w:lang w:val="en-CA"/>
    </w:rPr>
  </w:style>
  <w:style w:type="paragraph" w:styleId="TOCHeading">
    <w:name w:val="TOC Heading"/>
    <w:basedOn w:val="Heading1"/>
    <w:next w:val="Normal"/>
    <w:uiPriority w:val="39"/>
    <w:unhideWhenUsed/>
    <w:qFormat/>
    <w:rsid w:val="00E24781"/>
    <w:pPr>
      <w:autoSpaceDE/>
      <w:autoSpaceDN/>
      <w:adjustRightInd/>
      <w:spacing w:line="259" w:lineRule="auto"/>
      <w:outlineLvl w:val="9"/>
    </w:pPr>
  </w:style>
  <w:style w:type="paragraph" w:styleId="TOC1">
    <w:name w:val="toc 1"/>
    <w:basedOn w:val="Normal"/>
    <w:next w:val="Normal"/>
    <w:autoRedefine/>
    <w:uiPriority w:val="39"/>
    <w:unhideWhenUsed/>
    <w:rsid w:val="00947F82"/>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3166">
      <w:bodyDiv w:val="1"/>
      <w:marLeft w:val="0"/>
      <w:marRight w:val="0"/>
      <w:marTop w:val="0"/>
      <w:marBottom w:val="0"/>
      <w:divBdr>
        <w:top w:val="none" w:sz="0" w:space="0" w:color="auto"/>
        <w:left w:val="none" w:sz="0" w:space="0" w:color="auto"/>
        <w:bottom w:val="none" w:sz="0" w:space="0" w:color="auto"/>
        <w:right w:val="none" w:sz="0" w:space="0" w:color="auto"/>
      </w:divBdr>
    </w:div>
    <w:div w:id="798497965">
      <w:bodyDiv w:val="1"/>
      <w:marLeft w:val="0"/>
      <w:marRight w:val="0"/>
      <w:marTop w:val="0"/>
      <w:marBottom w:val="0"/>
      <w:divBdr>
        <w:top w:val="none" w:sz="0" w:space="0" w:color="auto"/>
        <w:left w:val="none" w:sz="0" w:space="0" w:color="auto"/>
        <w:bottom w:val="none" w:sz="0" w:space="0" w:color="auto"/>
        <w:right w:val="none" w:sz="0" w:space="0" w:color="auto"/>
      </w:divBdr>
    </w:div>
    <w:div w:id="1022583901">
      <w:bodyDiv w:val="1"/>
      <w:marLeft w:val="0"/>
      <w:marRight w:val="0"/>
      <w:marTop w:val="0"/>
      <w:marBottom w:val="0"/>
      <w:divBdr>
        <w:top w:val="none" w:sz="0" w:space="0" w:color="auto"/>
        <w:left w:val="none" w:sz="0" w:space="0" w:color="auto"/>
        <w:bottom w:val="none" w:sz="0" w:space="0" w:color="auto"/>
        <w:right w:val="none" w:sz="0" w:space="0" w:color="auto"/>
      </w:divBdr>
    </w:div>
    <w:div w:id="1096748079">
      <w:bodyDiv w:val="1"/>
      <w:marLeft w:val="0"/>
      <w:marRight w:val="0"/>
      <w:marTop w:val="0"/>
      <w:marBottom w:val="0"/>
      <w:divBdr>
        <w:top w:val="none" w:sz="0" w:space="0" w:color="auto"/>
        <w:left w:val="none" w:sz="0" w:space="0" w:color="auto"/>
        <w:bottom w:val="none" w:sz="0" w:space="0" w:color="auto"/>
        <w:right w:val="none" w:sz="0" w:space="0" w:color="auto"/>
      </w:divBdr>
    </w:div>
    <w:div w:id="1412311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trillio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821B-17E4-4B86-BFBB-CD3C1128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8933</Words>
  <Characters>50923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lower</dc:creator>
  <cp:keywords/>
  <dc:description/>
  <cp:lastModifiedBy>Nina Yii</cp:lastModifiedBy>
  <cp:revision>4</cp:revision>
  <dcterms:created xsi:type="dcterms:W3CDTF">2022-08-24T15:32:00Z</dcterms:created>
  <dcterms:modified xsi:type="dcterms:W3CDTF">2022-08-24T15:33:00Z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LEGAL_36410480.3.DOCX</vt:lpwstr>
  </property>
</Properties>
</file>