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C157" w14:textId="77777777" w:rsidR="00A77B3E" w:rsidRDefault="002654E3">
      <w:pPr>
        <w:spacing w:after="180" w:line="247" w:lineRule="auto"/>
        <w:jc w:val="center"/>
        <w:rPr>
          <w:sz w:val="20"/>
        </w:rPr>
      </w:pPr>
      <w:bookmarkStart w:id="0" w:name="Section1"/>
      <w:bookmarkEnd w:id="0"/>
      <w:r>
        <w:rPr>
          <w:noProof/>
        </w:rPr>
        <w:drawing>
          <wp:inline distT="0" distB="0" distL="0" distR="0" wp14:anchorId="4735C352" wp14:editId="4735C353">
            <wp:extent cx="2381250" cy="87630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1250" cy="876300"/>
                    </a:xfrm>
                    <a:prstGeom prst="rect">
                      <a:avLst/>
                    </a:prstGeom>
                    <a:noFill/>
                    <a:ln>
                      <a:noFill/>
                    </a:ln>
                  </pic:spPr>
                </pic:pic>
              </a:graphicData>
            </a:graphic>
          </wp:inline>
        </w:drawing>
      </w:r>
    </w:p>
    <w:p w14:paraId="4735C158" w14:textId="77777777" w:rsidR="00A77B3E" w:rsidRDefault="002654E3">
      <w:pPr>
        <w:spacing w:line="288" w:lineRule="auto"/>
        <w:jc w:val="center"/>
        <w:rPr>
          <w:b/>
          <w:i/>
          <w:sz w:val="22"/>
          <w:u w:val="single"/>
        </w:rPr>
      </w:pPr>
      <w:r>
        <w:rPr>
          <w:b/>
          <w:sz w:val="22"/>
          <w:u w:val="single"/>
        </w:rPr>
        <w:t>AWH ANNOUNCES Q1 2022 FINANCIAL RESULTS</w:t>
      </w:r>
    </w:p>
    <w:p w14:paraId="4735C159" w14:textId="77777777" w:rsidR="00A77B3E" w:rsidRDefault="00A77B3E">
      <w:pPr>
        <w:spacing w:line="288" w:lineRule="auto"/>
        <w:jc w:val="center"/>
        <w:rPr>
          <w:b/>
          <w:i/>
          <w:sz w:val="22"/>
          <w:u w:val="single"/>
          <w:shd w:val="clear" w:color="auto" w:fill="FFFF00"/>
        </w:rPr>
      </w:pPr>
    </w:p>
    <w:p w14:paraId="4735C15A" w14:textId="77777777" w:rsidR="00A77B3E" w:rsidRDefault="002654E3">
      <w:pPr>
        <w:spacing w:after="180" w:line="288" w:lineRule="auto"/>
        <w:jc w:val="center"/>
        <w:rPr>
          <w:b/>
          <w:i/>
          <w:sz w:val="22"/>
        </w:rPr>
      </w:pPr>
      <w:r>
        <w:rPr>
          <w:b/>
          <w:i/>
          <w:sz w:val="22"/>
        </w:rPr>
        <w:t>Q1</w:t>
      </w:r>
      <w:r>
        <w:rPr>
          <w:b/>
          <w:i/>
          <w:sz w:val="22"/>
        </w:rPr>
        <w:t xml:space="preserve"> </w:t>
      </w:r>
      <w:r>
        <w:rPr>
          <w:b/>
          <w:i/>
          <w:sz w:val="22"/>
        </w:rPr>
        <w:t>2022</w:t>
      </w:r>
      <w:r>
        <w:rPr>
          <w:b/>
          <w:i/>
          <w:sz w:val="22"/>
        </w:rPr>
        <w:t xml:space="preserve"> Net Revenue of </w:t>
      </w:r>
      <w:r>
        <w:rPr>
          <w:b/>
          <w:i/>
          <w:sz w:val="22"/>
        </w:rPr>
        <w:t>$85.1</w:t>
      </w:r>
      <w:r>
        <w:rPr>
          <w:b/>
          <w:i/>
          <w:sz w:val="22"/>
        </w:rPr>
        <w:t xml:space="preserve"> million </w:t>
      </w:r>
    </w:p>
    <w:p w14:paraId="4735C15B" w14:textId="77777777" w:rsidR="00A77B3E" w:rsidRDefault="002654E3">
      <w:pPr>
        <w:spacing w:after="180" w:line="288" w:lineRule="auto"/>
        <w:jc w:val="center"/>
        <w:rPr>
          <w:b/>
          <w:i/>
          <w:sz w:val="22"/>
        </w:rPr>
      </w:pPr>
      <w:r>
        <w:rPr>
          <w:b/>
          <w:i/>
          <w:sz w:val="22"/>
        </w:rPr>
        <w:t xml:space="preserve">Cash and Cash Equivalents of </w:t>
      </w:r>
      <w:r>
        <w:rPr>
          <w:b/>
          <w:i/>
          <w:sz w:val="22"/>
        </w:rPr>
        <w:t>$143.8 million</w:t>
      </w:r>
      <w:r>
        <w:rPr>
          <w:b/>
          <w:i/>
          <w:sz w:val="22"/>
        </w:rPr>
        <w:t xml:space="preserve"> at Quarter-End </w:t>
      </w:r>
    </w:p>
    <w:p w14:paraId="4735C15C" w14:textId="77777777" w:rsidR="00A77B3E" w:rsidRDefault="002654E3">
      <w:pPr>
        <w:spacing w:after="180" w:line="288" w:lineRule="auto"/>
        <w:rPr>
          <w:b/>
          <w:i/>
          <w:sz w:val="22"/>
        </w:rPr>
      </w:pPr>
      <w:r>
        <w:rPr>
          <w:b/>
          <w:sz w:val="22"/>
        </w:rPr>
        <w:t xml:space="preserve">NEW YORK, NY, </w:t>
      </w:r>
      <w:r>
        <w:rPr>
          <w:b/>
          <w:sz w:val="22"/>
        </w:rPr>
        <w:t>May 11, 2022</w:t>
      </w:r>
      <w:r>
        <w:rPr>
          <w:sz w:val="22"/>
        </w:rPr>
        <w:t xml:space="preserve"> — Ascend Wellness Holdings, Inc. (“AWH” or the “Company”) (CSE: AAWH.U/ OTCQX:AAWH), a vertically integrated multi-state cannabis operator focused on bettering lives through cannabis, today reported its financial results for the three months ended </w:t>
      </w:r>
      <w:r>
        <w:rPr>
          <w:sz w:val="22"/>
        </w:rPr>
        <w:t>March 3</w:t>
      </w:r>
      <w:r>
        <w:rPr>
          <w:sz w:val="22"/>
        </w:rPr>
        <w:t>1, 2022</w:t>
      </w:r>
      <w:r>
        <w:rPr>
          <w:sz w:val="22"/>
        </w:rPr>
        <w:t xml:space="preserve"> (“Q1 2022”). Financial results are reported in accordance with U.S. generally accepted accounting principles (“GAAP”) and all currency is in U.S. dollars. </w:t>
      </w:r>
    </w:p>
    <w:p w14:paraId="4735C15D" w14:textId="77777777" w:rsidR="00A77B3E" w:rsidRDefault="002654E3">
      <w:pPr>
        <w:spacing w:after="180" w:line="288" w:lineRule="auto"/>
        <w:jc w:val="both"/>
        <w:rPr>
          <w:b/>
          <w:sz w:val="22"/>
          <w:u w:val="single"/>
        </w:rPr>
      </w:pPr>
      <w:r>
        <w:rPr>
          <w:b/>
          <w:sz w:val="22"/>
          <w:u w:val="single"/>
        </w:rPr>
        <w:t>Q1 2022 Financial Highlights</w:t>
      </w:r>
    </w:p>
    <w:p w14:paraId="4735C15E" w14:textId="77777777" w:rsidR="005C5CFC" w:rsidRDefault="002654E3">
      <w:pPr>
        <w:numPr>
          <w:ilvl w:val="0"/>
          <w:numId w:val="13"/>
        </w:numPr>
        <w:spacing w:after="180" w:line="288" w:lineRule="auto"/>
        <w:rPr>
          <w:b/>
          <w:sz w:val="22"/>
        </w:rPr>
      </w:pPr>
      <w:r>
        <w:rPr>
          <w:b/>
          <w:sz w:val="22"/>
        </w:rPr>
        <w:t>Gross Revenue:</w:t>
      </w:r>
      <w:r>
        <w:rPr>
          <w:sz w:val="22"/>
        </w:rPr>
        <w:t xml:space="preserve"> Total revenue of </w:t>
      </w:r>
      <w:r>
        <w:rPr>
          <w:sz w:val="22"/>
        </w:rPr>
        <w:t>$101.2 million</w:t>
      </w:r>
      <w:r>
        <w:rPr>
          <w:sz w:val="22"/>
        </w:rPr>
        <w:t xml:space="preserve"> decreased </w:t>
      </w:r>
      <w:r>
        <w:rPr>
          <w:sz w:val="22"/>
        </w:rPr>
        <w:t>0.8%</w:t>
      </w:r>
      <w:r>
        <w:rPr>
          <w:sz w:val="22"/>
        </w:rPr>
        <w:t xml:space="preserve"> q</w:t>
      </w:r>
      <w:r>
        <w:rPr>
          <w:sz w:val="22"/>
        </w:rPr>
        <w:t xml:space="preserve">uarter-over-quarter and increased </w:t>
      </w:r>
      <w:r>
        <w:rPr>
          <w:sz w:val="22"/>
        </w:rPr>
        <w:t>33.4%</w:t>
      </w:r>
      <w:r>
        <w:rPr>
          <w:sz w:val="22"/>
        </w:rPr>
        <w:t xml:space="preserve"> year-over-year.</w:t>
      </w:r>
    </w:p>
    <w:p w14:paraId="4735C15F" w14:textId="77777777" w:rsidR="005C5CFC" w:rsidRDefault="002654E3">
      <w:pPr>
        <w:numPr>
          <w:ilvl w:val="0"/>
          <w:numId w:val="14"/>
        </w:numPr>
        <w:spacing w:after="180" w:line="288" w:lineRule="auto"/>
        <w:rPr>
          <w:b/>
          <w:i/>
          <w:sz w:val="22"/>
        </w:rPr>
      </w:pPr>
      <w:r>
        <w:rPr>
          <w:b/>
          <w:sz w:val="22"/>
        </w:rPr>
        <w:t xml:space="preserve">Net Revenue: </w:t>
      </w:r>
      <w:r>
        <w:rPr>
          <w:sz w:val="22"/>
        </w:rPr>
        <w:t xml:space="preserve">Net revenue, which excludes intercompany sale of wholesale products, decreased </w:t>
      </w:r>
      <w:r>
        <w:rPr>
          <w:sz w:val="22"/>
        </w:rPr>
        <w:t>3.8%</w:t>
      </w:r>
      <w:r>
        <w:rPr>
          <w:sz w:val="22"/>
        </w:rPr>
        <w:t xml:space="preserve"> quarter-over-quarter, but increased </w:t>
      </w:r>
      <w:r>
        <w:rPr>
          <w:sz w:val="22"/>
        </w:rPr>
        <w:t>28.7%</w:t>
      </w:r>
      <w:r>
        <w:rPr>
          <w:sz w:val="22"/>
        </w:rPr>
        <w:t xml:space="preserve"> year-over-year, to </w:t>
      </w:r>
      <w:r>
        <w:rPr>
          <w:sz w:val="22"/>
        </w:rPr>
        <w:t>$85.1 million</w:t>
      </w:r>
      <w:r>
        <w:rPr>
          <w:sz w:val="22"/>
        </w:rPr>
        <w:t>.</w:t>
      </w:r>
    </w:p>
    <w:p w14:paraId="4735C160" w14:textId="77777777" w:rsidR="005C5CFC" w:rsidRDefault="002654E3">
      <w:pPr>
        <w:numPr>
          <w:ilvl w:val="0"/>
          <w:numId w:val="15"/>
        </w:numPr>
        <w:spacing w:after="180" w:line="288" w:lineRule="auto"/>
        <w:rPr>
          <w:b/>
          <w:i/>
          <w:sz w:val="22"/>
        </w:rPr>
      </w:pPr>
      <w:r>
        <w:rPr>
          <w:b/>
          <w:sz w:val="22"/>
        </w:rPr>
        <w:t>Net Loss:</w:t>
      </w:r>
      <w:r>
        <w:rPr>
          <w:sz w:val="22"/>
        </w:rPr>
        <w:t xml:space="preserve"> Net loss of </w:t>
      </w:r>
      <w:r>
        <w:rPr>
          <w:sz w:val="22"/>
        </w:rPr>
        <w:t>$27.8 million</w:t>
      </w:r>
      <w:r>
        <w:rPr>
          <w:sz w:val="22"/>
        </w:rPr>
        <w:t xml:space="preserve"> during the quarter, compared to net loss of </w:t>
      </w:r>
      <w:r>
        <w:rPr>
          <w:sz w:val="22"/>
        </w:rPr>
        <w:t>$16.5 million</w:t>
      </w:r>
      <w:r>
        <w:rPr>
          <w:sz w:val="22"/>
        </w:rPr>
        <w:t xml:space="preserve"> in Q4 2021. </w:t>
      </w:r>
    </w:p>
    <w:p w14:paraId="4735C161" w14:textId="77777777" w:rsidR="005C5CFC" w:rsidRDefault="002654E3">
      <w:pPr>
        <w:numPr>
          <w:ilvl w:val="0"/>
          <w:numId w:val="16"/>
        </w:numPr>
        <w:spacing w:after="180" w:line="288" w:lineRule="auto"/>
        <w:rPr>
          <w:b/>
          <w:sz w:val="22"/>
        </w:rPr>
      </w:pPr>
      <w:r>
        <w:rPr>
          <w:b/>
          <w:sz w:val="22"/>
        </w:rPr>
        <w:t>Adjusted EBITDA</w:t>
      </w:r>
      <w:r>
        <w:rPr>
          <w:rStyle w:val="FootnoteReference"/>
          <w:b/>
          <w:sz w:val="22"/>
        </w:rPr>
        <w:footnoteReference w:id="1"/>
      </w:r>
      <w:r>
        <w:rPr>
          <w:b/>
          <w:sz w:val="22"/>
        </w:rPr>
        <w:t>:</w:t>
      </w:r>
      <w:r>
        <w:rPr>
          <w:sz w:val="22"/>
        </w:rPr>
        <w:t xml:space="preserve"> Adjusted EBITDA</w:t>
      </w:r>
      <w:r>
        <w:rPr>
          <w:sz w:val="22"/>
          <w:vertAlign w:val="superscript"/>
        </w:rPr>
        <w:t>1</w:t>
      </w:r>
      <w:r>
        <w:rPr>
          <w:sz w:val="22"/>
        </w:rPr>
        <w:t xml:space="preserve"> of </w:t>
      </w:r>
      <w:r>
        <w:rPr>
          <w:sz w:val="22"/>
        </w:rPr>
        <w:t>$16.4 million</w:t>
      </w:r>
      <w:r>
        <w:rPr>
          <w:sz w:val="22"/>
        </w:rPr>
        <w:t xml:space="preserve">, representing a </w:t>
      </w:r>
      <w:r>
        <w:rPr>
          <w:sz w:val="22"/>
        </w:rPr>
        <w:t>19.2%</w:t>
      </w:r>
      <w:r>
        <w:rPr>
          <w:sz w:val="22"/>
        </w:rPr>
        <w:t xml:space="preserve"> margin.</w:t>
      </w:r>
    </w:p>
    <w:p w14:paraId="4735C162" w14:textId="77777777" w:rsidR="005C5CFC" w:rsidRDefault="002654E3">
      <w:pPr>
        <w:numPr>
          <w:ilvl w:val="0"/>
          <w:numId w:val="17"/>
        </w:numPr>
        <w:spacing w:after="180" w:line="288" w:lineRule="auto"/>
        <w:rPr>
          <w:b/>
          <w:i/>
          <w:sz w:val="22"/>
        </w:rPr>
      </w:pPr>
      <w:r>
        <w:rPr>
          <w:b/>
          <w:sz w:val="22"/>
        </w:rPr>
        <w:t>Balance Sheet:</w:t>
      </w:r>
      <w:r>
        <w:rPr>
          <w:sz w:val="22"/>
        </w:rPr>
        <w:t xml:space="preserve"> As of </w:t>
      </w:r>
      <w:r>
        <w:rPr>
          <w:sz w:val="22"/>
        </w:rPr>
        <w:t>March 31, 2022</w:t>
      </w:r>
      <w:r>
        <w:rPr>
          <w:sz w:val="22"/>
        </w:rPr>
        <w:t xml:space="preserve">, cash and cash equivalents were </w:t>
      </w:r>
      <w:r>
        <w:rPr>
          <w:sz w:val="22"/>
        </w:rPr>
        <w:t xml:space="preserve">$143.8 </w:t>
      </w:r>
      <w:r>
        <w:rPr>
          <w:sz w:val="22"/>
        </w:rPr>
        <w:t>million</w:t>
      </w:r>
      <w:r>
        <w:rPr>
          <w:sz w:val="22"/>
        </w:rPr>
        <w:t>, and net debt</w:t>
      </w:r>
      <w:r>
        <w:rPr>
          <w:rStyle w:val="FootnoteReference"/>
          <w:sz w:val="22"/>
        </w:rPr>
        <w:footnoteReference w:id="2"/>
      </w:r>
      <w:r>
        <w:rPr>
          <w:sz w:val="22"/>
        </w:rPr>
        <w:t xml:space="preserve"> was </w:t>
      </w:r>
      <w:r>
        <w:rPr>
          <w:sz w:val="22"/>
        </w:rPr>
        <w:t>$89.9 million</w:t>
      </w:r>
      <w:r>
        <w:rPr>
          <w:sz w:val="22"/>
        </w:rPr>
        <w:t xml:space="preserve">. </w:t>
      </w:r>
    </w:p>
    <w:p w14:paraId="4735C163" w14:textId="77777777" w:rsidR="005C5CFC" w:rsidRDefault="002654E3">
      <w:pPr>
        <w:spacing w:after="180" w:line="288" w:lineRule="auto"/>
        <w:jc w:val="both"/>
        <w:rPr>
          <w:b/>
          <w:sz w:val="22"/>
          <w:u w:val="single"/>
        </w:rPr>
      </w:pPr>
      <w:r>
        <w:rPr>
          <w:b/>
          <w:sz w:val="22"/>
          <w:u w:val="single"/>
        </w:rPr>
        <w:t>Business Highlights</w:t>
      </w:r>
    </w:p>
    <w:p w14:paraId="4735C164" w14:textId="77777777" w:rsidR="005C5CFC" w:rsidRDefault="002654E3">
      <w:pPr>
        <w:numPr>
          <w:ilvl w:val="0"/>
          <w:numId w:val="18"/>
        </w:numPr>
        <w:spacing w:after="180" w:line="288" w:lineRule="auto"/>
        <w:rPr>
          <w:b/>
          <w:i/>
          <w:sz w:val="22"/>
        </w:rPr>
      </w:pPr>
      <w:r>
        <w:rPr>
          <w:sz w:val="22"/>
        </w:rPr>
        <w:t>During</w:t>
      </w:r>
      <w:r>
        <w:rPr>
          <w:b/>
          <w:i/>
          <w:sz w:val="22"/>
        </w:rPr>
        <w:t xml:space="preserve"> </w:t>
      </w:r>
      <w:r>
        <w:rPr>
          <w:sz w:val="22"/>
        </w:rPr>
        <w:t>Q1</w:t>
      </w:r>
      <w:r>
        <w:rPr>
          <w:sz w:val="22"/>
        </w:rPr>
        <w:t xml:space="preserve"> </w:t>
      </w:r>
      <w:r>
        <w:rPr>
          <w:sz w:val="22"/>
        </w:rPr>
        <w:t>2022</w:t>
      </w:r>
      <w:r>
        <w:rPr>
          <w:sz w:val="22"/>
        </w:rPr>
        <w:t xml:space="preserve">, the Company focused on bringing online new canopy in Barry, Illinois and Athol, Massachusetts and preparing for the imminent start of adult-use sales at </w:t>
      </w:r>
      <w:r>
        <w:rPr>
          <w:sz w:val="22"/>
        </w:rPr>
        <w:t xml:space="preserve">the Rochelle Park dispensary in New Jersey. The Company completed its first harvest at the Barry greenhouse on March 29th, and began planting an additional 37,000 square feet of canopy in Athol </w:t>
      </w:r>
      <w:r>
        <w:rPr>
          <w:sz w:val="22"/>
        </w:rPr>
        <w:t>subsequent to the end of the quarter.</w:t>
      </w:r>
      <w:r>
        <w:rPr>
          <w:sz w:val="22"/>
        </w:rPr>
        <w:t xml:space="preserve"> The Company also launche</w:t>
      </w:r>
      <w:r>
        <w:rPr>
          <w:sz w:val="22"/>
        </w:rPr>
        <w:t xml:space="preserve">d its value segment brand, Simply Herb, which is now sold in all current markets which the Company operates. The Company ended the quarter with 20 operating dispensaries and 213,000 square feet of canopy across five states. </w:t>
      </w:r>
    </w:p>
    <w:p w14:paraId="4735C165" w14:textId="77777777" w:rsidR="005C5CFC" w:rsidRDefault="002654E3">
      <w:pPr>
        <w:numPr>
          <w:ilvl w:val="0"/>
          <w:numId w:val="19"/>
        </w:numPr>
        <w:spacing w:after="180" w:line="288" w:lineRule="auto"/>
        <w:rPr>
          <w:sz w:val="22"/>
        </w:rPr>
      </w:pPr>
      <w:r>
        <w:rPr>
          <w:sz w:val="22"/>
        </w:rPr>
        <w:t xml:space="preserve">Subsequent to </w:t>
      </w:r>
      <w:r>
        <w:rPr>
          <w:sz w:val="22"/>
        </w:rPr>
        <w:t>Q1</w:t>
      </w:r>
      <w:r>
        <w:rPr>
          <w:sz w:val="22"/>
        </w:rPr>
        <w:t xml:space="preserve"> </w:t>
      </w:r>
      <w:r>
        <w:rPr>
          <w:sz w:val="22"/>
        </w:rPr>
        <w:t>2022</w:t>
      </w:r>
      <w:r>
        <w:rPr>
          <w:b/>
          <w:i/>
          <w:sz w:val="22"/>
        </w:rPr>
        <w:t xml:space="preserve">, </w:t>
      </w:r>
      <w:r>
        <w:rPr>
          <w:sz w:val="22"/>
        </w:rPr>
        <w:t xml:space="preserve">the </w:t>
      </w:r>
      <w:r>
        <w:rPr>
          <w:sz w:val="22"/>
        </w:rPr>
        <w:t>Company completed an equity transaction to roll up all of the other existing members of Story of PA CR, LLC. The Company will use the remainder of the year to build a cultivation facility and six dispensaries, with plans to commence operations in Pennsylva</w:t>
      </w:r>
      <w:r>
        <w:rPr>
          <w:sz w:val="22"/>
        </w:rPr>
        <w:t xml:space="preserve">nia in 2023. </w:t>
      </w:r>
    </w:p>
    <w:p w14:paraId="4735C166" w14:textId="77777777" w:rsidR="005C5CFC" w:rsidRDefault="002654E3">
      <w:pPr>
        <w:numPr>
          <w:ilvl w:val="0"/>
          <w:numId w:val="20"/>
        </w:numPr>
        <w:spacing w:after="180" w:line="288" w:lineRule="auto"/>
        <w:rPr>
          <w:sz w:val="22"/>
        </w:rPr>
      </w:pPr>
      <w:r>
        <w:rPr>
          <w:sz w:val="22"/>
        </w:rPr>
        <w:lastRenderedPageBreak/>
        <w:t>Also after the quarter, the Company was one of the first in the state of New Jersey to launch adult-use sales at its dispensary in Rochelle Park, marking the start to the highly anticipated adult-use market in the state. On the first day of r</w:t>
      </w:r>
      <w:r>
        <w:rPr>
          <w:sz w:val="22"/>
        </w:rPr>
        <w:t xml:space="preserve">ecreational sales, the Company had approximately 1,500 customers and average basket sizes of $135, further substantiating the promising market. </w:t>
      </w:r>
    </w:p>
    <w:p w14:paraId="4735C167" w14:textId="77777777" w:rsidR="005C5CFC" w:rsidRDefault="002654E3">
      <w:pPr>
        <w:numPr>
          <w:ilvl w:val="0"/>
          <w:numId w:val="21"/>
        </w:numPr>
        <w:spacing w:line="276" w:lineRule="auto"/>
        <w:rPr>
          <w:sz w:val="22"/>
        </w:rPr>
      </w:pPr>
      <w:r>
        <w:rPr>
          <w:sz w:val="22"/>
        </w:rPr>
        <w:t xml:space="preserve">Lastly, subsequent to the quarter, AWH, MedMen NY, Inc. and MM Enterprises USA, LLC (CSE: MMEN) (OTCQX: MMNFF) </w:t>
      </w:r>
      <w:r>
        <w:rPr>
          <w:sz w:val="22"/>
        </w:rPr>
        <w:t>(“MedMen”) signed a term sheet agreeing to settle their lawsuit in the Commercial Division of the Supreme Court of the State of New York in New York County. To settle the dispute, AWH will increase the transaction consideration by $15 million, $4 million o</w:t>
      </w:r>
      <w:r>
        <w:rPr>
          <w:sz w:val="22"/>
        </w:rPr>
        <w:t>f which is contingent on the start of adult-use sales at a MedMen NY dispensary. The revised total consideration of $88 million remains significantly below recent precedent transactions.  The parties have also amended certain terms in their previously anno</w:t>
      </w:r>
      <w:r>
        <w:rPr>
          <w:sz w:val="22"/>
        </w:rPr>
        <w:t xml:space="preserve">unced transaction agreement, which they expect to close in the coming month. Upon closing, AWH will enter its seventh state.  </w:t>
      </w:r>
    </w:p>
    <w:p w14:paraId="4735C168" w14:textId="77777777" w:rsidR="005C5CFC" w:rsidRDefault="005C5CFC">
      <w:pPr>
        <w:spacing w:line="276" w:lineRule="auto"/>
        <w:rPr>
          <w:sz w:val="22"/>
        </w:rPr>
      </w:pPr>
    </w:p>
    <w:p w14:paraId="4735C169" w14:textId="77777777" w:rsidR="005C5CFC" w:rsidRDefault="002654E3">
      <w:pPr>
        <w:spacing w:after="180" w:line="288" w:lineRule="auto"/>
        <w:jc w:val="both"/>
        <w:rPr>
          <w:sz w:val="22"/>
          <w:u w:val="single"/>
        </w:rPr>
      </w:pPr>
      <w:r>
        <w:rPr>
          <w:b/>
          <w:sz w:val="22"/>
          <w:u w:val="single"/>
        </w:rPr>
        <w:t>Management Commentary</w:t>
      </w:r>
    </w:p>
    <w:p w14:paraId="4735C16A" w14:textId="77777777" w:rsidR="005C5CFC" w:rsidRDefault="002654E3">
      <w:pPr>
        <w:spacing w:after="180" w:line="288" w:lineRule="auto"/>
      </w:pPr>
      <w:r>
        <w:rPr>
          <w:sz w:val="22"/>
        </w:rPr>
        <w:t>“Q1 2022 was a transitionary quarter for Ascend as we made investments to launch the next phase of our gro</w:t>
      </w:r>
      <w:r>
        <w:rPr>
          <w:sz w:val="22"/>
        </w:rPr>
        <w:t>wth story,” said Abner Kurtin CEO and Co-Founder. “While preparing for adult-use sales in New Jersey, we significantly increased our total canopy capacity and recently entered into the Pennsylvania market. The early days of adult-use sales in New Jersey in</w:t>
      </w:r>
      <w:r>
        <w:rPr>
          <w:sz w:val="22"/>
        </w:rPr>
        <w:t xml:space="preserve">dicate that the state will be a key growth driver for the remainder of 2022.” </w:t>
      </w:r>
    </w:p>
    <w:p w14:paraId="4735C16B" w14:textId="77777777" w:rsidR="005C5CFC" w:rsidRDefault="002654E3">
      <w:pPr>
        <w:spacing w:after="180" w:line="288" w:lineRule="auto"/>
        <w:rPr>
          <w:b/>
          <w:sz w:val="22"/>
          <w:u w:val="single"/>
        </w:rPr>
      </w:pPr>
      <w:r>
        <w:rPr>
          <w:b/>
          <w:sz w:val="22"/>
          <w:u w:val="single"/>
        </w:rPr>
        <w:t>Q1 2022 Financial Overview</w:t>
      </w:r>
    </w:p>
    <w:p w14:paraId="4735C16C" w14:textId="77777777" w:rsidR="005C5CFC" w:rsidRDefault="002654E3">
      <w:pPr>
        <w:spacing w:after="180" w:line="288" w:lineRule="auto"/>
        <w:rPr>
          <w:sz w:val="22"/>
        </w:rPr>
      </w:pPr>
      <w:r>
        <w:rPr>
          <w:sz w:val="22"/>
        </w:rPr>
        <w:t xml:space="preserve">Net revenue, which excludes intercompany sale of wholesale products, was </w:t>
      </w:r>
      <w:r>
        <w:rPr>
          <w:sz w:val="22"/>
        </w:rPr>
        <w:t>$85.1 million</w:t>
      </w:r>
      <w:r>
        <w:rPr>
          <w:sz w:val="22"/>
        </w:rPr>
        <w:t xml:space="preserve">, representing a </w:t>
      </w:r>
      <w:r>
        <w:rPr>
          <w:sz w:val="22"/>
        </w:rPr>
        <w:t>28.7%</w:t>
      </w:r>
      <w:r>
        <w:rPr>
          <w:sz w:val="22"/>
        </w:rPr>
        <w:t xml:space="preserve"> year-over year increase, primarily driven</w:t>
      </w:r>
      <w:r>
        <w:rPr>
          <w:sz w:val="22"/>
        </w:rPr>
        <w:t xml:space="preserve"> by new retail stores and higher wholesale volumes sold. Net revenue decreased </w:t>
      </w:r>
      <w:r>
        <w:rPr>
          <w:sz w:val="22"/>
        </w:rPr>
        <w:t>3.8%</w:t>
      </w:r>
      <w:r>
        <w:rPr>
          <w:sz w:val="22"/>
        </w:rPr>
        <w:t xml:space="preserve"> quarter-over-quarter, primarily driven by wholesale pricing pressure in Illinois and Massachusetts and lower average retail basket sizes in each of the states we operate in</w:t>
      </w:r>
      <w:r>
        <w:rPr>
          <w:sz w:val="22"/>
        </w:rPr>
        <w:t>, except for Ohio.</w:t>
      </w:r>
      <w:r>
        <w:t xml:space="preserve"> </w:t>
      </w:r>
      <w:r>
        <w:rPr>
          <w:sz w:val="22"/>
        </w:rPr>
        <w:t xml:space="preserve"> </w:t>
      </w:r>
    </w:p>
    <w:p w14:paraId="4735C16D" w14:textId="77777777" w:rsidR="005C5CFC" w:rsidRDefault="002654E3">
      <w:pPr>
        <w:spacing w:after="180" w:line="288" w:lineRule="auto"/>
        <w:rPr>
          <w:sz w:val="22"/>
        </w:rPr>
      </w:pPr>
      <w:r>
        <w:rPr>
          <w:sz w:val="22"/>
        </w:rPr>
        <w:t xml:space="preserve">Total retail revenue was </w:t>
      </w:r>
      <w:r>
        <w:rPr>
          <w:sz w:val="22"/>
        </w:rPr>
        <w:t>$63.3 million</w:t>
      </w:r>
      <w:r>
        <w:rPr>
          <w:sz w:val="22"/>
        </w:rPr>
        <w:t xml:space="preserve"> for the </w:t>
      </w:r>
      <w:r>
        <w:rPr>
          <w:sz w:val="22"/>
        </w:rPr>
        <w:t>first</w:t>
      </w:r>
      <w:r>
        <w:rPr>
          <w:sz w:val="22"/>
        </w:rPr>
        <w:t xml:space="preserve"> quarter of 2022, representing a </w:t>
      </w:r>
      <w:r>
        <w:rPr>
          <w:sz w:val="22"/>
        </w:rPr>
        <w:t>2.4%</w:t>
      </w:r>
      <w:r>
        <w:rPr>
          <w:sz w:val="22"/>
        </w:rPr>
        <w:t xml:space="preserve"> decline as compared to the prior quarter. </w:t>
      </w:r>
    </w:p>
    <w:p w14:paraId="4735C16E" w14:textId="77777777" w:rsidR="005C5CFC" w:rsidRDefault="002654E3">
      <w:pPr>
        <w:spacing w:after="180" w:line="288" w:lineRule="auto"/>
        <w:rPr>
          <w:sz w:val="22"/>
        </w:rPr>
      </w:pPr>
      <w:r>
        <w:rPr>
          <w:sz w:val="22"/>
        </w:rPr>
        <w:t xml:space="preserve">Gross wholesale revenue increased to </w:t>
      </w:r>
      <w:r>
        <w:rPr>
          <w:sz w:val="22"/>
        </w:rPr>
        <w:t>$37.9 million</w:t>
      </w:r>
      <w:r>
        <w:rPr>
          <w:sz w:val="22"/>
        </w:rPr>
        <w:t xml:space="preserve">, a </w:t>
      </w:r>
      <w:r>
        <w:rPr>
          <w:sz w:val="22"/>
        </w:rPr>
        <w:t>2.1%</w:t>
      </w:r>
      <w:r>
        <w:rPr>
          <w:sz w:val="22"/>
        </w:rPr>
        <w:t xml:space="preserve"> sequential increase, driven by growth in in</w:t>
      </w:r>
      <w:r>
        <w:rPr>
          <w:sz w:val="22"/>
        </w:rPr>
        <w:t xml:space="preserve">tercompany wholesale sales. Net wholesale revenue decreased </w:t>
      </w:r>
      <w:r>
        <w:rPr>
          <w:sz w:val="22"/>
        </w:rPr>
        <w:t>7.8%</w:t>
      </w:r>
      <w:r>
        <w:rPr>
          <w:sz w:val="22"/>
        </w:rPr>
        <w:t xml:space="preserve"> sequentially to </w:t>
      </w:r>
      <w:r>
        <w:rPr>
          <w:sz w:val="22"/>
        </w:rPr>
        <w:t>$21.8 million</w:t>
      </w:r>
      <w:r>
        <w:rPr>
          <w:sz w:val="22"/>
        </w:rPr>
        <w:t xml:space="preserve">, primarily driven by pricing pressure in Illinois and Massachusetts. </w:t>
      </w:r>
    </w:p>
    <w:p w14:paraId="4735C16F" w14:textId="77777777" w:rsidR="005C5CFC" w:rsidRDefault="002654E3">
      <w:pPr>
        <w:spacing w:after="180" w:line="288" w:lineRule="auto"/>
        <w:rPr>
          <w:sz w:val="22"/>
        </w:rPr>
      </w:pPr>
      <w:r>
        <w:rPr>
          <w:sz w:val="22"/>
        </w:rPr>
        <w:t>Q1</w:t>
      </w:r>
      <w:r>
        <w:rPr>
          <w:sz w:val="22"/>
        </w:rPr>
        <w:t xml:space="preserve"> </w:t>
      </w:r>
      <w:r>
        <w:rPr>
          <w:sz w:val="22"/>
        </w:rPr>
        <w:t>2022</w:t>
      </w:r>
      <w:r>
        <w:rPr>
          <w:sz w:val="22"/>
        </w:rPr>
        <w:t xml:space="preserve"> gross profit was </w:t>
      </w:r>
      <w:r>
        <w:rPr>
          <w:sz w:val="22"/>
        </w:rPr>
        <w:t>$23.4 million</w:t>
      </w:r>
      <w:r>
        <w:rPr>
          <w:sz w:val="22"/>
        </w:rPr>
        <w:t xml:space="preserve">, or </w:t>
      </w:r>
      <w:r>
        <w:rPr>
          <w:sz w:val="22"/>
        </w:rPr>
        <w:t>27.6%</w:t>
      </w:r>
      <w:r>
        <w:rPr>
          <w:sz w:val="22"/>
        </w:rPr>
        <w:t xml:space="preserve"> of revenue, as compared to </w:t>
      </w:r>
      <w:r>
        <w:rPr>
          <w:sz w:val="22"/>
        </w:rPr>
        <w:t xml:space="preserve">$30.8 </w:t>
      </w:r>
      <w:r>
        <w:rPr>
          <w:sz w:val="22"/>
        </w:rPr>
        <w:t>million</w:t>
      </w:r>
      <w:r>
        <w:rPr>
          <w:sz w:val="22"/>
        </w:rPr>
        <w:t xml:space="preserve">, or </w:t>
      </w:r>
      <w:r>
        <w:rPr>
          <w:sz w:val="22"/>
        </w:rPr>
        <w:t>34.8%</w:t>
      </w:r>
      <w:r>
        <w:rPr>
          <w:sz w:val="22"/>
        </w:rPr>
        <w:t xml:space="preserve"> of revenue, for the prior quarter. The decline was primarily driven by start-up costs incurred before the commencement of certain significant operations, which are expected to commence later this year. </w:t>
      </w:r>
    </w:p>
    <w:p w14:paraId="4735C170" w14:textId="77777777" w:rsidR="005C5CFC" w:rsidRDefault="002654E3">
      <w:pPr>
        <w:spacing w:after="180" w:line="288" w:lineRule="auto"/>
        <w:rPr>
          <w:sz w:val="22"/>
        </w:rPr>
      </w:pPr>
      <w:r>
        <w:rPr>
          <w:sz w:val="22"/>
        </w:rPr>
        <w:t>Q1</w:t>
      </w:r>
      <w:r>
        <w:rPr>
          <w:sz w:val="22"/>
        </w:rPr>
        <w:t xml:space="preserve"> </w:t>
      </w:r>
      <w:r>
        <w:rPr>
          <w:sz w:val="22"/>
        </w:rPr>
        <w:t>2022</w:t>
      </w:r>
      <w:r>
        <w:rPr>
          <w:sz w:val="22"/>
        </w:rPr>
        <w:t xml:space="preserve"> Adjusted Gross Profit</w:t>
      </w:r>
      <w:r>
        <w:rPr>
          <w:sz w:val="22"/>
          <w:vertAlign w:val="superscript"/>
        </w:rPr>
        <w:t xml:space="preserve">1 </w:t>
      </w:r>
      <w:r>
        <w:rPr>
          <w:sz w:val="22"/>
        </w:rPr>
        <w:t xml:space="preserve">was </w:t>
      </w:r>
      <w:r>
        <w:rPr>
          <w:sz w:val="22"/>
        </w:rPr>
        <w:t>$36.5 million</w:t>
      </w:r>
      <w:r>
        <w:rPr>
          <w:sz w:val="22"/>
        </w:rPr>
        <w:t xml:space="preserve">, or </w:t>
      </w:r>
      <w:r>
        <w:rPr>
          <w:sz w:val="22"/>
        </w:rPr>
        <w:t>42.9%</w:t>
      </w:r>
      <w:r>
        <w:rPr>
          <w:sz w:val="22"/>
        </w:rPr>
        <w:t xml:space="preserve"> of revenue, as compared to </w:t>
      </w:r>
      <w:r>
        <w:rPr>
          <w:sz w:val="22"/>
        </w:rPr>
        <w:t>$37.5 million</w:t>
      </w:r>
      <w:r>
        <w:rPr>
          <w:sz w:val="22"/>
        </w:rPr>
        <w:t xml:space="preserve">, or </w:t>
      </w:r>
      <w:r>
        <w:rPr>
          <w:sz w:val="22"/>
        </w:rPr>
        <w:t>42.4%</w:t>
      </w:r>
      <w:r>
        <w:rPr>
          <w:sz w:val="22"/>
        </w:rPr>
        <w:t xml:space="preserve"> of revenue, for the prior quarter. Adjusted Gross Profit</w:t>
      </w:r>
      <w:r>
        <w:rPr>
          <w:sz w:val="22"/>
          <w:vertAlign w:val="superscript"/>
        </w:rPr>
        <w:t>1</w:t>
      </w:r>
      <w:r>
        <w:rPr>
          <w:sz w:val="22"/>
        </w:rPr>
        <w:t xml:space="preserve"> excludes depreciation and amortization included in cost of goods sold, equity-based compensation included in cost of goods </w:t>
      </w:r>
      <w:r>
        <w:rPr>
          <w:sz w:val="22"/>
        </w:rPr>
        <w:t>sold, and non-cash inventory adjustments. Adjusted Gross Profit</w:t>
      </w:r>
      <w:r>
        <w:rPr>
          <w:sz w:val="22"/>
          <w:vertAlign w:val="superscript"/>
        </w:rPr>
        <w:t>1</w:t>
      </w:r>
      <w:r>
        <w:rPr>
          <w:sz w:val="22"/>
        </w:rPr>
        <w:t xml:space="preserve"> dollars decreased </w:t>
      </w:r>
      <w:r>
        <w:rPr>
          <w:sz w:val="22"/>
        </w:rPr>
        <w:t>2.7%</w:t>
      </w:r>
      <w:r>
        <w:rPr>
          <w:sz w:val="22"/>
        </w:rPr>
        <w:t xml:space="preserve"> quarter-over-quarter due to lower realized pricing in Illinois and Massachusetts. Retail Gross Profit and Wholesale Gross Profit both decreased sequentially, primarily </w:t>
      </w:r>
      <w:r>
        <w:rPr>
          <w:sz w:val="22"/>
        </w:rPr>
        <w:t>driven by smaller basket sizes in the retail business and pressured wholesale pricing in Illinois and Massachusetts. Adjusted Gross Profit</w:t>
      </w:r>
      <w:r>
        <w:rPr>
          <w:sz w:val="22"/>
          <w:vertAlign w:val="superscript"/>
        </w:rPr>
        <w:t xml:space="preserve">1 </w:t>
      </w:r>
      <w:r>
        <w:rPr>
          <w:sz w:val="22"/>
        </w:rPr>
        <w:t xml:space="preserve">margin on a consolidated basis increased </w:t>
      </w:r>
      <w:r>
        <w:rPr>
          <w:sz w:val="22"/>
        </w:rPr>
        <w:t>50</w:t>
      </w:r>
      <w:r>
        <w:rPr>
          <w:sz w:val="22"/>
        </w:rPr>
        <w:t xml:space="preserve"> basis points quarter-over-quarter to </w:t>
      </w:r>
      <w:r>
        <w:rPr>
          <w:sz w:val="22"/>
        </w:rPr>
        <w:t>42.9%</w:t>
      </w:r>
      <w:r>
        <w:rPr>
          <w:sz w:val="22"/>
        </w:rPr>
        <w:t>. This was primarily driven by</w:t>
      </w:r>
      <w:r>
        <w:rPr>
          <w:sz w:val="22"/>
        </w:rPr>
        <w:t xml:space="preserve"> higher intercompany sales as a percentage of wholesale sales in the quarter. </w:t>
      </w:r>
    </w:p>
    <w:p w14:paraId="4735C171" w14:textId="77777777" w:rsidR="005C5CFC" w:rsidRDefault="002654E3">
      <w:pPr>
        <w:spacing w:after="180" w:line="288" w:lineRule="auto"/>
        <w:rPr>
          <w:sz w:val="22"/>
          <w:shd w:val="clear" w:color="auto" w:fill="FFFF00"/>
          <w:vertAlign w:val="superscript"/>
        </w:rPr>
      </w:pPr>
      <w:r>
        <w:rPr>
          <w:sz w:val="22"/>
        </w:rPr>
        <w:lastRenderedPageBreak/>
        <w:t>Total general and administrative expenses (excluding litigation settlement) for Q1 2022 were $33.2 million, or 39.0% of revenue, as compared to $31.6 million, or 35.7% of revenu</w:t>
      </w:r>
      <w:r>
        <w:rPr>
          <w:sz w:val="22"/>
        </w:rPr>
        <w:t>e,</w:t>
      </w:r>
      <w:r>
        <w:rPr>
          <w:sz w:val="22"/>
        </w:rPr>
        <w:t xml:space="preserve"> for the prior quarter. Operating expenses as a percentage of revenue were elevated during the quarter, as the Company increased staff to support cultivation expansions ahead of realizing the related revenue contributions.</w:t>
      </w:r>
    </w:p>
    <w:p w14:paraId="4735C172" w14:textId="77777777" w:rsidR="005C5CFC" w:rsidRDefault="002654E3">
      <w:pPr>
        <w:spacing w:after="180" w:line="288" w:lineRule="auto"/>
        <w:rPr>
          <w:sz w:val="22"/>
        </w:rPr>
      </w:pPr>
      <w:r>
        <w:rPr>
          <w:sz w:val="22"/>
        </w:rPr>
        <w:t>Net loss attributable to AWH fo</w:t>
      </w:r>
      <w:r>
        <w:rPr>
          <w:sz w:val="22"/>
        </w:rPr>
        <w:t xml:space="preserve">r the </w:t>
      </w:r>
      <w:r>
        <w:rPr>
          <w:sz w:val="22"/>
        </w:rPr>
        <w:t>first</w:t>
      </w:r>
      <w:r>
        <w:rPr>
          <w:sz w:val="22"/>
        </w:rPr>
        <w:t xml:space="preserve"> quarter of </w:t>
      </w:r>
      <w:r>
        <w:rPr>
          <w:sz w:val="22"/>
        </w:rPr>
        <w:t>2022</w:t>
      </w:r>
      <w:r>
        <w:rPr>
          <w:sz w:val="22"/>
        </w:rPr>
        <w:t xml:space="preserve"> was </w:t>
      </w:r>
      <w:r>
        <w:rPr>
          <w:sz w:val="22"/>
        </w:rPr>
        <w:t>$27.8 million</w:t>
      </w:r>
      <w:r>
        <w:rPr>
          <w:sz w:val="22"/>
        </w:rPr>
        <w:t xml:space="preserve">, or a loss of </w:t>
      </w:r>
      <w:r>
        <w:rPr>
          <w:sz w:val="22"/>
        </w:rPr>
        <w:t>$0.16</w:t>
      </w:r>
      <w:r>
        <w:rPr>
          <w:sz w:val="22"/>
        </w:rPr>
        <w:t xml:space="preserve"> per basic and diluted common share. This was primarily driven by operating costs and a one-time settlement charge related to the settlement of a stockholder dispute regarding one of the </w:t>
      </w:r>
      <w:r>
        <w:rPr>
          <w:sz w:val="22"/>
        </w:rPr>
        <w:t>Comp</w:t>
      </w:r>
      <w:r>
        <w:rPr>
          <w:sz w:val="22"/>
        </w:rPr>
        <w:t xml:space="preserve">any’s convertible note purchase agreements. </w:t>
      </w:r>
    </w:p>
    <w:p w14:paraId="4735C173" w14:textId="77777777" w:rsidR="005C5CFC" w:rsidRDefault="002654E3">
      <w:pPr>
        <w:spacing w:after="180" w:line="288" w:lineRule="auto"/>
        <w:rPr>
          <w:sz w:val="22"/>
        </w:rPr>
      </w:pPr>
      <w:r>
        <w:rPr>
          <w:sz w:val="22"/>
        </w:rPr>
        <w:t>Adjusted EBITDA</w:t>
      </w:r>
      <w:r>
        <w:rPr>
          <w:sz w:val="22"/>
          <w:vertAlign w:val="superscript"/>
        </w:rPr>
        <w:t>1</w:t>
      </w:r>
      <w:r>
        <w:rPr>
          <w:sz w:val="22"/>
        </w:rPr>
        <w:t xml:space="preserve">, which adjusts for tax, interest, depreciation, amortization, equity-based compensation, and other items deemed one-time in nature, was </w:t>
      </w:r>
      <w:r>
        <w:rPr>
          <w:sz w:val="22"/>
        </w:rPr>
        <w:t>$16.4 million</w:t>
      </w:r>
      <w:r>
        <w:rPr>
          <w:sz w:val="22"/>
        </w:rPr>
        <w:t xml:space="preserve"> in </w:t>
      </w:r>
      <w:r>
        <w:rPr>
          <w:sz w:val="22"/>
        </w:rPr>
        <w:t>Q1</w:t>
      </w:r>
      <w:r>
        <w:rPr>
          <w:sz w:val="22"/>
        </w:rPr>
        <w:t xml:space="preserve"> </w:t>
      </w:r>
      <w:r>
        <w:rPr>
          <w:sz w:val="22"/>
        </w:rPr>
        <w:t>2022</w:t>
      </w:r>
      <w:r>
        <w:rPr>
          <w:sz w:val="22"/>
        </w:rPr>
        <w:t xml:space="preserve">. This represents a </w:t>
      </w:r>
      <w:r>
        <w:rPr>
          <w:sz w:val="22"/>
        </w:rPr>
        <w:t>17.1%</w:t>
      </w:r>
      <w:r>
        <w:rPr>
          <w:sz w:val="22"/>
        </w:rPr>
        <w:t xml:space="preserve"> decrease</w:t>
      </w:r>
      <w:r>
        <w:rPr>
          <w:sz w:val="22"/>
        </w:rPr>
        <w:t xml:space="preserve"> quarter-over-quarter. Adjusted EBITDA Margin</w:t>
      </w:r>
      <w:r>
        <w:rPr>
          <w:sz w:val="22"/>
          <w:vertAlign w:val="superscript"/>
        </w:rPr>
        <w:t>1</w:t>
      </w:r>
      <w:r>
        <w:rPr>
          <w:sz w:val="22"/>
        </w:rPr>
        <w:t xml:space="preserve"> of </w:t>
      </w:r>
      <w:r>
        <w:rPr>
          <w:sz w:val="22"/>
        </w:rPr>
        <w:t>19.2%</w:t>
      </w:r>
      <w:r>
        <w:rPr>
          <w:sz w:val="22"/>
        </w:rPr>
        <w:t xml:space="preserve"> represented a </w:t>
      </w:r>
      <w:r>
        <w:rPr>
          <w:sz w:val="22"/>
        </w:rPr>
        <w:t>309</w:t>
      </w:r>
      <w:r>
        <w:rPr>
          <w:sz w:val="22"/>
        </w:rPr>
        <w:t xml:space="preserve"> basis point decrease compared to the prior quarter. </w:t>
      </w:r>
    </w:p>
    <w:p w14:paraId="4735C174" w14:textId="77777777" w:rsidR="005C5CFC" w:rsidRDefault="002654E3">
      <w:pPr>
        <w:spacing w:after="180" w:line="288" w:lineRule="auto"/>
        <w:rPr>
          <w:b/>
          <w:sz w:val="22"/>
          <w:u w:val="single"/>
        </w:rPr>
      </w:pPr>
      <w:r>
        <w:rPr>
          <w:b/>
          <w:sz w:val="22"/>
          <w:u w:val="single"/>
        </w:rPr>
        <w:t>Non-GAAP Financial Information</w:t>
      </w:r>
    </w:p>
    <w:p w14:paraId="4735C175" w14:textId="77777777" w:rsidR="005C5CFC" w:rsidRDefault="002654E3">
      <w:pPr>
        <w:spacing w:after="180" w:line="288" w:lineRule="auto"/>
        <w:rPr>
          <w:sz w:val="22"/>
        </w:rPr>
      </w:pPr>
      <w:r>
        <w:rPr>
          <w:sz w:val="22"/>
        </w:rPr>
        <w:t xml:space="preserve">This press release includes certain non-GAAP financial measures as defined by the United </w:t>
      </w:r>
      <w:r>
        <w:rPr>
          <w:sz w:val="22"/>
        </w:rPr>
        <w:t>States Securities and Exchange Commission (“SEC”), including Adjusted Gross Profit, Adjusted Gross Margin, Adjusted EBITDA, and Adjusted EBITDA Margin. Reconciliations of these non-GAAP financial measures to the most directly comparable financial measure c</w:t>
      </w:r>
      <w:r>
        <w:rPr>
          <w:sz w:val="22"/>
        </w:rPr>
        <w:t xml:space="preserve">alculated and presented in accordance with GAAP are included in the financial schedules attached to this press release. This information should be considered as supplemental in nature and not as a substitute for, or superior to, any measure of performance </w:t>
      </w:r>
      <w:r>
        <w:rPr>
          <w:sz w:val="22"/>
        </w:rPr>
        <w:t xml:space="preserve">prepared in accordance with GAAP. </w:t>
      </w:r>
    </w:p>
    <w:p w14:paraId="4735C176" w14:textId="77777777" w:rsidR="005C5CFC" w:rsidRDefault="002654E3">
      <w:pPr>
        <w:spacing w:after="180" w:line="288" w:lineRule="auto"/>
        <w:rPr>
          <w:sz w:val="22"/>
          <w:u w:val="single"/>
        </w:rPr>
      </w:pPr>
      <w:r>
        <w:rPr>
          <w:b/>
          <w:sz w:val="22"/>
          <w:u w:val="single"/>
        </w:rPr>
        <w:t>Conference Call and Webcast</w:t>
      </w:r>
    </w:p>
    <w:p w14:paraId="4735C177" w14:textId="77777777" w:rsidR="005C5CFC" w:rsidRDefault="002654E3">
      <w:pPr>
        <w:spacing w:after="180" w:line="288" w:lineRule="auto"/>
        <w:rPr>
          <w:b/>
          <w:i/>
          <w:sz w:val="22"/>
        </w:rPr>
      </w:pPr>
      <w:r>
        <w:rPr>
          <w:sz w:val="22"/>
        </w:rPr>
        <w:t xml:space="preserve">AWH will host a conference call on </w:t>
      </w:r>
      <w:r>
        <w:rPr>
          <w:sz w:val="22"/>
        </w:rPr>
        <w:t>May 11, 2022</w:t>
      </w:r>
      <w:r>
        <w:rPr>
          <w:sz w:val="22"/>
        </w:rPr>
        <w:t xml:space="preserve"> at 5:00 p.m. ET to discu</w:t>
      </w:r>
      <w:r>
        <w:rPr>
          <w:sz w:val="22"/>
        </w:rPr>
        <w:t>ss its financial results for the quarter ended March 31, 2022. The conference call may be accessed by dialing (888) 390-0</w:t>
      </w:r>
      <w:r>
        <w:rPr>
          <w:sz w:val="22"/>
        </w:rPr>
        <w:t>605 with conference ID 72077468</w:t>
      </w:r>
      <w:r>
        <w:rPr>
          <w:sz w:val="22"/>
        </w:rPr>
        <w:t>. A live audio webcast of the call will also be available on the Investor Relations section of AWH’s website at https://awholdings.com/investors/ and will be archived for replay.</w:t>
      </w:r>
    </w:p>
    <w:p w14:paraId="4735C178" w14:textId="77777777" w:rsidR="005C5CFC" w:rsidRDefault="002654E3">
      <w:pPr>
        <w:keepNext/>
        <w:spacing w:after="180" w:line="288" w:lineRule="auto"/>
        <w:rPr>
          <w:b/>
          <w:sz w:val="22"/>
          <w:u w:val="single"/>
        </w:rPr>
      </w:pPr>
      <w:r>
        <w:rPr>
          <w:b/>
          <w:sz w:val="22"/>
          <w:u w:val="single"/>
        </w:rPr>
        <w:t>About Ascend Wellness Holdings, Inc.</w:t>
      </w:r>
    </w:p>
    <w:p w14:paraId="4735C179" w14:textId="77777777" w:rsidR="005C5CFC" w:rsidRDefault="002654E3">
      <w:pPr>
        <w:spacing w:after="180" w:line="288" w:lineRule="auto"/>
        <w:jc w:val="both"/>
        <w:rPr>
          <w:sz w:val="22"/>
        </w:rPr>
      </w:pPr>
      <w:r>
        <w:rPr>
          <w:sz w:val="22"/>
        </w:rPr>
        <w:t xml:space="preserve">AWH is a </w:t>
      </w:r>
      <w:r>
        <w:rPr>
          <w:sz w:val="22"/>
        </w:rPr>
        <w:t>vertically integrated multi-state cannabis operator with licenses and assets in Illinois, Michigan, Ohio, Massachusetts, New Jersey, and Pennsylvania. AWH owns and operates state-of-the-art cultivation facilities, growing award-winning strains and producin</w:t>
      </w:r>
      <w:r>
        <w:rPr>
          <w:sz w:val="22"/>
        </w:rPr>
        <w:t xml:space="preserve">g a curated selection of products for retail and wholesale customers. AWH produces and distributes its in-house Simply Herb, Ozone, and Ozone Reserve branded products. For more information, visit www.awholdings.com. </w:t>
      </w:r>
    </w:p>
    <w:p w14:paraId="4735C17A" w14:textId="77777777" w:rsidR="005C5CFC" w:rsidRDefault="002654E3">
      <w:pPr>
        <w:spacing w:after="180" w:line="288" w:lineRule="auto"/>
        <w:rPr>
          <w:b/>
          <w:sz w:val="22"/>
          <w:u w:val="single"/>
        </w:rPr>
      </w:pPr>
      <w:r>
        <w:rPr>
          <w:sz w:val="22"/>
        </w:rPr>
        <w:t xml:space="preserve">Additional information relating to the </w:t>
      </w:r>
      <w:r>
        <w:rPr>
          <w:sz w:val="22"/>
        </w:rPr>
        <w:t xml:space="preserve">Company’s </w:t>
      </w:r>
      <w:r>
        <w:rPr>
          <w:sz w:val="22"/>
        </w:rPr>
        <w:t>first</w:t>
      </w:r>
      <w:r>
        <w:rPr>
          <w:sz w:val="22"/>
        </w:rPr>
        <w:t xml:space="preserve"> quarter </w:t>
      </w:r>
      <w:r>
        <w:rPr>
          <w:sz w:val="22"/>
        </w:rPr>
        <w:t>2022</w:t>
      </w:r>
      <w:r>
        <w:rPr>
          <w:sz w:val="22"/>
        </w:rPr>
        <w:t xml:space="preserve"> results is available on the Investor Relations section of AWH’s website at https://awholdings.com/investors/, the SEC’s website at www.sec.gov and Canada’s System for Electronic Document Analysis and Retrieval (“SEDAR”) at www.</w:t>
      </w:r>
      <w:r>
        <w:rPr>
          <w:sz w:val="22"/>
        </w:rPr>
        <w:t>sedar.com.</w:t>
      </w:r>
    </w:p>
    <w:p w14:paraId="4735C17B" w14:textId="77777777" w:rsidR="005C5CFC" w:rsidRDefault="005C5CFC">
      <w:pPr>
        <w:spacing w:after="180" w:line="288" w:lineRule="auto"/>
        <w:rPr>
          <w:b/>
          <w:i/>
          <w:sz w:val="22"/>
        </w:rPr>
        <w:sectPr w:rsidR="005C5CFC">
          <w:headerReference w:type="default" r:id="rId11"/>
          <w:footerReference w:type="default" r:id="rId12"/>
          <w:headerReference w:type="first" r:id="rId13"/>
          <w:footerReference w:type="first" r:id="rId14"/>
          <w:type w:val="continuous"/>
          <w:pgSz w:w="12240" w:h="15840"/>
          <w:pgMar w:top="1440" w:right="1440" w:bottom="1440" w:left="1440" w:header="450" w:footer="450" w:gutter="0"/>
          <w:cols w:space="708"/>
          <w:docGrid w:linePitch="360"/>
        </w:sectPr>
      </w:pPr>
    </w:p>
    <w:p w14:paraId="4735C17C" w14:textId="77777777" w:rsidR="005C5CFC" w:rsidRDefault="005C5CFC">
      <w:pPr>
        <w:spacing w:before="240" w:after="180" w:line="288" w:lineRule="auto"/>
        <w:rPr>
          <w:b/>
          <w:sz w:val="22"/>
          <w:u w:val="single"/>
        </w:rPr>
      </w:pPr>
      <w:bookmarkStart w:id="1" w:name="Section2"/>
      <w:bookmarkEnd w:id="1"/>
    </w:p>
    <w:p w14:paraId="4735C17D" w14:textId="77777777" w:rsidR="005C5CFC" w:rsidRDefault="002654E3">
      <w:pPr>
        <w:pageBreakBefore/>
        <w:spacing w:after="180" w:line="288" w:lineRule="auto"/>
        <w:outlineLvl w:val="0"/>
        <w:rPr>
          <w:rFonts w:ascii="Arial" w:eastAsia="Arial" w:hAnsi="Arial" w:cs="Arial"/>
        </w:rPr>
      </w:pPr>
      <w:r>
        <w:rPr>
          <w:b/>
          <w:sz w:val="22"/>
          <w:u w:val="single"/>
        </w:rPr>
        <w:lastRenderedPageBreak/>
        <w:t>Cautionary Note Regarding Forward-Looking Information</w:t>
      </w:r>
    </w:p>
    <w:p w14:paraId="4735C17E" w14:textId="77777777" w:rsidR="005C5CFC" w:rsidRDefault="002654E3">
      <w:pPr>
        <w:spacing w:after="180" w:line="288" w:lineRule="auto"/>
      </w:pPr>
      <w:r>
        <w:rPr>
          <w:sz w:val="22"/>
        </w:rPr>
        <w:t xml:space="preserve">This news release includes forward-looking information and statements, which may include, but are not limited to, the </w:t>
      </w:r>
      <w:r>
        <w:rPr>
          <w:sz w:val="22"/>
        </w:rPr>
        <w:t>plans, intentions, expectations, estimates, and beliefs of the Company.</w:t>
      </w:r>
      <w:r>
        <w:t xml:space="preserve"> </w:t>
      </w:r>
      <w:r>
        <w:rPr>
          <w:sz w:val="22"/>
        </w:rPr>
        <w:t>Words such as “expects”, “continue”, “will”, “anticipates” and “intends” or similar expressions are intended to identify forward-looking information and statements.</w:t>
      </w:r>
      <w:r>
        <w:t xml:space="preserve"> </w:t>
      </w:r>
      <w:r>
        <w:rPr>
          <w:sz w:val="22"/>
        </w:rPr>
        <w:t>Without limiting th</w:t>
      </w:r>
      <w:r>
        <w:rPr>
          <w:sz w:val="22"/>
        </w:rPr>
        <w:t>e generality of the preceding statement, all statements in this press release relating to estimated and projected revenue, expectations regarding production capacity, anticipated capital expenditures, proceeds from sale leasebacks, expansion, profit, produ</w:t>
      </w:r>
      <w:r>
        <w:rPr>
          <w:sz w:val="22"/>
        </w:rPr>
        <w:t>ct demand, margins, costs, cash flows, sources of capital, growth rates and future financial and operating results are forward-looking information and statements. We caution investors that any such forward-looking statements are based on the Company’s curr</w:t>
      </w:r>
      <w:r>
        <w:rPr>
          <w:sz w:val="22"/>
        </w:rPr>
        <w:t xml:space="preserve">ent projections and expectations about future events and financial trends, the receipt of all required regulatory approvals, and on certain assumptions and analysis made by the Company in light of the experience of the Company and perception of historical </w:t>
      </w:r>
      <w:r>
        <w:rPr>
          <w:sz w:val="22"/>
        </w:rPr>
        <w:t xml:space="preserve">trends, current conditions and expected future developments and other factors management believes are appropriate. </w:t>
      </w:r>
    </w:p>
    <w:p w14:paraId="4735C17F" w14:textId="77777777" w:rsidR="005C5CFC" w:rsidRDefault="002654E3">
      <w:pPr>
        <w:spacing w:after="180" w:line="288" w:lineRule="auto"/>
      </w:pPr>
      <w:r>
        <w:rPr>
          <w:sz w:val="22"/>
        </w:rPr>
        <w:t>Forward-looking information and statements involve and are subject to assumptions and known and unknown risks, uncertainties, and other fact</w:t>
      </w:r>
      <w:r>
        <w:rPr>
          <w:sz w:val="22"/>
        </w:rPr>
        <w:t>ors which may cause actual events, results, performance, or achievements of the Company to be materially different from future events, results, performance, and achievements expressed or implied by forward-looking information and statements herein.</w:t>
      </w:r>
      <w:r>
        <w:t xml:space="preserve"> </w:t>
      </w:r>
      <w:r>
        <w:rPr>
          <w:sz w:val="22"/>
        </w:rPr>
        <w:t>Such fa</w:t>
      </w:r>
      <w:r>
        <w:rPr>
          <w:sz w:val="22"/>
        </w:rPr>
        <w:t>ctors include, among others, the risks and uncertainties identified in the Company’s Annual Report on Form 10-K for the year ended December 31, 2021, and in the Company’s other reports and filings with the applicable Canadian securities regulators on its p</w:t>
      </w:r>
      <w:r>
        <w:rPr>
          <w:sz w:val="22"/>
        </w:rPr>
        <w:t>rofile on SEDAR at www.sedar.com and the United States Securities and Exchange Commission at www.sec.gov. Although the Company believes that any forward-looking information and statements herein are reasonable, in light of the use of assumptions and the si</w:t>
      </w:r>
      <w:r>
        <w:rPr>
          <w:sz w:val="22"/>
        </w:rPr>
        <w:t>gnificant risks and uncertainties inherent in such information and statements, there can be no assurance that any such forward-looking information and statements will prove to be accurate, and accordingly readers are advised to rely on their own evaluation</w:t>
      </w:r>
      <w:r>
        <w:rPr>
          <w:sz w:val="22"/>
        </w:rPr>
        <w:t xml:space="preserve"> of such risks and uncertainties and should not place undue reliance upon such forward-looking information and statements.</w:t>
      </w:r>
      <w:r>
        <w:t xml:space="preserve"> </w:t>
      </w:r>
      <w:r>
        <w:rPr>
          <w:sz w:val="22"/>
        </w:rPr>
        <w:t xml:space="preserve">Any forward-looking information and statements herein are made as of the date hereof, and except as required by applicable laws, the </w:t>
      </w:r>
      <w:r>
        <w:rPr>
          <w:sz w:val="22"/>
        </w:rPr>
        <w:t>Company assumes no obligation and disclaims any intention to update or revise any forward-looking information and statements herein or to update the reasons that actual events or results could or do differ from those projected in any forward looking inform</w:t>
      </w:r>
      <w:r>
        <w:rPr>
          <w:sz w:val="22"/>
        </w:rPr>
        <w:t>ation and statements herein, whether as a result of new information, future events or results, or otherwise, except as required by applicable laws.</w:t>
      </w:r>
      <w:r>
        <w:t xml:space="preserve"> </w:t>
      </w:r>
      <w:r>
        <w:rPr>
          <w:sz w:val="22"/>
        </w:rPr>
        <w:t>The Canadian Securities Exchange has not reviewed, approved or disapproved the content of this news release.</w:t>
      </w:r>
    </w:p>
    <w:p w14:paraId="4735C180" w14:textId="77777777" w:rsidR="005C5CFC" w:rsidRDefault="005C5CFC">
      <w:pPr>
        <w:spacing w:line="288" w:lineRule="auto"/>
        <w:rPr>
          <w:b/>
          <w:i/>
          <w:sz w:val="22"/>
        </w:rPr>
      </w:pPr>
    </w:p>
    <w:p w14:paraId="4735C181" w14:textId="77777777" w:rsidR="005C5CFC" w:rsidRDefault="002654E3">
      <w:pPr>
        <w:spacing w:line="257" w:lineRule="auto"/>
        <w:jc w:val="both"/>
        <w:rPr>
          <w:b/>
          <w:sz w:val="22"/>
        </w:rPr>
      </w:pPr>
      <w:r>
        <w:rPr>
          <w:b/>
          <w:u w:val="single"/>
        </w:rPr>
        <w:t>Contacts</w:t>
      </w:r>
    </w:p>
    <w:p w14:paraId="4735C182" w14:textId="77777777" w:rsidR="005C5CFC" w:rsidRDefault="005C5CFC">
      <w:pPr>
        <w:spacing w:line="257" w:lineRule="auto"/>
        <w:jc w:val="both"/>
        <w:rPr>
          <w:b/>
          <w:u w:val="single"/>
        </w:rPr>
      </w:pPr>
    </w:p>
    <w:p w14:paraId="4735C183" w14:textId="77777777" w:rsidR="005C5CFC" w:rsidRDefault="002654E3">
      <w:pPr>
        <w:spacing w:line="269" w:lineRule="auto"/>
        <w:jc w:val="both"/>
        <w:rPr>
          <w:b/>
          <w:sz w:val="22"/>
        </w:rPr>
      </w:pPr>
      <w:r>
        <w:rPr>
          <w:b/>
          <w:sz w:val="22"/>
        </w:rPr>
        <w:t>Media Contact</w:t>
      </w:r>
    </w:p>
    <w:p w14:paraId="4735C184" w14:textId="77777777" w:rsidR="005C5CFC" w:rsidRDefault="002654E3">
      <w:pPr>
        <w:spacing w:line="269" w:lineRule="auto"/>
        <w:jc w:val="both"/>
        <w:rPr>
          <w:sz w:val="22"/>
        </w:rPr>
      </w:pPr>
      <w:r>
        <w:rPr>
          <w:sz w:val="22"/>
        </w:rPr>
        <w:t>MATTIO Communications</w:t>
      </w:r>
    </w:p>
    <w:p w14:paraId="4735C185" w14:textId="77777777" w:rsidR="005C5CFC" w:rsidRDefault="002654E3">
      <w:pPr>
        <w:spacing w:line="269" w:lineRule="auto"/>
        <w:jc w:val="both"/>
        <w:rPr>
          <w:sz w:val="22"/>
        </w:rPr>
      </w:pPr>
      <w:r>
        <w:rPr>
          <w:sz w:val="22"/>
        </w:rPr>
        <w:t>Mark Sinclair</w:t>
      </w:r>
    </w:p>
    <w:p w14:paraId="4735C186" w14:textId="77777777" w:rsidR="005C5CFC" w:rsidRDefault="002654E3">
      <w:pPr>
        <w:spacing w:line="269" w:lineRule="auto"/>
        <w:jc w:val="both"/>
        <w:rPr>
          <w:sz w:val="22"/>
        </w:rPr>
      </w:pPr>
      <w:r>
        <w:rPr>
          <w:sz w:val="22"/>
        </w:rPr>
        <w:t>(650) 269-9530</w:t>
      </w:r>
    </w:p>
    <w:p w14:paraId="4735C187" w14:textId="77777777" w:rsidR="005C5CFC" w:rsidRDefault="002654E3">
      <w:pPr>
        <w:spacing w:line="269" w:lineRule="auto"/>
        <w:jc w:val="both"/>
        <w:rPr>
          <w:sz w:val="22"/>
        </w:rPr>
      </w:pPr>
      <w:r>
        <w:rPr>
          <w:sz w:val="22"/>
        </w:rPr>
        <w:t>AWH@mattio.com</w:t>
      </w:r>
    </w:p>
    <w:p w14:paraId="4735C188" w14:textId="77777777" w:rsidR="005C5CFC" w:rsidRDefault="005C5CFC">
      <w:pPr>
        <w:spacing w:line="276" w:lineRule="auto"/>
        <w:rPr>
          <w:sz w:val="22"/>
        </w:rPr>
      </w:pPr>
    </w:p>
    <w:p w14:paraId="4735C189" w14:textId="77777777" w:rsidR="005C5CFC" w:rsidRDefault="002654E3">
      <w:pPr>
        <w:spacing w:line="269" w:lineRule="auto"/>
        <w:jc w:val="both"/>
        <w:rPr>
          <w:b/>
          <w:sz w:val="22"/>
        </w:rPr>
      </w:pPr>
      <w:r>
        <w:rPr>
          <w:b/>
          <w:sz w:val="22"/>
        </w:rPr>
        <w:t>Investor Contact</w:t>
      </w:r>
    </w:p>
    <w:p w14:paraId="4735C18A" w14:textId="77777777" w:rsidR="005C5CFC" w:rsidRDefault="002654E3">
      <w:pPr>
        <w:spacing w:line="269" w:lineRule="auto"/>
        <w:jc w:val="both"/>
        <w:rPr>
          <w:sz w:val="22"/>
        </w:rPr>
      </w:pPr>
      <w:r>
        <w:rPr>
          <w:sz w:val="22"/>
        </w:rPr>
        <w:t>Rebecca Koar</w:t>
      </w:r>
    </w:p>
    <w:p w14:paraId="4735C18B" w14:textId="77777777" w:rsidR="005C5CFC" w:rsidRDefault="002654E3">
      <w:pPr>
        <w:spacing w:line="269" w:lineRule="auto"/>
        <w:rPr>
          <w:sz w:val="22"/>
        </w:rPr>
      </w:pPr>
      <w:r>
        <w:rPr>
          <w:sz w:val="22"/>
        </w:rPr>
        <w:t>(617) 453-4042 ext. 90102</w:t>
      </w:r>
    </w:p>
    <w:p w14:paraId="4735C18C" w14:textId="77777777" w:rsidR="005C5CFC" w:rsidRDefault="002654E3">
      <w:pPr>
        <w:spacing w:line="269" w:lineRule="auto"/>
        <w:jc w:val="both"/>
        <w:rPr>
          <w:sz w:val="22"/>
        </w:rPr>
      </w:pPr>
      <w:r>
        <w:rPr>
          <w:sz w:val="22"/>
        </w:rPr>
        <w:t xml:space="preserve">IR@awholdings.com </w:t>
      </w:r>
    </w:p>
    <w:p w14:paraId="4735C18D" w14:textId="77777777" w:rsidR="005C5CFC" w:rsidRDefault="005C5CFC">
      <w:pPr>
        <w:spacing w:line="269" w:lineRule="auto"/>
        <w:jc w:val="both"/>
        <w:sectPr w:rsidR="005C5CFC">
          <w:type w:val="continuous"/>
          <w:pgSz w:w="12240" w:h="15840"/>
          <w:pgMar w:top="1440" w:right="1440" w:bottom="1440" w:left="1440" w:header="450" w:footer="450" w:gutter="0"/>
          <w:cols w:space="708"/>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0"/>
        <w:gridCol w:w="1800"/>
        <w:gridCol w:w="60"/>
        <w:gridCol w:w="1800"/>
      </w:tblGrid>
      <w:tr w:rsidR="005C5CFC" w14:paraId="4735C190" w14:textId="77777777">
        <w:trPr>
          <w:cantSplit/>
          <w:trHeight w:hRule="exact" w:val="285"/>
        </w:trPr>
        <w:tc>
          <w:tcPr>
            <w:tcW w:w="5700" w:type="dxa"/>
            <w:tcBorders>
              <w:top w:val="nil"/>
              <w:left w:val="nil"/>
              <w:bottom w:val="nil"/>
              <w:right w:val="nil"/>
            </w:tcBorders>
            <w:tcMar>
              <w:top w:w="0" w:type="dxa"/>
              <w:left w:w="0" w:type="dxa"/>
              <w:bottom w:w="0" w:type="dxa"/>
              <w:right w:w="0" w:type="dxa"/>
            </w:tcMar>
            <w:vAlign w:val="bottom"/>
          </w:tcPr>
          <w:p w14:paraId="4735C18E" w14:textId="77777777" w:rsidR="005C5CFC" w:rsidRDefault="005C5CFC">
            <w:pPr>
              <w:keepNext/>
            </w:pPr>
          </w:p>
        </w:tc>
        <w:tc>
          <w:tcPr>
            <w:tcW w:w="3660" w:type="dxa"/>
            <w:gridSpan w:val="3"/>
            <w:tcBorders>
              <w:top w:val="nil"/>
              <w:left w:val="nil"/>
              <w:bottom w:val="single" w:sz="8" w:space="0" w:color="000000"/>
              <w:right w:val="nil"/>
            </w:tcBorders>
            <w:tcMar>
              <w:top w:w="0" w:type="dxa"/>
              <w:left w:w="53" w:type="dxa"/>
              <w:bottom w:w="0" w:type="dxa"/>
              <w:right w:w="53" w:type="dxa"/>
            </w:tcMar>
            <w:vAlign w:val="bottom"/>
          </w:tcPr>
          <w:p w14:paraId="4735C18F" w14:textId="77777777" w:rsidR="005C5CFC" w:rsidRDefault="002654E3">
            <w:pPr>
              <w:keepNext/>
              <w:spacing w:before="53" w:after="30"/>
              <w:jc w:val="center"/>
            </w:pPr>
            <w:r>
              <w:rPr>
                <w:b/>
                <w:color w:val="000000"/>
                <w:sz w:val="20"/>
              </w:rPr>
              <w:t>Three Months Ended March 31,</w:t>
            </w:r>
          </w:p>
        </w:tc>
      </w:tr>
      <w:tr w:rsidR="005C5CFC" w14:paraId="4735C195" w14:textId="77777777">
        <w:trPr>
          <w:cantSplit/>
          <w:trHeight w:hRule="exact" w:val="285"/>
        </w:trPr>
        <w:tc>
          <w:tcPr>
            <w:tcW w:w="5700" w:type="dxa"/>
            <w:tcBorders>
              <w:top w:val="nil"/>
              <w:left w:val="nil"/>
              <w:bottom w:val="nil"/>
              <w:right w:val="nil"/>
            </w:tcBorders>
            <w:tcMar>
              <w:top w:w="0" w:type="dxa"/>
              <w:left w:w="53" w:type="dxa"/>
              <w:bottom w:w="0" w:type="dxa"/>
              <w:right w:w="53" w:type="dxa"/>
            </w:tcMar>
            <w:vAlign w:val="bottom"/>
          </w:tcPr>
          <w:p w14:paraId="4735C191" w14:textId="77777777" w:rsidR="005C5CFC" w:rsidRDefault="002654E3">
            <w:pPr>
              <w:keepNext/>
              <w:spacing w:before="33" w:after="30"/>
            </w:pPr>
            <w:r>
              <w:rPr>
                <w:i/>
                <w:color w:val="000000"/>
                <w:sz w:val="16"/>
                <w:u w:val="single"/>
              </w:rPr>
              <w:t xml:space="preserve">(in thousands, except per share </w:t>
            </w:r>
            <w:r>
              <w:rPr>
                <w:i/>
                <w:color w:val="000000"/>
                <w:sz w:val="16"/>
                <w:u w:val="single"/>
              </w:rPr>
              <w:t>amounts)</w:t>
            </w:r>
          </w:p>
        </w:tc>
        <w:tc>
          <w:tcPr>
            <w:tcW w:w="1800" w:type="dxa"/>
            <w:tcBorders>
              <w:top w:val="nil"/>
              <w:left w:val="nil"/>
              <w:bottom w:val="single" w:sz="8" w:space="0" w:color="000000"/>
              <w:right w:val="nil"/>
            </w:tcBorders>
            <w:tcMar>
              <w:top w:w="0" w:type="dxa"/>
              <w:left w:w="53" w:type="dxa"/>
              <w:bottom w:w="0" w:type="dxa"/>
              <w:right w:w="53" w:type="dxa"/>
            </w:tcMar>
            <w:vAlign w:val="bottom"/>
          </w:tcPr>
          <w:p w14:paraId="4735C192" w14:textId="77777777" w:rsidR="005C5CFC" w:rsidRDefault="002654E3">
            <w:pPr>
              <w:keepNext/>
              <w:spacing w:before="33" w:after="30"/>
              <w:jc w:val="center"/>
            </w:pPr>
            <w:r>
              <w:rPr>
                <w:b/>
                <w:color w:val="000000"/>
                <w:sz w:val="20"/>
              </w:rPr>
              <w:t>2022</w:t>
            </w:r>
          </w:p>
        </w:tc>
        <w:tc>
          <w:tcPr>
            <w:tcW w:w="60" w:type="dxa"/>
            <w:tcBorders>
              <w:top w:val="single" w:sz="8" w:space="0" w:color="000000"/>
              <w:left w:val="nil"/>
              <w:bottom w:val="nil"/>
              <w:right w:val="nil"/>
            </w:tcBorders>
            <w:tcMar>
              <w:top w:w="0" w:type="dxa"/>
              <w:left w:w="0" w:type="dxa"/>
              <w:bottom w:w="0" w:type="dxa"/>
              <w:right w:w="0" w:type="dxa"/>
            </w:tcMar>
            <w:vAlign w:val="bottom"/>
          </w:tcPr>
          <w:p w14:paraId="4735C193" w14:textId="77777777" w:rsidR="005C5CFC" w:rsidRDefault="005C5CFC">
            <w:pPr>
              <w:keepNext/>
            </w:pPr>
          </w:p>
        </w:tc>
        <w:tc>
          <w:tcPr>
            <w:tcW w:w="18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735C194" w14:textId="77777777" w:rsidR="005C5CFC" w:rsidRDefault="002654E3">
            <w:pPr>
              <w:keepNext/>
              <w:spacing w:before="33" w:after="30"/>
              <w:jc w:val="center"/>
            </w:pPr>
            <w:r>
              <w:rPr>
                <w:b/>
                <w:color w:val="000000"/>
                <w:sz w:val="20"/>
              </w:rPr>
              <w:t>2021</w:t>
            </w:r>
          </w:p>
        </w:tc>
      </w:tr>
      <w:tr w:rsidR="005C5CFC" w14:paraId="4735C19A" w14:textId="77777777">
        <w:trPr>
          <w:cantSplit/>
          <w:trHeight w:hRule="exact" w:val="285"/>
        </w:trPr>
        <w:tc>
          <w:tcPr>
            <w:tcW w:w="5700" w:type="dxa"/>
            <w:tcBorders>
              <w:top w:val="nil"/>
              <w:left w:val="nil"/>
              <w:bottom w:val="nil"/>
              <w:right w:val="nil"/>
            </w:tcBorders>
            <w:shd w:val="clear" w:color="auto" w:fill="CCEEFF"/>
            <w:tcMar>
              <w:top w:w="0" w:type="dxa"/>
              <w:left w:w="53" w:type="dxa"/>
              <w:bottom w:w="0" w:type="dxa"/>
              <w:right w:w="53" w:type="dxa"/>
            </w:tcMar>
            <w:vAlign w:val="bottom"/>
          </w:tcPr>
          <w:p w14:paraId="4735C196" w14:textId="77777777" w:rsidR="005C5CFC" w:rsidRDefault="002654E3">
            <w:pPr>
              <w:keepNext/>
              <w:spacing w:before="33" w:after="30"/>
            </w:pPr>
            <w:r>
              <w:rPr>
                <w:color w:val="000000"/>
                <w:sz w:val="20"/>
              </w:rPr>
              <w:t>Revenue, net</w:t>
            </w:r>
          </w:p>
        </w:tc>
        <w:tc>
          <w:tcPr>
            <w:tcW w:w="18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735C197" w14:textId="77777777" w:rsidR="005C5CFC" w:rsidRDefault="002654E3">
            <w:pPr>
              <w:keepNext/>
              <w:tabs>
                <w:tab w:val="left" w:pos="1117"/>
                <w:tab w:val="left" w:pos="1732"/>
              </w:tabs>
              <w:spacing w:before="33" w:after="30"/>
              <w:jc w:val="right"/>
            </w:pPr>
            <w:r>
              <w:rPr>
                <w:color w:val="000000"/>
                <w:sz w:val="20"/>
              </w:rPr>
              <w:t>$</w:t>
            </w:r>
            <w:r>
              <w:rPr>
                <w:color w:val="000000"/>
                <w:sz w:val="20"/>
              </w:rPr>
              <w:tab/>
              <w:t>85,090</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198" w14:textId="77777777" w:rsidR="005C5CFC" w:rsidRDefault="005C5CFC">
            <w:pPr>
              <w:keepNext/>
            </w:pPr>
          </w:p>
        </w:tc>
        <w:tc>
          <w:tcPr>
            <w:tcW w:w="18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735C199" w14:textId="77777777" w:rsidR="005C5CFC" w:rsidRDefault="002654E3">
            <w:pPr>
              <w:keepNext/>
              <w:tabs>
                <w:tab w:val="left" w:pos="1117"/>
                <w:tab w:val="left" w:pos="1732"/>
              </w:tabs>
              <w:spacing w:before="33" w:after="30"/>
              <w:jc w:val="right"/>
            </w:pPr>
            <w:r>
              <w:rPr>
                <w:color w:val="000000"/>
                <w:sz w:val="20"/>
              </w:rPr>
              <w:t>$</w:t>
            </w:r>
            <w:r>
              <w:rPr>
                <w:color w:val="000000"/>
                <w:sz w:val="20"/>
              </w:rPr>
              <w:tab/>
              <w:t>66,137</w:t>
            </w:r>
            <w:r>
              <w:rPr>
                <w:color w:val="000000"/>
                <w:sz w:val="20"/>
              </w:rPr>
              <w:tab/>
            </w:r>
          </w:p>
        </w:tc>
      </w:tr>
      <w:tr w:rsidR="005C5CFC" w14:paraId="4735C19F" w14:textId="77777777">
        <w:trPr>
          <w:cantSplit/>
          <w:trHeight w:hRule="exact" w:val="285"/>
        </w:trPr>
        <w:tc>
          <w:tcPr>
            <w:tcW w:w="5700" w:type="dxa"/>
            <w:tcBorders>
              <w:top w:val="nil"/>
              <w:left w:val="nil"/>
              <w:bottom w:val="nil"/>
              <w:right w:val="nil"/>
            </w:tcBorders>
            <w:shd w:val="clear" w:color="auto" w:fill="FFFFFF"/>
            <w:tcMar>
              <w:top w:w="0" w:type="dxa"/>
              <w:left w:w="53" w:type="dxa"/>
              <w:bottom w:w="0" w:type="dxa"/>
              <w:right w:w="53" w:type="dxa"/>
            </w:tcMar>
            <w:vAlign w:val="bottom"/>
          </w:tcPr>
          <w:p w14:paraId="4735C19B" w14:textId="77777777" w:rsidR="005C5CFC" w:rsidRDefault="002654E3">
            <w:pPr>
              <w:keepNext/>
              <w:spacing w:before="53" w:after="30"/>
            </w:pPr>
            <w:r>
              <w:rPr>
                <w:color w:val="000000"/>
                <w:sz w:val="20"/>
              </w:rPr>
              <w:t>Cost of goods sold</w:t>
            </w:r>
          </w:p>
        </w:tc>
        <w:tc>
          <w:tcPr>
            <w:tcW w:w="18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735C19C" w14:textId="77777777" w:rsidR="005C5CFC" w:rsidRDefault="002654E3">
            <w:pPr>
              <w:keepNext/>
              <w:tabs>
                <w:tab w:val="left" w:pos="1051"/>
              </w:tabs>
              <w:spacing w:before="53" w:after="30"/>
              <w:jc w:val="right"/>
            </w:pPr>
            <w:r>
              <w:rPr>
                <w:color w:val="000000"/>
                <w:sz w:val="20"/>
              </w:rPr>
              <w:tab/>
              <w:t>(61,643)</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19D" w14:textId="77777777" w:rsidR="005C5CFC" w:rsidRDefault="005C5CFC">
            <w:pPr>
              <w:keepNext/>
            </w:pPr>
          </w:p>
        </w:tc>
        <w:tc>
          <w:tcPr>
            <w:tcW w:w="18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735C19E" w14:textId="77777777" w:rsidR="005C5CFC" w:rsidRDefault="002654E3">
            <w:pPr>
              <w:keepNext/>
              <w:tabs>
                <w:tab w:val="left" w:pos="1051"/>
              </w:tabs>
              <w:spacing w:before="53" w:after="30"/>
              <w:jc w:val="right"/>
            </w:pPr>
            <w:r>
              <w:rPr>
                <w:color w:val="000000"/>
                <w:sz w:val="20"/>
              </w:rPr>
              <w:tab/>
              <w:t>(36,470)</w:t>
            </w:r>
          </w:p>
        </w:tc>
      </w:tr>
      <w:tr w:rsidR="005C5CFC" w14:paraId="4735C1A4" w14:textId="77777777">
        <w:trPr>
          <w:cantSplit/>
          <w:trHeight w:hRule="exact" w:val="285"/>
        </w:trPr>
        <w:tc>
          <w:tcPr>
            <w:tcW w:w="5700" w:type="dxa"/>
            <w:tcBorders>
              <w:top w:val="nil"/>
              <w:left w:val="nil"/>
              <w:bottom w:val="nil"/>
              <w:right w:val="nil"/>
            </w:tcBorders>
            <w:shd w:val="clear" w:color="auto" w:fill="CCEEFF"/>
            <w:tcMar>
              <w:top w:w="0" w:type="dxa"/>
              <w:left w:w="53" w:type="dxa"/>
              <w:bottom w:w="0" w:type="dxa"/>
              <w:right w:w="53" w:type="dxa"/>
            </w:tcMar>
            <w:vAlign w:val="bottom"/>
          </w:tcPr>
          <w:p w14:paraId="4735C1A0" w14:textId="77777777" w:rsidR="005C5CFC" w:rsidRDefault="002654E3">
            <w:pPr>
              <w:keepNext/>
              <w:spacing w:before="33" w:after="30"/>
            </w:pPr>
            <w:r>
              <w:rPr>
                <w:b/>
                <w:color w:val="000000"/>
                <w:sz w:val="20"/>
              </w:rPr>
              <w:t>Gross profit</w:t>
            </w:r>
          </w:p>
        </w:tc>
        <w:tc>
          <w:tcPr>
            <w:tcW w:w="18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735C1A1" w14:textId="77777777" w:rsidR="005C5CFC" w:rsidRDefault="002654E3">
            <w:pPr>
              <w:keepNext/>
              <w:tabs>
                <w:tab w:val="left" w:pos="1117"/>
                <w:tab w:val="left" w:pos="1732"/>
              </w:tabs>
              <w:spacing w:before="33" w:after="30"/>
              <w:jc w:val="right"/>
            </w:pPr>
            <w:r>
              <w:rPr>
                <w:color w:val="000000"/>
                <w:sz w:val="20"/>
              </w:rPr>
              <w:tab/>
              <w:t>23,447</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1A2" w14:textId="77777777" w:rsidR="005C5CFC" w:rsidRDefault="005C5CFC">
            <w:pPr>
              <w:keepNext/>
            </w:pPr>
          </w:p>
        </w:tc>
        <w:tc>
          <w:tcPr>
            <w:tcW w:w="18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735C1A3" w14:textId="77777777" w:rsidR="005C5CFC" w:rsidRDefault="002654E3">
            <w:pPr>
              <w:keepNext/>
              <w:tabs>
                <w:tab w:val="left" w:pos="1117"/>
                <w:tab w:val="left" w:pos="1732"/>
              </w:tabs>
              <w:spacing w:before="33" w:after="30"/>
              <w:jc w:val="right"/>
            </w:pPr>
            <w:r>
              <w:rPr>
                <w:color w:val="000000"/>
                <w:sz w:val="20"/>
              </w:rPr>
              <w:tab/>
              <w:t>29,667</w:t>
            </w:r>
            <w:r>
              <w:rPr>
                <w:color w:val="000000"/>
                <w:sz w:val="20"/>
              </w:rPr>
              <w:tab/>
            </w:r>
          </w:p>
        </w:tc>
      </w:tr>
      <w:tr w:rsidR="005C5CFC" w14:paraId="4735C1A9" w14:textId="77777777">
        <w:trPr>
          <w:cantSplit/>
          <w:trHeight w:hRule="exact" w:val="285"/>
        </w:trPr>
        <w:tc>
          <w:tcPr>
            <w:tcW w:w="5700" w:type="dxa"/>
            <w:tcBorders>
              <w:top w:val="nil"/>
              <w:left w:val="nil"/>
              <w:bottom w:val="nil"/>
              <w:right w:val="nil"/>
            </w:tcBorders>
            <w:shd w:val="clear" w:color="auto" w:fill="FFFFFF"/>
            <w:tcMar>
              <w:top w:w="0" w:type="dxa"/>
              <w:left w:w="53" w:type="dxa"/>
              <w:bottom w:w="0" w:type="dxa"/>
              <w:right w:w="53" w:type="dxa"/>
            </w:tcMar>
            <w:vAlign w:val="bottom"/>
          </w:tcPr>
          <w:p w14:paraId="4735C1A5" w14:textId="77777777" w:rsidR="005C5CFC" w:rsidRDefault="002654E3">
            <w:pPr>
              <w:keepNext/>
              <w:spacing w:before="33" w:after="30"/>
            </w:pPr>
            <w:r>
              <w:rPr>
                <w:b/>
                <w:color w:val="000000"/>
                <w:sz w:val="20"/>
              </w:rPr>
              <w:t>Operating expenses</w:t>
            </w:r>
          </w:p>
        </w:tc>
        <w:tc>
          <w:tcPr>
            <w:tcW w:w="18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4735C1A6" w14:textId="77777777" w:rsidR="005C5CFC" w:rsidRDefault="005C5CFC">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1A7" w14:textId="77777777" w:rsidR="005C5CFC" w:rsidRDefault="005C5CFC">
            <w:pPr>
              <w:keepNext/>
            </w:pPr>
          </w:p>
        </w:tc>
        <w:tc>
          <w:tcPr>
            <w:tcW w:w="18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4735C1A8" w14:textId="77777777" w:rsidR="005C5CFC" w:rsidRDefault="005C5CFC">
            <w:pPr>
              <w:keepNext/>
            </w:pPr>
          </w:p>
        </w:tc>
      </w:tr>
      <w:tr w:rsidR="005C5CFC" w14:paraId="4735C1AE" w14:textId="77777777">
        <w:trPr>
          <w:cantSplit/>
          <w:trHeight w:hRule="exact" w:val="285"/>
        </w:trPr>
        <w:tc>
          <w:tcPr>
            <w:tcW w:w="5700" w:type="dxa"/>
            <w:tcBorders>
              <w:top w:val="nil"/>
              <w:left w:val="nil"/>
              <w:bottom w:val="nil"/>
              <w:right w:val="nil"/>
            </w:tcBorders>
            <w:shd w:val="clear" w:color="auto" w:fill="CCEEFF"/>
            <w:tcMar>
              <w:top w:w="0" w:type="dxa"/>
              <w:left w:w="53" w:type="dxa"/>
              <w:bottom w:w="0" w:type="dxa"/>
              <w:right w:w="53" w:type="dxa"/>
            </w:tcMar>
            <w:vAlign w:val="bottom"/>
          </w:tcPr>
          <w:p w14:paraId="4735C1AA" w14:textId="77777777" w:rsidR="005C5CFC" w:rsidRDefault="002654E3">
            <w:pPr>
              <w:keepNext/>
              <w:spacing w:before="53" w:after="30"/>
              <w:ind w:left="240"/>
            </w:pPr>
            <w:r>
              <w:rPr>
                <w:color w:val="000000"/>
                <w:sz w:val="20"/>
              </w:rPr>
              <w:t>General and administrative expenses</w:t>
            </w: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1AB" w14:textId="77777777" w:rsidR="005C5CFC" w:rsidRDefault="002654E3">
            <w:pPr>
              <w:keepNext/>
              <w:tabs>
                <w:tab w:val="left" w:pos="1117"/>
                <w:tab w:val="left" w:pos="1732"/>
              </w:tabs>
              <w:spacing w:before="53" w:after="30"/>
              <w:jc w:val="right"/>
            </w:pPr>
            <w:r>
              <w:rPr>
                <w:color w:val="000000"/>
                <w:sz w:val="20"/>
              </w:rPr>
              <w:tab/>
              <w:t>33,227</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1AC"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1AD" w14:textId="77777777" w:rsidR="005C5CFC" w:rsidRDefault="002654E3">
            <w:pPr>
              <w:keepNext/>
              <w:tabs>
                <w:tab w:val="left" w:pos="1117"/>
                <w:tab w:val="left" w:pos="1732"/>
              </w:tabs>
              <w:spacing w:before="53" w:after="30"/>
              <w:jc w:val="right"/>
            </w:pPr>
            <w:r>
              <w:rPr>
                <w:color w:val="000000"/>
                <w:sz w:val="20"/>
              </w:rPr>
              <w:tab/>
              <w:t>25,146</w:t>
            </w:r>
            <w:r>
              <w:rPr>
                <w:color w:val="000000"/>
                <w:sz w:val="20"/>
              </w:rPr>
              <w:tab/>
            </w:r>
          </w:p>
        </w:tc>
      </w:tr>
      <w:tr w:rsidR="005C5CFC" w14:paraId="4735C1B3" w14:textId="77777777">
        <w:trPr>
          <w:cantSplit/>
          <w:trHeight w:hRule="exact" w:val="285"/>
        </w:trPr>
        <w:tc>
          <w:tcPr>
            <w:tcW w:w="5700" w:type="dxa"/>
            <w:tcBorders>
              <w:top w:val="nil"/>
              <w:left w:val="nil"/>
              <w:bottom w:val="nil"/>
              <w:right w:val="nil"/>
            </w:tcBorders>
            <w:shd w:val="clear" w:color="auto" w:fill="FFFFFF"/>
            <w:tcMar>
              <w:top w:w="0" w:type="dxa"/>
              <w:left w:w="53" w:type="dxa"/>
              <w:bottom w:w="0" w:type="dxa"/>
              <w:right w:w="53" w:type="dxa"/>
            </w:tcMar>
            <w:vAlign w:val="bottom"/>
          </w:tcPr>
          <w:p w14:paraId="4735C1AF" w14:textId="77777777" w:rsidR="005C5CFC" w:rsidRDefault="002654E3">
            <w:pPr>
              <w:keepNext/>
              <w:spacing w:before="53" w:after="30"/>
              <w:ind w:left="240"/>
            </w:pPr>
            <w:r>
              <w:rPr>
                <w:color w:val="000000"/>
                <w:sz w:val="20"/>
              </w:rPr>
              <w:t>Settlement expense</w:t>
            </w:r>
          </w:p>
        </w:tc>
        <w:tc>
          <w:tcPr>
            <w:tcW w:w="18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735C1B0" w14:textId="77777777" w:rsidR="005C5CFC" w:rsidRDefault="002654E3">
            <w:pPr>
              <w:keepNext/>
              <w:tabs>
                <w:tab w:val="left" w:pos="1217"/>
                <w:tab w:val="left" w:pos="1732"/>
              </w:tabs>
              <w:spacing w:before="53" w:after="30"/>
              <w:jc w:val="right"/>
            </w:pPr>
            <w:r>
              <w:rPr>
                <w:color w:val="000000"/>
                <w:sz w:val="20"/>
              </w:rPr>
              <w:tab/>
              <w:t>5,000</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1B1" w14:textId="77777777" w:rsidR="005C5CFC" w:rsidRDefault="005C5CFC">
            <w:pPr>
              <w:keepNext/>
            </w:pPr>
          </w:p>
        </w:tc>
        <w:tc>
          <w:tcPr>
            <w:tcW w:w="18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735C1B2" w14:textId="77777777" w:rsidR="005C5CFC" w:rsidRDefault="002654E3">
            <w:pPr>
              <w:keepNext/>
              <w:tabs>
                <w:tab w:val="left" w:pos="1117"/>
                <w:tab w:val="left" w:pos="1732"/>
              </w:tabs>
              <w:spacing w:before="53" w:after="30"/>
              <w:jc w:val="right"/>
            </w:pPr>
            <w:r>
              <w:rPr>
                <w:color w:val="000000"/>
                <w:sz w:val="20"/>
              </w:rPr>
              <w:tab/>
              <w:t>36,511</w:t>
            </w:r>
            <w:r>
              <w:rPr>
                <w:color w:val="000000"/>
                <w:sz w:val="20"/>
              </w:rPr>
              <w:tab/>
            </w:r>
          </w:p>
        </w:tc>
      </w:tr>
      <w:tr w:rsidR="005C5CFC" w14:paraId="4735C1B8" w14:textId="77777777">
        <w:trPr>
          <w:cantSplit/>
          <w:trHeight w:hRule="exact" w:val="285"/>
        </w:trPr>
        <w:tc>
          <w:tcPr>
            <w:tcW w:w="5700" w:type="dxa"/>
            <w:tcBorders>
              <w:top w:val="nil"/>
              <w:left w:val="nil"/>
              <w:bottom w:val="nil"/>
              <w:right w:val="nil"/>
            </w:tcBorders>
            <w:shd w:val="clear" w:color="auto" w:fill="CCEEFF"/>
            <w:tcMar>
              <w:top w:w="0" w:type="dxa"/>
              <w:left w:w="53" w:type="dxa"/>
              <w:bottom w:w="0" w:type="dxa"/>
              <w:right w:w="53" w:type="dxa"/>
            </w:tcMar>
            <w:vAlign w:val="bottom"/>
          </w:tcPr>
          <w:p w14:paraId="4735C1B4" w14:textId="77777777" w:rsidR="005C5CFC" w:rsidRDefault="002654E3">
            <w:pPr>
              <w:keepNext/>
              <w:spacing w:before="33" w:after="30"/>
              <w:ind w:left="480"/>
            </w:pPr>
            <w:r>
              <w:rPr>
                <w:color w:val="000000"/>
                <w:sz w:val="20"/>
              </w:rPr>
              <w:t>Total operating expenses</w:t>
            </w:r>
          </w:p>
        </w:tc>
        <w:tc>
          <w:tcPr>
            <w:tcW w:w="18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735C1B5" w14:textId="77777777" w:rsidR="005C5CFC" w:rsidRDefault="002654E3">
            <w:pPr>
              <w:keepNext/>
              <w:tabs>
                <w:tab w:val="left" w:pos="1117"/>
                <w:tab w:val="left" w:pos="1732"/>
              </w:tabs>
              <w:spacing w:before="33" w:after="30"/>
              <w:jc w:val="right"/>
            </w:pPr>
            <w:r>
              <w:rPr>
                <w:color w:val="000000"/>
                <w:sz w:val="20"/>
              </w:rPr>
              <w:tab/>
              <w:t>38,227</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1B6" w14:textId="77777777" w:rsidR="005C5CFC" w:rsidRDefault="005C5CFC">
            <w:pPr>
              <w:keepNext/>
            </w:pPr>
          </w:p>
        </w:tc>
        <w:tc>
          <w:tcPr>
            <w:tcW w:w="18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735C1B7" w14:textId="77777777" w:rsidR="005C5CFC" w:rsidRDefault="002654E3">
            <w:pPr>
              <w:keepNext/>
              <w:tabs>
                <w:tab w:val="left" w:pos="1117"/>
                <w:tab w:val="left" w:pos="1732"/>
              </w:tabs>
              <w:spacing w:before="33" w:after="30"/>
              <w:jc w:val="right"/>
            </w:pPr>
            <w:r>
              <w:rPr>
                <w:color w:val="000000"/>
                <w:sz w:val="20"/>
              </w:rPr>
              <w:tab/>
              <w:t>61,657</w:t>
            </w:r>
            <w:r>
              <w:rPr>
                <w:color w:val="000000"/>
                <w:sz w:val="20"/>
              </w:rPr>
              <w:tab/>
            </w:r>
          </w:p>
        </w:tc>
      </w:tr>
      <w:tr w:rsidR="005C5CFC" w14:paraId="4735C1BD" w14:textId="77777777">
        <w:trPr>
          <w:cantSplit/>
          <w:trHeight w:hRule="exact" w:val="285"/>
        </w:trPr>
        <w:tc>
          <w:tcPr>
            <w:tcW w:w="5700" w:type="dxa"/>
            <w:tcBorders>
              <w:top w:val="nil"/>
              <w:left w:val="nil"/>
              <w:bottom w:val="nil"/>
              <w:right w:val="nil"/>
            </w:tcBorders>
            <w:shd w:val="clear" w:color="auto" w:fill="FFFFFF"/>
            <w:tcMar>
              <w:top w:w="0" w:type="dxa"/>
              <w:left w:w="53" w:type="dxa"/>
              <w:bottom w:w="0" w:type="dxa"/>
              <w:right w:w="53" w:type="dxa"/>
            </w:tcMar>
            <w:vAlign w:val="bottom"/>
          </w:tcPr>
          <w:p w14:paraId="4735C1B9" w14:textId="77777777" w:rsidR="005C5CFC" w:rsidRDefault="002654E3">
            <w:pPr>
              <w:keepNext/>
              <w:spacing w:before="33" w:after="30"/>
            </w:pPr>
            <w:r>
              <w:rPr>
                <w:b/>
                <w:color w:val="000000"/>
                <w:sz w:val="20"/>
              </w:rPr>
              <w:t>Operating loss</w:t>
            </w:r>
          </w:p>
        </w:tc>
        <w:tc>
          <w:tcPr>
            <w:tcW w:w="18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735C1BA" w14:textId="77777777" w:rsidR="005C5CFC" w:rsidRDefault="002654E3">
            <w:pPr>
              <w:keepNext/>
              <w:tabs>
                <w:tab w:val="left" w:pos="1051"/>
              </w:tabs>
              <w:spacing w:before="33" w:after="30"/>
              <w:jc w:val="right"/>
            </w:pPr>
            <w:r>
              <w:rPr>
                <w:color w:val="000000"/>
                <w:sz w:val="20"/>
              </w:rPr>
              <w:tab/>
              <w:t>(14,780)</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1BB" w14:textId="77777777" w:rsidR="005C5CFC" w:rsidRDefault="005C5CFC">
            <w:pPr>
              <w:keepNext/>
            </w:pPr>
          </w:p>
        </w:tc>
        <w:tc>
          <w:tcPr>
            <w:tcW w:w="18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735C1BC" w14:textId="77777777" w:rsidR="005C5CFC" w:rsidRDefault="002654E3">
            <w:pPr>
              <w:keepNext/>
              <w:tabs>
                <w:tab w:val="left" w:pos="1051"/>
              </w:tabs>
              <w:spacing w:before="33" w:after="30"/>
              <w:jc w:val="right"/>
            </w:pPr>
            <w:r>
              <w:rPr>
                <w:color w:val="000000"/>
                <w:sz w:val="20"/>
              </w:rPr>
              <w:tab/>
              <w:t>(31,990)</w:t>
            </w:r>
          </w:p>
        </w:tc>
      </w:tr>
      <w:tr w:rsidR="005C5CFC" w14:paraId="4735C1C2" w14:textId="77777777">
        <w:trPr>
          <w:cantSplit/>
          <w:trHeight w:hRule="exact" w:val="315"/>
        </w:trPr>
        <w:tc>
          <w:tcPr>
            <w:tcW w:w="5700" w:type="dxa"/>
            <w:tcBorders>
              <w:top w:val="nil"/>
              <w:left w:val="nil"/>
              <w:bottom w:val="nil"/>
              <w:right w:val="nil"/>
            </w:tcBorders>
            <w:shd w:val="clear" w:color="auto" w:fill="CCEEFF"/>
            <w:tcMar>
              <w:top w:w="0" w:type="dxa"/>
              <w:left w:w="0" w:type="dxa"/>
              <w:bottom w:w="0" w:type="dxa"/>
              <w:right w:w="0" w:type="dxa"/>
            </w:tcMar>
            <w:vAlign w:val="bottom"/>
          </w:tcPr>
          <w:p w14:paraId="4735C1BE" w14:textId="77777777" w:rsidR="005C5CFC" w:rsidRDefault="005C5CFC">
            <w:pPr>
              <w:keepNext/>
            </w:pPr>
          </w:p>
        </w:tc>
        <w:tc>
          <w:tcPr>
            <w:tcW w:w="18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735C1BF" w14:textId="77777777" w:rsidR="005C5CFC" w:rsidRDefault="005C5CFC">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1C0" w14:textId="77777777" w:rsidR="005C5CFC" w:rsidRDefault="005C5CFC">
            <w:pPr>
              <w:keepNext/>
            </w:pPr>
          </w:p>
        </w:tc>
        <w:tc>
          <w:tcPr>
            <w:tcW w:w="18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735C1C1" w14:textId="77777777" w:rsidR="005C5CFC" w:rsidRDefault="005C5CFC">
            <w:pPr>
              <w:keepNext/>
            </w:pPr>
          </w:p>
        </w:tc>
      </w:tr>
      <w:tr w:rsidR="005C5CFC" w14:paraId="4735C1C7" w14:textId="77777777">
        <w:trPr>
          <w:cantSplit/>
          <w:trHeight w:hRule="exact" w:val="285"/>
        </w:trPr>
        <w:tc>
          <w:tcPr>
            <w:tcW w:w="5700" w:type="dxa"/>
            <w:tcBorders>
              <w:top w:val="nil"/>
              <w:left w:val="nil"/>
              <w:bottom w:val="nil"/>
              <w:right w:val="nil"/>
            </w:tcBorders>
            <w:shd w:val="clear" w:color="auto" w:fill="FFFFFF"/>
            <w:tcMar>
              <w:top w:w="0" w:type="dxa"/>
              <w:left w:w="53" w:type="dxa"/>
              <w:bottom w:w="0" w:type="dxa"/>
              <w:right w:w="53" w:type="dxa"/>
            </w:tcMar>
            <w:vAlign w:val="bottom"/>
          </w:tcPr>
          <w:p w14:paraId="4735C1C3" w14:textId="77777777" w:rsidR="005C5CFC" w:rsidRDefault="002654E3">
            <w:pPr>
              <w:keepNext/>
              <w:spacing w:before="53" w:after="30"/>
            </w:pPr>
            <w:r>
              <w:rPr>
                <w:color w:val="000000"/>
                <w:sz w:val="20"/>
              </w:rPr>
              <w:t>Other (expense) income</w:t>
            </w:r>
          </w:p>
        </w:tc>
        <w:tc>
          <w:tcPr>
            <w:tcW w:w="1800" w:type="dxa"/>
            <w:tcBorders>
              <w:top w:val="nil"/>
              <w:left w:val="nil"/>
              <w:bottom w:val="nil"/>
              <w:right w:val="nil"/>
            </w:tcBorders>
            <w:shd w:val="clear" w:color="auto" w:fill="FFFFFF"/>
            <w:tcMar>
              <w:top w:w="0" w:type="dxa"/>
              <w:left w:w="0" w:type="dxa"/>
              <w:bottom w:w="0" w:type="dxa"/>
              <w:right w:w="0" w:type="dxa"/>
            </w:tcMar>
            <w:vAlign w:val="bottom"/>
          </w:tcPr>
          <w:p w14:paraId="4735C1C4" w14:textId="77777777" w:rsidR="005C5CFC" w:rsidRDefault="005C5CFC">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1C5"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0" w:type="dxa"/>
            </w:tcMar>
            <w:vAlign w:val="bottom"/>
          </w:tcPr>
          <w:p w14:paraId="4735C1C6" w14:textId="77777777" w:rsidR="005C5CFC" w:rsidRDefault="005C5CFC">
            <w:pPr>
              <w:keepNext/>
            </w:pPr>
          </w:p>
        </w:tc>
      </w:tr>
      <w:tr w:rsidR="005C5CFC" w14:paraId="4735C1CC" w14:textId="77777777">
        <w:trPr>
          <w:cantSplit/>
          <w:trHeight w:hRule="exact" w:val="285"/>
        </w:trPr>
        <w:tc>
          <w:tcPr>
            <w:tcW w:w="5700" w:type="dxa"/>
            <w:tcBorders>
              <w:top w:val="nil"/>
              <w:left w:val="nil"/>
              <w:bottom w:val="nil"/>
              <w:right w:val="nil"/>
            </w:tcBorders>
            <w:shd w:val="clear" w:color="auto" w:fill="CCEEFF"/>
            <w:tcMar>
              <w:top w:w="0" w:type="dxa"/>
              <w:left w:w="53" w:type="dxa"/>
              <w:bottom w:w="0" w:type="dxa"/>
              <w:right w:w="53" w:type="dxa"/>
            </w:tcMar>
            <w:vAlign w:val="bottom"/>
          </w:tcPr>
          <w:p w14:paraId="4735C1C8" w14:textId="77777777" w:rsidR="005C5CFC" w:rsidRDefault="002654E3">
            <w:pPr>
              <w:keepNext/>
              <w:spacing w:before="53" w:after="30"/>
              <w:ind w:left="240"/>
            </w:pPr>
            <w:r>
              <w:rPr>
                <w:color w:val="000000"/>
                <w:sz w:val="20"/>
              </w:rPr>
              <w:t>Interest expense</w:t>
            </w: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1C9" w14:textId="77777777" w:rsidR="005C5CFC" w:rsidRDefault="002654E3">
            <w:pPr>
              <w:keepNext/>
              <w:tabs>
                <w:tab w:val="left" w:pos="1151"/>
              </w:tabs>
              <w:spacing w:before="53" w:after="30"/>
              <w:jc w:val="right"/>
            </w:pPr>
            <w:r>
              <w:rPr>
                <w:color w:val="000000"/>
                <w:sz w:val="20"/>
              </w:rPr>
              <w:tab/>
              <w:t>(6,031)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1CA"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1CB" w14:textId="77777777" w:rsidR="005C5CFC" w:rsidRDefault="002654E3">
            <w:pPr>
              <w:keepNext/>
              <w:tabs>
                <w:tab w:val="left" w:pos="1151"/>
              </w:tabs>
              <w:spacing w:before="53" w:after="30"/>
              <w:jc w:val="right"/>
            </w:pPr>
            <w:r>
              <w:rPr>
                <w:color w:val="000000"/>
                <w:sz w:val="20"/>
              </w:rPr>
              <w:tab/>
              <w:t>(7,337)</w:t>
            </w:r>
          </w:p>
        </w:tc>
      </w:tr>
      <w:tr w:rsidR="005C5CFC" w14:paraId="4735C1D1" w14:textId="77777777">
        <w:trPr>
          <w:cantSplit/>
          <w:trHeight w:hRule="exact" w:val="285"/>
        </w:trPr>
        <w:tc>
          <w:tcPr>
            <w:tcW w:w="5700" w:type="dxa"/>
            <w:tcBorders>
              <w:top w:val="nil"/>
              <w:left w:val="nil"/>
              <w:bottom w:val="nil"/>
              <w:right w:val="nil"/>
            </w:tcBorders>
            <w:shd w:val="clear" w:color="auto" w:fill="FFFFFF"/>
            <w:tcMar>
              <w:top w:w="0" w:type="dxa"/>
              <w:left w:w="53" w:type="dxa"/>
              <w:bottom w:w="0" w:type="dxa"/>
              <w:right w:w="53" w:type="dxa"/>
            </w:tcMar>
            <w:vAlign w:val="bottom"/>
          </w:tcPr>
          <w:p w14:paraId="4735C1CD" w14:textId="77777777" w:rsidR="005C5CFC" w:rsidRDefault="002654E3">
            <w:pPr>
              <w:keepNext/>
              <w:spacing w:before="53" w:after="30"/>
              <w:ind w:left="240"/>
            </w:pPr>
            <w:r>
              <w:rPr>
                <w:color w:val="000000"/>
                <w:sz w:val="20"/>
              </w:rPr>
              <w:t>Other, net</w:t>
            </w:r>
          </w:p>
        </w:tc>
        <w:tc>
          <w:tcPr>
            <w:tcW w:w="18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735C1CE" w14:textId="77777777" w:rsidR="005C5CFC" w:rsidRDefault="002654E3">
            <w:pPr>
              <w:keepNext/>
              <w:tabs>
                <w:tab w:val="left" w:pos="1367"/>
                <w:tab w:val="left" w:pos="1732"/>
              </w:tabs>
              <w:spacing w:before="53" w:after="30"/>
              <w:jc w:val="right"/>
            </w:pPr>
            <w:r>
              <w:rPr>
                <w:color w:val="000000"/>
                <w:sz w:val="20"/>
              </w:rPr>
              <w:tab/>
              <w:t>103</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1CF" w14:textId="77777777" w:rsidR="005C5CFC" w:rsidRDefault="005C5CFC">
            <w:pPr>
              <w:keepNext/>
            </w:pPr>
          </w:p>
        </w:tc>
        <w:tc>
          <w:tcPr>
            <w:tcW w:w="18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735C1D0" w14:textId="77777777" w:rsidR="005C5CFC" w:rsidRDefault="002654E3">
            <w:pPr>
              <w:keepNext/>
              <w:tabs>
                <w:tab w:val="left" w:pos="1467"/>
                <w:tab w:val="left" w:pos="1732"/>
              </w:tabs>
              <w:spacing w:before="53" w:after="30"/>
              <w:jc w:val="right"/>
            </w:pPr>
            <w:r>
              <w:rPr>
                <w:color w:val="000000"/>
                <w:sz w:val="20"/>
              </w:rPr>
              <w:tab/>
              <w:t>80</w:t>
            </w:r>
            <w:r>
              <w:rPr>
                <w:color w:val="000000"/>
                <w:sz w:val="20"/>
              </w:rPr>
              <w:tab/>
            </w:r>
          </w:p>
        </w:tc>
      </w:tr>
      <w:tr w:rsidR="005C5CFC" w14:paraId="4735C1D6" w14:textId="77777777">
        <w:trPr>
          <w:cantSplit/>
          <w:trHeight w:hRule="exact" w:val="285"/>
        </w:trPr>
        <w:tc>
          <w:tcPr>
            <w:tcW w:w="5700" w:type="dxa"/>
            <w:tcBorders>
              <w:top w:val="nil"/>
              <w:left w:val="nil"/>
              <w:bottom w:val="nil"/>
              <w:right w:val="nil"/>
            </w:tcBorders>
            <w:shd w:val="clear" w:color="auto" w:fill="CCEEFF"/>
            <w:tcMar>
              <w:top w:w="0" w:type="dxa"/>
              <w:left w:w="53" w:type="dxa"/>
              <w:bottom w:w="0" w:type="dxa"/>
              <w:right w:w="53" w:type="dxa"/>
            </w:tcMar>
            <w:vAlign w:val="bottom"/>
          </w:tcPr>
          <w:p w14:paraId="4735C1D2" w14:textId="77777777" w:rsidR="005C5CFC" w:rsidRDefault="002654E3">
            <w:pPr>
              <w:keepNext/>
              <w:spacing w:before="33" w:after="30"/>
              <w:ind w:left="480"/>
            </w:pPr>
            <w:r>
              <w:rPr>
                <w:color w:val="000000"/>
                <w:sz w:val="20"/>
              </w:rPr>
              <w:t>Total other expense</w:t>
            </w:r>
          </w:p>
        </w:tc>
        <w:tc>
          <w:tcPr>
            <w:tcW w:w="18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735C1D3" w14:textId="77777777" w:rsidR="005C5CFC" w:rsidRDefault="002654E3">
            <w:pPr>
              <w:keepNext/>
              <w:tabs>
                <w:tab w:val="left" w:pos="1151"/>
              </w:tabs>
              <w:spacing w:before="33" w:after="30"/>
              <w:jc w:val="right"/>
            </w:pPr>
            <w:r>
              <w:rPr>
                <w:color w:val="000000"/>
                <w:sz w:val="20"/>
              </w:rPr>
              <w:tab/>
              <w:t>(5,928)</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1D4" w14:textId="77777777" w:rsidR="005C5CFC" w:rsidRDefault="005C5CFC">
            <w:pPr>
              <w:keepNext/>
            </w:pPr>
          </w:p>
        </w:tc>
        <w:tc>
          <w:tcPr>
            <w:tcW w:w="18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735C1D5" w14:textId="77777777" w:rsidR="005C5CFC" w:rsidRDefault="002654E3">
            <w:pPr>
              <w:keepNext/>
              <w:tabs>
                <w:tab w:val="left" w:pos="1151"/>
              </w:tabs>
              <w:spacing w:before="33" w:after="30"/>
              <w:jc w:val="right"/>
            </w:pPr>
            <w:r>
              <w:rPr>
                <w:color w:val="000000"/>
                <w:sz w:val="20"/>
              </w:rPr>
              <w:tab/>
              <w:t>(7,257)</w:t>
            </w:r>
          </w:p>
        </w:tc>
      </w:tr>
      <w:tr w:rsidR="005C5CFC" w14:paraId="4735C1DB" w14:textId="77777777">
        <w:trPr>
          <w:cantSplit/>
          <w:trHeight w:hRule="exact" w:val="285"/>
        </w:trPr>
        <w:tc>
          <w:tcPr>
            <w:tcW w:w="5700" w:type="dxa"/>
            <w:tcBorders>
              <w:top w:val="nil"/>
              <w:left w:val="nil"/>
              <w:bottom w:val="nil"/>
              <w:right w:val="nil"/>
            </w:tcBorders>
            <w:shd w:val="clear" w:color="auto" w:fill="FFFFFF"/>
            <w:tcMar>
              <w:top w:w="0" w:type="dxa"/>
              <w:left w:w="53" w:type="dxa"/>
              <w:bottom w:w="0" w:type="dxa"/>
              <w:right w:w="53" w:type="dxa"/>
            </w:tcMar>
            <w:vAlign w:val="bottom"/>
          </w:tcPr>
          <w:p w14:paraId="4735C1D7" w14:textId="77777777" w:rsidR="005C5CFC" w:rsidRDefault="002654E3">
            <w:pPr>
              <w:keepNext/>
              <w:spacing w:before="33" w:after="30"/>
            </w:pPr>
            <w:r>
              <w:rPr>
                <w:color w:val="000000"/>
                <w:sz w:val="20"/>
              </w:rPr>
              <w:t>Loss before income taxes</w:t>
            </w:r>
          </w:p>
        </w:tc>
        <w:tc>
          <w:tcPr>
            <w:tcW w:w="18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735C1D8" w14:textId="77777777" w:rsidR="005C5CFC" w:rsidRDefault="002654E3">
            <w:pPr>
              <w:keepNext/>
              <w:tabs>
                <w:tab w:val="left" w:pos="1051"/>
              </w:tabs>
              <w:spacing w:before="33" w:after="30"/>
              <w:jc w:val="right"/>
            </w:pPr>
            <w:r>
              <w:rPr>
                <w:color w:val="000000"/>
                <w:sz w:val="20"/>
              </w:rPr>
              <w:tab/>
            </w:r>
            <w:r>
              <w:rPr>
                <w:color w:val="000000"/>
                <w:sz w:val="20"/>
              </w:rPr>
              <w:t>(20,708)</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1D9" w14:textId="77777777" w:rsidR="005C5CFC" w:rsidRDefault="005C5CFC">
            <w:pPr>
              <w:keepNext/>
            </w:pPr>
          </w:p>
        </w:tc>
        <w:tc>
          <w:tcPr>
            <w:tcW w:w="18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735C1DA" w14:textId="77777777" w:rsidR="005C5CFC" w:rsidRDefault="002654E3">
            <w:pPr>
              <w:keepNext/>
              <w:tabs>
                <w:tab w:val="left" w:pos="1051"/>
              </w:tabs>
              <w:spacing w:before="33" w:after="30"/>
              <w:jc w:val="right"/>
            </w:pPr>
            <w:r>
              <w:rPr>
                <w:color w:val="000000"/>
                <w:sz w:val="20"/>
              </w:rPr>
              <w:tab/>
              <w:t>(39,247)</w:t>
            </w:r>
          </w:p>
        </w:tc>
      </w:tr>
      <w:tr w:rsidR="005C5CFC" w14:paraId="4735C1E0" w14:textId="77777777">
        <w:trPr>
          <w:cantSplit/>
          <w:trHeight w:hRule="exact" w:val="285"/>
        </w:trPr>
        <w:tc>
          <w:tcPr>
            <w:tcW w:w="5700" w:type="dxa"/>
            <w:tcBorders>
              <w:top w:val="nil"/>
              <w:left w:val="nil"/>
              <w:bottom w:val="nil"/>
              <w:right w:val="nil"/>
            </w:tcBorders>
            <w:shd w:val="clear" w:color="auto" w:fill="CCEEFF"/>
            <w:tcMar>
              <w:top w:w="0" w:type="dxa"/>
              <w:left w:w="53" w:type="dxa"/>
              <w:bottom w:w="0" w:type="dxa"/>
              <w:right w:w="53" w:type="dxa"/>
            </w:tcMar>
            <w:vAlign w:val="bottom"/>
          </w:tcPr>
          <w:p w14:paraId="4735C1DC" w14:textId="77777777" w:rsidR="005C5CFC" w:rsidRDefault="002654E3">
            <w:pPr>
              <w:keepNext/>
              <w:spacing w:before="53" w:after="30"/>
            </w:pPr>
            <w:r>
              <w:rPr>
                <w:color w:val="000000"/>
                <w:sz w:val="20"/>
              </w:rPr>
              <w:t>Income tax expense</w:t>
            </w:r>
          </w:p>
        </w:tc>
        <w:tc>
          <w:tcPr>
            <w:tcW w:w="18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735C1DD" w14:textId="77777777" w:rsidR="005C5CFC" w:rsidRDefault="002654E3">
            <w:pPr>
              <w:keepNext/>
              <w:tabs>
                <w:tab w:val="left" w:pos="1151"/>
              </w:tabs>
              <w:spacing w:before="53" w:after="30"/>
              <w:jc w:val="right"/>
            </w:pPr>
            <w:r>
              <w:rPr>
                <w:color w:val="000000"/>
                <w:sz w:val="20"/>
              </w:rPr>
              <w:tab/>
              <w:t>(7,107)</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1DE" w14:textId="77777777" w:rsidR="005C5CFC" w:rsidRDefault="005C5CFC">
            <w:pPr>
              <w:keepNext/>
            </w:pPr>
          </w:p>
        </w:tc>
        <w:tc>
          <w:tcPr>
            <w:tcW w:w="18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735C1DF" w14:textId="77777777" w:rsidR="005C5CFC" w:rsidRDefault="002654E3">
            <w:pPr>
              <w:keepNext/>
              <w:tabs>
                <w:tab w:val="left" w:pos="1151"/>
              </w:tabs>
              <w:spacing w:before="53" w:after="30"/>
              <w:jc w:val="right"/>
            </w:pPr>
            <w:r>
              <w:rPr>
                <w:color w:val="000000"/>
                <w:sz w:val="20"/>
              </w:rPr>
              <w:tab/>
              <w:t>(8,976)</w:t>
            </w:r>
          </w:p>
        </w:tc>
      </w:tr>
      <w:tr w:rsidR="005C5CFC" w14:paraId="4735C1E5" w14:textId="77777777">
        <w:trPr>
          <w:cantSplit/>
          <w:trHeight w:hRule="exact" w:val="285"/>
        </w:trPr>
        <w:tc>
          <w:tcPr>
            <w:tcW w:w="5700" w:type="dxa"/>
            <w:tcBorders>
              <w:top w:val="nil"/>
              <w:left w:val="nil"/>
              <w:bottom w:val="nil"/>
              <w:right w:val="nil"/>
            </w:tcBorders>
            <w:shd w:val="clear" w:color="auto" w:fill="FFFFFF"/>
            <w:tcMar>
              <w:top w:w="0" w:type="dxa"/>
              <w:left w:w="53" w:type="dxa"/>
              <w:bottom w:w="0" w:type="dxa"/>
              <w:right w:w="53" w:type="dxa"/>
            </w:tcMar>
            <w:vAlign w:val="bottom"/>
          </w:tcPr>
          <w:p w14:paraId="4735C1E1" w14:textId="77777777" w:rsidR="005C5CFC" w:rsidRDefault="002654E3">
            <w:pPr>
              <w:keepNext/>
              <w:spacing w:before="33" w:after="30"/>
            </w:pPr>
            <w:r>
              <w:rPr>
                <w:b/>
                <w:color w:val="000000"/>
                <w:sz w:val="20"/>
              </w:rPr>
              <w:t>Net loss</w:t>
            </w:r>
          </w:p>
        </w:tc>
        <w:tc>
          <w:tcPr>
            <w:tcW w:w="18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735C1E2" w14:textId="77777777" w:rsidR="005C5CFC" w:rsidRDefault="002654E3">
            <w:pPr>
              <w:keepNext/>
              <w:tabs>
                <w:tab w:val="left" w:pos="1051"/>
              </w:tabs>
              <w:spacing w:before="33" w:after="30"/>
              <w:jc w:val="right"/>
            </w:pPr>
            <w:r>
              <w:rPr>
                <w:color w:val="000000"/>
                <w:sz w:val="20"/>
              </w:rPr>
              <w:t>$</w:t>
            </w:r>
            <w:r>
              <w:rPr>
                <w:color w:val="000000"/>
                <w:sz w:val="20"/>
              </w:rPr>
              <w:tab/>
              <w:t>(27,815)</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1E3" w14:textId="77777777" w:rsidR="005C5CFC" w:rsidRDefault="005C5CFC">
            <w:pPr>
              <w:keepNext/>
            </w:pPr>
          </w:p>
        </w:tc>
        <w:tc>
          <w:tcPr>
            <w:tcW w:w="18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735C1E4" w14:textId="77777777" w:rsidR="005C5CFC" w:rsidRDefault="002654E3">
            <w:pPr>
              <w:keepNext/>
              <w:tabs>
                <w:tab w:val="left" w:pos="1051"/>
              </w:tabs>
              <w:spacing w:before="33" w:after="30"/>
              <w:jc w:val="right"/>
            </w:pPr>
            <w:r>
              <w:rPr>
                <w:color w:val="000000"/>
                <w:sz w:val="20"/>
              </w:rPr>
              <w:t>$</w:t>
            </w:r>
            <w:r>
              <w:rPr>
                <w:color w:val="000000"/>
                <w:sz w:val="20"/>
              </w:rPr>
              <w:tab/>
              <w:t>(48,223)</w:t>
            </w:r>
          </w:p>
        </w:tc>
      </w:tr>
      <w:tr w:rsidR="005C5CFC" w14:paraId="4735C1EA" w14:textId="77777777">
        <w:trPr>
          <w:cantSplit/>
          <w:trHeight w:hRule="exact" w:val="315"/>
        </w:trPr>
        <w:tc>
          <w:tcPr>
            <w:tcW w:w="5700" w:type="dxa"/>
            <w:tcBorders>
              <w:top w:val="nil"/>
              <w:left w:val="nil"/>
              <w:bottom w:val="nil"/>
              <w:right w:val="nil"/>
            </w:tcBorders>
            <w:shd w:val="clear" w:color="auto" w:fill="CCEEFF"/>
            <w:tcMar>
              <w:top w:w="0" w:type="dxa"/>
              <w:left w:w="0" w:type="dxa"/>
              <w:bottom w:w="0" w:type="dxa"/>
              <w:right w:w="0" w:type="dxa"/>
            </w:tcMar>
            <w:vAlign w:val="bottom"/>
          </w:tcPr>
          <w:p w14:paraId="4735C1E6" w14:textId="77777777" w:rsidR="005C5CFC" w:rsidRDefault="005C5CFC">
            <w:pPr>
              <w:keepNext/>
            </w:pPr>
          </w:p>
        </w:tc>
        <w:tc>
          <w:tcPr>
            <w:tcW w:w="18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4735C1E7" w14:textId="77777777" w:rsidR="005C5CFC" w:rsidRDefault="005C5CFC">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1E8" w14:textId="77777777" w:rsidR="005C5CFC" w:rsidRDefault="005C5CFC">
            <w:pPr>
              <w:keepNext/>
            </w:pPr>
          </w:p>
        </w:tc>
        <w:tc>
          <w:tcPr>
            <w:tcW w:w="18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4735C1E9" w14:textId="77777777" w:rsidR="005C5CFC" w:rsidRDefault="005C5CFC">
            <w:pPr>
              <w:keepNext/>
            </w:pPr>
          </w:p>
        </w:tc>
      </w:tr>
      <w:tr w:rsidR="005C5CFC" w14:paraId="4735C1EF" w14:textId="77777777">
        <w:trPr>
          <w:cantSplit/>
          <w:trHeight w:hRule="exact" w:val="465"/>
        </w:trPr>
        <w:tc>
          <w:tcPr>
            <w:tcW w:w="5700" w:type="dxa"/>
            <w:tcBorders>
              <w:top w:val="nil"/>
              <w:left w:val="nil"/>
              <w:bottom w:val="nil"/>
              <w:right w:val="nil"/>
            </w:tcBorders>
            <w:shd w:val="clear" w:color="auto" w:fill="FFFFFF"/>
            <w:tcMar>
              <w:top w:w="0" w:type="dxa"/>
              <w:left w:w="53" w:type="dxa"/>
              <w:bottom w:w="0" w:type="dxa"/>
              <w:right w:w="53" w:type="dxa"/>
            </w:tcMar>
            <w:vAlign w:val="bottom"/>
          </w:tcPr>
          <w:p w14:paraId="4735C1EB" w14:textId="77777777" w:rsidR="005C5CFC" w:rsidRDefault="002654E3">
            <w:pPr>
              <w:keepNext/>
              <w:spacing w:before="53" w:after="30"/>
              <w:ind w:left="180" w:hanging="180"/>
              <w:rPr>
                <w:b/>
                <w:sz w:val="20"/>
              </w:rPr>
            </w:pPr>
            <w:r>
              <w:rPr>
                <w:b/>
                <w:sz w:val="20"/>
              </w:rPr>
              <w:t>Net loss per share attributable to Class A and Class B common stockholders — basic and diluted</w:t>
            </w:r>
            <w:r>
              <w:rPr>
                <w:b/>
                <w:sz w:val="20"/>
                <w:vertAlign w:val="superscript"/>
              </w:rPr>
              <w:t>(1)</w:t>
            </w: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1EC" w14:textId="77777777" w:rsidR="005C5CFC" w:rsidRDefault="002654E3">
            <w:pPr>
              <w:keepNext/>
              <w:tabs>
                <w:tab w:val="left" w:pos="1251"/>
              </w:tabs>
              <w:spacing w:before="53" w:after="30"/>
              <w:jc w:val="right"/>
            </w:pPr>
            <w:r>
              <w:rPr>
                <w:color w:val="000000"/>
                <w:sz w:val="20"/>
              </w:rPr>
              <w:t>$</w:t>
            </w:r>
            <w:r>
              <w:rPr>
                <w:color w:val="000000"/>
                <w:sz w:val="20"/>
              </w:rPr>
              <w:tab/>
              <w:t>(0.16)</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1ED"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1EE" w14:textId="77777777" w:rsidR="005C5CFC" w:rsidRDefault="002654E3">
            <w:pPr>
              <w:keepNext/>
              <w:tabs>
                <w:tab w:val="left" w:pos="1251"/>
              </w:tabs>
              <w:spacing w:before="53" w:after="30"/>
              <w:jc w:val="right"/>
            </w:pPr>
            <w:r>
              <w:rPr>
                <w:color w:val="000000"/>
                <w:sz w:val="20"/>
              </w:rPr>
              <w:t>$</w:t>
            </w:r>
            <w:r>
              <w:rPr>
                <w:color w:val="000000"/>
                <w:sz w:val="20"/>
              </w:rPr>
              <w:tab/>
              <w:t>(0.45)</w:t>
            </w:r>
          </w:p>
        </w:tc>
      </w:tr>
      <w:tr w:rsidR="005C5CFC" w14:paraId="4735C1F4" w14:textId="77777777">
        <w:trPr>
          <w:cantSplit/>
          <w:trHeight w:hRule="exact" w:val="465"/>
        </w:trPr>
        <w:tc>
          <w:tcPr>
            <w:tcW w:w="5700" w:type="dxa"/>
            <w:tcBorders>
              <w:top w:val="nil"/>
              <w:left w:val="nil"/>
              <w:bottom w:val="nil"/>
              <w:right w:val="nil"/>
            </w:tcBorders>
            <w:shd w:val="clear" w:color="auto" w:fill="CCEEFF"/>
            <w:tcMar>
              <w:top w:w="0" w:type="dxa"/>
              <w:left w:w="53" w:type="dxa"/>
              <w:bottom w:w="0" w:type="dxa"/>
              <w:right w:w="53" w:type="dxa"/>
            </w:tcMar>
            <w:vAlign w:val="bottom"/>
          </w:tcPr>
          <w:p w14:paraId="4735C1F0" w14:textId="77777777" w:rsidR="005C5CFC" w:rsidRDefault="002654E3">
            <w:pPr>
              <w:spacing w:before="53" w:after="30"/>
              <w:ind w:left="180" w:hanging="180"/>
              <w:rPr>
                <w:b/>
                <w:sz w:val="20"/>
              </w:rPr>
            </w:pPr>
            <w:r>
              <w:rPr>
                <w:b/>
                <w:sz w:val="20"/>
              </w:rPr>
              <w:t xml:space="preserve">Weighted-average common shares </w:t>
            </w:r>
            <w:r>
              <w:rPr>
                <w:b/>
                <w:sz w:val="20"/>
              </w:rPr>
              <w:t>outstanding — basic and diluted</w:t>
            </w:r>
            <w:r>
              <w:rPr>
                <w:b/>
                <w:sz w:val="20"/>
                <w:vertAlign w:val="superscript"/>
              </w:rPr>
              <w:t>(1)</w:t>
            </w: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1F1" w14:textId="77777777" w:rsidR="005C5CFC" w:rsidRDefault="002654E3">
            <w:pPr>
              <w:tabs>
                <w:tab w:val="left" w:pos="1017"/>
                <w:tab w:val="left" w:pos="1732"/>
              </w:tabs>
              <w:spacing w:before="53" w:after="30"/>
              <w:jc w:val="right"/>
            </w:pPr>
            <w:r>
              <w:rPr>
                <w:color w:val="000000"/>
                <w:sz w:val="20"/>
              </w:rPr>
              <w:tab/>
              <w:t>172,494</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1F2" w14:textId="77777777" w:rsidR="005C5CFC" w:rsidRDefault="005C5CFC"/>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1F3" w14:textId="77777777" w:rsidR="005C5CFC" w:rsidRDefault="002654E3">
            <w:pPr>
              <w:tabs>
                <w:tab w:val="left" w:pos="1017"/>
                <w:tab w:val="left" w:pos="1732"/>
              </w:tabs>
              <w:spacing w:before="53" w:after="30"/>
              <w:jc w:val="right"/>
            </w:pPr>
            <w:r>
              <w:rPr>
                <w:color w:val="000000"/>
                <w:sz w:val="20"/>
              </w:rPr>
              <w:tab/>
              <w:t>106,443</w:t>
            </w:r>
            <w:r>
              <w:rPr>
                <w:color w:val="000000"/>
                <w:sz w:val="20"/>
              </w:rPr>
              <w:tab/>
            </w:r>
          </w:p>
        </w:tc>
      </w:tr>
    </w:tbl>
    <w:p w14:paraId="4735C1F5" w14:textId="77777777" w:rsidR="005C5CFC" w:rsidRDefault="002654E3">
      <w:pPr>
        <w:tabs>
          <w:tab w:val="left" w:pos="360"/>
        </w:tabs>
        <w:spacing w:before="180" w:line="288" w:lineRule="auto"/>
        <w:ind w:left="360" w:hanging="360"/>
        <w:rPr>
          <w:sz w:val="18"/>
          <w:vertAlign w:val="superscript"/>
        </w:rPr>
      </w:pPr>
      <w:r>
        <w:rPr>
          <w:sz w:val="18"/>
          <w:vertAlign w:val="superscript"/>
        </w:rPr>
        <w:t>(1)</w:t>
      </w:r>
      <w:r>
        <w:rPr>
          <w:sz w:val="18"/>
        </w:rPr>
        <w:tab/>
      </w:r>
      <w:r>
        <w:rPr>
          <w:sz w:val="18"/>
        </w:rPr>
        <w:t>Net loss per share and weighted-average common shares outstanding have been computed on the basis of treating the historical common unit equivalents previously outstanding as shares of Class A common stock, as such historical units converted into shares of</w:t>
      </w:r>
      <w:r>
        <w:rPr>
          <w:sz w:val="18"/>
        </w:rPr>
        <w:t xml:space="preserve"> Class A common stock in the Company’s conversion to a C-Corporation prior to the initial public offering. </w:t>
      </w:r>
    </w:p>
    <w:p w14:paraId="4735C1F6" w14:textId="77777777" w:rsidR="005C5CFC" w:rsidRDefault="005C5CFC">
      <w:pPr>
        <w:tabs>
          <w:tab w:val="left" w:pos="360"/>
        </w:tabs>
        <w:spacing w:line="288" w:lineRule="auto"/>
        <w:ind w:left="360"/>
        <w:rPr>
          <w:sz w:val="18"/>
          <w:vertAlign w:val="superscript"/>
        </w:rPr>
      </w:pPr>
    </w:p>
    <w:p w14:paraId="4735C1F7" w14:textId="77777777" w:rsidR="005C5CFC" w:rsidRDefault="005C5CFC">
      <w:pPr>
        <w:tabs>
          <w:tab w:val="left" w:pos="360"/>
        </w:tabs>
        <w:spacing w:line="288" w:lineRule="auto"/>
        <w:ind w:left="360"/>
        <w:rPr>
          <w:sz w:val="18"/>
          <w:vertAlign w:val="superscript"/>
        </w:rPr>
        <w:sectPr w:rsidR="005C5CFC">
          <w:headerReference w:type="default" r:id="rId15"/>
          <w:pgSz w:w="12240" w:h="15840"/>
          <w:pgMar w:top="1440" w:right="1440" w:bottom="1440" w:left="1440" w:header="450" w:footer="450" w:gutter="0"/>
          <w:cols w:space="708"/>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0"/>
        <w:gridCol w:w="1800"/>
        <w:gridCol w:w="60"/>
        <w:gridCol w:w="1800"/>
      </w:tblGrid>
      <w:tr w:rsidR="005C5CFC" w14:paraId="4735C1FA" w14:textId="77777777">
        <w:trPr>
          <w:cantSplit/>
          <w:trHeight w:hRule="exact" w:val="285"/>
        </w:trPr>
        <w:tc>
          <w:tcPr>
            <w:tcW w:w="5700" w:type="dxa"/>
            <w:tcBorders>
              <w:top w:val="nil"/>
              <w:left w:val="nil"/>
              <w:bottom w:val="nil"/>
              <w:right w:val="nil"/>
            </w:tcBorders>
            <w:tcMar>
              <w:top w:w="0" w:type="dxa"/>
              <w:left w:w="0" w:type="dxa"/>
              <w:bottom w:w="0" w:type="dxa"/>
              <w:right w:w="0" w:type="dxa"/>
            </w:tcMar>
            <w:vAlign w:val="bottom"/>
          </w:tcPr>
          <w:p w14:paraId="4735C1F8" w14:textId="77777777" w:rsidR="005C5CFC" w:rsidRDefault="005C5CFC">
            <w:pPr>
              <w:keepNext/>
            </w:pPr>
          </w:p>
        </w:tc>
        <w:tc>
          <w:tcPr>
            <w:tcW w:w="3660" w:type="dxa"/>
            <w:gridSpan w:val="3"/>
            <w:tcBorders>
              <w:top w:val="nil"/>
              <w:left w:val="nil"/>
              <w:bottom w:val="single" w:sz="8" w:space="0" w:color="000000"/>
              <w:right w:val="nil"/>
            </w:tcBorders>
            <w:tcMar>
              <w:top w:w="0" w:type="dxa"/>
              <w:left w:w="53" w:type="dxa"/>
              <w:bottom w:w="0" w:type="dxa"/>
              <w:right w:w="53" w:type="dxa"/>
            </w:tcMar>
            <w:vAlign w:val="bottom"/>
          </w:tcPr>
          <w:p w14:paraId="4735C1F9" w14:textId="77777777" w:rsidR="005C5CFC" w:rsidRDefault="002654E3">
            <w:pPr>
              <w:keepNext/>
              <w:spacing w:before="53" w:after="30"/>
              <w:jc w:val="center"/>
            </w:pPr>
            <w:r>
              <w:rPr>
                <w:b/>
                <w:color w:val="000000"/>
                <w:sz w:val="20"/>
              </w:rPr>
              <w:t>Three Months Ended March 31,</w:t>
            </w:r>
          </w:p>
        </w:tc>
      </w:tr>
      <w:tr w:rsidR="005C5CFC" w14:paraId="4735C1FF" w14:textId="77777777">
        <w:trPr>
          <w:cantSplit/>
          <w:trHeight w:hRule="exact" w:val="285"/>
        </w:trPr>
        <w:tc>
          <w:tcPr>
            <w:tcW w:w="5700" w:type="dxa"/>
            <w:tcBorders>
              <w:top w:val="nil"/>
              <w:left w:val="nil"/>
              <w:bottom w:val="nil"/>
              <w:right w:val="nil"/>
            </w:tcBorders>
            <w:tcMar>
              <w:top w:w="0" w:type="dxa"/>
              <w:left w:w="53" w:type="dxa"/>
              <w:bottom w:w="0" w:type="dxa"/>
              <w:right w:w="53" w:type="dxa"/>
            </w:tcMar>
            <w:vAlign w:val="bottom"/>
          </w:tcPr>
          <w:p w14:paraId="4735C1FB" w14:textId="77777777" w:rsidR="005C5CFC" w:rsidRDefault="002654E3">
            <w:pPr>
              <w:keepNext/>
              <w:spacing w:before="33" w:after="30"/>
            </w:pPr>
            <w:r>
              <w:rPr>
                <w:i/>
                <w:color w:val="000000"/>
                <w:sz w:val="14"/>
                <w:u w:val="single"/>
              </w:rPr>
              <w:t>(in thousands)</w:t>
            </w:r>
          </w:p>
        </w:tc>
        <w:tc>
          <w:tcPr>
            <w:tcW w:w="1800" w:type="dxa"/>
            <w:tcBorders>
              <w:top w:val="nil"/>
              <w:left w:val="nil"/>
              <w:bottom w:val="single" w:sz="8" w:space="0" w:color="000000"/>
              <w:right w:val="nil"/>
            </w:tcBorders>
            <w:tcMar>
              <w:top w:w="0" w:type="dxa"/>
              <w:left w:w="53" w:type="dxa"/>
              <w:bottom w:w="0" w:type="dxa"/>
              <w:right w:w="53" w:type="dxa"/>
            </w:tcMar>
            <w:vAlign w:val="bottom"/>
          </w:tcPr>
          <w:p w14:paraId="4735C1FC" w14:textId="77777777" w:rsidR="005C5CFC" w:rsidRDefault="002654E3">
            <w:pPr>
              <w:keepNext/>
              <w:spacing w:before="33" w:after="30"/>
              <w:jc w:val="center"/>
            </w:pPr>
            <w:r>
              <w:rPr>
                <w:b/>
                <w:color w:val="000000"/>
                <w:sz w:val="20"/>
              </w:rPr>
              <w:t>2022</w:t>
            </w:r>
          </w:p>
        </w:tc>
        <w:tc>
          <w:tcPr>
            <w:tcW w:w="60" w:type="dxa"/>
            <w:tcBorders>
              <w:top w:val="single" w:sz="8" w:space="0" w:color="000000"/>
              <w:left w:val="nil"/>
              <w:bottom w:val="nil"/>
              <w:right w:val="nil"/>
            </w:tcBorders>
            <w:tcMar>
              <w:top w:w="0" w:type="dxa"/>
              <w:left w:w="0" w:type="dxa"/>
              <w:bottom w:w="0" w:type="dxa"/>
              <w:right w:w="0" w:type="dxa"/>
            </w:tcMar>
            <w:vAlign w:val="bottom"/>
          </w:tcPr>
          <w:p w14:paraId="4735C1FD" w14:textId="77777777" w:rsidR="005C5CFC" w:rsidRDefault="005C5CFC">
            <w:pPr>
              <w:keepNext/>
            </w:pPr>
          </w:p>
        </w:tc>
        <w:tc>
          <w:tcPr>
            <w:tcW w:w="18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735C1FE" w14:textId="77777777" w:rsidR="005C5CFC" w:rsidRDefault="002654E3">
            <w:pPr>
              <w:keepNext/>
              <w:spacing w:before="33" w:after="30"/>
              <w:jc w:val="center"/>
            </w:pPr>
            <w:r>
              <w:rPr>
                <w:b/>
                <w:color w:val="000000"/>
                <w:sz w:val="20"/>
              </w:rPr>
              <w:t>2021</w:t>
            </w:r>
          </w:p>
        </w:tc>
      </w:tr>
      <w:tr w:rsidR="005C5CFC" w14:paraId="4735C204" w14:textId="77777777">
        <w:trPr>
          <w:cantSplit/>
          <w:trHeight w:hRule="exact" w:val="285"/>
        </w:trPr>
        <w:tc>
          <w:tcPr>
            <w:tcW w:w="5700" w:type="dxa"/>
            <w:tcBorders>
              <w:top w:val="nil"/>
              <w:left w:val="nil"/>
              <w:bottom w:val="nil"/>
              <w:right w:val="nil"/>
            </w:tcBorders>
            <w:shd w:val="clear" w:color="auto" w:fill="CCEEFF"/>
            <w:tcMar>
              <w:top w:w="0" w:type="dxa"/>
              <w:left w:w="53" w:type="dxa"/>
              <w:bottom w:w="0" w:type="dxa"/>
              <w:right w:w="53" w:type="dxa"/>
            </w:tcMar>
            <w:vAlign w:val="bottom"/>
          </w:tcPr>
          <w:p w14:paraId="4735C200" w14:textId="77777777" w:rsidR="005C5CFC" w:rsidRDefault="002654E3">
            <w:pPr>
              <w:keepNext/>
              <w:spacing w:before="33" w:after="30"/>
            </w:pPr>
            <w:r>
              <w:rPr>
                <w:b/>
                <w:color w:val="000000"/>
                <w:sz w:val="20"/>
              </w:rPr>
              <w:t>Net cash used in operating activities</w:t>
            </w:r>
          </w:p>
        </w:tc>
        <w:tc>
          <w:tcPr>
            <w:tcW w:w="18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735C201" w14:textId="77777777" w:rsidR="005C5CFC" w:rsidRDefault="002654E3">
            <w:pPr>
              <w:keepNext/>
              <w:tabs>
                <w:tab w:val="left" w:pos="1051"/>
              </w:tabs>
              <w:spacing w:before="33" w:after="30"/>
              <w:jc w:val="right"/>
            </w:pPr>
            <w:r>
              <w:rPr>
                <w:color w:val="000000"/>
                <w:sz w:val="20"/>
              </w:rPr>
              <w:t>$</w:t>
            </w:r>
            <w:r>
              <w:rPr>
                <w:color w:val="000000"/>
                <w:sz w:val="20"/>
              </w:rPr>
              <w:tab/>
              <w:t>(10,245)</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02" w14:textId="77777777" w:rsidR="005C5CFC" w:rsidRDefault="005C5CFC">
            <w:pPr>
              <w:keepNext/>
            </w:pPr>
          </w:p>
        </w:tc>
        <w:tc>
          <w:tcPr>
            <w:tcW w:w="18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735C203" w14:textId="77777777" w:rsidR="005C5CFC" w:rsidRDefault="002654E3">
            <w:pPr>
              <w:keepNext/>
              <w:tabs>
                <w:tab w:val="left" w:pos="1151"/>
              </w:tabs>
              <w:spacing w:before="33" w:after="30"/>
              <w:jc w:val="right"/>
            </w:pPr>
            <w:r>
              <w:rPr>
                <w:color w:val="000000"/>
                <w:sz w:val="20"/>
              </w:rPr>
              <w:t>$</w:t>
            </w:r>
            <w:r>
              <w:rPr>
                <w:color w:val="000000"/>
                <w:sz w:val="20"/>
              </w:rPr>
              <w:tab/>
              <w:t>(7,829)</w:t>
            </w:r>
          </w:p>
        </w:tc>
      </w:tr>
      <w:tr w:rsidR="005C5CFC" w14:paraId="4735C209" w14:textId="77777777">
        <w:trPr>
          <w:cantSplit/>
          <w:trHeight w:hRule="exact" w:val="285"/>
        </w:trPr>
        <w:tc>
          <w:tcPr>
            <w:tcW w:w="5700" w:type="dxa"/>
            <w:tcBorders>
              <w:top w:val="nil"/>
              <w:left w:val="nil"/>
              <w:bottom w:val="nil"/>
              <w:right w:val="nil"/>
            </w:tcBorders>
            <w:shd w:val="clear" w:color="auto" w:fill="FFFFFF"/>
            <w:tcMar>
              <w:top w:w="0" w:type="dxa"/>
              <w:left w:w="53" w:type="dxa"/>
              <w:bottom w:w="0" w:type="dxa"/>
              <w:right w:w="53" w:type="dxa"/>
            </w:tcMar>
            <w:vAlign w:val="bottom"/>
          </w:tcPr>
          <w:p w14:paraId="4735C205" w14:textId="77777777" w:rsidR="005C5CFC" w:rsidRDefault="002654E3">
            <w:pPr>
              <w:keepNext/>
              <w:spacing w:before="33" w:after="30"/>
            </w:pPr>
            <w:r>
              <w:rPr>
                <w:b/>
                <w:color w:val="000000"/>
                <w:sz w:val="20"/>
              </w:rPr>
              <w:t>Cash flows from investing activities</w:t>
            </w:r>
          </w:p>
        </w:tc>
        <w:tc>
          <w:tcPr>
            <w:tcW w:w="18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4735C206" w14:textId="77777777" w:rsidR="005C5CFC" w:rsidRDefault="005C5CFC">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207" w14:textId="77777777" w:rsidR="005C5CFC" w:rsidRDefault="005C5CFC">
            <w:pPr>
              <w:keepNext/>
            </w:pPr>
          </w:p>
        </w:tc>
        <w:tc>
          <w:tcPr>
            <w:tcW w:w="18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4735C208" w14:textId="77777777" w:rsidR="005C5CFC" w:rsidRDefault="005C5CFC">
            <w:pPr>
              <w:keepNext/>
            </w:pPr>
          </w:p>
        </w:tc>
      </w:tr>
      <w:tr w:rsidR="005C5CFC" w14:paraId="4735C20E" w14:textId="77777777">
        <w:trPr>
          <w:cantSplit/>
          <w:trHeight w:hRule="exact" w:val="285"/>
        </w:trPr>
        <w:tc>
          <w:tcPr>
            <w:tcW w:w="5700" w:type="dxa"/>
            <w:tcBorders>
              <w:top w:val="nil"/>
              <w:left w:val="nil"/>
              <w:bottom w:val="nil"/>
              <w:right w:val="nil"/>
            </w:tcBorders>
            <w:shd w:val="clear" w:color="auto" w:fill="CCEEFF"/>
            <w:tcMar>
              <w:top w:w="0" w:type="dxa"/>
              <w:left w:w="53" w:type="dxa"/>
              <w:bottom w:w="0" w:type="dxa"/>
              <w:right w:w="53" w:type="dxa"/>
            </w:tcMar>
            <w:vAlign w:val="bottom"/>
          </w:tcPr>
          <w:p w14:paraId="4735C20A" w14:textId="77777777" w:rsidR="005C5CFC" w:rsidRDefault="002654E3">
            <w:pPr>
              <w:keepNext/>
              <w:spacing w:before="53" w:after="30"/>
            </w:pPr>
            <w:r>
              <w:rPr>
                <w:color w:val="000000"/>
                <w:sz w:val="20"/>
              </w:rPr>
              <w:t>Additions to capital assets</w:t>
            </w: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0B" w14:textId="77777777" w:rsidR="005C5CFC" w:rsidRDefault="002654E3">
            <w:pPr>
              <w:keepNext/>
              <w:tabs>
                <w:tab w:val="left" w:pos="1051"/>
              </w:tabs>
              <w:spacing w:before="53" w:after="30"/>
              <w:jc w:val="right"/>
            </w:pPr>
            <w:r>
              <w:rPr>
                <w:color w:val="000000"/>
                <w:sz w:val="20"/>
              </w:rPr>
              <w:tab/>
              <w:t>(10,214)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0C"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0D" w14:textId="77777777" w:rsidR="005C5CFC" w:rsidRDefault="002654E3">
            <w:pPr>
              <w:keepNext/>
              <w:tabs>
                <w:tab w:val="left" w:pos="1051"/>
              </w:tabs>
              <w:spacing w:before="53" w:after="30"/>
              <w:jc w:val="right"/>
            </w:pPr>
            <w:r>
              <w:rPr>
                <w:color w:val="000000"/>
                <w:sz w:val="20"/>
              </w:rPr>
              <w:tab/>
              <w:t>(23,351)</w:t>
            </w:r>
          </w:p>
        </w:tc>
      </w:tr>
      <w:tr w:rsidR="005C5CFC" w14:paraId="4735C213" w14:textId="77777777">
        <w:trPr>
          <w:cantSplit/>
          <w:trHeight w:hRule="exact" w:val="285"/>
        </w:trPr>
        <w:tc>
          <w:tcPr>
            <w:tcW w:w="5700" w:type="dxa"/>
            <w:tcBorders>
              <w:top w:val="nil"/>
              <w:left w:val="nil"/>
              <w:bottom w:val="nil"/>
              <w:right w:val="nil"/>
            </w:tcBorders>
            <w:shd w:val="clear" w:color="auto" w:fill="FFFFFF"/>
            <w:tcMar>
              <w:top w:w="0" w:type="dxa"/>
              <w:left w:w="53" w:type="dxa"/>
              <w:bottom w:w="0" w:type="dxa"/>
              <w:right w:w="53" w:type="dxa"/>
            </w:tcMar>
            <w:vAlign w:val="bottom"/>
          </w:tcPr>
          <w:p w14:paraId="4735C20F" w14:textId="77777777" w:rsidR="005C5CFC" w:rsidRDefault="002654E3">
            <w:pPr>
              <w:keepNext/>
              <w:spacing w:before="53" w:after="30"/>
            </w:pPr>
            <w:r>
              <w:rPr>
                <w:color w:val="000000"/>
                <w:sz w:val="20"/>
              </w:rPr>
              <w:t>Investments in notes receivable</w:t>
            </w: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10" w14:textId="77777777" w:rsidR="005C5CFC" w:rsidRDefault="002654E3">
            <w:pPr>
              <w:keepNext/>
              <w:tabs>
                <w:tab w:val="left" w:pos="1151"/>
              </w:tabs>
              <w:spacing w:before="53" w:after="30"/>
              <w:jc w:val="right"/>
            </w:pPr>
            <w:r>
              <w:rPr>
                <w:color w:val="000000"/>
                <w:sz w:val="20"/>
              </w:rPr>
              <w:tab/>
              <w:t>(1,000)</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211"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12" w14:textId="77777777" w:rsidR="005C5CFC" w:rsidRDefault="002654E3">
            <w:pPr>
              <w:keepNext/>
              <w:tabs>
                <w:tab w:val="left" w:pos="1301"/>
              </w:tabs>
              <w:spacing w:before="53" w:after="30"/>
              <w:jc w:val="right"/>
            </w:pPr>
            <w:r>
              <w:rPr>
                <w:color w:val="000000"/>
                <w:sz w:val="20"/>
              </w:rPr>
              <w:tab/>
              <w:t>(760)</w:t>
            </w:r>
          </w:p>
        </w:tc>
      </w:tr>
      <w:tr w:rsidR="005C5CFC" w14:paraId="4735C218" w14:textId="77777777">
        <w:trPr>
          <w:cantSplit/>
          <w:trHeight w:hRule="exact" w:val="285"/>
        </w:trPr>
        <w:tc>
          <w:tcPr>
            <w:tcW w:w="5700" w:type="dxa"/>
            <w:tcBorders>
              <w:top w:val="nil"/>
              <w:left w:val="nil"/>
              <w:bottom w:val="nil"/>
              <w:right w:val="nil"/>
            </w:tcBorders>
            <w:shd w:val="clear" w:color="auto" w:fill="CCEEFF"/>
            <w:tcMar>
              <w:top w:w="0" w:type="dxa"/>
              <w:left w:w="53" w:type="dxa"/>
              <w:bottom w:w="0" w:type="dxa"/>
              <w:right w:w="53" w:type="dxa"/>
            </w:tcMar>
            <w:vAlign w:val="bottom"/>
          </w:tcPr>
          <w:p w14:paraId="4735C214" w14:textId="77777777" w:rsidR="005C5CFC" w:rsidRDefault="002654E3">
            <w:pPr>
              <w:keepNext/>
              <w:spacing w:before="53" w:after="30"/>
            </w:pPr>
            <w:r>
              <w:rPr>
                <w:color w:val="000000"/>
                <w:sz w:val="20"/>
              </w:rPr>
              <w:t>Collection of notes receivable</w:t>
            </w: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15" w14:textId="77777777" w:rsidR="005C5CFC" w:rsidRDefault="002654E3">
            <w:pPr>
              <w:keepNext/>
              <w:tabs>
                <w:tab w:val="left" w:pos="1467"/>
                <w:tab w:val="left" w:pos="1732"/>
              </w:tabs>
              <w:spacing w:before="53" w:after="30"/>
              <w:jc w:val="right"/>
            </w:pPr>
            <w:r>
              <w:rPr>
                <w:color w:val="000000"/>
                <w:sz w:val="20"/>
              </w:rPr>
              <w:tab/>
              <w:t>82</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16"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17" w14:textId="77777777" w:rsidR="005C5CFC" w:rsidRDefault="002654E3">
            <w:pPr>
              <w:keepNext/>
              <w:tabs>
                <w:tab w:val="left" w:pos="1467"/>
                <w:tab w:val="left" w:pos="1732"/>
              </w:tabs>
              <w:spacing w:before="53" w:after="30"/>
              <w:jc w:val="right"/>
            </w:pPr>
            <w:r>
              <w:rPr>
                <w:color w:val="000000"/>
                <w:sz w:val="20"/>
              </w:rPr>
              <w:tab/>
              <w:t>82</w:t>
            </w:r>
            <w:r>
              <w:rPr>
                <w:color w:val="000000"/>
                <w:sz w:val="20"/>
              </w:rPr>
              <w:tab/>
            </w:r>
          </w:p>
        </w:tc>
      </w:tr>
      <w:tr w:rsidR="005C5CFC" w14:paraId="4735C21D" w14:textId="77777777">
        <w:trPr>
          <w:cantSplit/>
          <w:trHeight w:hRule="exact" w:val="285"/>
        </w:trPr>
        <w:tc>
          <w:tcPr>
            <w:tcW w:w="5700" w:type="dxa"/>
            <w:tcBorders>
              <w:top w:val="nil"/>
              <w:left w:val="nil"/>
              <w:bottom w:val="nil"/>
              <w:right w:val="nil"/>
            </w:tcBorders>
            <w:shd w:val="clear" w:color="auto" w:fill="FFFFFF"/>
            <w:tcMar>
              <w:top w:w="0" w:type="dxa"/>
              <w:left w:w="53" w:type="dxa"/>
              <w:bottom w:w="0" w:type="dxa"/>
              <w:right w:w="53" w:type="dxa"/>
            </w:tcMar>
            <w:vAlign w:val="bottom"/>
          </w:tcPr>
          <w:p w14:paraId="4735C219" w14:textId="77777777" w:rsidR="005C5CFC" w:rsidRDefault="002654E3">
            <w:pPr>
              <w:keepNext/>
              <w:spacing w:before="53" w:after="30"/>
            </w:pPr>
            <w:r>
              <w:rPr>
                <w:color w:val="000000"/>
                <w:sz w:val="20"/>
              </w:rPr>
              <w:t>Proceeds from sale of assets</w:t>
            </w: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1A" w14:textId="77777777" w:rsidR="005C5CFC" w:rsidRDefault="002654E3">
            <w:pPr>
              <w:keepNext/>
              <w:tabs>
                <w:tab w:val="left" w:pos="1117"/>
                <w:tab w:val="left" w:pos="1732"/>
              </w:tabs>
              <w:spacing w:before="53" w:after="30"/>
              <w:jc w:val="right"/>
            </w:pPr>
            <w:r>
              <w:rPr>
                <w:color w:val="000000"/>
                <w:sz w:val="20"/>
              </w:rPr>
              <w:tab/>
              <w:t>35,400</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21B"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1C" w14:textId="77777777" w:rsidR="005C5CFC" w:rsidRDefault="002654E3">
            <w:pPr>
              <w:keepNext/>
              <w:tabs>
                <w:tab w:val="left" w:pos="1467"/>
                <w:tab w:val="left" w:pos="1732"/>
              </w:tabs>
              <w:spacing w:before="53" w:after="30"/>
              <w:jc w:val="right"/>
            </w:pPr>
            <w:r>
              <w:rPr>
                <w:color w:val="000000"/>
                <w:sz w:val="20"/>
              </w:rPr>
              <w:tab/>
              <w:t>—</w:t>
            </w:r>
            <w:r>
              <w:rPr>
                <w:color w:val="000000"/>
                <w:sz w:val="20"/>
              </w:rPr>
              <w:tab/>
            </w:r>
          </w:p>
        </w:tc>
      </w:tr>
      <w:tr w:rsidR="005C5CFC" w14:paraId="4735C222" w14:textId="77777777">
        <w:trPr>
          <w:cantSplit/>
          <w:trHeight w:hRule="exact" w:val="285"/>
        </w:trPr>
        <w:tc>
          <w:tcPr>
            <w:tcW w:w="5700" w:type="dxa"/>
            <w:tcBorders>
              <w:top w:val="nil"/>
              <w:left w:val="nil"/>
              <w:bottom w:val="nil"/>
              <w:right w:val="nil"/>
            </w:tcBorders>
            <w:shd w:val="clear" w:color="auto" w:fill="CCEEFF"/>
            <w:tcMar>
              <w:top w:w="0" w:type="dxa"/>
              <w:left w:w="53" w:type="dxa"/>
              <w:bottom w:w="0" w:type="dxa"/>
              <w:right w:w="53" w:type="dxa"/>
            </w:tcMar>
            <w:vAlign w:val="bottom"/>
          </w:tcPr>
          <w:p w14:paraId="4735C21E" w14:textId="77777777" w:rsidR="005C5CFC" w:rsidRDefault="002654E3">
            <w:pPr>
              <w:keepNext/>
              <w:spacing w:before="53" w:after="30"/>
            </w:pPr>
            <w:r>
              <w:rPr>
                <w:color w:val="000000"/>
                <w:sz w:val="20"/>
              </w:rPr>
              <w:t>Acquisition of businesses, net of cash acquired</w:t>
            </w: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1F" w14:textId="77777777" w:rsidR="005C5CFC" w:rsidRDefault="002654E3">
            <w:pPr>
              <w:keepNext/>
              <w:tabs>
                <w:tab w:val="left" w:pos="1051"/>
              </w:tabs>
              <w:spacing w:before="53" w:after="30"/>
              <w:jc w:val="right"/>
            </w:pPr>
            <w:r>
              <w:rPr>
                <w:color w:val="000000"/>
                <w:sz w:val="20"/>
              </w:rPr>
              <w:tab/>
              <w:t>(24,890)</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20"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21" w14:textId="77777777" w:rsidR="005C5CFC" w:rsidRDefault="002654E3">
            <w:pPr>
              <w:keepNext/>
              <w:tabs>
                <w:tab w:val="left" w:pos="1051"/>
              </w:tabs>
              <w:spacing w:before="53" w:after="30"/>
              <w:jc w:val="right"/>
            </w:pPr>
            <w:r>
              <w:rPr>
                <w:color w:val="000000"/>
                <w:sz w:val="20"/>
              </w:rPr>
              <w:tab/>
            </w:r>
            <w:r>
              <w:rPr>
                <w:color w:val="000000"/>
                <w:sz w:val="20"/>
              </w:rPr>
              <w:t>(11,174)</w:t>
            </w:r>
          </w:p>
        </w:tc>
      </w:tr>
      <w:tr w:rsidR="005C5CFC" w14:paraId="4735C227" w14:textId="77777777">
        <w:trPr>
          <w:cantSplit/>
          <w:trHeight w:hRule="exact" w:val="285"/>
        </w:trPr>
        <w:tc>
          <w:tcPr>
            <w:tcW w:w="5700" w:type="dxa"/>
            <w:tcBorders>
              <w:top w:val="nil"/>
              <w:left w:val="nil"/>
              <w:bottom w:val="nil"/>
              <w:right w:val="nil"/>
            </w:tcBorders>
            <w:shd w:val="clear" w:color="auto" w:fill="FFFFFF"/>
            <w:tcMar>
              <w:top w:w="0" w:type="dxa"/>
              <w:left w:w="53" w:type="dxa"/>
              <w:bottom w:w="0" w:type="dxa"/>
              <w:right w:w="53" w:type="dxa"/>
            </w:tcMar>
            <w:vAlign w:val="bottom"/>
          </w:tcPr>
          <w:p w14:paraId="4735C223" w14:textId="77777777" w:rsidR="005C5CFC" w:rsidRDefault="002654E3">
            <w:pPr>
              <w:keepNext/>
              <w:spacing w:before="33" w:after="30"/>
            </w:pPr>
            <w:r>
              <w:rPr>
                <w:b/>
                <w:color w:val="000000"/>
                <w:sz w:val="20"/>
              </w:rPr>
              <w:t>Net cash used in investing activities</w:t>
            </w:r>
          </w:p>
        </w:tc>
        <w:tc>
          <w:tcPr>
            <w:tcW w:w="18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735C224" w14:textId="77777777" w:rsidR="005C5CFC" w:rsidRDefault="002654E3">
            <w:pPr>
              <w:keepNext/>
              <w:tabs>
                <w:tab w:val="left" w:pos="1301"/>
              </w:tabs>
              <w:spacing w:before="33" w:after="30"/>
              <w:jc w:val="right"/>
            </w:pPr>
            <w:r>
              <w:rPr>
                <w:color w:val="000000"/>
                <w:sz w:val="20"/>
              </w:rPr>
              <w:tab/>
              <w:t>(622)</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225" w14:textId="77777777" w:rsidR="005C5CFC" w:rsidRDefault="005C5CFC">
            <w:pPr>
              <w:keepNext/>
            </w:pPr>
          </w:p>
        </w:tc>
        <w:tc>
          <w:tcPr>
            <w:tcW w:w="18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735C226" w14:textId="77777777" w:rsidR="005C5CFC" w:rsidRDefault="002654E3">
            <w:pPr>
              <w:keepNext/>
              <w:tabs>
                <w:tab w:val="left" w:pos="1051"/>
              </w:tabs>
              <w:spacing w:before="33" w:after="30"/>
              <w:jc w:val="right"/>
            </w:pPr>
            <w:r>
              <w:rPr>
                <w:color w:val="000000"/>
                <w:sz w:val="20"/>
              </w:rPr>
              <w:tab/>
              <w:t>(35,203)</w:t>
            </w:r>
          </w:p>
        </w:tc>
      </w:tr>
      <w:tr w:rsidR="005C5CFC" w14:paraId="4735C22C" w14:textId="77777777">
        <w:trPr>
          <w:cantSplit/>
          <w:trHeight w:hRule="exact" w:val="285"/>
        </w:trPr>
        <w:tc>
          <w:tcPr>
            <w:tcW w:w="5700" w:type="dxa"/>
            <w:tcBorders>
              <w:top w:val="nil"/>
              <w:left w:val="nil"/>
              <w:bottom w:val="nil"/>
              <w:right w:val="nil"/>
            </w:tcBorders>
            <w:shd w:val="clear" w:color="auto" w:fill="CCEEFF"/>
            <w:tcMar>
              <w:top w:w="0" w:type="dxa"/>
              <w:left w:w="53" w:type="dxa"/>
              <w:bottom w:w="0" w:type="dxa"/>
              <w:right w:w="53" w:type="dxa"/>
            </w:tcMar>
            <w:vAlign w:val="bottom"/>
          </w:tcPr>
          <w:p w14:paraId="4735C228" w14:textId="77777777" w:rsidR="005C5CFC" w:rsidRDefault="002654E3">
            <w:pPr>
              <w:keepNext/>
              <w:spacing w:before="33" w:after="30"/>
            </w:pPr>
            <w:r>
              <w:rPr>
                <w:b/>
                <w:color w:val="000000"/>
                <w:sz w:val="20"/>
              </w:rPr>
              <w:t>Cash flows from financing activities</w:t>
            </w:r>
          </w:p>
        </w:tc>
        <w:tc>
          <w:tcPr>
            <w:tcW w:w="18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735C229" w14:textId="77777777" w:rsidR="005C5CFC" w:rsidRDefault="005C5CFC">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2A" w14:textId="77777777" w:rsidR="005C5CFC" w:rsidRDefault="005C5CFC">
            <w:pPr>
              <w:keepNext/>
            </w:pPr>
          </w:p>
        </w:tc>
        <w:tc>
          <w:tcPr>
            <w:tcW w:w="18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735C22B" w14:textId="77777777" w:rsidR="005C5CFC" w:rsidRDefault="005C5CFC">
            <w:pPr>
              <w:keepNext/>
            </w:pPr>
          </w:p>
        </w:tc>
      </w:tr>
      <w:tr w:rsidR="005C5CFC" w14:paraId="4735C231" w14:textId="77777777">
        <w:trPr>
          <w:cantSplit/>
          <w:trHeight w:hRule="exact" w:val="285"/>
        </w:trPr>
        <w:tc>
          <w:tcPr>
            <w:tcW w:w="5700" w:type="dxa"/>
            <w:tcBorders>
              <w:top w:val="nil"/>
              <w:left w:val="nil"/>
              <w:bottom w:val="nil"/>
              <w:right w:val="nil"/>
            </w:tcBorders>
            <w:shd w:val="clear" w:color="auto" w:fill="FFFFFF"/>
            <w:tcMar>
              <w:top w:w="0" w:type="dxa"/>
              <w:left w:w="53" w:type="dxa"/>
              <w:bottom w:w="0" w:type="dxa"/>
              <w:right w:w="53" w:type="dxa"/>
            </w:tcMar>
            <w:vAlign w:val="bottom"/>
          </w:tcPr>
          <w:p w14:paraId="4735C22D" w14:textId="77777777" w:rsidR="005C5CFC" w:rsidRDefault="002654E3">
            <w:pPr>
              <w:keepNext/>
              <w:spacing w:before="53" w:after="30"/>
            </w:pPr>
            <w:r>
              <w:rPr>
                <w:color w:val="000000"/>
                <w:sz w:val="20"/>
              </w:rPr>
              <w:t>Proceeds from issuance of debt</w:t>
            </w: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2E" w14:textId="77777777" w:rsidR="005C5CFC" w:rsidRDefault="002654E3">
            <w:pPr>
              <w:keepNext/>
              <w:tabs>
                <w:tab w:val="left" w:pos="1467"/>
                <w:tab w:val="left" w:pos="1732"/>
              </w:tabs>
              <w:spacing w:before="53" w:after="30"/>
              <w:jc w:val="right"/>
            </w:pPr>
            <w:r>
              <w:rPr>
                <w:color w:val="000000"/>
                <w:sz w:val="20"/>
              </w:rPr>
              <w:tab/>
              <w:t>—</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22F"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30" w14:textId="77777777" w:rsidR="005C5CFC" w:rsidRDefault="002654E3">
            <w:pPr>
              <w:keepNext/>
              <w:tabs>
                <w:tab w:val="left" w:pos="1117"/>
                <w:tab w:val="left" w:pos="1732"/>
              </w:tabs>
              <w:spacing w:before="53" w:after="30"/>
              <w:jc w:val="right"/>
            </w:pPr>
            <w:r>
              <w:rPr>
                <w:color w:val="000000"/>
                <w:sz w:val="20"/>
              </w:rPr>
              <w:tab/>
              <w:t>49,500</w:t>
            </w:r>
            <w:r>
              <w:rPr>
                <w:color w:val="000000"/>
                <w:sz w:val="20"/>
              </w:rPr>
              <w:tab/>
            </w:r>
          </w:p>
        </w:tc>
      </w:tr>
      <w:tr w:rsidR="005C5CFC" w14:paraId="4735C236" w14:textId="77777777">
        <w:trPr>
          <w:cantSplit/>
          <w:trHeight w:hRule="exact" w:val="285"/>
        </w:trPr>
        <w:tc>
          <w:tcPr>
            <w:tcW w:w="5700" w:type="dxa"/>
            <w:tcBorders>
              <w:top w:val="nil"/>
              <w:left w:val="nil"/>
              <w:bottom w:val="nil"/>
              <w:right w:val="nil"/>
            </w:tcBorders>
            <w:shd w:val="clear" w:color="auto" w:fill="CCEEFF"/>
            <w:tcMar>
              <w:top w:w="0" w:type="dxa"/>
              <w:left w:w="53" w:type="dxa"/>
              <w:bottom w:w="0" w:type="dxa"/>
              <w:right w:w="53" w:type="dxa"/>
            </w:tcMar>
            <w:vAlign w:val="bottom"/>
          </w:tcPr>
          <w:p w14:paraId="4735C232" w14:textId="77777777" w:rsidR="005C5CFC" w:rsidRDefault="002654E3">
            <w:pPr>
              <w:keepNext/>
              <w:spacing w:before="53" w:after="30"/>
            </w:pPr>
            <w:r>
              <w:rPr>
                <w:color w:val="000000"/>
                <w:sz w:val="20"/>
              </w:rPr>
              <w:t>Repayments of debt</w:t>
            </w: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33" w14:textId="77777777" w:rsidR="005C5CFC" w:rsidRDefault="002654E3">
            <w:pPr>
              <w:keepNext/>
              <w:tabs>
                <w:tab w:val="left" w:pos="1301"/>
              </w:tabs>
              <w:spacing w:before="53" w:after="30"/>
              <w:jc w:val="right"/>
            </w:pPr>
            <w:r>
              <w:rPr>
                <w:color w:val="000000"/>
                <w:sz w:val="20"/>
              </w:rPr>
              <w:tab/>
              <w:t>(786)</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34"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35" w14:textId="77777777" w:rsidR="005C5CFC" w:rsidRDefault="002654E3">
            <w:pPr>
              <w:keepNext/>
              <w:tabs>
                <w:tab w:val="left" w:pos="1151"/>
              </w:tabs>
              <w:spacing w:before="53" w:after="30"/>
              <w:jc w:val="right"/>
            </w:pPr>
            <w:r>
              <w:rPr>
                <w:color w:val="000000"/>
                <w:sz w:val="20"/>
              </w:rPr>
              <w:tab/>
              <w:t>(1,286)</w:t>
            </w:r>
          </w:p>
        </w:tc>
      </w:tr>
      <w:tr w:rsidR="005C5CFC" w14:paraId="4735C23B" w14:textId="77777777">
        <w:trPr>
          <w:cantSplit/>
          <w:trHeight w:hRule="exact" w:val="285"/>
        </w:trPr>
        <w:tc>
          <w:tcPr>
            <w:tcW w:w="5700" w:type="dxa"/>
            <w:tcBorders>
              <w:top w:val="nil"/>
              <w:left w:val="nil"/>
              <w:bottom w:val="nil"/>
              <w:right w:val="nil"/>
            </w:tcBorders>
            <w:shd w:val="clear" w:color="auto" w:fill="FFFFFF"/>
            <w:tcMar>
              <w:top w:w="0" w:type="dxa"/>
              <w:left w:w="53" w:type="dxa"/>
              <w:bottom w:w="0" w:type="dxa"/>
              <w:right w:w="53" w:type="dxa"/>
            </w:tcMar>
            <w:vAlign w:val="bottom"/>
          </w:tcPr>
          <w:p w14:paraId="4735C237" w14:textId="77777777" w:rsidR="005C5CFC" w:rsidRDefault="002654E3">
            <w:pPr>
              <w:keepNext/>
              <w:spacing w:before="53" w:after="30"/>
            </w:pPr>
            <w:r>
              <w:rPr>
                <w:color w:val="000000"/>
                <w:sz w:val="20"/>
              </w:rPr>
              <w:t>Debt issuance costs</w:t>
            </w: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38" w14:textId="77777777" w:rsidR="005C5CFC" w:rsidRDefault="002654E3">
            <w:pPr>
              <w:keepNext/>
              <w:tabs>
                <w:tab w:val="left" w:pos="1401"/>
              </w:tabs>
              <w:spacing w:before="53" w:after="30"/>
              <w:jc w:val="right"/>
            </w:pPr>
            <w:r>
              <w:rPr>
                <w:color w:val="000000"/>
                <w:sz w:val="20"/>
              </w:rPr>
              <w:tab/>
              <w:t>(31)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239"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3A" w14:textId="77777777" w:rsidR="005C5CFC" w:rsidRDefault="002654E3">
            <w:pPr>
              <w:keepNext/>
              <w:tabs>
                <w:tab w:val="left" w:pos="1467"/>
                <w:tab w:val="left" w:pos="1732"/>
              </w:tabs>
              <w:spacing w:before="53" w:after="30"/>
              <w:jc w:val="right"/>
            </w:pPr>
            <w:r>
              <w:rPr>
                <w:color w:val="000000"/>
                <w:sz w:val="20"/>
              </w:rPr>
              <w:tab/>
              <w:t>—</w:t>
            </w:r>
            <w:r>
              <w:rPr>
                <w:color w:val="000000"/>
                <w:sz w:val="20"/>
              </w:rPr>
              <w:tab/>
            </w:r>
          </w:p>
        </w:tc>
      </w:tr>
      <w:tr w:rsidR="005C5CFC" w14:paraId="4735C240" w14:textId="77777777">
        <w:trPr>
          <w:cantSplit/>
          <w:trHeight w:hRule="exact" w:val="285"/>
        </w:trPr>
        <w:tc>
          <w:tcPr>
            <w:tcW w:w="5700" w:type="dxa"/>
            <w:tcBorders>
              <w:top w:val="nil"/>
              <w:left w:val="nil"/>
              <w:bottom w:val="nil"/>
              <w:right w:val="nil"/>
            </w:tcBorders>
            <w:shd w:val="clear" w:color="auto" w:fill="CCEEFF"/>
            <w:tcMar>
              <w:top w:w="0" w:type="dxa"/>
              <w:left w:w="53" w:type="dxa"/>
              <w:bottom w:w="0" w:type="dxa"/>
              <w:right w:w="53" w:type="dxa"/>
            </w:tcMar>
            <w:vAlign w:val="bottom"/>
          </w:tcPr>
          <w:p w14:paraId="4735C23C" w14:textId="77777777" w:rsidR="005C5CFC" w:rsidRDefault="002654E3">
            <w:pPr>
              <w:keepNext/>
              <w:spacing w:before="33" w:after="30"/>
            </w:pPr>
            <w:r>
              <w:rPr>
                <w:b/>
                <w:color w:val="000000"/>
                <w:sz w:val="20"/>
              </w:rPr>
              <w:t xml:space="preserve">Net cash (used in) </w:t>
            </w:r>
            <w:r>
              <w:rPr>
                <w:b/>
                <w:color w:val="000000"/>
                <w:sz w:val="20"/>
              </w:rPr>
              <w:t>provided by financing activities</w:t>
            </w:r>
          </w:p>
        </w:tc>
        <w:tc>
          <w:tcPr>
            <w:tcW w:w="18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735C23D" w14:textId="77777777" w:rsidR="005C5CFC" w:rsidRDefault="002654E3">
            <w:pPr>
              <w:keepNext/>
              <w:tabs>
                <w:tab w:val="left" w:pos="1301"/>
              </w:tabs>
              <w:spacing w:before="33" w:after="30"/>
              <w:jc w:val="right"/>
            </w:pPr>
            <w:r>
              <w:rPr>
                <w:color w:val="000000"/>
                <w:sz w:val="20"/>
              </w:rPr>
              <w:tab/>
              <w:t>(817)</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3E" w14:textId="77777777" w:rsidR="005C5CFC" w:rsidRDefault="005C5CFC">
            <w:pPr>
              <w:keepNext/>
            </w:pPr>
          </w:p>
        </w:tc>
        <w:tc>
          <w:tcPr>
            <w:tcW w:w="18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735C23F" w14:textId="77777777" w:rsidR="005C5CFC" w:rsidRDefault="002654E3">
            <w:pPr>
              <w:keepNext/>
              <w:tabs>
                <w:tab w:val="left" w:pos="1117"/>
                <w:tab w:val="left" w:pos="1732"/>
              </w:tabs>
              <w:spacing w:before="33" w:after="30"/>
              <w:jc w:val="right"/>
            </w:pPr>
            <w:r>
              <w:rPr>
                <w:color w:val="000000"/>
                <w:sz w:val="20"/>
              </w:rPr>
              <w:tab/>
              <w:t>48,214</w:t>
            </w:r>
            <w:r>
              <w:rPr>
                <w:color w:val="000000"/>
                <w:sz w:val="20"/>
              </w:rPr>
              <w:tab/>
            </w:r>
          </w:p>
        </w:tc>
      </w:tr>
      <w:tr w:rsidR="005C5CFC" w14:paraId="4735C245" w14:textId="77777777">
        <w:trPr>
          <w:cantSplit/>
          <w:trHeight w:hRule="exact" w:val="285"/>
        </w:trPr>
        <w:tc>
          <w:tcPr>
            <w:tcW w:w="5700" w:type="dxa"/>
            <w:tcBorders>
              <w:top w:val="nil"/>
              <w:left w:val="nil"/>
              <w:bottom w:val="nil"/>
              <w:right w:val="nil"/>
            </w:tcBorders>
            <w:shd w:val="clear" w:color="auto" w:fill="FFFFFF"/>
            <w:tcMar>
              <w:top w:w="0" w:type="dxa"/>
              <w:left w:w="53" w:type="dxa"/>
              <w:bottom w:w="0" w:type="dxa"/>
              <w:right w:w="53" w:type="dxa"/>
            </w:tcMar>
            <w:vAlign w:val="bottom"/>
          </w:tcPr>
          <w:p w14:paraId="4735C241" w14:textId="77777777" w:rsidR="005C5CFC" w:rsidRDefault="002654E3">
            <w:pPr>
              <w:keepNext/>
              <w:spacing w:before="33" w:after="30"/>
            </w:pPr>
            <w:r>
              <w:rPr>
                <w:color w:val="000000"/>
                <w:sz w:val="20"/>
              </w:rPr>
              <w:t>Net (decrease) increase in cash, cash equivalents, and restricted cash</w:t>
            </w:r>
          </w:p>
        </w:tc>
        <w:tc>
          <w:tcPr>
            <w:tcW w:w="18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735C242" w14:textId="77777777" w:rsidR="005C5CFC" w:rsidRDefault="002654E3">
            <w:pPr>
              <w:keepNext/>
              <w:tabs>
                <w:tab w:val="left" w:pos="1051"/>
              </w:tabs>
              <w:spacing w:before="33" w:after="30"/>
              <w:jc w:val="right"/>
            </w:pPr>
            <w:r>
              <w:rPr>
                <w:color w:val="000000"/>
                <w:sz w:val="20"/>
              </w:rPr>
              <w:tab/>
              <w:t>(11,684)</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243" w14:textId="77777777" w:rsidR="005C5CFC" w:rsidRDefault="005C5CFC">
            <w:pPr>
              <w:keepNext/>
            </w:pPr>
          </w:p>
        </w:tc>
        <w:tc>
          <w:tcPr>
            <w:tcW w:w="18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735C244" w14:textId="77777777" w:rsidR="005C5CFC" w:rsidRDefault="002654E3">
            <w:pPr>
              <w:keepNext/>
              <w:tabs>
                <w:tab w:val="left" w:pos="1217"/>
                <w:tab w:val="left" w:pos="1732"/>
              </w:tabs>
              <w:spacing w:before="33" w:after="30"/>
              <w:jc w:val="right"/>
            </w:pPr>
            <w:r>
              <w:rPr>
                <w:color w:val="000000"/>
                <w:sz w:val="20"/>
              </w:rPr>
              <w:tab/>
              <w:t>5,182</w:t>
            </w:r>
            <w:r>
              <w:rPr>
                <w:color w:val="000000"/>
                <w:sz w:val="20"/>
              </w:rPr>
              <w:tab/>
            </w:r>
          </w:p>
        </w:tc>
      </w:tr>
      <w:tr w:rsidR="005C5CFC" w14:paraId="4735C24A" w14:textId="77777777">
        <w:trPr>
          <w:cantSplit/>
          <w:trHeight w:hRule="exact" w:val="285"/>
        </w:trPr>
        <w:tc>
          <w:tcPr>
            <w:tcW w:w="5700" w:type="dxa"/>
            <w:tcBorders>
              <w:top w:val="nil"/>
              <w:left w:val="nil"/>
              <w:bottom w:val="nil"/>
              <w:right w:val="nil"/>
            </w:tcBorders>
            <w:shd w:val="clear" w:color="auto" w:fill="CCEEFF"/>
            <w:tcMar>
              <w:top w:w="0" w:type="dxa"/>
              <w:left w:w="53" w:type="dxa"/>
              <w:bottom w:w="0" w:type="dxa"/>
              <w:right w:w="53" w:type="dxa"/>
            </w:tcMar>
            <w:vAlign w:val="bottom"/>
          </w:tcPr>
          <w:p w14:paraId="4735C246" w14:textId="77777777" w:rsidR="005C5CFC" w:rsidRDefault="002654E3">
            <w:pPr>
              <w:keepNext/>
              <w:spacing w:before="53" w:after="30"/>
            </w:pPr>
            <w:r>
              <w:rPr>
                <w:b/>
                <w:color w:val="000000"/>
                <w:sz w:val="20"/>
              </w:rPr>
              <w:t>Cash, cash equivalents, and restricted cash at beginning of period</w:t>
            </w:r>
          </w:p>
        </w:tc>
        <w:tc>
          <w:tcPr>
            <w:tcW w:w="18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735C247" w14:textId="77777777" w:rsidR="005C5CFC" w:rsidRDefault="002654E3">
            <w:pPr>
              <w:keepNext/>
              <w:tabs>
                <w:tab w:val="left" w:pos="1017"/>
                <w:tab w:val="left" w:pos="1732"/>
              </w:tabs>
              <w:spacing w:before="53" w:after="30"/>
              <w:jc w:val="right"/>
            </w:pPr>
            <w:r>
              <w:rPr>
                <w:color w:val="000000"/>
                <w:sz w:val="20"/>
              </w:rPr>
              <w:tab/>
              <w:t>155,481</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48" w14:textId="77777777" w:rsidR="005C5CFC" w:rsidRDefault="005C5CFC">
            <w:pPr>
              <w:keepNext/>
            </w:pPr>
          </w:p>
        </w:tc>
        <w:tc>
          <w:tcPr>
            <w:tcW w:w="18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735C249" w14:textId="77777777" w:rsidR="005C5CFC" w:rsidRDefault="002654E3">
            <w:pPr>
              <w:keepNext/>
              <w:tabs>
                <w:tab w:val="left" w:pos="1117"/>
                <w:tab w:val="left" w:pos="1732"/>
              </w:tabs>
              <w:spacing w:before="53" w:after="30"/>
              <w:jc w:val="right"/>
            </w:pPr>
            <w:r>
              <w:rPr>
                <w:color w:val="000000"/>
                <w:sz w:val="20"/>
              </w:rPr>
              <w:tab/>
              <w:t>58,097</w:t>
            </w:r>
            <w:r>
              <w:rPr>
                <w:color w:val="000000"/>
                <w:sz w:val="20"/>
              </w:rPr>
              <w:tab/>
            </w:r>
          </w:p>
        </w:tc>
      </w:tr>
      <w:tr w:rsidR="005C5CFC" w14:paraId="4735C24F" w14:textId="77777777">
        <w:trPr>
          <w:cantSplit/>
          <w:trHeight w:hRule="exact" w:val="285"/>
        </w:trPr>
        <w:tc>
          <w:tcPr>
            <w:tcW w:w="5700" w:type="dxa"/>
            <w:tcBorders>
              <w:top w:val="nil"/>
              <w:left w:val="nil"/>
              <w:bottom w:val="nil"/>
              <w:right w:val="nil"/>
            </w:tcBorders>
            <w:shd w:val="clear" w:color="auto" w:fill="FFFFFF"/>
            <w:tcMar>
              <w:top w:w="0" w:type="dxa"/>
              <w:left w:w="53" w:type="dxa"/>
              <w:bottom w:w="0" w:type="dxa"/>
              <w:right w:w="53" w:type="dxa"/>
            </w:tcMar>
            <w:vAlign w:val="bottom"/>
          </w:tcPr>
          <w:p w14:paraId="4735C24B" w14:textId="77777777" w:rsidR="005C5CFC" w:rsidRDefault="002654E3">
            <w:pPr>
              <w:spacing w:before="33" w:after="30"/>
            </w:pPr>
            <w:r>
              <w:rPr>
                <w:b/>
                <w:color w:val="000000"/>
                <w:sz w:val="20"/>
              </w:rPr>
              <w:t xml:space="preserve">Cash, cash </w:t>
            </w:r>
            <w:r>
              <w:rPr>
                <w:b/>
                <w:color w:val="000000"/>
                <w:sz w:val="20"/>
              </w:rPr>
              <w:t>equivalents, and restricted cash at end of period</w:t>
            </w:r>
          </w:p>
        </w:tc>
        <w:tc>
          <w:tcPr>
            <w:tcW w:w="18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735C24C" w14:textId="77777777" w:rsidR="005C5CFC" w:rsidRDefault="002654E3">
            <w:pPr>
              <w:tabs>
                <w:tab w:val="left" w:pos="1017"/>
                <w:tab w:val="left" w:pos="1732"/>
              </w:tabs>
              <w:spacing w:before="33" w:after="30"/>
              <w:jc w:val="right"/>
            </w:pPr>
            <w:r>
              <w:rPr>
                <w:color w:val="000000"/>
                <w:sz w:val="20"/>
              </w:rPr>
              <w:t>$</w:t>
            </w:r>
            <w:r>
              <w:rPr>
                <w:color w:val="000000"/>
                <w:sz w:val="20"/>
              </w:rPr>
              <w:tab/>
              <w:t>143,797</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24D" w14:textId="77777777" w:rsidR="005C5CFC" w:rsidRDefault="005C5CFC"/>
        </w:tc>
        <w:tc>
          <w:tcPr>
            <w:tcW w:w="18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735C24E" w14:textId="77777777" w:rsidR="005C5CFC" w:rsidRDefault="002654E3">
            <w:pPr>
              <w:tabs>
                <w:tab w:val="left" w:pos="1117"/>
                <w:tab w:val="left" w:pos="1732"/>
              </w:tabs>
              <w:spacing w:before="33" w:after="30"/>
              <w:jc w:val="right"/>
            </w:pPr>
            <w:r>
              <w:rPr>
                <w:color w:val="000000"/>
                <w:sz w:val="20"/>
              </w:rPr>
              <w:t>$</w:t>
            </w:r>
            <w:r>
              <w:rPr>
                <w:color w:val="000000"/>
                <w:sz w:val="20"/>
              </w:rPr>
              <w:tab/>
              <w:t>63,279</w:t>
            </w:r>
            <w:r>
              <w:rPr>
                <w:color w:val="000000"/>
                <w:sz w:val="20"/>
              </w:rPr>
              <w:tab/>
            </w:r>
          </w:p>
        </w:tc>
      </w:tr>
    </w:tbl>
    <w:p w14:paraId="4735C250" w14:textId="77777777" w:rsidR="005C5CFC" w:rsidRDefault="005C5CFC">
      <w:pPr>
        <w:spacing w:line="288" w:lineRule="auto"/>
        <w:rPr>
          <w:sz w:val="2"/>
        </w:rPr>
      </w:pPr>
    </w:p>
    <w:p w14:paraId="4735C251" w14:textId="77777777" w:rsidR="005C5CFC" w:rsidRDefault="005C5CFC">
      <w:pPr>
        <w:spacing w:line="288" w:lineRule="auto"/>
        <w:rPr>
          <w:sz w:val="2"/>
        </w:rPr>
        <w:sectPr w:rsidR="005C5CFC">
          <w:headerReference w:type="default" r:id="rId16"/>
          <w:pgSz w:w="12240" w:h="15840"/>
          <w:pgMar w:top="1440" w:right="1440" w:bottom="1440" w:left="1440" w:header="450" w:footer="450" w:gutter="0"/>
          <w:cols w:space="708"/>
        </w:sectPr>
      </w:pPr>
    </w:p>
    <w:p w14:paraId="4735C252" w14:textId="77777777" w:rsidR="005C5CFC" w:rsidRDefault="005C5CFC">
      <w:pPr>
        <w:spacing w:line="288" w:lineRule="auto"/>
        <w:rPr>
          <w:rFonts w:ascii="Arial" w:eastAsia="Arial" w:hAnsi="Arial" w:cs="Arial"/>
        </w:rPr>
      </w:pPr>
      <w:bookmarkStart w:id="2" w:name="Section5"/>
      <w:bookmarkEnd w:id="2"/>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5"/>
        <w:gridCol w:w="1800"/>
        <w:gridCol w:w="75"/>
        <w:gridCol w:w="1800"/>
      </w:tblGrid>
      <w:tr w:rsidR="005C5CFC" w14:paraId="4735C257" w14:textId="77777777">
        <w:trPr>
          <w:cantSplit/>
          <w:trHeight w:hRule="exact" w:val="285"/>
        </w:trPr>
        <w:tc>
          <w:tcPr>
            <w:tcW w:w="5685" w:type="dxa"/>
            <w:tcBorders>
              <w:top w:val="nil"/>
              <w:left w:val="nil"/>
              <w:bottom w:val="nil"/>
              <w:right w:val="nil"/>
            </w:tcBorders>
            <w:tcMar>
              <w:top w:w="0" w:type="dxa"/>
              <w:left w:w="53" w:type="dxa"/>
              <w:bottom w:w="0" w:type="dxa"/>
              <w:right w:w="53" w:type="dxa"/>
            </w:tcMar>
            <w:vAlign w:val="bottom"/>
          </w:tcPr>
          <w:p w14:paraId="4735C253" w14:textId="77777777" w:rsidR="005C5CFC" w:rsidRDefault="002654E3">
            <w:pPr>
              <w:keepNext/>
              <w:spacing w:before="53" w:after="30"/>
            </w:pPr>
            <w:r>
              <w:rPr>
                <w:i/>
                <w:color w:val="000000"/>
                <w:sz w:val="16"/>
                <w:u w:val="single"/>
              </w:rPr>
              <w:t>(in thousands)</w:t>
            </w:r>
          </w:p>
        </w:tc>
        <w:tc>
          <w:tcPr>
            <w:tcW w:w="1800" w:type="dxa"/>
            <w:tcBorders>
              <w:top w:val="nil"/>
              <w:left w:val="nil"/>
              <w:bottom w:val="single" w:sz="8" w:space="0" w:color="000000"/>
              <w:right w:val="nil"/>
            </w:tcBorders>
            <w:tcMar>
              <w:top w:w="0" w:type="dxa"/>
              <w:left w:w="53" w:type="dxa"/>
              <w:bottom w:w="0" w:type="dxa"/>
              <w:right w:w="53" w:type="dxa"/>
            </w:tcMar>
            <w:vAlign w:val="bottom"/>
          </w:tcPr>
          <w:p w14:paraId="4735C254" w14:textId="77777777" w:rsidR="005C5CFC" w:rsidRDefault="002654E3">
            <w:pPr>
              <w:keepNext/>
              <w:spacing w:before="53" w:after="30"/>
              <w:jc w:val="center"/>
            </w:pPr>
            <w:r>
              <w:rPr>
                <w:b/>
                <w:color w:val="000000"/>
                <w:sz w:val="20"/>
              </w:rPr>
              <w:t>March 31, 2022</w:t>
            </w:r>
          </w:p>
        </w:tc>
        <w:tc>
          <w:tcPr>
            <w:tcW w:w="75" w:type="dxa"/>
            <w:tcBorders>
              <w:top w:val="nil"/>
              <w:left w:val="nil"/>
              <w:bottom w:val="nil"/>
              <w:right w:val="nil"/>
            </w:tcBorders>
            <w:tcMar>
              <w:top w:w="0" w:type="dxa"/>
              <w:left w:w="0" w:type="dxa"/>
              <w:bottom w:w="0" w:type="dxa"/>
              <w:right w:w="0" w:type="dxa"/>
            </w:tcMar>
            <w:vAlign w:val="bottom"/>
          </w:tcPr>
          <w:p w14:paraId="4735C255" w14:textId="77777777" w:rsidR="005C5CFC" w:rsidRDefault="005C5CFC">
            <w:pPr>
              <w:keepNext/>
            </w:pPr>
          </w:p>
        </w:tc>
        <w:tc>
          <w:tcPr>
            <w:tcW w:w="1800" w:type="dxa"/>
            <w:tcBorders>
              <w:top w:val="nil"/>
              <w:left w:val="nil"/>
              <w:bottom w:val="single" w:sz="8" w:space="0" w:color="000000"/>
              <w:right w:val="nil"/>
            </w:tcBorders>
            <w:tcMar>
              <w:top w:w="0" w:type="dxa"/>
              <w:left w:w="53" w:type="dxa"/>
              <w:bottom w:w="0" w:type="dxa"/>
              <w:right w:w="53" w:type="dxa"/>
            </w:tcMar>
            <w:vAlign w:val="bottom"/>
          </w:tcPr>
          <w:p w14:paraId="4735C256" w14:textId="77777777" w:rsidR="005C5CFC" w:rsidRDefault="002654E3">
            <w:pPr>
              <w:keepNext/>
              <w:spacing w:before="53" w:after="30"/>
              <w:jc w:val="center"/>
            </w:pPr>
            <w:r>
              <w:rPr>
                <w:b/>
                <w:color w:val="000000"/>
                <w:sz w:val="20"/>
              </w:rPr>
              <w:t>December 31, 2021</w:t>
            </w:r>
          </w:p>
        </w:tc>
      </w:tr>
      <w:tr w:rsidR="005C5CFC" w14:paraId="4735C25C" w14:textId="77777777">
        <w:trPr>
          <w:cantSplit/>
          <w:trHeight w:hRule="exact" w:val="285"/>
        </w:trPr>
        <w:tc>
          <w:tcPr>
            <w:tcW w:w="5685" w:type="dxa"/>
            <w:tcBorders>
              <w:top w:val="nil"/>
              <w:left w:val="nil"/>
              <w:bottom w:val="nil"/>
              <w:right w:val="nil"/>
            </w:tcBorders>
            <w:shd w:val="clear" w:color="auto" w:fill="CCEEFF"/>
            <w:tcMar>
              <w:top w:w="0" w:type="dxa"/>
              <w:left w:w="53" w:type="dxa"/>
              <w:bottom w:w="0" w:type="dxa"/>
              <w:right w:w="53" w:type="dxa"/>
            </w:tcMar>
            <w:vAlign w:val="bottom"/>
          </w:tcPr>
          <w:p w14:paraId="4735C258" w14:textId="77777777" w:rsidR="005C5CFC" w:rsidRDefault="002654E3">
            <w:pPr>
              <w:keepNext/>
              <w:spacing w:before="33" w:after="30"/>
            </w:pPr>
            <w:r>
              <w:rPr>
                <w:color w:val="000000"/>
                <w:sz w:val="20"/>
              </w:rPr>
              <w:t xml:space="preserve">Cash and cash </w:t>
            </w:r>
            <w:r>
              <w:rPr>
                <w:color w:val="000000"/>
                <w:sz w:val="20"/>
              </w:rPr>
              <w:t>equivalents</w:t>
            </w:r>
          </w:p>
        </w:tc>
        <w:tc>
          <w:tcPr>
            <w:tcW w:w="18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735C259" w14:textId="77777777" w:rsidR="005C5CFC" w:rsidRDefault="002654E3">
            <w:pPr>
              <w:keepNext/>
              <w:tabs>
                <w:tab w:val="left" w:pos="1017"/>
                <w:tab w:val="left" w:pos="1732"/>
              </w:tabs>
              <w:spacing w:before="33" w:after="30"/>
              <w:jc w:val="right"/>
            </w:pPr>
            <w:r>
              <w:rPr>
                <w:color w:val="000000"/>
                <w:sz w:val="20"/>
              </w:rPr>
              <w:t>$</w:t>
            </w:r>
            <w:r>
              <w:rPr>
                <w:color w:val="000000"/>
                <w:sz w:val="20"/>
              </w:rPr>
              <w:tab/>
              <w:t>143,797</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35C25A" w14:textId="77777777" w:rsidR="005C5CFC" w:rsidRDefault="005C5CFC">
            <w:pPr>
              <w:keepNext/>
            </w:pPr>
          </w:p>
        </w:tc>
        <w:tc>
          <w:tcPr>
            <w:tcW w:w="18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735C25B" w14:textId="77777777" w:rsidR="005C5CFC" w:rsidRDefault="002654E3">
            <w:pPr>
              <w:keepNext/>
              <w:tabs>
                <w:tab w:val="left" w:pos="1017"/>
                <w:tab w:val="left" w:pos="1732"/>
              </w:tabs>
              <w:spacing w:before="33" w:after="30"/>
              <w:jc w:val="right"/>
            </w:pPr>
            <w:r>
              <w:rPr>
                <w:color w:val="000000"/>
                <w:sz w:val="20"/>
              </w:rPr>
              <w:t>$</w:t>
            </w:r>
            <w:r>
              <w:rPr>
                <w:color w:val="000000"/>
                <w:sz w:val="20"/>
              </w:rPr>
              <w:tab/>
              <w:t>155,481</w:t>
            </w:r>
            <w:r>
              <w:rPr>
                <w:color w:val="000000"/>
                <w:sz w:val="20"/>
              </w:rPr>
              <w:tab/>
            </w:r>
          </w:p>
        </w:tc>
      </w:tr>
      <w:tr w:rsidR="005C5CFC" w14:paraId="4735C261" w14:textId="77777777">
        <w:trPr>
          <w:cantSplit/>
          <w:trHeight w:hRule="exact" w:val="285"/>
        </w:trPr>
        <w:tc>
          <w:tcPr>
            <w:tcW w:w="5685" w:type="dxa"/>
            <w:tcBorders>
              <w:top w:val="nil"/>
              <w:left w:val="nil"/>
              <w:bottom w:val="nil"/>
              <w:right w:val="nil"/>
            </w:tcBorders>
            <w:shd w:val="clear" w:color="auto" w:fill="FFFFFF"/>
            <w:tcMar>
              <w:top w:w="0" w:type="dxa"/>
              <w:left w:w="53" w:type="dxa"/>
              <w:bottom w:w="0" w:type="dxa"/>
              <w:right w:w="53" w:type="dxa"/>
            </w:tcMar>
            <w:vAlign w:val="bottom"/>
          </w:tcPr>
          <w:p w14:paraId="4735C25D" w14:textId="77777777" w:rsidR="005C5CFC" w:rsidRDefault="002654E3">
            <w:pPr>
              <w:keepNext/>
              <w:spacing w:before="53" w:after="30"/>
            </w:pPr>
            <w:r>
              <w:rPr>
                <w:color w:val="000000"/>
                <w:sz w:val="20"/>
              </w:rPr>
              <w:t>Inventory</w:t>
            </w: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5E" w14:textId="77777777" w:rsidR="005C5CFC" w:rsidRDefault="002654E3">
            <w:pPr>
              <w:keepNext/>
              <w:tabs>
                <w:tab w:val="left" w:pos="1117"/>
                <w:tab w:val="left" w:pos="1732"/>
              </w:tabs>
              <w:spacing w:before="53" w:after="30"/>
              <w:jc w:val="right"/>
            </w:pPr>
            <w:r>
              <w:rPr>
                <w:color w:val="000000"/>
                <w:sz w:val="20"/>
              </w:rPr>
              <w:tab/>
              <w:t>78,233</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735C25F"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60" w14:textId="77777777" w:rsidR="005C5CFC" w:rsidRDefault="002654E3">
            <w:pPr>
              <w:keepNext/>
              <w:tabs>
                <w:tab w:val="left" w:pos="1117"/>
                <w:tab w:val="left" w:pos="1732"/>
              </w:tabs>
              <w:spacing w:before="53" w:after="30"/>
              <w:jc w:val="right"/>
            </w:pPr>
            <w:r>
              <w:rPr>
                <w:color w:val="000000"/>
                <w:sz w:val="20"/>
              </w:rPr>
              <w:tab/>
              <w:t>65,588</w:t>
            </w:r>
            <w:r>
              <w:rPr>
                <w:color w:val="000000"/>
                <w:sz w:val="20"/>
              </w:rPr>
              <w:tab/>
            </w:r>
          </w:p>
        </w:tc>
      </w:tr>
      <w:tr w:rsidR="005C5CFC" w14:paraId="4735C266" w14:textId="77777777">
        <w:trPr>
          <w:cantSplit/>
          <w:trHeight w:hRule="exact" w:val="285"/>
        </w:trPr>
        <w:tc>
          <w:tcPr>
            <w:tcW w:w="5685" w:type="dxa"/>
            <w:tcBorders>
              <w:top w:val="nil"/>
              <w:left w:val="nil"/>
              <w:bottom w:val="nil"/>
              <w:right w:val="nil"/>
            </w:tcBorders>
            <w:shd w:val="clear" w:color="auto" w:fill="CCEEFF"/>
            <w:tcMar>
              <w:top w:w="0" w:type="dxa"/>
              <w:left w:w="53" w:type="dxa"/>
              <w:bottom w:w="0" w:type="dxa"/>
              <w:right w:w="53" w:type="dxa"/>
            </w:tcMar>
            <w:vAlign w:val="bottom"/>
          </w:tcPr>
          <w:p w14:paraId="4735C262" w14:textId="77777777" w:rsidR="005C5CFC" w:rsidRDefault="002654E3">
            <w:pPr>
              <w:keepNext/>
              <w:spacing w:before="53" w:after="30"/>
            </w:pPr>
            <w:r>
              <w:rPr>
                <w:color w:val="000000"/>
                <w:sz w:val="20"/>
              </w:rPr>
              <w:t>Other current assets</w:t>
            </w: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63" w14:textId="77777777" w:rsidR="005C5CFC" w:rsidRDefault="002654E3">
            <w:pPr>
              <w:keepNext/>
              <w:tabs>
                <w:tab w:val="left" w:pos="1117"/>
                <w:tab w:val="left" w:pos="1732"/>
              </w:tabs>
              <w:spacing w:before="53" w:after="30"/>
              <w:jc w:val="right"/>
            </w:pPr>
            <w:r>
              <w:rPr>
                <w:color w:val="000000"/>
                <w:sz w:val="20"/>
              </w:rPr>
              <w:tab/>
              <w:t>38,522</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35C264"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65" w14:textId="77777777" w:rsidR="005C5CFC" w:rsidRDefault="002654E3">
            <w:pPr>
              <w:keepNext/>
              <w:tabs>
                <w:tab w:val="left" w:pos="1117"/>
                <w:tab w:val="left" w:pos="1732"/>
              </w:tabs>
              <w:spacing w:before="53" w:after="30"/>
              <w:jc w:val="right"/>
            </w:pPr>
            <w:r>
              <w:rPr>
                <w:color w:val="000000"/>
                <w:sz w:val="20"/>
              </w:rPr>
              <w:tab/>
              <w:t>36,943</w:t>
            </w:r>
            <w:r>
              <w:rPr>
                <w:color w:val="000000"/>
                <w:sz w:val="20"/>
              </w:rPr>
              <w:tab/>
            </w:r>
          </w:p>
        </w:tc>
      </w:tr>
      <w:tr w:rsidR="005C5CFC" w14:paraId="4735C26B" w14:textId="77777777">
        <w:trPr>
          <w:cantSplit/>
          <w:trHeight w:hRule="exact" w:val="285"/>
        </w:trPr>
        <w:tc>
          <w:tcPr>
            <w:tcW w:w="5685" w:type="dxa"/>
            <w:tcBorders>
              <w:top w:val="nil"/>
              <w:left w:val="nil"/>
              <w:bottom w:val="nil"/>
              <w:right w:val="nil"/>
            </w:tcBorders>
            <w:shd w:val="clear" w:color="auto" w:fill="FFFFFF"/>
            <w:tcMar>
              <w:top w:w="0" w:type="dxa"/>
              <w:left w:w="53" w:type="dxa"/>
              <w:bottom w:w="0" w:type="dxa"/>
              <w:right w:w="53" w:type="dxa"/>
            </w:tcMar>
            <w:vAlign w:val="bottom"/>
          </w:tcPr>
          <w:p w14:paraId="4735C267" w14:textId="77777777" w:rsidR="005C5CFC" w:rsidRDefault="002654E3">
            <w:pPr>
              <w:keepNext/>
              <w:spacing w:before="53" w:after="30"/>
            </w:pPr>
            <w:r>
              <w:rPr>
                <w:color w:val="000000"/>
                <w:sz w:val="20"/>
              </w:rPr>
              <w:t>Property and equipment, net</w:t>
            </w: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68" w14:textId="77777777" w:rsidR="005C5CFC" w:rsidRDefault="002654E3">
            <w:pPr>
              <w:keepNext/>
              <w:tabs>
                <w:tab w:val="left" w:pos="1017"/>
                <w:tab w:val="left" w:pos="1732"/>
              </w:tabs>
              <w:spacing w:before="53" w:after="30"/>
              <w:jc w:val="right"/>
            </w:pPr>
            <w:r>
              <w:rPr>
                <w:color w:val="000000"/>
                <w:sz w:val="20"/>
              </w:rPr>
              <w:tab/>
              <w:t>226,129</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735C269"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6A" w14:textId="77777777" w:rsidR="005C5CFC" w:rsidRDefault="002654E3">
            <w:pPr>
              <w:keepNext/>
              <w:tabs>
                <w:tab w:val="left" w:pos="1017"/>
                <w:tab w:val="left" w:pos="1732"/>
              </w:tabs>
              <w:spacing w:before="53" w:after="30"/>
              <w:jc w:val="right"/>
            </w:pPr>
            <w:r>
              <w:rPr>
                <w:color w:val="000000"/>
                <w:sz w:val="20"/>
              </w:rPr>
              <w:tab/>
              <w:t>239,656</w:t>
            </w:r>
            <w:r>
              <w:rPr>
                <w:color w:val="000000"/>
                <w:sz w:val="20"/>
              </w:rPr>
              <w:tab/>
            </w:r>
          </w:p>
        </w:tc>
      </w:tr>
      <w:tr w:rsidR="005C5CFC" w14:paraId="4735C270" w14:textId="77777777">
        <w:trPr>
          <w:cantSplit/>
          <w:trHeight w:hRule="exact" w:val="285"/>
        </w:trPr>
        <w:tc>
          <w:tcPr>
            <w:tcW w:w="5685" w:type="dxa"/>
            <w:tcBorders>
              <w:top w:val="nil"/>
              <w:left w:val="nil"/>
              <w:bottom w:val="nil"/>
              <w:right w:val="nil"/>
            </w:tcBorders>
            <w:shd w:val="clear" w:color="auto" w:fill="CCEEFF"/>
            <w:tcMar>
              <w:top w:w="0" w:type="dxa"/>
              <w:left w:w="53" w:type="dxa"/>
              <w:bottom w:w="0" w:type="dxa"/>
              <w:right w:w="53" w:type="dxa"/>
            </w:tcMar>
            <w:vAlign w:val="bottom"/>
          </w:tcPr>
          <w:p w14:paraId="4735C26C" w14:textId="77777777" w:rsidR="005C5CFC" w:rsidRDefault="002654E3">
            <w:pPr>
              <w:keepNext/>
              <w:spacing w:before="53" w:after="30"/>
            </w:pPr>
            <w:r>
              <w:rPr>
                <w:color w:val="000000"/>
                <w:sz w:val="20"/>
              </w:rPr>
              <w:t>Operating lease right-of-use assets</w:t>
            </w: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6D" w14:textId="77777777" w:rsidR="005C5CFC" w:rsidRDefault="002654E3">
            <w:pPr>
              <w:keepNext/>
              <w:tabs>
                <w:tab w:val="left" w:pos="1017"/>
                <w:tab w:val="left" w:pos="1732"/>
              </w:tabs>
              <w:spacing w:before="53" w:after="30"/>
              <w:jc w:val="right"/>
            </w:pPr>
            <w:r>
              <w:rPr>
                <w:color w:val="000000"/>
                <w:sz w:val="20"/>
              </w:rPr>
              <w:tab/>
              <w:t>107,279</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35C26E"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6F" w14:textId="77777777" w:rsidR="005C5CFC" w:rsidRDefault="002654E3">
            <w:pPr>
              <w:keepNext/>
              <w:tabs>
                <w:tab w:val="left" w:pos="1017"/>
                <w:tab w:val="left" w:pos="1732"/>
              </w:tabs>
              <w:spacing w:before="53" w:after="30"/>
              <w:jc w:val="right"/>
            </w:pPr>
            <w:r>
              <w:rPr>
                <w:color w:val="000000"/>
                <w:sz w:val="20"/>
              </w:rPr>
              <w:tab/>
              <w:t>103,958</w:t>
            </w:r>
            <w:r>
              <w:rPr>
                <w:color w:val="000000"/>
                <w:sz w:val="20"/>
              </w:rPr>
              <w:tab/>
            </w:r>
          </w:p>
        </w:tc>
      </w:tr>
      <w:tr w:rsidR="005C5CFC" w14:paraId="4735C275" w14:textId="77777777">
        <w:trPr>
          <w:cantSplit/>
          <w:trHeight w:hRule="exact" w:val="285"/>
        </w:trPr>
        <w:tc>
          <w:tcPr>
            <w:tcW w:w="5685" w:type="dxa"/>
            <w:tcBorders>
              <w:top w:val="nil"/>
              <w:left w:val="nil"/>
              <w:bottom w:val="nil"/>
              <w:right w:val="nil"/>
            </w:tcBorders>
            <w:shd w:val="clear" w:color="auto" w:fill="FFFFFF"/>
            <w:tcMar>
              <w:top w:w="0" w:type="dxa"/>
              <w:left w:w="53" w:type="dxa"/>
              <w:bottom w:w="0" w:type="dxa"/>
              <w:right w:w="53" w:type="dxa"/>
            </w:tcMar>
            <w:vAlign w:val="bottom"/>
          </w:tcPr>
          <w:p w14:paraId="4735C271" w14:textId="77777777" w:rsidR="005C5CFC" w:rsidRDefault="002654E3">
            <w:pPr>
              <w:keepNext/>
              <w:spacing w:before="53" w:after="30"/>
            </w:pPr>
            <w:r>
              <w:rPr>
                <w:color w:val="000000"/>
                <w:sz w:val="20"/>
              </w:rPr>
              <w:t>Intangible assets, net</w:t>
            </w: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72" w14:textId="77777777" w:rsidR="005C5CFC" w:rsidRDefault="002654E3">
            <w:pPr>
              <w:keepNext/>
              <w:tabs>
                <w:tab w:val="left" w:pos="1117"/>
                <w:tab w:val="left" w:pos="1732"/>
              </w:tabs>
              <w:spacing w:before="53" w:after="30"/>
              <w:jc w:val="right"/>
            </w:pPr>
            <w:r>
              <w:rPr>
                <w:color w:val="000000"/>
                <w:sz w:val="20"/>
              </w:rPr>
              <w:tab/>
              <w:t>57,301</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735C273"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74" w14:textId="77777777" w:rsidR="005C5CFC" w:rsidRDefault="002654E3">
            <w:pPr>
              <w:keepNext/>
              <w:tabs>
                <w:tab w:val="left" w:pos="1117"/>
                <w:tab w:val="left" w:pos="1732"/>
              </w:tabs>
              <w:spacing w:before="53" w:after="30"/>
              <w:jc w:val="right"/>
            </w:pPr>
            <w:r>
              <w:rPr>
                <w:color w:val="000000"/>
                <w:sz w:val="20"/>
              </w:rPr>
              <w:tab/>
            </w:r>
            <w:r>
              <w:rPr>
                <w:color w:val="000000"/>
                <w:sz w:val="20"/>
              </w:rPr>
              <w:t>59,271</w:t>
            </w:r>
            <w:r>
              <w:rPr>
                <w:color w:val="000000"/>
                <w:sz w:val="20"/>
              </w:rPr>
              <w:tab/>
            </w:r>
          </w:p>
        </w:tc>
      </w:tr>
      <w:tr w:rsidR="005C5CFC" w14:paraId="4735C27A" w14:textId="77777777">
        <w:trPr>
          <w:cantSplit/>
          <w:trHeight w:hRule="exact" w:val="285"/>
        </w:trPr>
        <w:tc>
          <w:tcPr>
            <w:tcW w:w="5685" w:type="dxa"/>
            <w:tcBorders>
              <w:top w:val="nil"/>
              <w:left w:val="nil"/>
              <w:bottom w:val="nil"/>
              <w:right w:val="nil"/>
            </w:tcBorders>
            <w:shd w:val="clear" w:color="auto" w:fill="CCEEFF"/>
            <w:tcMar>
              <w:top w:w="0" w:type="dxa"/>
              <w:left w:w="53" w:type="dxa"/>
              <w:bottom w:w="0" w:type="dxa"/>
              <w:right w:w="53" w:type="dxa"/>
            </w:tcMar>
            <w:vAlign w:val="bottom"/>
          </w:tcPr>
          <w:p w14:paraId="4735C276" w14:textId="77777777" w:rsidR="005C5CFC" w:rsidRDefault="002654E3">
            <w:pPr>
              <w:keepNext/>
              <w:spacing w:before="53" w:after="30"/>
            </w:pPr>
            <w:r>
              <w:rPr>
                <w:color w:val="000000"/>
                <w:sz w:val="20"/>
              </w:rPr>
              <w:t>Goodwill</w:t>
            </w: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77" w14:textId="77777777" w:rsidR="005C5CFC" w:rsidRDefault="002654E3">
            <w:pPr>
              <w:keepNext/>
              <w:tabs>
                <w:tab w:val="left" w:pos="1117"/>
                <w:tab w:val="left" w:pos="1732"/>
              </w:tabs>
              <w:spacing w:before="53" w:after="30"/>
              <w:jc w:val="right"/>
            </w:pPr>
            <w:r>
              <w:rPr>
                <w:color w:val="000000"/>
                <w:sz w:val="20"/>
              </w:rPr>
              <w:tab/>
              <w:t>43,018</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35C278"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79" w14:textId="77777777" w:rsidR="005C5CFC" w:rsidRDefault="002654E3">
            <w:pPr>
              <w:keepNext/>
              <w:tabs>
                <w:tab w:val="left" w:pos="1117"/>
                <w:tab w:val="left" w:pos="1732"/>
              </w:tabs>
              <w:spacing w:before="53" w:after="30"/>
              <w:jc w:val="right"/>
            </w:pPr>
            <w:r>
              <w:rPr>
                <w:color w:val="000000"/>
                <w:sz w:val="20"/>
              </w:rPr>
              <w:tab/>
              <w:t>42,967</w:t>
            </w:r>
            <w:r>
              <w:rPr>
                <w:color w:val="000000"/>
                <w:sz w:val="20"/>
              </w:rPr>
              <w:tab/>
            </w:r>
          </w:p>
        </w:tc>
      </w:tr>
      <w:tr w:rsidR="005C5CFC" w14:paraId="4735C27F" w14:textId="77777777">
        <w:trPr>
          <w:cantSplit/>
          <w:trHeight w:hRule="exact" w:val="285"/>
        </w:trPr>
        <w:tc>
          <w:tcPr>
            <w:tcW w:w="5685" w:type="dxa"/>
            <w:tcBorders>
              <w:top w:val="nil"/>
              <w:left w:val="nil"/>
              <w:bottom w:val="nil"/>
              <w:right w:val="nil"/>
            </w:tcBorders>
            <w:shd w:val="clear" w:color="auto" w:fill="FFFFFF"/>
            <w:tcMar>
              <w:top w:w="0" w:type="dxa"/>
              <w:left w:w="53" w:type="dxa"/>
              <w:bottom w:w="0" w:type="dxa"/>
              <w:right w:w="53" w:type="dxa"/>
            </w:tcMar>
            <w:vAlign w:val="bottom"/>
          </w:tcPr>
          <w:p w14:paraId="4735C27B" w14:textId="77777777" w:rsidR="005C5CFC" w:rsidRDefault="002654E3">
            <w:pPr>
              <w:keepNext/>
              <w:spacing w:before="53" w:after="30"/>
            </w:pPr>
            <w:r>
              <w:rPr>
                <w:color w:val="000000"/>
                <w:sz w:val="20"/>
              </w:rPr>
              <w:t>Other noncurrent assets</w:t>
            </w:r>
          </w:p>
        </w:tc>
        <w:tc>
          <w:tcPr>
            <w:tcW w:w="18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735C27C" w14:textId="77777777" w:rsidR="005C5CFC" w:rsidRDefault="002654E3">
            <w:pPr>
              <w:keepNext/>
              <w:tabs>
                <w:tab w:val="left" w:pos="1117"/>
                <w:tab w:val="left" w:pos="1732"/>
              </w:tabs>
              <w:spacing w:before="53" w:after="30"/>
              <w:jc w:val="right"/>
            </w:pPr>
            <w:r>
              <w:rPr>
                <w:color w:val="000000"/>
                <w:sz w:val="20"/>
              </w:rPr>
              <w:tab/>
              <w:t>19,925</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735C27D" w14:textId="77777777" w:rsidR="005C5CFC" w:rsidRDefault="005C5CFC">
            <w:pPr>
              <w:keepNext/>
            </w:pPr>
          </w:p>
        </w:tc>
        <w:tc>
          <w:tcPr>
            <w:tcW w:w="18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735C27E" w14:textId="77777777" w:rsidR="005C5CFC" w:rsidRDefault="002654E3">
            <w:pPr>
              <w:keepNext/>
              <w:tabs>
                <w:tab w:val="left" w:pos="1117"/>
                <w:tab w:val="left" w:pos="1732"/>
              </w:tabs>
              <w:spacing w:before="53" w:after="30"/>
              <w:jc w:val="right"/>
            </w:pPr>
            <w:r>
              <w:rPr>
                <w:color w:val="000000"/>
                <w:sz w:val="20"/>
              </w:rPr>
              <w:tab/>
              <w:t>19,572</w:t>
            </w:r>
            <w:r>
              <w:rPr>
                <w:color w:val="000000"/>
                <w:sz w:val="20"/>
              </w:rPr>
              <w:tab/>
            </w:r>
          </w:p>
        </w:tc>
      </w:tr>
      <w:tr w:rsidR="005C5CFC" w14:paraId="4735C284" w14:textId="77777777">
        <w:trPr>
          <w:cantSplit/>
          <w:trHeight w:hRule="exact" w:val="285"/>
        </w:trPr>
        <w:tc>
          <w:tcPr>
            <w:tcW w:w="5685" w:type="dxa"/>
            <w:tcBorders>
              <w:top w:val="nil"/>
              <w:left w:val="nil"/>
              <w:bottom w:val="nil"/>
              <w:right w:val="nil"/>
            </w:tcBorders>
            <w:shd w:val="clear" w:color="auto" w:fill="CCEEFF"/>
            <w:tcMar>
              <w:top w:w="0" w:type="dxa"/>
              <w:left w:w="53" w:type="dxa"/>
              <w:bottom w:w="0" w:type="dxa"/>
              <w:right w:w="53" w:type="dxa"/>
            </w:tcMar>
            <w:vAlign w:val="bottom"/>
          </w:tcPr>
          <w:p w14:paraId="4735C280" w14:textId="77777777" w:rsidR="005C5CFC" w:rsidRDefault="002654E3">
            <w:pPr>
              <w:keepNext/>
              <w:spacing w:before="33" w:after="30"/>
              <w:ind w:left="240"/>
            </w:pPr>
            <w:r>
              <w:rPr>
                <w:b/>
                <w:color w:val="000000"/>
                <w:sz w:val="20"/>
              </w:rPr>
              <w:t>Total Assets</w:t>
            </w:r>
          </w:p>
        </w:tc>
        <w:tc>
          <w:tcPr>
            <w:tcW w:w="18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735C281" w14:textId="77777777" w:rsidR="005C5CFC" w:rsidRDefault="002654E3">
            <w:pPr>
              <w:keepNext/>
              <w:tabs>
                <w:tab w:val="left" w:pos="1017"/>
                <w:tab w:val="left" w:pos="1732"/>
              </w:tabs>
              <w:spacing w:before="33" w:after="30"/>
              <w:jc w:val="right"/>
            </w:pPr>
            <w:r>
              <w:rPr>
                <w:color w:val="000000"/>
                <w:sz w:val="20"/>
              </w:rPr>
              <w:t>$</w:t>
            </w:r>
            <w:r>
              <w:rPr>
                <w:color w:val="000000"/>
                <w:sz w:val="20"/>
              </w:rPr>
              <w:tab/>
              <w:t>714,204</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35C282" w14:textId="77777777" w:rsidR="005C5CFC" w:rsidRDefault="005C5CFC">
            <w:pPr>
              <w:keepNext/>
            </w:pPr>
          </w:p>
        </w:tc>
        <w:tc>
          <w:tcPr>
            <w:tcW w:w="18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735C283" w14:textId="77777777" w:rsidR="005C5CFC" w:rsidRDefault="002654E3">
            <w:pPr>
              <w:keepNext/>
              <w:tabs>
                <w:tab w:val="left" w:pos="1017"/>
                <w:tab w:val="left" w:pos="1732"/>
              </w:tabs>
              <w:spacing w:before="33" w:after="30"/>
              <w:jc w:val="right"/>
            </w:pPr>
            <w:r>
              <w:rPr>
                <w:color w:val="000000"/>
                <w:sz w:val="20"/>
              </w:rPr>
              <w:t>$</w:t>
            </w:r>
            <w:r>
              <w:rPr>
                <w:color w:val="000000"/>
                <w:sz w:val="20"/>
              </w:rPr>
              <w:tab/>
              <w:t>723,436</w:t>
            </w:r>
            <w:r>
              <w:rPr>
                <w:color w:val="000000"/>
                <w:sz w:val="20"/>
              </w:rPr>
              <w:tab/>
            </w:r>
          </w:p>
        </w:tc>
      </w:tr>
      <w:tr w:rsidR="005C5CFC" w14:paraId="4735C289" w14:textId="77777777">
        <w:trPr>
          <w:cantSplit/>
          <w:trHeight w:hRule="exact" w:val="285"/>
        </w:trPr>
        <w:tc>
          <w:tcPr>
            <w:tcW w:w="5685" w:type="dxa"/>
            <w:tcBorders>
              <w:top w:val="nil"/>
              <w:left w:val="nil"/>
              <w:bottom w:val="nil"/>
              <w:right w:val="nil"/>
            </w:tcBorders>
            <w:shd w:val="clear" w:color="auto" w:fill="FFFFFF"/>
            <w:tcMar>
              <w:top w:w="0" w:type="dxa"/>
              <w:left w:w="0" w:type="dxa"/>
              <w:bottom w:w="0" w:type="dxa"/>
              <w:right w:w="0" w:type="dxa"/>
            </w:tcMar>
            <w:vAlign w:val="bottom"/>
          </w:tcPr>
          <w:p w14:paraId="4735C285" w14:textId="77777777" w:rsidR="005C5CFC" w:rsidRDefault="005C5CFC">
            <w:pPr>
              <w:keepNext/>
            </w:pPr>
          </w:p>
        </w:tc>
        <w:tc>
          <w:tcPr>
            <w:tcW w:w="18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4735C286" w14:textId="77777777" w:rsidR="005C5CFC" w:rsidRDefault="005C5CFC">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735C287" w14:textId="77777777" w:rsidR="005C5CFC" w:rsidRDefault="005C5CFC">
            <w:pPr>
              <w:keepNext/>
            </w:pPr>
          </w:p>
        </w:tc>
        <w:tc>
          <w:tcPr>
            <w:tcW w:w="18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4735C288" w14:textId="77777777" w:rsidR="005C5CFC" w:rsidRDefault="005C5CFC">
            <w:pPr>
              <w:keepNext/>
            </w:pPr>
          </w:p>
        </w:tc>
      </w:tr>
      <w:tr w:rsidR="005C5CFC" w14:paraId="4735C28E" w14:textId="77777777">
        <w:trPr>
          <w:cantSplit/>
          <w:trHeight w:hRule="exact" w:val="285"/>
        </w:trPr>
        <w:tc>
          <w:tcPr>
            <w:tcW w:w="5685" w:type="dxa"/>
            <w:tcBorders>
              <w:top w:val="nil"/>
              <w:left w:val="nil"/>
              <w:bottom w:val="nil"/>
              <w:right w:val="nil"/>
            </w:tcBorders>
            <w:shd w:val="clear" w:color="auto" w:fill="CCEEFF"/>
            <w:tcMar>
              <w:top w:w="0" w:type="dxa"/>
              <w:left w:w="53" w:type="dxa"/>
              <w:bottom w:w="0" w:type="dxa"/>
              <w:right w:w="53" w:type="dxa"/>
            </w:tcMar>
            <w:vAlign w:val="bottom"/>
          </w:tcPr>
          <w:p w14:paraId="4735C28A" w14:textId="77777777" w:rsidR="005C5CFC" w:rsidRDefault="002654E3">
            <w:pPr>
              <w:keepNext/>
              <w:spacing w:before="53" w:after="30"/>
            </w:pPr>
            <w:r>
              <w:rPr>
                <w:color w:val="000000"/>
                <w:sz w:val="20"/>
              </w:rPr>
              <w:t>Total current liabilities</w:t>
            </w: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8B" w14:textId="77777777" w:rsidR="005C5CFC" w:rsidRDefault="002654E3">
            <w:pPr>
              <w:keepNext/>
              <w:tabs>
                <w:tab w:val="left" w:pos="1017"/>
                <w:tab w:val="left" w:pos="1732"/>
              </w:tabs>
              <w:spacing w:before="53" w:after="30"/>
              <w:jc w:val="right"/>
            </w:pPr>
            <w:r>
              <w:rPr>
                <w:color w:val="000000"/>
                <w:sz w:val="20"/>
              </w:rPr>
              <w:t>$</w:t>
            </w:r>
            <w:r>
              <w:rPr>
                <w:color w:val="000000"/>
                <w:sz w:val="20"/>
              </w:rPr>
              <w:tab/>
              <w:t>109,328</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35C28C"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8D" w14:textId="77777777" w:rsidR="005C5CFC" w:rsidRDefault="002654E3">
            <w:pPr>
              <w:keepNext/>
              <w:tabs>
                <w:tab w:val="left" w:pos="1017"/>
                <w:tab w:val="left" w:pos="1732"/>
              </w:tabs>
              <w:spacing w:before="53" w:after="30"/>
              <w:jc w:val="right"/>
            </w:pPr>
            <w:r>
              <w:rPr>
                <w:color w:val="000000"/>
                <w:sz w:val="20"/>
              </w:rPr>
              <w:t>$</w:t>
            </w:r>
            <w:r>
              <w:rPr>
                <w:color w:val="000000"/>
                <w:sz w:val="20"/>
              </w:rPr>
              <w:tab/>
              <w:t>117,395</w:t>
            </w:r>
            <w:r>
              <w:rPr>
                <w:color w:val="000000"/>
                <w:sz w:val="20"/>
              </w:rPr>
              <w:tab/>
            </w:r>
          </w:p>
        </w:tc>
      </w:tr>
      <w:tr w:rsidR="005C5CFC" w14:paraId="4735C293" w14:textId="77777777">
        <w:trPr>
          <w:cantSplit/>
          <w:trHeight w:hRule="exact" w:val="285"/>
        </w:trPr>
        <w:tc>
          <w:tcPr>
            <w:tcW w:w="5685" w:type="dxa"/>
            <w:tcBorders>
              <w:top w:val="nil"/>
              <w:left w:val="nil"/>
              <w:bottom w:val="nil"/>
              <w:right w:val="nil"/>
            </w:tcBorders>
            <w:shd w:val="clear" w:color="auto" w:fill="FFFFFF"/>
            <w:tcMar>
              <w:top w:w="0" w:type="dxa"/>
              <w:left w:w="53" w:type="dxa"/>
              <w:bottom w:w="0" w:type="dxa"/>
              <w:right w:w="53" w:type="dxa"/>
            </w:tcMar>
            <w:vAlign w:val="bottom"/>
          </w:tcPr>
          <w:p w14:paraId="4735C28F" w14:textId="77777777" w:rsidR="005C5CFC" w:rsidRDefault="002654E3">
            <w:pPr>
              <w:keepNext/>
              <w:spacing w:before="53" w:after="30"/>
            </w:pPr>
            <w:r>
              <w:rPr>
                <w:color w:val="000000"/>
                <w:sz w:val="20"/>
              </w:rPr>
              <w:t>Long-term debt, net</w:t>
            </w: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90" w14:textId="77777777" w:rsidR="005C5CFC" w:rsidRDefault="002654E3">
            <w:pPr>
              <w:keepNext/>
              <w:tabs>
                <w:tab w:val="left" w:pos="1017"/>
                <w:tab w:val="left" w:pos="1732"/>
              </w:tabs>
              <w:spacing w:before="53" w:after="30"/>
              <w:jc w:val="right"/>
            </w:pPr>
            <w:r>
              <w:rPr>
                <w:color w:val="000000"/>
                <w:sz w:val="20"/>
              </w:rPr>
              <w:tab/>
              <w:t>222,593</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735C291"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92" w14:textId="77777777" w:rsidR="005C5CFC" w:rsidRDefault="002654E3">
            <w:pPr>
              <w:keepNext/>
              <w:tabs>
                <w:tab w:val="left" w:pos="1017"/>
                <w:tab w:val="left" w:pos="1732"/>
              </w:tabs>
              <w:spacing w:before="53" w:after="30"/>
              <w:jc w:val="right"/>
            </w:pPr>
            <w:r>
              <w:rPr>
                <w:color w:val="000000"/>
                <w:sz w:val="20"/>
              </w:rPr>
              <w:tab/>
              <w:t>230,846</w:t>
            </w:r>
            <w:r>
              <w:rPr>
                <w:color w:val="000000"/>
                <w:sz w:val="20"/>
              </w:rPr>
              <w:tab/>
            </w:r>
          </w:p>
        </w:tc>
      </w:tr>
      <w:tr w:rsidR="005C5CFC" w14:paraId="4735C298" w14:textId="77777777">
        <w:trPr>
          <w:cantSplit/>
          <w:trHeight w:hRule="exact" w:val="285"/>
        </w:trPr>
        <w:tc>
          <w:tcPr>
            <w:tcW w:w="5685" w:type="dxa"/>
            <w:tcBorders>
              <w:top w:val="nil"/>
              <w:left w:val="nil"/>
              <w:bottom w:val="nil"/>
              <w:right w:val="nil"/>
            </w:tcBorders>
            <w:shd w:val="clear" w:color="auto" w:fill="CCEEFF"/>
            <w:tcMar>
              <w:top w:w="0" w:type="dxa"/>
              <w:left w:w="53" w:type="dxa"/>
              <w:bottom w:w="0" w:type="dxa"/>
              <w:right w:w="53" w:type="dxa"/>
            </w:tcMar>
            <w:vAlign w:val="bottom"/>
          </w:tcPr>
          <w:p w14:paraId="4735C294" w14:textId="77777777" w:rsidR="005C5CFC" w:rsidRDefault="002654E3">
            <w:pPr>
              <w:keepNext/>
              <w:spacing w:before="53" w:after="30"/>
            </w:pPr>
            <w:r>
              <w:rPr>
                <w:color w:val="000000"/>
                <w:sz w:val="20"/>
              </w:rPr>
              <w:t xml:space="preserve">Operating lease liabilities, </w:t>
            </w:r>
            <w:r>
              <w:rPr>
                <w:color w:val="000000"/>
                <w:sz w:val="20"/>
              </w:rPr>
              <w:t>noncurrent</w:t>
            </w: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95" w14:textId="77777777" w:rsidR="005C5CFC" w:rsidRDefault="002654E3">
            <w:pPr>
              <w:keepNext/>
              <w:tabs>
                <w:tab w:val="left" w:pos="1017"/>
                <w:tab w:val="left" w:pos="1732"/>
              </w:tabs>
              <w:spacing w:before="53" w:after="30"/>
              <w:jc w:val="right"/>
            </w:pPr>
            <w:r>
              <w:rPr>
                <w:color w:val="000000"/>
                <w:sz w:val="20"/>
              </w:rPr>
              <w:tab/>
              <w:t>223,981</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35C296"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97" w14:textId="77777777" w:rsidR="005C5CFC" w:rsidRDefault="002654E3">
            <w:pPr>
              <w:keepNext/>
              <w:tabs>
                <w:tab w:val="left" w:pos="1017"/>
                <w:tab w:val="left" w:pos="1732"/>
              </w:tabs>
              <w:spacing w:before="53" w:after="30"/>
              <w:jc w:val="right"/>
            </w:pPr>
            <w:r>
              <w:rPr>
                <w:color w:val="000000"/>
                <w:sz w:val="20"/>
              </w:rPr>
              <w:tab/>
              <w:t>197,295</w:t>
            </w:r>
            <w:r>
              <w:rPr>
                <w:color w:val="000000"/>
                <w:sz w:val="20"/>
              </w:rPr>
              <w:tab/>
            </w:r>
          </w:p>
        </w:tc>
      </w:tr>
      <w:tr w:rsidR="005C5CFC" w14:paraId="4735C29D" w14:textId="77777777">
        <w:trPr>
          <w:cantSplit/>
          <w:trHeight w:hRule="exact" w:val="285"/>
        </w:trPr>
        <w:tc>
          <w:tcPr>
            <w:tcW w:w="5685" w:type="dxa"/>
            <w:tcBorders>
              <w:top w:val="nil"/>
              <w:left w:val="nil"/>
              <w:bottom w:val="nil"/>
              <w:right w:val="nil"/>
            </w:tcBorders>
            <w:shd w:val="clear" w:color="auto" w:fill="FFFFFF"/>
            <w:tcMar>
              <w:top w:w="0" w:type="dxa"/>
              <w:left w:w="53" w:type="dxa"/>
              <w:bottom w:w="0" w:type="dxa"/>
              <w:right w:w="53" w:type="dxa"/>
            </w:tcMar>
            <w:vAlign w:val="bottom"/>
          </w:tcPr>
          <w:p w14:paraId="4735C299" w14:textId="77777777" w:rsidR="005C5CFC" w:rsidRDefault="002654E3">
            <w:pPr>
              <w:keepNext/>
              <w:spacing w:before="53" w:after="30"/>
            </w:pPr>
            <w:r>
              <w:rPr>
                <w:color w:val="000000"/>
                <w:sz w:val="20"/>
              </w:rPr>
              <w:t>Other noncurrent liabilities</w:t>
            </w: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9A" w14:textId="77777777" w:rsidR="005C5CFC" w:rsidRDefault="002654E3">
            <w:pPr>
              <w:keepNext/>
              <w:tabs>
                <w:tab w:val="left" w:pos="1367"/>
                <w:tab w:val="left" w:pos="1732"/>
              </w:tabs>
              <w:spacing w:before="53" w:after="30"/>
              <w:jc w:val="right"/>
            </w:pPr>
            <w:r>
              <w:rPr>
                <w:color w:val="000000"/>
                <w:sz w:val="20"/>
              </w:rPr>
              <w:tab/>
              <w:t>276</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15" w:type="dxa"/>
            </w:tcMar>
            <w:vAlign w:val="bottom"/>
          </w:tcPr>
          <w:p w14:paraId="4735C29B" w14:textId="77777777" w:rsidR="005C5CFC" w:rsidRDefault="005C5CFC">
            <w:pPr>
              <w:keepNext/>
              <w:spacing w:before="53" w:after="30"/>
              <w:jc w:val="righ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9C" w14:textId="77777777" w:rsidR="005C5CFC" w:rsidRDefault="002654E3">
            <w:pPr>
              <w:keepNext/>
              <w:tabs>
                <w:tab w:val="left" w:pos="1217"/>
                <w:tab w:val="left" w:pos="1732"/>
              </w:tabs>
              <w:spacing w:before="53" w:after="30"/>
              <w:jc w:val="right"/>
            </w:pPr>
            <w:r>
              <w:rPr>
                <w:color w:val="000000"/>
                <w:sz w:val="20"/>
              </w:rPr>
              <w:tab/>
              <w:t>1,423</w:t>
            </w:r>
            <w:r>
              <w:rPr>
                <w:color w:val="000000"/>
                <w:sz w:val="20"/>
              </w:rPr>
              <w:tab/>
            </w:r>
          </w:p>
        </w:tc>
      </w:tr>
      <w:tr w:rsidR="005C5CFC" w14:paraId="4735C2A2" w14:textId="77777777">
        <w:trPr>
          <w:cantSplit/>
          <w:trHeight w:hRule="exact" w:val="285"/>
        </w:trPr>
        <w:tc>
          <w:tcPr>
            <w:tcW w:w="5685" w:type="dxa"/>
            <w:tcBorders>
              <w:top w:val="nil"/>
              <w:left w:val="nil"/>
              <w:bottom w:val="nil"/>
              <w:right w:val="nil"/>
            </w:tcBorders>
            <w:shd w:val="clear" w:color="auto" w:fill="CCEEFF"/>
            <w:tcMar>
              <w:top w:w="0" w:type="dxa"/>
              <w:left w:w="53" w:type="dxa"/>
              <w:bottom w:w="0" w:type="dxa"/>
              <w:right w:w="53" w:type="dxa"/>
            </w:tcMar>
            <w:vAlign w:val="bottom"/>
          </w:tcPr>
          <w:p w14:paraId="4735C29E" w14:textId="77777777" w:rsidR="005C5CFC" w:rsidRDefault="002654E3">
            <w:pPr>
              <w:keepNext/>
              <w:spacing w:before="53" w:after="30"/>
            </w:pPr>
            <w:r>
              <w:rPr>
                <w:color w:val="000000"/>
                <w:sz w:val="20"/>
              </w:rPr>
              <w:t>Total stockholders’ equity</w:t>
            </w:r>
          </w:p>
        </w:tc>
        <w:tc>
          <w:tcPr>
            <w:tcW w:w="18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735C29F" w14:textId="77777777" w:rsidR="005C5CFC" w:rsidRDefault="002654E3">
            <w:pPr>
              <w:keepNext/>
              <w:tabs>
                <w:tab w:val="left" w:pos="1017"/>
                <w:tab w:val="left" w:pos="1732"/>
              </w:tabs>
              <w:spacing w:before="53" w:after="30"/>
              <w:jc w:val="right"/>
            </w:pPr>
            <w:r>
              <w:rPr>
                <w:color w:val="000000"/>
                <w:sz w:val="20"/>
              </w:rPr>
              <w:tab/>
              <w:t>158,026</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35C2A0" w14:textId="77777777" w:rsidR="005C5CFC" w:rsidRDefault="005C5CFC">
            <w:pPr>
              <w:keepNext/>
            </w:pPr>
          </w:p>
        </w:tc>
        <w:tc>
          <w:tcPr>
            <w:tcW w:w="18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735C2A1" w14:textId="77777777" w:rsidR="005C5CFC" w:rsidRDefault="002654E3">
            <w:pPr>
              <w:keepNext/>
              <w:tabs>
                <w:tab w:val="left" w:pos="1017"/>
                <w:tab w:val="left" w:pos="1732"/>
              </w:tabs>
              <w:spacing w:before="53" w:after="30"/>
              <w:jc w:val="right"/>
            </w:pPr>
            <w:r>
              <w:rPr>
                <w:color w:val="000000"/>
                <w:sz w:val="20"/>
              </w:rPr>
              <w:tab/>
              <w:t>176,477</w:t>
            </w:r>
            <w:r>
              <w:rPr>
                <w:color w:val="000000"/>
                <w:sz w:val="20"/>
              </w:rPr>
              <w:tab/>
            </w:r>
          </w:p>
        </w:tc>
      </w:tr>
      <w:tr w:rsidR="005C5CFC" w14:paraId="4735C2A7" w14:textId="77777777">
        <w:trPr>
          <w:cantSplit/>
          <w:trHeight w:hRule="exact" w:val="285"/>
        </w:trPr>
        <w:tc>
          <w:tcPr>
            <w:tcW w:w="5685" w:type="dxa"/>
            <w:tcBorders>
              <w:top w:val="nil"/>
              <w:left w:val="nil"/>
              <w:bottom w:val="nil"/>
              <w:right w:val="nil"/>
            </w:tcBorders>
            <w:shd w:val="clear" w:color="auto" w:fill="FFFFFF"/>
            <w:tcMar>
              <w:top w:w="0" w:type="dxa"/>
              <w:left w:w="53" w:type="dxa"/>
              <w:bottom w:w="0" w:type="dxa"/>
              <w:right w:w="53" w:type="dxa"/>
            </w:tcMar>
            <w:vAlign w:val="bottom"/>
          </w:tcPr>
          <w:p w14:paraId="4735C2A3" w14:textId="77777777" w:rsidR="005C5CFC" w:rsidRDefault="002654E3">
            <w:pPr>
              <w:spacing w:before="33" w:after="30"/>
              <w:ind w:left="240"/>
            </w:pPr>
            <w:r>
              <w:rPr>
                <w:b/>
                <w:color w:val="000000"/>
                <w:sz w:val="20"/>
              </w:rPr>
              <w:t>Total Liabilities and Stockholders’ Equity</w:t>
            </w:r>
          </w:p>
        </w:tc>
        <w:tc>
          <w:tcPr>
            <w:tcW w:w="18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735C2A4" w14:textId="77777777" w:rsidR="005C5CFC" w:rsidRDefault="002654E3">
            <w:pPr>
              <w:tabs>
                <w:tab w:val="left" w:pos="1017"/>
                <w:tab w:val="left" w:pos="1732"/>
              </w:tabs>
              <w:spacing w:before="33" w:after="30"/>
              <w:jc w:val="right"/>
            </w:pPr>
            <w:r>
              <w:rPr>
                <w:color w:val="000000"/>
                <w:sz w:val="20"/>
              </w:rPr>
              <w:t>$</w:t>
            </w:r>
            <w:r>
              <w:rPr>
                <w:color w:val="000000"/>
                <w:sz w:val="20"/>
              </w:rPr>
              <w:tab/>
              <w:t>714,204</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735C2A5" w14:textId="77777777" w:rsidR="005C5CFC" w:rsidRDefault="005C5CFC"/>
        </w:tc>
        <w:tc>
          <w:tcPr>
            <w:tcW w:w="18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735C2A6" w14:textId="77777777" w:rsidR="005C5CFC" w:rsidRDefault="002654E3">
            <w:pPr>
              <w:tabs>
                <w:tab w:val="left" w:pos="1017"/>
                <w:tab w:val="left" w:pos="1732"/>
              </w:tabs>
              <w:spacing w:before="33" w:after="30"/>
              <w:jc w:val="right"/>
            </w:pPr>
            <w:r>
              <w:rPr>
                <w:color w:val="000000"/>
                <w:sz w:val="20"/>
              </w:rPr>
              <w:t>$</w:t>
            </w:r>
            <w:r>
              <w:rPr>
                <w:color w:val="000000"/>
                <w:sz w:val="20"/>
              </w:rPr>
              <w:tab/>
              <w:t>723,436</w:t>
            </w:r>
            <w:r>
              <w:rPr>
                <w:color w:val="000000"/>
                <w:sz w:val="20"/>
              </w:rPr>
              <w:tab/>
            </w:r>
          </w:p>
        </w:tc>
      </w:tr>
    </w:tbl>
    <w:p w14:paraId="4735C2A8" w14:textId="77777777" w:rsidR="005C5CFC" w:rsidRDefault="005C5CFC">
      <w:pPr>
        <w:spacing w:line="288" w:lineRule="auto"/>
        <w:rPr>
          <w:rFonts w:ascii="Arial" w:eastAsia="Arial" w:hAnsi="Arial" w:cs="Arial"/>
          <w:sz w:val="2"/>
        </w:rPr>
      </w:pPr>
    </w:p>
    <w:p w14:paraId="4735C2A9" w14:textId="77777777" w:rsidR="005C5CFC" w:rsidRDefault="005C5CFC">
      <w:pPr>
        <w:spacing w:line="288" w:lineRule="auto"/>
        <w:rPr>
          <w:rFonts w:ascii="Arial" w:eastAsia="Arial" w:hAnsi="Arial" w:cs="Arial"/>
          <w:sz w:val="2"/>
        </w:rPr>
        <w:sectPr w:rsidR="005C5CFC">
          <w:headerReference w:type="default" r:id="rId17"/>
          <w:pgSz w:w="12240" w:h="15840"/>
          <w:pgMar w:top="1440" w:right="1440" w:bottom="1440" w:left="1440" w:header="450" w:footer="450" w:gutter="0"/>
          <w:cols w:space="708"/>
        </w:sectPr>
      </w:pPr>
    </w:p>
    <w:p w14:paraId="4735C2AA" w14:textId="77777777" w:rsidR="005C5CFC" w:rsidRDefault="002654E3">
      <w:pPr>
        <w:spacing w:after="180" w:line="288" w:lineRule="auto"/>
        <w:ind w:firstLine="720"/>
        <w:jc w:val="both"/>
        <w:rPr>
          <w:sz w:val="20"/>
        </w:rPr>
      </w:pPr>
      <w:bookmarkStart w:id="3" w:name="Section6"/>
      <w:bookmarkEnd w:id="3"/>
      <w:r>
        <w:rPr>
          <w:sz w:val="20"/>
        </w:rPr>
        <w:lastRenderedPageBreak/>
        <w:t>We define “Adjusted Gross Profit” as gross profit excluding non-cash inventory costs, which include depreciation and amortization included in cost of goods sold, equity-based com</w:t>
      </w:r>
      <w:r>
        <w:rPr>
          <w:sz w:val="20"/>
        </w:rPr>
        <w:t>pensation included in cost of goods sold, start-up costs included in cost of goods sold, and other non-cash inventory adjustments. We define “Adjusted Gross Margin” as Adjusted Gross Profit as a percentage of net revenue. Our “Adjusted EBITDA” is a non-GAA</w:t>
      </w:r>
      <w:r>
        <w:rPr>
          <w:sz w:val="20"/>
        </w:rPr>
        <w:t>P measure used by management that is not defined by U.S. GAAP and may not be comparable to similar measures presented by other companies. We define “Adjusted EBITDA Margin” as Adjusted EBITDA as a percentage of net revenue. Management calculates Adjusted E</w:t>
      </w:r>
      <w:r>
        <w:rPr>
          <w:sz w:val="20"/>
        </w:rPr>
        <w:t>BITDA as the reported net loss, adjusted to exclude: income tax expense; other (income) expense; interest expense, depreciation and amortization; depreciation and amortization included in cost of goods sold; non-cash inventory adjustments; equity-based com</w:t>
      </w:r>
      <w:r>
        <w:rPr>
          <w:sz w:val="20"/>
        </w:rPr>
        <w:t>pensation; equity-based compensation included in cost of goods sold; start-up costs; start-up costs included in cost of goods sold; transaction-related and other non-recurring expenses; litigation settlement; and loss on sale of assets. Accordingly, manage</w:t>
      </w:r>
      <w:r>
        <w:rPr>
          <w:sz w:val="20"/>
        </w:rPr>
        <w:t>ment believes that Adjusted EBITDA provides meaningful and useful financial information, as this measure demonstrates the operating performance of the business. Non-GAAP financial measures may be considered in addition to the results prepared in accordance</w:t>
      </w:r>
      <w:r>
        <w:rPr>
          <w:sz w:val="20"/>
        </w:rPr>
        <w:t xml:space="preserve"> with U.S. GAAP, but they should not be considered a substitute for, or superior to, U.S. GAAP results. </w:t>
      </w:r>
    </w:p>
    <w:p w14:paraId="4735C2AB" w14:textId="77777777" w:rsidR="005C5CFC" w:rsidRDefault="002654E3">
      <w:pPr>
        <w:keepNext/>
        <w:spacing w:after="120" w:line="288" w:lineRule="auto"/>
        <w:ind w:firstLine="720"/>
        <w:jc w:val="both"/>
        <w:rPr>
          <w:sz w:val="20"/>
        </w:rPr>
      </w:pPr>
      <w:r>
        <w:rPr>
          <w:sz w:val="20"/>
        </w:rPr>
        <w:t xml:space="preserve">The following table presents Adjusted Gross Profit for the </w:t>
      </w:r>
      <w:r>
        <w:rPr>
          <w:sz w:val="20"/>
        </w:rPr>
        <w:t>three</w:t>
      </w:r>
      <w:r>
        <w:rPr>
          <w:sz w:val="20"/>
        </w:rPr>
        <w:t xml:space="preserve"> months ended </w:t>
      </w:r>
      <w:r>
        <w:rPr>
          <w:sz w:val="20"/>
        </w:rPr>
        <w:t>March 31, 2022</w:t>
      </w:r>
      <w:r>
        <w:rPr>
          <w:sz w:val="20"/>
        </w:rPr>
        <w:t xml:space="preserve"> and </w:t>
      </w:r>
      <w:r>
        <w:rPr>
          <w:sz w:val="20"/>
        </w:rPr>
        <w:t>2021</w:t>
      </w:r>
      <w:r>
        <w:rPr>
          <w:sz w:val="20"/>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0"/>
        <w:gridCol w:w="60"/>
        <w:gridCol w:w="1800"/>
        <w:gridCol w:w="60"/>
        <w:gridCol w:w="1800"/>
      </w:tblGrid>
      <w:tr w:rsidR="005C5CFC" w14:paraId="4735C2AF" w14:textId="77777777">
        <w:trPr>
          <w:cantSplit/>
          <w:trHeight w:hRule="exact" w:val="285"/>
        </w:trPr>
        <w:tc>
          <w:tcPr>
            <w:tcW w:w="5640" w:type="dxa"/>
            <w:tcBorders>
              <w:top w:val="nil"/>
              <w:left w:val="nil"/>
              <w:bottom w:val="nil"/>
              <w:right w:val="nil"/>
            </w:tcBorders>
            <w:tcMar>
              <w:top w:w="0" w:type="dxa"/>
              <w:left w:w="0" w:type="dxa"/>
              <w:bottom w:w="0" w:type="dxa"/>
              <w:right w:w="0" w:type="dxa"/>
            </w:tcMar>
            <w:vAlign w:val="bottom"/>
          </w:tcPr>
          <w:p w14:paraId="4735C2AC" w14:textId="77777777" w:rsidR="005C5CFC" w:rsidRDefault="005C5CFC">
            <w:pPr>
              <w:keepNext/>
            </w:pPr>
          </w:p>
        </w:tc>
        <w:tc>
          <w:tcPr>
            <w:tcW w:w="60" w:type="dxa"/>
            <w:tcBorders>
              <w:top w:val="nil"/>
              <w:left w:val="nil"/>
              <w:bottom w:val="nil"/>
              <w:right w:val="nil"/>
            </w:tcBorders>
            <w:tcMar>
              <w:top w:w="0" w:type="dxa"/>
              <w:left w:w="0" w:type="dxa"/>
              <w:bottom w:w="0" w:type="dxa"/>
              <w:right w:w="0" w:type="dxa"/>
            </w:tcMar>
            <w:vAlign w:val="bottom"/>
          </w:tcPr>
          <w:p w14:paraId="4735C2AD" w14:textId="77777777" w:rsidR="005C5CFC" w:rsidRDefault="005C5CFC">
            <w:pPr>
              <w:keepNext/>
            </w:pPr>
          </w:p>
        </w:tc>
        <w:tc>
          <w:tcPr>
            <w:tcW w:w="3660" w:type="dxa"/>
            <w:gridSpan w:val="3"/>
            <w:tcBorders>
              <w:top w:val="nil"/>
              <w:left w:val="nil"/>
              <w:bottom w:val="single" w:sz="8" w:space="0" w:color="000000"/>
              <w:right w:val="nil"/>
            </w:tcBorders>
            <w:tcMar>
              <w:top w:w="0" w:type="dxa"/>
              <w:left w:w="53" w:type="dxa"/>
              <w:bottom w:w="0" w:type="dxa"/>
              <w:right w:w="53" w:type="dxa"/>
            </w:tcMar>
            <w:vAlign w:val="bottom"/>
          </w:tcPr>
          <w:p w14:paraId="4735C2AE" w14:textId="77777777" w:rsidR="005C5CFC" w:rsidRDefault="002654E3">
            <w:pPr>
              <w:keepNext/>
              <w:spacing w:before="53" w:after="30"/>
              <w:jc w:val="center"/>
            </w:pPr>
            <w:r>
              <w:rPr>
                <w:b/>
                <w:color w:val="000000"/>
                <w:sz w:val="20"/>
              </w:rPr>
              <w:t>Three Months Ended March 31,</w:t>
            </w:r>
          </w:p>
        </w:tc>
      </w:tr>
      <w:tr w:rsidR="005C5CFC" w14:paraId="4735C2B5" w14:textId="77777777">
        <w:trPr>
          <w:cantSplit/>
          <w:trHeight w:hRule="exact" w:val="285"/>
        </w:trPr>
        <w:tc>
          <w:tcPr>
            <w:tcW w:w="5640" w:type="dxa"/>
            <w:tcBorders>
              <w:top w:val="nil"/>
              <w:left w:val="nil"/>
              <w:bottom w:val="nil"/>
              <w:right w:val="nil"/>
            </w:tcBorders>
            <w:tcMar>
              <w:top w:w="0" w:type="dxa"/>
              <w:left w:w="53" w:type="dxa"/>
              <w:bottom w:w="0" w:type="dxa"/>
              <w:right w:w="53" w:type="dxa"/>
            </w:tcMar>
            <w:vAlign w:val="bottom"/>
          </w:tcPr>
          <w:p w14:paraId="4735C2B0" w14:textId="77777777" w:rsidR="005C5CFC" w:rsidRDefault="002654E3">
            <w:pPr>
              <w:keepNext/>
              <w:spacing w:before="33" w:after="30"/>
            </w:pPr>
            <w:r>
              <w:rPr>
                <w:i/>
                <w:color w:val="000000"/>
                <w:sz w:val="16"/>
                <w:u w:val="single"/>
              </w:rPr>
              <w:t xml:space="preserve">($ in </w:t>
            </w:r>
            <w:r>
              <w:rPr>
                <w:i/>
                <w:color w:val="000000"/>
                <w:sz w:val="16"/>
                <w:u w:val="single"/>
              </w:rPr>
              <w:t>thousands)</w:t>
            </w:r>
          </w:p>
        </w:tc>
        <w:tc>
          <w:tcPr>
            <w:tcW w:w="60" w:type="dxa"/>
            <w:tcBorders>
              <w:top w:val="nil"/>
              <w:left w:val="nil"/>
              <w:bottom w:val="nil"/>
              <w:right w:val="nil"/>
            </w:tcBorders>
            <w:tcMar>
              <w:top w:w="0" w:type="dxa"/>
              <w:left w:w="0" w:type="dxa"/>
              <w:bottom w:w="0" w:type="dxa"/>
              <w:right w:w="0" w:type="dxa"/>
            </w:tcMar>
            <w:vAlign w:val="bottom"/>
          </w:tcPr>
          <w:p w14:paraId="4735C2B1" w14:textId="77777777" w:rsidR="005C5CFC" w:rsidRDefault="005C5CFC">
            <w:pPr>
              <w:keepNext/>
            </w:pPr>
          </w:p>
        </w:tc>
        <w:tc>
          <w:tcPr>
            <w:tcW w:w="1800" w:type="dxa"/>
            <w:tcBorders>
              <w:top w:val="nil"/>
              <w:left w:val="nil"/>
              <w:bottom w:val="single" w:sz="8" w:space="0" w:color="000000"/>
              <w:right w:val="nil"/>
            </w:tcBorders>
            <w:tcMar>
              <w:top w:w="0" w:type="dxa"/>
              <w:left w:w="53" w:type="dxa"/>
              <w:bottom w:w="0" w:type="dxa"/>
              <w:right w:w="53" w:type="dxa"/>
            </w:tcMar>
            <w:vAlign w:val="bottom"/>
          </w:tcPr>
          <w:p w14:paraId="4735C2B2" w14:textId="77777777" w:rsidR="005C5CFC" w:rsidRDefault="002654E3">
            <w:pPr>
              <w:keepNext/>
              <w:spacing w:before="33" w:after="30"/>
              <w:jc w:val="center"/>
            </w:pPr>
            <w:r>
              <w:rPr>
                <w:b/>
                <w:color w:val="000000"/>
                <w:sz w:val="20"/>
              </w:rPr>
              <w:t>2022</w:t>
            </w:r>
          </w:p>
        </w:tc>
        <w:tc>
          <w:tcPr>
            <w:tcW w:w="60" w:type="dxa"/>
            <w:tcBorders>
              <w:top w:val="single" w:sz="8" w:space="0" w:color="000000"/>
              <w:left w:val="nil"/>
              <w:bottom w:val="nil"/>
              <w:right w:val="nil"/>
            </w:tcBorders>
            <w:tcMar>
              <w:top w:w="0" w:type="dxa"/>
              <w:left w:w="0" w:type="dxa"/>
              <w:bottom w:w="0" w:type="dxa"/>
              <w:right w:w="0" w:type="dxa"/>
            </w:tcMar>
            <w:vAlign w:val="bottom"/>
          </w:tcPr>
          <w:p w14:paraId="4735C2B3" w14:textId="77777777" w:rsidR="005C5CFC" w:rsidRDefault="005C5CFC">
            <w:pPr>
              <w:keepNext/>
            </w:pPr>
          </w:p>
        </w:tc>
        <w:tc>
          <w:tcPr>
            <w:tcW w:w="18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735C2B4" w14:textId="77777777" w:rsidR="005C5CFC" w:rsidRDefault="002654E3">
            <w:pPr>
              <w:keepNext/>
              <w:spacing w:before="33" w:after="30"/>
              <w:jc w:val="center"/>
            </w:pPr>
            <w:r>
              <w:rPr>
                <w:b/>
                <w:color w:val="000000"/>
                <w:sz w:val="20"/>
              </w:rPr>
              <w:t>2021</w:t>
            </w:r>
          </w:p>
        </w:tc>
      </w:tr>
      <w:tr w:rsidR="005C5CFC" w14:paraId="4735C2BB" w14:textId="77777777">
        <w:trPr>
          <w:cantSplit/>
          <w:trHeight w:hRule="exact" w:val="285"/>
        </w:trPr>
        <w:tc>
          <w:tcPr>
            <w:tcW w:w="5640" w:type="dxa"/>
            <w:tcBorders>
              <w:top w:val="nil"/>
              <w:left w:val="nil"/>
              <w:bottom w:val="nil"/>
              <w:right w:val="nil"/>
            </w:tcBorders>
            <w:shd w:val="clear" w:color="auto" w:fill="CCEEFF"/>
            <w:tcMar>
              <w:top w:w="0" w:type="dxa"/>
              <w:left w:w="53" w:type="dxa"/>
              <w:bottom w:w="0" w:type="dxa"/>
              <w:right w:w="53" w:type="dxa"/>
            </w:tcMar>
            <w:vAlign w:val="bottom"/>
          </w:tcPr>
          <w:p w14:paraId="4735C2B6" w14:textId="77777777" w:rsidR="005C5CFC" w:rsidRDefault="002654E3">
            <w:pPr>
              <w:keepNext/>
              <w:spacing w:before="33" w:after="30"/>
            </w:pPr>
            <w:r>
              <w:rPr>
                <w:color w:val="000000"/>
                <w:sz w:val="20"/>
              </w:rPr>
              <w:t>Gross Profit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B7" w14:textId="77777777" w:rsidR="005C5CFC" w:rsidRDefault="005C5CFC">
            <w:pPr>
              <w:keepNext/>
            </w:pPr>
          </w:p>
        </w:tc>
        <w:tc>
          <w:tcPr>
            <w:tcW w:w="18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735C2B8" w14:textId="77777777" w:rsidR="005C5CFC" w:rsidRDefault="002654E3">
            <w:pPr>
              <w:keepNext/>
              <w:tabs>
                <w:tab w:val="left" w:pos="974"/>
                <w:tab w:val="left" w:pos="1732"/>
              </w:tabs>
              <w:spacing w:before="33" w:after="30"/>
              <w:jc w:val="right"/>
            </w:pPr>
            <w:r>
              <w:rPr>
                <w:color w:val="000000"/>
                <w:sz w:val="20"/>
              </w:rPr>
              <w:t>$</w:t>
            </w:r>
            <w:r>
              <w:rPr>
                <w:color w:val="000000"/>
                <w:sz w:val="20"/>
              </w:rPr>
              <w:tab/>
              <w:t>23,447</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B9" w14:textId="77777777" w:rsidR="005C5CFC" w:rsidRDefault="005C5CFC">
            <w:pPr>
              <w:keepNext/>
            </w:pPr>
          </w:p>
        </w:tc>
        <w:tc>
          <w:tcPr>
            <w:tcW w:w="18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735C2BA" w14:textId="77777777" w:rsidR="005C5CFC" w:rsidRDefault="002654E3">
            <w:pPr>
              <w:keepNext/>
              <w:tabs>
                <w:tab w:val="left" w:pos="974"/>
                <w:tab w:val="left" w:pos="1732"/>
              </w:tabs>
              <w:spacing w:before="33" w:after="30"/>
              <w:jc w:val="right"/>
            </w:pPr>
            <w:r>
              <w:rPr>
                <w:color w:val="000000"/>
                <w:sz w:val="20"/>
              </w:rPr>
              <w:t>$</w:t>
            </w:r>
            <w:r>
              <w:rPr>
                <w:color w:val="000000"/>
                <w:sz w:val="20"/>
              </w:rPr>
              <w:tab/>
              <w:t>29,667</w:t>
            </w:r>
            <w:r>
              <w:rPr>
                <w:color w:val="000000"/>
                <w:sz w:val="20"/>
              </w:rPr>
              <w:tab/>
            </w:r>
          </w:p>
        </w:tc>
      </w:tr>
      <w:tr w:rsidR="005C5CFC" w14:paraId="4735C2C1" w14:textId="77777777">
        <w:trPr>
          <w:cantSplit/>
          <w:trHeight w:hRule="exact" w:val="285"/>
        </w:trPr>
        <w:tc>
          <w:tcPr>
            <w:tcW w:w="5640" w:type="dxa"/>
            <w:tcBorders>
              <w:top w:val="nil"/>
              <w:left w:val="nil"/>
              <w:bottom w:val="nil"/>
              <w:right w:val="nil"/>
            </w:tcBorders>
            <w:shd w:val="clear" w:color="auto" w:fill="FFFFFF"/>
            <w:tcMar>
              <w:top w:w="0" w:type="dxa"/>
              <w:left w:w="53" w:type="dxa"/>
              <w:bottom w:w="0" w:type="dxa"/>
              <w:right w:w="53" w:type="dxa"/>
            </w:tcMar>
            <w:vAlign w:val="bottom"/>
          </w:tcPr>
          <w:p w14:paraId="4735C2BC" w14:textId="77777777" w:rsidR="005C5CFC" w:rsidRDefault="002654E3">
            <w:pPr>
              <w:keepNext/>
              <w:spacing w:before="53" w:after="30"/>
              <w:ind w:left="300" w:hanging="180"/>
            </w:pPr>
            <w:r>
              <w:rPr>
                <w:color w:val="000000"/>
                <w:sz w:val="20"/>
              </w:rPr>
              <w:t>Depreciation and amortization included in cost of goods sold</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2BD"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BE" w14:textId="77777777" w:rsidR="005C5CFC" w:rsidRDefault="002654E3">
            <w:pPr>
              <w:keepNext/>
              <w:tabs>
                <w:tab w:val="left" w:pos="1074"/>
                <w:tab w:val="left" w:pos="1732"/>
              </w:tabs>
              <w:spacing w:before="53" w:after="30"/>
              <w:jc w:val="right"/>
            </w:pPr>
            <w:r>
              <w:rPr>
                <w:color w:val="000000"/>
                <w:sz w:val="20"/>
              </w:rPr>
              <w:tab/>
              <w:t>2,943</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2BF"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C0" w14:textId="77777777" w:rsidR="005C5CFC" w:rsidRDefault="002654E3">
            <w:pPr>
              <w:keepNext/>
              <w:tabs>
                <w:tab w:val="left" w:pos="1074"/>
                <w:tab w:val="left" w:pos="1732"/>
              </w:tabs>
              <w:spacing w:before="53" w:after="30"/>
              <w:jc w:val="right"/>
            </w:pPr>
            <w:r>
              <w:rPr>
                <w:color w:val="000000"/>
                <w:sz w:val="20"/>
              </w:rPr>
              <w:tab/>
              <w:t>2,162</w:t>
            </w:r>
            <w:r>
              <w:rPr>
                <w:color w:val="000000"/>
                <w:sz w:val="20"/>
              </w:rPr>
              <w:tab/>
            </w:r>
          </w:p>
        </w:tc>
      </w:tr>
      <w:tr w:rsidR="005C5CFC" w14:paraId="4735C2C7" w14:textId="77777777">
        <w:trPr>
          <w:cantSplit/>
          <w:trHeight w:hRule="exact" w:val="285"/>
        </w:trPr>
        <w:tc>
          <w:tcPr>
            <w:tcW w:w="5640" w:type="dxa"/>
            <w:tcBorders>
              <w:top w:val="nil"/>
              <w:left w:val="nil"/>
              <w:bottom w:val="nil"/>
              <w:right w:val="nil"/>
            </w:tcBorders>
            <w:shd w:val="clear" w:color="auto" w:fill="CCEEFF"/>
            <w:tcMar>
              <w:top w:w="0" w:type="dxa"/>
              <w:left w:w="53" w:type="dxa"/>
              <w:bottom w:w="0" w:type="dxa"/>
              <w:right w:w="53" w:type="dxa"/>
            </w:tcMar>
            <w:vAlign w:val="bottom"/>
          </w:tcPr>
          <w:p w14:paraId="4735C2C2" w14:textId="77777777" w:rsidR="005C5CFC" w:rsidRDefault="002654E3">
            <w:pPr>
              <w:keepNext/>
              <w:spacing w:before="53" w:after="30"/>
              <w:ind w:left="300" w:hanging="180"/>
            </w:pPr>
            <w:r>
              <w:rPr>
                <w:color w:val="000000"/>
                <w:sz w:val="20"/>
              </w:rPr>
              <w:t>Equity-based compensation included in cost of goods sold</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C3"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C4" w14:textId="77777777" w:rsidR="005C5CFC" w:rsidRDefault="002654E3">
            <w:pPr>
              <w:keepNext/>
              <w:tabs>
                <w:tab w:val="left" w:pos="1074"/>
                <w:tab w:val="left" w:pos="1732"/>
              </w:tabs>
              <w:spacing w:before="53" w:after="30"/>
              <w:jc w:val="right"/>
            </w:pPr>
            <w:r>
              <w:rPr>
                <w:color w:val="000000"/>
                <w:sz w:val="20"/>
              </w:rPr>
              <w:tab/>
              <w:t>3,995</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C5"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C6" w14:textId="77777777" w:rsidR="005C5CFC" w:rsidRDefault="002654E3">
            <w:pPr>
              <w:keepNext/>
              <w:tabs>
                <w:tab w:val="left" w:pos="1324"/>
                <w:tab w:val="left" w:pos="1732"/>
              </w:tabs>
              <w:spacing w:before="53" w:after="30"/>
              <w:jc w:val="right"/>
            </w:pPr>
            <w:r>
              <w:rPr>
                <w:color w:val="000000"/>
                <w:sz w:val="20"/>
              </w:rPr>
              <w:tab/>
              <w:t>—</w:t>
            </w:r>
            <w:r>
              <w:rPr>
                <w:color w:val="000000"/>
                <w:sz w:val="20"/>
              </w:rPr>
              <w:tab/>
            </w:r>
          </w:p>
        </w:tc>
      </w:tr>
      <w:tr w:rsidR="005C5CFC" w14:paraId="4735C2CD" w14:textId="77777777">
        <w:trPr>
          <w:cantSplit/>
          <w:trHeight w:hRule="exact" w:val="285"/>
        </w:trPr>
        <w:tc>
          <w:tcPr>
            <w:tcW w:w="5640" w:type="dxa"/>
            <w:tcBorders>
              <w:top w:val="nil"/>
              <w:left w:val="nil"/>
              <w:bottom w:val="nil"/>
              <w:right w:val="nil"/>
            </w:tcBorders>
            <w:shd w:val="clear" w:color="auto" w:fill="FFFFFF"/>
            <w:tcMar>
              <w:top w:w="0" w:type="dxa"/>
              <w:left w:w="53" w:type="dxa"/>
              <w:bottom w:w="0" w:type="dxa"/>
              <w:right w:w="53" w:type="dxa"/>
            </w:tcMar>
            <w:vAlign w:val="bottom"/>
          </w:tcPr>
          <w:p w14:paraId="4735C2C8" w14:textId="77777777" w:rsidR="005C5CFC" w:rsidRDefault="002654E3">
            <w:pPr>
              <w:keepNext/>
              <w:spacing w:before="53" w:after="30"/>
              <w:ind w:left="120"/>
              <w:rPr>
                <w:sz w:val="20"/>
              </w:rPr>
            </w:pPr>
            <w:r>
              <w:rPr>
                <w:sz w:val="20"/>
              </w:rPr>
              <w:t xml:space="preserve">Start-up costs included in cost of </w:t>
            </w:r>
            <w:r>
              <w:rPr>
                <w:sz w:val="20"/>
              </w:rPr>
              <w:t>goods sold</w:t>
            </w:r>
            <w:r>
              <w:rPr>
                <w:sz w:val="20"/>
                <w:vertAlign w:val="superscript"/>
              </w:rPr>
              <w:t>(1)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2C9"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CA" w14:textId="77777777" w:rsidR="005C5CFC" w:rsidRDefault="002654E3">
            <w:pPr>
              <w:keepNext/>
              <w:tabs>
                <w:tab w:val="left" w:pos="1074"/>
                <w:tab w:val="left" w:pos="1732"/>
              </w:tabs>
              <w:spacing w:before="53" w:after="30"/>
              <w:jc w:val="right"/>
            </w:pPr>
            <w:r>
              <w:rPr>
                <w:color w:val="000000"/>
                <w:sz w:val="20"/>
              </w:rPr>
              <w:tab/>
              <w:t>3,923</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15" w:type="dxa"/>
            </w:tcMar>
            <w:vAlign w:val="bottom"/>
          </w:tcPr>
          <w:p w14:paraId="4735C2CB" w14:textId="77777777" w:rsidR="005C5CFC" w:rsidRDefault="005C5CFC">
            <w:pPr>
              <w:keepNext/>
              <w:spacing w:before="53" w:after="30"/>
              <w:jc w:val="righ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CC" w14:textId="77777777" w:rsidR="005C5CFC" w:rsidRDefault="002654E3">
            <w:pPr>
              <w:keepNext/>
              <w:tabs>
                <w:tab w:val="left" w:pos="1324"/>
                <w:tab w:val="left" w:pos="1732"/>
              </w:tabs>
              <w:spacing w:before="53" w:after="30"/>
              <w:jc w:val="right"/>
            </w:pPr>
            <w:r>
              <w:rPr>
                <w:color w:val="000000"/>
                <w:sz w:val="20"/>
              </w:rPr>
              <w:tab/>
              <w:t>—</w:t>
            </w:r>
            <w:r>
              <w:rPr>
                <w:color w:val="000000"/>
                <w:sz w:val="20"/>
              </w:rPr>
              <w:tab/>
            </w:r>
          </w:p>
        </w:tc>
      </w:tr>
      <w:tr w:rsidR="005C5CFC" w14:paraId="4735C2D3" w14:textId="77777777">
        <w:trPr>
          <w:cantSplit/>
          <w:trHeight w:hRule="exact" w:val="285"/>
        </w:trPr>
        <w:tc>
          <w:tcPr>
            <w:tcW w:w="5640" w:type="dxa"/>
            <w:tcBorders>
              <w:top w:val="nil"/>
              <w:left w:val="nil"/>
              <w:bottom w:val="nil"/>
              <w:right w:val="nil"/>
            </w:tcBorders>
            <w:shd w:val="clear" w:color="auto" w:fill="CCEEFF"/>
            <w:tcMar>
              <w:top w:w="0" w:type="dxa"/>
              <w:left w:w="53" w:type="dxa"/>
              <w:bottom w:w="0" w:type="dxa"/>
              <w:right w:w="53" w:type="dxa"/>
            </w:tcMar>
            <w:vAlign w:val="bottom"/>
          </w:tcPr>
          <w:p w14:paraId="4735C2CE" w14:textId="77777777" w:rsidR="005C5CFC" w:rsidRDefault="002654E3">
            <w:pPr>
              <w:keepNext/>
              <w:spacing w:before="53" w:after="30"/>
              <w:ind w:left="120"/>
              <w:rPr>
                <w:sz w:val="20"/>
              </w:rPr>
            </w:pPr>
            <w:r>
              <w:rPr>
                <w:sz w:val="20"/>
              </w:rPr>
              <w:t>Non-cash inventory adjustments</w:t>
            </w:r>
            <w:r>
              <w:rPr>
                <w:sz w:val="20"/>
                <w:vertAlign w:val="superscript"/>
              </w:rPr>
              <w:t>(2)</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CF" w14:textId="77777777" w:rsidR="005C5CFC" w:rsidRDefault="005C5CFC">
            <w:pPr>
              <w:keepNext/>
            </w:pPr>
          </w:p>
        </w:tc>
        <w:tc>
          <w:tcPr>
            <w:tcW w:w="18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735C2D0" w14:textId="77777777" w:rsidR="005C5CFC" w:rsidRDefault="002654E3">
            <w:pPr>
              <w:keepNext/>
              <w:tabs>
                <w:tab w:val="left" w:pos="1074"/>
                <w:tab w:val="left" w:pos="1732"/>
              </w:tabs>
              <w:spacing w:before="53" w:after="30"/>
              <w:jc w:val="right"/>
            </w:pPr>
            <w:r>
              <w:rPr>
                <w:color w:val="000000"/>
                <w:sz w:val="20"/>
              </w:rPr>
              <w:tab/>
              <w:t>2,204</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D1" w14:textId="77777777" w:rsidR="005C5CFC" w:rsidRDefault="005C5CFC">
            <w:pPr>
              <w:keepNext/>
            </w:pPr>
          </w:p>
        </w:tc>
        <w:tc>
          <w:tcPr>
            <w:tcW w:w="18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735C2D2" w14:textId="77777777" w:rsidR="005C5CFC" w:rsidRDefault="002654E3">
            <w:pPr>
              <w:keepNext/>
              <w:tabs>
                <w:tab w:val="left" w:pos="1224"/>
                <w:tab w:val="left" w:pos="1732"/>
              </w:tabs>
              <w:spacing w:before="53" w:after="30"/>
              <w:jc w:val="right"/>
            </w:pPr>
            <w:r>
              <w:rPr>
                <w:color w:val="000000"/>
                <w:sz w:val="20"/>
              </w:rPr>
              <w:tab/>
              <w:t>750</w:t>
            </w:r>
            <w:r>
              <w:rPr>
                <w:color w:val="000000"/>
                <w:sz w:val="20"/>
              </w:rPr>
              <w:tab/>
            </w:r>
          </w:p>
        </w:tc>
      </w:tr>
      <w:tr w:rsidR="005C5CFC" w14:paraId="4735C2D9" w14:textId="77777777">
        <w:trPr>
          <w:cantSplit/>
          <w:trHeight w:hRule="exact" w:val="285"/>
        </w:trPr>
        <w:tc>
          <w:tcPr>
            <w:tcW w:w="5640" w:type="dxa"/>
            <w:tcBorders>
              <w:top w:val="nil"/>
              <w:left w:val="nil"/>
              <w:bottom w:val="nil"/>
              <w:right w:val="nil"/>
            </w:tcBorders>
            <w:shd w:val="clear" w:color="auto" w:fill="FFFFFF"/>
            <w:tcMar>
              <w:top w:w="0" w:type="dxa"/>
              <w:left w:w="53" w:type="dxa"/>
              <w:bottom w:w="0" w:type="dxa"/>
              <w:right w:w="53" w:type="dxa"/>
            </w:tcMar>
            <w:vAlign w:val="bottom"/>
          </w:tcPr>
          <w:p w14:paraId="4735C2D4" w14:textId="77777777" w:rsidR="005C5CFC" w:rsidRDefault="002654E3">
            <w:pPr>
              <w:keepNext/>
              <w:spacing w:before="33" w:after="30"/>
            </w:pPr>
            <w:r>
              <w:rPr>
                <w:b/>
                <w:color w:val="000000"/>
                <w:sz w:val="20"/>
              </w:rPr>
              <w:t>Adjusted Gross Profit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2D5" w14:textId="77777777" w:rsidR="005C5CFC" w:rsidRDefault="005C5CFC">
            <w:pPr>
              <w:keepNext/>
            </w:pPr>
          </w:p>
        </w:tc>
        <w:tc>
          <w:tcPr>
            <w:tcW w:w="18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735C2D6" w14:textId="77777777" w:rsidR="005C5CFC" w:rsidRDefault="002654E3">
            <w:pPr>
              <w:keepNext/>
              <w:tabs>
                <w:tab w:val="left" w:pos="974"/>
                <w:tab w:val="left" w:pos="1732"/>
              </w:tabs>
              <w:spacing w:before="33" w:after="30"/>
              <w:jc w:val="right"/>
            </w:pPr>
            <w:r>
              <w:rPr>
                <w:color w:val="000000"/>
                <w:sz w:val="20"/>
              </w:rPr>
              <w:t>$</w:t>
            </w:r>
            <w:r>
              <w:rPr>
                <w:color w:val="000000"/>
                <w:sz w:val="20"/>
              </w:rPr>
              <w:tab/>
              <w:t>36,512</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2D7" w14:textId="77777777" w:rsidR="005C5CFC" w:rsidRDefault="005C5CFC">
            <w:pPr>
              <w:keepNext/>
            </w:pPr>
          </w:p>
        </w:tc>
        <w:tc>
          <w:tcPr>
            <w:tcW w:w="18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735C2D8" w14:textId="77777777" w:rsidR="005C5CFC" w:rsidRDefault="002654E3">
            <w:pPr>
              <w:keepNext/>
              <w:tabs>
                <w:tab w:val="left" w:pos="974"/>
                <w:tab w:val="left" w:pos="1732"/>
              </w:tabs>
              <w:spacing w:before="33" w:after="30"/>
              <w:jc w:val="right"/>
            </w:pPr>
            <w:r>
              <w:rPr>
                <w:color w:val="000000"/>
                <w:sz w:val="20"/>
              </w:rPr>
              <w:t>$</w:t>
            </w:r>
            <w:r>
              <w:rPr>
                <w:color w:val="000000"/>
                <w:sz w:val="20"/>
              </w:rPr>
              <w:tab/>
              <w:t>32,579</w:t>
            </w:r>
            <w:r>
              <w:rPr>
                <w:color w:val="000000"/>
                <w:sz w:val="20"/>
              </w:rPr>
              <w:tab/>
            </w:r>
          </w:p>
        </w:tc>
      </w:tr>
      <w:tr w:rsidR="005C5CFC" w14:paraId="4735C2DF" w14:textId="77777777">
        <w:trPr>
          <w:cantSplit/>
          <w:trHeight w:hRule="exact" w:val="255"/>
        </w:trPr>
        <w:tc>
          <w:tcPr>
            <w:tcW w:w="5640" w:type="dxa"/>
            <w:tcBorders>
              <w:top w:val="nil"/>
              <w:left w:val="nil"/>
              <w:bottom w:val="nil"/>
              <w:right w:val="nil"/>
            </w:tcBorders>
            <w:shd w:val="clear" w:color="auto" w:fill="CCEEFF"/>
            <w:tcMar>
              <w:top w:w="0" w:type="dxa"/>
              <w:left w:w="53" w:type="dxa"/>
              <w:bottom w:w="0" w:type="dxa"/>
              <w:right w:w="53" w:type="dxa"/>
            </w:tcMar>
            <w:vAlign w:val="bottom"/>
          </w:tcPr>
          <w:p w14:paraId="4735C2DA" w14:textId="77777777" w:rsidR="005C5CFC" w:rsidRDefault="002654E3">
            <w:pPr>
              <w:spacing w:after="30"/>
            </w:pPr>
            <w:r>
              <w:rPr>
                <w:i/>
                <w:color w:val="000000"/>
                <w:sz w:val="18"/>
              </w:rPr>
              <w:t>Adjusted Gross Margin</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DB" w14:textId="77777777" w:rsidR="005C5CFC" w:rsidRDefault="005C5CFC"/>
        </w:tc>
        <w:tc>
          <w:tcPr>
            <w:tcW w:w="18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4735C2DC" w14:textId="77777777" w:rsidR="005C5CFC" w:rsidRDefault="002654E3">
            <w:pPr>
              <w:tabs>
                <w:tab w:val="left" w:pos="1"/>
                <w:tab w:val="left" w:pos="525"/>
              </w:tabs>
              <w:spacing w:after="30"/>
              <w:jc w:val="right"/>
            </w:pPr>
            <w:r>
              <w:rPr>
                <w:i/>
                <w:color w:val="000000"/>
                <w:sz w:val="18"/>
              </w:rPr>
              <w:tab/>
              <w:t>42.9%</w:t>
            </w:r>
            <w:r>
              <w:rPr>
                <w:i/>
                <w:color w:val="000000"/>
                <w:sz w:val="18"/>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DD" w14:textId="77777777" w:rsidR="005C5CFC" w:rsidRDefault="005C5CFC"/>
        </w:tc>
        <w:tc>
          <w:tcPr>
            <w:tcW w:w="18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4735C2DE" w14:textId="77777777" w:rsidR="005C5CFC" w:rsidRDefault="002654E3">
            <w:pPr>
              <w:tabs>
                <w:tab w:val="left" w:pos="1"/>
                <w:tab w:val="left" w:pos="525"/>
              </w:tabs>
              <w:spacing w:after="30"/>
              <w:jc w:val="right"/>
            </w:pPr>
            <w:r>
              <w:rPr>
                <w:i/>
                <w:color w:val="000000"/>
                <w:sz w:val="18"/>
              </w:rPr>
              <w:tab/>
              <w:t>49.3%</w:t>
            </w:r>
            <w:r>
              <w:rPr>
                <w:i/>
                <w:color w:val="000000"/>
                <w:sz w:val="18"/>
              </w:rPr>
              <w:tab/>
            </w:r>
          </w:p>
        </w:tc>
      </w:tr>
    </w:tbl>
    <w:p w14:paraId="4735C2E0" w14:textId="77777777" w:rsidR="005C5CFC" w:rsidRDefault="002654E3">
      <w:pPr>
        <w:numPr>
          <w:ilvl w:val="0"/>
          <w:numId w:val="22"/>
        </w:numPr>
        <w:spacing w:before="180" w:after="180" w:line="288" w:lineRule="auto"/>
        <w:ind w:left="360"/>
        <w:jc w:val="both"/>
        <w:rPr>
          <w:sz w:val="18"/>
          <w:vertAlign w:val="superscript"/>
        </w:rPr>
      </w:pPr>
      <w:r>
        <w:rPr>
          <w:sz w:val="18"/>
        </w:rPr>
        <w:t xml:space="preserve">Incremental expenses associated with the expansion of activities at our cultivation facilities that are not yet operating at scale, including excess overhead expenses resulting in delays from regulatory approvals at certain cultivation facilities. </w:t>
      </w:r>
    </w:p>
    <w:p w14:paraId="4735C2E1" w14:textId="77777777" w:rsidR="005C5CFC" w:rsidRDefault="002654E3">
      <w:pPr>
        <w:numPr>
          <w:ilvl w:val="0"/>
          <w:numId w:val="23"/>
        </w:numPr>
        <w:spacing w:after="180" w:line="288" w:lineRule="auto"/>
        <w:ind w:left="360"/>
        <w:jc w:val="both"/>
        <w:rPr>
          <w:sz w:val="18"/>
          <w:vertAlign w:val="superscript"/>
        </w:rPr>
      </w:pPr>
      <w:r>
        <w:rPr>
          <w:sz w:val="18"/>
        </w:rPr>
        <w:t>Primarily consists of write-offs of expired products and obsolete packaging.</w:t>
      </w:r>
    </w:p>
    <w:p w14:paraId="4735C2E2" w14:textId="77777777" w:rsidR="005C5CFC" w:rsidRDefault="005C5CFC">
      <w:pPr>
        <w:spacing w:after="180" w:line="288" w:lineRule="auto"/>
        <w:ind w:left="-360"/>
        <w:jc w:val="both"/>
        <w:rPr>
          <w:sz w:val="20"/>
          <w:vertAlign w:val="superscript"/>
        </w:rPr>
      </w:pPr>
    </w:p>
    <w:p w14:paraId="4735C2E3" w14:textId="77777777" w:rsidR="005C5CFC" w:rsidRDefault="002654E3">
      <w:pPr>
        <w:keepNext/>
        <w:spacing w:after="120" w:line="288" w:lineRule="auto"/>
        <w:ind w:firstLine="720"/>
        <w:jc w:val="both"/>
        <w:rPr>
          <w:sz w:val="20"/>
          <w:vertAlign w:val="superscript"/>
        </w:rPr>
      </w:pPr>
      <w:r>
        <w:rPr>
          <w:sz w:val="20"/>
        </w:rPr>
        <w:lastRenderedPageBreak/>
        <w:t xml:space="preserve">The following table presents Adjusted EBITDA for the </w:t>
      </w:r>
      <w:r>
        <w:rPr>
          <w:sz w:val="20"/>
        </w:rPr>
        <w:t>three</w:t>
      </w:r>
      <w:r>
        <w:rPr>
          <w:sz w:val="20"/>
        </w:rPr>
        <w:t xml:space="preserve"> months ended </w:t>
      </w:r>
      <w:r>
        <w:rPr>
          <w:sz w:val="20"/>
        </w:rPr>
        <w:t>March 31, 2022</w:t>
      </w:r>
      <w:r>
        <w:rPr>
          <w:sz w:val="20"/>
        </w:rPr>
        <w:t xml:space="preserve"> and </w:t>
      </w:r>
      <w:r>
        <w:rPr>
          <w:sz w:val="20"/>
        </w:rPr>
        <w:t>2021</w:t>
      </w:r>
      <w:r>
        <w:rPr>
          <w:sz w:val="20"/>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0"/>
        <w:gridCol w:w="60"/>
        <w:gridCol w:w="1800"/>
        <w:gridCol w:w="60"/>
        <w:gridCol w:w="1800"/>
      </w:tblGrid>
      <w:tr w:rsidR="005C5CFC" w14:paraId="4735C2E7" w14:textId="77777777">
        <w:trPr>
          <w:cantSplit/>
          <w:trHeight w:hRule="exact" w:val="285"/>
        </w:trPr>
        <w:tc>
          <w:tcPr>
            <w:tcW w:w="5640" w:type="dxa"/>
            <w:tcBorders>
              <w:top w:val="nil"/>
              <w:left w:val="nil"/>
              <w:bottom w:val="nil"/>
              <w:right w:val="nil"/>
            </w:tcBorders>
            <w:tcMar>
              <w:top w:w="0" w:type="dxa"/>
              <w:left w:w="0" w:type="dxa"/>
              <w:bottom w:w="0" w:type="dxa"/>
              <w:right w:w="0" w:type="dxa"/>
            </w:tcMar>
            <w:vAlign w:val="bottom"/>
          </w:tcPr>
          <w:p w14:paraId="4735C2E4" w14:textId="77777777" w:rsidR="005C5CFC" w:rsidRDefault="005C5CFC">
            <w:pPr>
              <w:keepNext/>
            </w:pPr>
          </w:p>
        </w:tc>
        <w:tc>
          <w:tcPr>
            <w:tcW w:w="60" w:type="dxa"/>
            <w:tcBorders>
              <w:top w:val="nil"/>
              <w:left w:val="nil"/>
              <w:bottom w:val="nil"/>
              <w:right w:val="nil"/>
            </w:tcBorders>
            <w:tcMar>
              <w:top w:w="0" w:type="dxa"/>
              <w:left w:w="0" w:type="dxa"/>
              <w:bottom w:w="0" w:type="dxa"/>
              <w:right w:w="0" w:type="dxa"/>
            </w:tcMar>
            <w:vAlign w:val="bottom"/>
          </w:tcPr>
          <w:p w14:paraId="4735C2E5" w14:textId="77777777" w:rsidR="005C5CFC" w:rsidRDefault="005C5CFC">
            <w:pPr>
              <w:keepNext/>
            </w:pPr>
          </w:p>
        </w:tc>
        <w:tc>
          <w:tcPr>
            <w:tcW w:w="3660" w:type="dxa"/>
            <w:gridSpan w:val="3"/>
            <w:tcBorders>
              <w:top w:val="nil"/>
              <w:left w:val="nil"/>
              <w:bottom w:val="single" w:sz="8" w:space="0" w:color="000000"/>
              <w:right w:val="nil"/>
            </w:tcBorders>
            <w:tcMar>
              <w:top w:w="0" w:type="dxa"/>
              <w:left w:w="53" w:type="dxa"/>
              <w:bottom w:w="0" w:type="dxa"/>
              <w:right w:w="53" w:type="dxa"/>
            </w:tcMar>
            <w:vAlign w:val="bottom"/>
          </w:tcPr>
          <w:p w14:paraId="4735C2E6" w14:textId="77777777" w:rsidR="005C5CFC" w:rsidRDefault="002654E3">
            <w:pPr>
              <w:keepNext/>
              <w:spacing w:before="53" w:after="30"/>
              <w:jc w:val="center"/>
            </w:pPr>
            <w:r>
              <w:rPr>
                <w:b/>
                <w:color w:val="000000"/>
                <w:sz w:val="20"/>
              </w:rPr>
              <w:t>Three Months Ended March 31,</w:t>
            </w:r>
          </w:p>
        </w:tc>
      </w:tr>
      <w:tr w:rsidR="005C5CFC" w14:paraId="4735C2ED" w14:textId="77777777">
        <w:trPr>
          <w:cantSplit/>
          <w:trHeight w:hRule="exact" w:val="285"/>
        </w:trPr>
        <w:tc>
          <w:tcPr>
            <w:tcW w:w="5640" w:type="dxa"/>
            <w:tcBorders>
              <w:top w:val="nil"/>
              <w:left w:val="nil"/>
              <w:bottom w:val="nil"/>
              <w:right w:val="nil"/>
            </w:tcBorders>
            <w:tcMar>
              <w:top w:w="0" w:type="dxa"/>
              <w:left w:w="53" w:type="dxa"/>
              <w:bottom w:w="0" w:type="dxa"/>
              <w:right w:w="53" w:type="dxa"/>
            </w:tcMar>
            <w:vAlign w:val="bottom"/>
          </w:tcPr>
          <w:p w14:paraId="4735C2E8" w14:textId="77777777" w:rsidR="005C5CFC" w:rsidRDefault="002654E3">
            <w:pPr>
              <w:keepNext/>
              <w:spacing w:before="33" w:after="30"/>
            </w:pPr>
            <w:r>
              <w:rPr>
                <w:i/>
                <w:color w:val="000000"/>
                <w:sz w:val="16"/>
                <w:u w:val="single"/>
              </w:rPr>
              <w:t>(in thousands)</w:t>
            </w:r>
          </w:p>
        </w:tc>
        <w:tc>
          <w:tcPr>
            <w:tcW w:w="60" w:type="dxa"/>
            <w:tcBorders>
              <w:top w:val="nil"/>
              <w:left w:val="nil"/>
              <w:bottom w:val="nil"/>
              <w:right w:val="nil"/>
            </w:tcBorders>
            <w:tcMar>
              <w:top w:w="0" w:type="dxa"/>
              <w:left w:w="0" w:type="dxa"/>
              <w:bottom w:w="0" w:type="dxa"/>
              <w:right w:w="0" w:type="dxa"/>
            </w:tcMar>
            <w:vAlign w:val="bottom"/>
          </w:tcPr>
          <w:p w14:paraId="4735C2E9" w14:textId="77777777" w:rsidR="005C5CFC" w:rsidRDefault="005C5CFC">
            <w:pPr>
              <w:keepNext/>
            </w:pPr>
          </w:p>
        </w:tc>
        <w:tc>
          <w:tcPr>
            <w:tcW w:w="1800" w:type="dxa"/>
            <w:tcBorders>
              <w:top w:val="nil"/>
              <w:left w:val="nil"/>
              <w:bottom w:val="single" w:sz="8" w:space="0" w:color="000000"/>
              <w:right w:val="nil"/>
            </w:tcBorders>
            <w:tcMar>
              <w:top w:w="0" w:type="dxa"/>
              <w:left w:w="53" w:type="dxa"/>
              <w:bottom w:w="0" w:type="dxa"/>
              <w:right w:w="53" w:type="dxa"/>
            </w:tcMar>
            <w:vAlign w:val="bottom"/>
          </w:tcPr>
          <w:p w14:paraId="4735C2EA" w14:textId="77777777" w:rsidR="005C5CFC" w:rsidRDefault="002654E3">
            <w:pPr>
              <w:keepNext/>
              <w:spacing w:before="33" w:after="30"/>
              <w:jc w:val="center"/>
            </w:pPr>
            <w:r>
              <w:rPr>
                <w:b/>
                <w:color w:val="000000"/>
                <w:sz w:val="20"/>
              </w:rPr>
              <w:t>2022</w:t>
            </w:r>
          </w:p>
        </w:tc>
        <w:tc>
          <w:tcPr>
            <w:tcW w:w="60" w:type="dxa"/>
            <w:tcBorders>
              <w:top w:val="single" w:sz="8" w:space="0" w:color="000000"/>
              <w:left w:val="nil"/>
              <w:bottom w:val="nil"/>
              <w:right w:val="nil"/>
            </w:tcBorders>
            <w:tcMar>
              <w:top w:w="0" w:type="dxa"/>
              <w:left w:w="0" w:type="dxa"/>
              <w:bottom w:w="0" w:type="dxa"/>
              <w:right w:w="0" w:type="dxa"/>
            </w:tcMar>
            <w:vAlign w:val="bottom"/>
          </w:tcPr>
          <w:p w14:paraId="4735C2EB" w14:textId="77777777" w:rsidR="005C5CFC" w:rsidRDefault="005C5CFC">
            <w:pPr>
              <w:keepNext/>
            </w:pPr>
          </w:p>
        </w:tc>
        <w:tc>
          <w:tcPr>
            <w:tcW w:w="18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735C2EC" w14:textId="77777777" w:rsidR="005C5CFC" w:rsidRDefault="002654E3">
            <w:pPr>
              <w:keepNext/>
              <w:spacing w:before="33" w:after="30"/>
              <w:jc w:val="center"/>
            </w:pPr>
            <w:r>
              <w:rPr>
                <w:b/>
                <w:color w:val="000000"/>
                <w:sz w:val="20"/>
              </w:rPr>
              <w:t>2021</w:t>
            </w:r>
          </w:p>
        </w:tc>
      </w:tr>
      <w:tr w:rsidR="005C5CFC" w14:paraId="4735C2F3" w14:textId="77777777">
        <w:trPr>
          <w:cantSplit/>
          <w:trHeight w:hRule="exact" w:val="285"/>
        </w:trPr>
        <w:tc>
          <w:tcPr>
            <w:tcW w:w="5640" w:type="dxa"/>
            <w:tcBorders>
              <w:top w:val="nil"/>
              <w:left w:val="nil"/>
              <w:bottom w:val="nil"/>
              <w:right w:val="nil"/>
            </w:tcBorders>
            <w:shd w:val="clear" w:color="auto" w:fill="CCEEFF"/>
            <w:tcMar>
              <w:top w:w="0" w:type="dxa"/>
              <w:left w:w="53" w:type="dxa"/>
              <w:bottom w:w="0" w:type="dxa"/>
              <w:right w:w="53" w:type="dxa"/>
            </w:tcMar>
            <w:vAlign w:val="bottom"/>
          </w:tcPr>
          <w:p w14:paraId="4735C2EE" w14:textId="77777777" w:rsidR="005C5CFC" w:rsidRDefault="002654E3">
            <w:pPr>
              <w:keepNext/>
              <w:spacing w:before="33" w:after="30"/>
            </w:pPr>
            <w:r>
              <w:rPr>
                <w:color w:val="000000"/>
                <w:sz w:val="20"/>
              </w:rPr>
              <w:t>Net loss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EF" w14:textId="77777777" w:rsidR="005C5CFC" w:rsidRDefault="005C5CFC">
            <w:pPr>
              <w:keepNext/>
            </w:pPr>
          </w:p>
        </w:tc>
        <w:tc>
          <w:tcPr>
            <w:tcW w:w="18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735C2F0" w14:textId="77777777" w:rsidR="005C5CFC" w:rsidRDefault="002654E3">
            <w:pPr>
              <w:keepNext/>
              <w:tabs>
                <w:tab w:val="left" w:pos="908"/>
                <w:tab w:val="left" w:pos="1732"/>
              </w:tabs>
              <w:spacing w:before="33" w:after="30"/>
              <w:jc w:val="right"/>
            </w:pPr>
            <w:r>
              <w:rPr>
                <w:color w:val="000000"/>
                <w:sz w:val="20"/>
              </w:rPr>
              <w:t>$</w:t>
            </w:r>
            <w:r>
              <w:rPr>
                <w:color w:val="000000"/>
                <w:sz w:val="20"/>
              </w:rPr>
              <w:tab/>
            </w:r>
            <w:r>
              <w:rPr>
                <w:color w:val="000000"/>
                <w:sz w:val="20"/>
              </w:rPr>
              <w:t>(27,815)</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F1" w14:textId="77777777" w:rsidR="005C5CFC" w:rsidRDefault="005C5CFC">
            <w:pPr>
              <w:keepNext/>
            </w:pPr>
          </w:p>
        </w:tc>
        <w:tc>
          <w:tcPr>
            <w:tcW w:w="18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735C2F2" w14:textId="77777777" w:rsidR="005C5CFC" w:rsidRDefault="002654E3">
            <w:pPr>
              <w:keepNext/>
              <w:tabs>
                <w:tab w:val="left" w:pos="908"/>
                <w:tab w:val="left" w:pos="1732"/>
              </w:tabs>
              <w:spacing w:before="33" w:after="30"/>
              <w:jc w:val="right"/>
            </w:pPr>
            <w:r>
              <w:rPr>
                <w:color w:val="000000"/>
                <w:sz w:val="20"/>
              </w:rPr>
              <w:t>$</w:t>
            </w:r>
            <w:r>
              <w:rPr>
                <w:color w:val="000000"/>
                <w:sz w:val="20"/>
              </w:rPr>
              <w:tab/>
              <w:t>(48,223)</w:t>
            </w:r>
            <w:r>
              <w:rPr>
                <w:color w:val="000000"/>
                <w:sz w:val="20"/>
              </w:rPr>
              <w:tab/>
            </w:r>
          </w:p>
        </w:tc>
      </w:tr>
      <w:tr w:rsidR="005C5CFC" w14:paraId="4735C2F9" w14:textId="77777777">
        <w:trPr>
          <w:cantSplit/>
          <w:trHeight w:hRule="exact" w:val="285"/>
        </w:trPr>
        <w:tc>
          <w:tcPr>
            <w:tcW w:w="5640" w:type="dxa"/>
            <w:tcBorders>
              <w:top w:val="nil"/>
              <w:left w:val="nil"/>
              <w:bottom w:val="nil"/>
              <w:right w:val="nil"/>
            </w:tcBorders>
            <w:shd w:val="clear" w:color="auto" w:fill="FFFFFF"/>
            <w:tcMar>
              <w:top w:w="0" w:type="dxa"/>
              <w:left w:w="53" w:type="dxa"/>
              <w:bottom w:w="0" w:type="dxa"/>
              <w:right w:w="53" w:type="dxa"/>
            </w:tcMar>
            <w:vAlign w:val="bottom"/>
          </w:tcPr>
          <w:p w14:paraId="4735C2F4" w14:textId="77777777" w:rsidR="005C5CFC" w:rsidRDefault="002654E3">
            <w:pPr>
              <w:keepNext/>
              <w:spacing w:before="53" w:after="30"/>
              <w:ind w:left="360" w:hanging="180"/>
            </w:pPr>
            <w:r>
              <w:rPr>
                <w:color w:val="000000"/>
                <w:sz w:val="20"/>
              </w:rPr>
              <w:t>Income tax expense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2F5"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F6" w14:textId="77777777" w:rsidR="005C5CFC" w:rsidRDefault="002654E3">
            <w:pPr>
              <w:keepNext/>
              <w:tabs>
                <w:tab w:val="left" w:pos="1074"/>
                <w:tab w:val="left" w:pos="1732"/>
              </w:tabs>
              <w:spacing w:before="53" w:after="30"/>
              <w:jc w:val="right"/>
            </w:pPr>
            <w:r>
              <w:rPr>
                <w:color w:val="000000"/>
                <w:sz w:val="20"/>
              </w:rPr>
              <w:tab/>
              <w:t>7,107</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2F7"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2F8" w14:textId="77777777" w:rsidR="005C5CFC" w:rsidRDefault="002654E3">
            <w:pPr>
              <w:keepNext/>
              <w:tabs>
                <w:tab w:val="left" w:pos="1074"/>
                <w:tab w:val="left" w:pos="1732"/>
              </w:tabs>
              <w:spacing w:before="53" w:after="30"/>
              <w:jc w:val="right"/>
            </w:pPr>
            <w:r>
              <w:rPr>
                <w:color w:val="000000"/>
                <w:sz w:val="20"/>
              </w:rPr>
              <w:tab/>
              <w:t>8,976</w:t>
            </w:r>
            <w:r>
              <w:rPr>
                <w:color w:val="000000"/>
                <w:sz w:val="20"/>
              </w:rPr>
              <w:tab/>
            </w:r>
          </w:p>
        </w:tc>
      </w:tr>
      <w:tr w:rsidR="005C5CFC" w14:paraId="4735C2FF" w14:textId="77777777">
        <w:trPr>
          <w:cantSplit/>
          <w:trHeight w:hRule="exact" w:val="285"/>
        </w:trPr>
        <w:tc>
          <w:tcPr>
            <w:tcW w:w="5640" w:type="dxa"/>
            <w:tcBorders>
              <w:top w:val="nil"/>
              <w:left w:val="nil"/>
              <w:bottom w:val="nil"/>
              <w:right w:val="nil"/>
            </w:tcBorders>
            <w:shd w:val="clear" w:color="auto" w:fill="CCEEFF"/>
            <w:tcMar>
              <w:top w:w="0" w:type="dxa"/>
              <w:left w:w="53" w:type="dxa"/>
              <w:bottom w:w="0" w:type="dxa"/>
              <w:right w:w="53" w:type="dxa"/>
            </w:tcMar>
            <w:vAlign w:val="bottom"/>
          </w:tcPr>
          <w:p w14:paraId="4735C2FA" w14:textId="77777777" w:rsidR="005C5CFC" w:rsidRDefault="002654E3">
            <w:pPr>
              <w:keepNext/>
              <w:spacing w:before="53" w:after="30"/>
              <w:ind w:left="360" w:hanging="180"/>
            </w:pPr>
            <w:r>
              <w:rPr>
                <w:color w:val="000000"/>
                <w:sz w:val="20"/>
              </w:rPr>
              <w:t>Other (income) expense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FB"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FC" w14:textId="77777777" w:rsidR="005C5CFC" w:rsidRDefault="002654E3">
            <w:pPr>
              <w:keepNext/>
              <w:tabs>
                <w:tab w:val="left" w:pos="1158"/>
                <w:tab w:val="left" w:pos="1732"/>
              </w:tabs>
              <w:spacing w:before="53" w:after="30"/>
              <w:jc w:val="right"/>
            </w:pPr>
            <w:r>
              <w:rPr>
                <w:color w:val="000000"/>
                <w:sz w:val="20"/>
              </w:rPr>
              <w:tab/>
              <w:t>(103)</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2FD"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2FE" w14:textId="77777777" w:rsidR="005C5CFC" w:rsidRDefault="002654E3">
            <w:pPr>
              <w:keepNext/>
              <w:tabs>
                <w:tab w:val="left" w:pos="1258"/>
                <w:tab w:val="left" w:pos="1732"/>
              </w:tabs>
              <w:spacing w:before="53" w:after="30"/>
              <w:jc w:val="right"/>
            </w:pPr>
            <w:r>
              <w:rPr>
                <w:color w:val="000000"/>
                <w:sz w:val="20"/>
              </w:rPr>
              <w:tab/>
              <w:t>(80)</w:t>
            </w:r>
            <w:r>
              <w:rPr>
                <w:color w:val="000000"/>
                <w:sz w:val="20"/>
              </w:rPr>
              <w:tab/>
            </w:r>
          </w:p>
        </w:tc>
      </w:tr>
      <w:tr w:rsidR="005C5CFC" w14:paraId="4735C305" w14:textId="77777777">
        <w:trPr>
          <w:cantSplit/>
          <w:trHeight w:hRule="exact" w:val="285"/>
        </w:trPr>
        <w:tc>
          <w:tcPr>
            <w:tcW w:w="5640" w:type="dxa"/>
            <w:tcBorders>
              <w:top w:val="nil"/>
              <w:left w:val="nil"/>
              <w:bottom w:val="nil"/>
              <w:right w:val="nil"/>
            </w:tcBorders>
            <w:shd w:val="clear" w:color="auto" w:fill="FFFFFF"/>
            <w:tcMar>
              <w:top w:w="0" w:type="dxa"/>
              <w:left w:w="53" w:type="dxa"/>
              <w:bottom w:w="0" w:type="dxa"/>
              <w:right w:w="53" w:type="dxa"/>
            </w:tcMar>
            <w:vAlign w:val="bottom"/>
          </w:tcPr>
          <w:p w14:paraId="4735C300" w14:textId="77777777" w:rsidR="005C5CFC" w:rsidRDefault="002654E3">
            <w:pPr>
              <w:keepNext/>
              <w:spacing w:before="53" w:after="30"/>
              <w:ind w:left="360" w:hanging="180"/>
            </w:pPr>
            <w:r>
              <w:rPr>
                <w:color w:val="000000"/>
                <w:sz w:val="20"/>
              </w:rPr>
              <w:t>Interest expense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301"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302" w14:textId="77777777" w:rsidR="005C5CFC" w:rsidRDefault="002654E3">
            <w:pPr>
              <w:keepNext/>
              <w:tabs>
                <w:tab w:val="left" w:pos="1074"/>
                <w:tab w:val="left" w:pos="1732"/>
              </w:tabs>
              <w:spacing w:before="53" w:after="30"/>
              <w:jc w:val="right"/>
            </w:pPr>
            <w:r>
              <w:rPr>
                <w:color w:val="000000"/>
                <w:sz w:val="20"/>
              </w:rPr>
              <w:tab/>
              <w:t>6,031</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303"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304" w14:textId="77777777" w:rsidR="005C5CFC" w:rsidRDefault="002654E3">
            <w:pPr>
              <w:keepNext/>
              <w:tabs>
                <w:tab w:val="left" w:pos="1074"/>
                <w:tab w:val="left" w:pos="1732"/>
              </w:tabs>
              <w:spacing w:before="53" w:after="30"/>
              <w:jc w:val="right"/>
            </w:pPr>
            <w:r>
              <w:rPr>
                <w:color w:val="000000"/>
                <w:sz w:val="20"/>
              </w:rPr>
              <w:tab/>
              <w:t>7,337</w:t>
            </w:r>
            <w:r>
              <w:rPr>
                <w:color w:val="000000"/>
                <w:sz w:val="20"/>
              </w:rPr>
              <w:tab/>
            </w:r>
          </w:p>
        </w:tc>
      </w:tr>
      <w:tr w:rsidR="005C5CFC" w14:paraId="4735C30B" w14:textId="77777777">
        <w:trPr>
          <w:cantSplit/>
          <w:trHeight w:hRule="exact" w:val="285"/>
        </w:trPr>
        <w:tc>
          <w:tcPr>
            <w:tcW w:w="5640" w:type="dxa"/>
            <w:tcBorders>
              <w:top w:val="nil"/>
              <w:left w:val="nil"/>
              <w:bottom w:val="nil"/>
              <w:right w:val="nil"/>
            </w:tcBorders>
            <w:shd w:val="clear" w:color="auto" w:fill="CCEEFF"/>
            <w:tcMar>
              <w:top w:w="0" w:type="dxa"/>
              <w:left w:w="53" w:type="dxa"/>
              <w:bottom w:w="0" w:type="dxa"/>
              <w:right w:w="53" w:type="dxa"/>
            </w:tcMar>
            <w:vAlign w:val="bottom"/>
          </w:tcPr>
          <w:p w14:paraId="4735C306" w14:textId="77777777" w:rsidR="005C5CFC" w:rsidRDefault="002654E3">
            <w:pPr>
              <w:keepNext/>
              <w:spacing w:before="53" w:after="30"/>
              <w:ind w:left="360" w:hanging="180"/>
            </w:pPr>
            <w:r>
              <w:rPr>
                <w:color w:val="000000"/>
                <w:sz w:val="20"/>
              </w:rPr>
              <w:t>Depreciation and amortization</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307"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308" w14:textId="77777777" w:rsidR="005C5CFC" w:rsidRDefault="002654E3">
            <w:pPr>
              <w:keepNext/>
              <w:tabs>
                <w:tab w:val="left" w:pos="1074"/>
                <w:tab w:val="left" w:pos="1732"/>
              </w:tabs>
              <w:spacing w:before="53" w:after="30"/>
              <w:jc w:val="right"/>
            </w:pPr>
            <w:r>
              <w:rPr>
                <w:color w:val="000000"/>
                <w:sz w:val="20"/>
              </w:rPr>
              <w:tab/>
              <w:t>2,732</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309"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30A" w14:textId="77777777" w:rsidR="005C5CFC" w:rsidRDefault="002654E3">
            <w:pPr>
              <w:keepNext/>
              <w:tabs>
                <w:tab w:val="left" w:pos="1074"/>
                <w:tab w:val="left" w:pos="1732"/>
              </w:tabs>
              <w:spacing w:before="53" w:after="30"/>
              <w:jc w:val="right"/>
            </w:pPr>
            <w:r>
              <w:rPr>
                <w:color w:val="000000"/>
                <w:sz w:val="20"/>
              </w:rPr>
              <w:tab/>
              <w:t>2,419</w:t>
            </w:r>
            <w:r>
              <w:rPr>
                <w:color w:val="000000"/>
                <w:sz w:val="20"/>
              </w:rPr>
              <w:tab/>
            </w:r>
          </w:p>
        </w:tc>
      </w:tr>
      <w:tr w:rsidR="005C5CFC" w14:paraId="4735C311" w14:textId="77777777">
        <w:trPr>
          <w:cantSplit/>
          <w:trHeight w:hRule="exact" w:val="285"/>
        </w:trPr>
        <w:tc>
          <w:tcPr>
            <w:tcW w:w="5640" w:type="dxa"/>
            <w:tcBorders>
              <w:top w:val="nil"/>
              <w:left w:val="nil"/>
              <w:bottom w:val="nil"/>
              <w:right w:val="nil"/>
            </w:tcBorders>
            <w:shd w:val="clear" w:color="auto" w:fill="FFFFFF"/>
            <w:tcMar>
              <w:top w:w="0" w:type="dxa"/>
              <w:left w:w="53" w:type="dxa"/>
              <w:bottom w:w="0" w:type="dxa"/>
              <w:right w:w="53" w:type="dxa"/>
            </w:tcMar>
            <w:vAlign w:val="bottom"/>
          </w:tcPr>
          <w:p w14:paraId="4735C30C" w14:textId="77777777" w:rsidR="005C5CFC" w:rsidRDefault="002654E3">
            <w:pPr>
              <w:keepNext/>
              <w:spacing w:before="53" w:after="30"/>
              <w:ind w:left="360" w:hanging="180"/>
            </w:pPr>
            <w:r>
              <w:rPr>
                <w:color w:val="000000"/>
                <w:sz w:val="20"/>
              </w:rPr>
              <w:t>Depreciation and amortization included in cost of goods sold</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30D"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30E" w14:textId="77777777" w:rsidR="005C5CFC" w:rsidRDefault="002654E3">
            <w:pPr>
              <w:keepNext/>
              <w:tabs>
                <w:tab w:val="left" w:pos="1074"/>
                <w:tab w:val="left" w:pos="1732"/>
              </w:tabs>
              <w:spacing w:before="53" w:after="30"/>
              <w:jc w:val="right"/>
            </w:pPr>
            <w:r>
              <w:rPr>
                <w:color w:val="000000"/>
                <w:sz w:val="20"/>
              </w:rPr>
              <w:tab/>
            </w:r>
            <w:r>
              <w:rPr>
                <w:color w:val="000000"/>
                <w:sz w:val="20"/>
              </w:rPr>
              <w:t>2,943</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30F"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310" w14:textId="77777777" w:rsidR="005C5CFC" w:rsidRDefault="002654E3">
            <w:pPr>
              <w:keepNext/>
              <w:tabs>
                <w:tab w:val="left" w:pos="1074"/>
                <w:tab w:val="left" w:pos="1732"/>
              </w:tabs>
              <w:spacing w:before="53" w:after="30"/>
              <w:jc w:val="right"/>
            </w:pPr>
            <w:r>
              <w:rPr>
                <w:color w:val="000000"/>
                <w:sz w:val="20"/>
              </w:rPr>
              <w:tab/>
              <w:t>2,162</w:t>
            </w:r>
            <w:r>
              <w:rPr>
                <w:color w:val="000000"/>
                <w:sz w:val="20"/>
              </w:rPr>
              <w:tab/>
            </w:r>
          </w:p>
        </w:tc>
      </w:tr>
      <w:tr w:rsidR="005C5CFC" w14:paraId="4735C317" w14:textId="77777777">
        <w:trPr>
          <w:cantSplit/>
          <w:trHeight w:hRule="exact" w:val="285"/>
        </w:trPr>
        <w:tc>
          <w:tcPr>
            <w:tcW w:w="5640" w:type="dxa"/>
            <w:tcBorders>
              <w:top w:val="nil"/>
              <w:left w:val="nil"/>
              <w:bottom w:val="nil"/>
              <w:right w:val="nil"/>
            </w:tcBorders>
            <w:shd w:val="clear" w:color="auto" w:fill="CCEEFF"/>
            <w:tcMar>
              <w:top w:w="0" w:type="dxa"/>
              <w:left w:w="53" w:type="dxa"/>
              <w:bottom w:w="0" w:type="dxa"/>
              <w:right w:w="53" w:type="dxa"/>
            </w:tcMar>
            <w:vAlign w:val="bottom"/>
          </w:tcPr>
          <w:p w14:paraId="4735C312" w14:textId="77777777" w:rsidR="005C5CFC" w:rsidRDefault="002654E3">
            <w:pPr>
              <w:keepNext/>
              <w:spacing w:before="53" w:after="30"/>
              <w:ind w:left="360" w:hanging="180"/>
              <w:rPr>
                <w:sz w:val="20"/>
              </w:rPr>
            </w:pPr>
            <w:r>
              <w:rPr>
                <w:sz w:val="20"/>
              </w:rPr>
              <w:t>Non-cash inventory adjustments</w:t>
            </w:r>
            <w:r>
              <w:rPr>
                <w:sz w:val="20"/>
                <w:vertAlign w:val="superscript"/>
              </w:rPr>
              <w:t>(1)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313"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314" w14:textId="77777777" w:rsidR="005C5CFC" w:rsidRDefault="002654E3">
            <w:pPr>
              <w:keepNext/>
              <w:tabs>
                <w:tab w:val="left" w:pos="1074"/>
                <w:tab w:val="left" w:pos="1732"/>
              </w:tabs>
              <w:spacing w:before="53" w:after="30"/>
              <w:jc w:val="right"/>
            </w:pPr>
            <w:r>
              <w:rPr>
                <w:color w:val="000000"/>
                <w:sz w:val="20"/>
              </w:rPr>
              <w:tab/>
              <w:t>2,204</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315"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316" w14:textId="77777777" w:rsidR="005C5CFC" w:rsidRDefault="002654E3">
            <w:pPr>
              <w:keepNext/>
              <w:tabs>
                <w:tab w:val="left" w:pos="1224"/>
                <w:tab w:val="left" w:pos="1732"/>
              </w:tabs>
              <w:spacing w:before="53" w:after="30"/>
              <w:jc w:val="right"/>
            </w:pPr>
            <w:r>
              <w:rPr>
                <w:color w:val="000000"/>
                <w:sz w:val="20"/>
              </w:rPr>
              <w:tab/>
              <w:t>750</w:t>
            </w:r>
            <w:r>
              <w:rPr>
                <w:color w:val="000000"/>
                <w:sz w:val="20"/>
              </w:rPr>
              <w:tab/>
            </w:r>
          </w:p>
        </w:tc>
      </w:tr>
      <w:tr w:rsidR="005C5CFC" w14:paraId="4735C31D" w14:textId="77777777">
        <w:trPr>
          <w:cantSplit/>
          <w:trHeight w:hRule="exact" w:val="285"/>
        </w:trPr>
        <w:tc>
          <w:tcPr>
            <w:tcW w:w="5640" w:type="dxa"/>
            <w:tcBorders>
              <w:top w:val="nil"/>
              <w:left w:val="nil"/>
              <w:bottom w:val="nil"/>
              <w:right w:val="nil"/>
            </w:tcBorders>
            <w:shd w:val="clear" w:color="auto" w:fill="FFFFFF"/>
            <w:tcMar>
              <w:top w:w="0" w:type="dxa"/>
              <w:left w:w="53" w:type="dxa"/>
              <w:bottom w:w="0" w:type="dxa"/>
              <w:right w:w="53" w:type="dxa"/>
            </w:tcMar>
            <w:vAlign w:val="bottom"/>
          </w:tcPr>
          <w:p w14:paraId="4735C318" w14:textId="77777777" w:rsidR="005C5CFC" w:rsidRDefault="002654E3">
            <w:pPr>
              <w:keepNext/>
              <w:spacing w:before="53" w:after="30"/>
              <w:ind w:left="360" w:hanging="180"/>
            </w:pPr>
            <w:r>
              <w:rPr>
                <w:color w:val="000000"/>
                <w:sz w:val="20"/>
              </w:rPr>
              <w:t>Equity-based compensation</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319"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31A" w14:textId="77777777" w:rsidR="005C5CFC" w:rsidRDefault="002654E3">
            <w:pPr>
              <w:keepNext/>
              <w:tabs>
                <w:tab w:val="left" w:pos="1074"/>
                <w:tab w:val="left" w:pos="1732"/>
              </w:tabs>
              <w:spacing w:before="53" w:after="30"/>
              <w:jc w:val="right"/>
            </w:pPr>
            <w:r>
              <w:rPr>
                <w:color w:val="000000"/>
                <w:sz w:val="20"/>
              </w:rPr>
              <w:tab/>
              <w:t>2,504</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31B"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31C" w14:textId="77777777" w:rsidR="005C5CFC" w:rsidRDefault="002654E3">
            <w:pPr>
              <w:keepNext/>
              <w:tabs>
                <w:tab w:val="left" w:pos="1074"/>
                <w:tab w:val="left" w:pos="1732"/>
              </w:tabs>
              <w:spacing w:before="53" w:after="30"/>
              <w:jc w:val="right"/>
            </w:pPr>
            <w:r>
              <w:rPr>
                <w:color w:val="000000"/>
                <w:sz w:val="20"/>
              </w:rPr>
              <w:tab/>
              <w:t>2,487</w:t>
            </w:r>
            <w:r>
              <w:rPr>
                <w:color w:val="000000"/>
                <w:sz w:val="20"/>
              </w:rPr>
              <w:tab/>
            </w:r>
          </w:p>
        </w:tc>
      </w:tr>
      <w:tr w:rsidR="005C5CFC" w14:paraId="4735C323" w14:textId="77777777">
        <w:trPr>
          <w:cantSplit/>
          <w:trHeight w:hRule="exact" w:val="285"/>
        </w:trPr>
        <w:tc>
          <w:tcPr>
            <w:tcW w:w="5640" w:type="dxa"/>
            <w:tcBorders>
              <w:top w:val="nil"/>
              <w:left w:val="nil"/>
              <w:bottom w:val="nil"/>
              <w:right w:val="nil"/>
            </w:tcBorders>
            <w:shd w:val="clear" w:color="auto" w:fill="CCEEFF"/>
            <w:tcMar>
              <w:top w:w="0" w:type="dxa"/>
              <w:left w:w="53" w:type="dxa"/>
              <w:bottom w:w="0" w:type="dxa"/>
              <w:right w:w="53" w:type="dxa"/>
            </w:tcMar>
            <w:vAlign w:val="bottom"/>
          </w:tcPr>
          <w:p w14:paraId="4735C31E" w14:textId="77777777" w:rsidR="005C5CFC" w:rsidRDefault="002654E3">
            <w:pPr>
              <w:keepNext/>
              <w:spacing w:before="53" w:after="30"/>
              <w:ind w:left="360" w:hanging="180"/>
            </w:pPr>
            <w:r>
              <w:rPr>
                <w:color w:val="000000"/>
                <w:sz w:val="20"/>
              </w:rPr>
              <w:t>Equity-based compensation included in cost of goods sold</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31F"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320" w14:textId="77777777" w:rsidR="005C5CFC" w:rsidRDefault="002654E3">
            <w:pPr>
              <w:keepNext/>
              <w:tabs>
                <w:tab w:val="left" w:pos="1074"/>
                <w:tab w:val="left" w:pos="1732"/>
              </w:tabs>
              <w:spacing w:before="53" w:after="30"/>
              <w:jc w:val="right"/>
            </w:pPr>
            <w:r>
              <w:rPr>
                <w:color w:val="000000"/>
                <w:sz w:val="20"/>
              </w:rPr>
              <w:tab/>
              <w:t>3,995</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321"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322" w14:textId="77777777" w:rsidR="005C5CFC" w:rsidRDefault="002654E3">
            <w:pPr>
              <w:keepNext/>
              <w:tabs>
                <w:tab w:val="left" w:pos="1324"/>
                <w:tab w:val="left" w:pos="1732"/>
              </w:tabs>
              <w:spacing w:before="53" w:after="30"/>
              <w:jc w:val="right"/>
            </w:pPr>
            <w:r>
              <w:rPr>
                <w:color w:val="000000"/>
                <w:sz w:val="20"/>
              </w:rPr>
              <w:tab/>
              <w:t>—</w:t>
            </w:r>
            <w:r>
              <w:rPr>
                <w:color w:val="000000"/>
                <w:sz w:val="20"/>
              </w:rPr>
              <w:tab/>
            </w:r>
          </w:p>
        </w:tc>
      </w:tr>
      <w:tr w:rsidR="005C5CFC" w14:paraId="4735C329" w14:textId="77777777">
        <w:trPr>
          <w:cantSplit/>
          <w:trHeight w:hRule="exact" w:val="285"/>
        </w:trPr>
        <w:tc>
          <w:tcPr>
            <w:tcW w:w="5640" w:type="dxa"/>
            <w:tcBorders>
              <w:top w:val="nil"/>
              <w:left w:val="nil"/>
              <w:bottom w:val="nil"/>
              <w:right w:val="nil"/>
            </w:tcBorders>
            <w:shd w:val="clear" w:color="auto" w:fill="FFFFFF"/>
            <w:tcMar>
              <w:top w:w="0" w:type="dxa"/>
              <w:left w:w="53" w:type="dxa"/>
              <w:bottom w:w="0" w:type="dxa"/>
              <w:right w:w="53" w:type="dxa"/>
            </w:tcMar>
            <w:vAlign w:val="bottom"/>
          </w:tcPr>
          <w:p w14:paraId="4735C324" w14:textId="77777777" w:rsidR="005C5CFC" w:rsidRDefault="002654E3">
            <w:pPr>
              <w:keepNext/>
              <w:spacing w:before="53" w:after="30"/>
              <w:ind w:left="360" w:hanging="180"/>
              <w:rPr>
                <w:sz w:val="20"/>
              </w:rPr>
            </w:pPr>
            <w:r>
              <w:rPr>
                <w:sz w:val="20"/>
              </w:rPr>
              <w:t>Start-up costs</w:t>
            </w:r>
            <w:r>
              <w:rPr>
                <w:sz w:val="20"/>
                <w:vertAlign w:val="superscript"/>
              </w:rPr>
              <w:t>(2)</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325"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326" w14:textId="77777777" w:rsidR="005C5CFC" w:rsidRDefault="002654E3">
            <w:pPr>
              <w:keepNext/>
              <w:tabs>
                <w:tab w:val="left" w:pos="1224"/>
                <w:tab w:val="left" w:pos="1732"/>
              </w:tabs>
              <w:spacing w:before="53" w:after="30"/>
              <w:jc w:val="right"/>
            </w:pPr>
            <w:r>
              <w:rPr>
                <w:color w:val="000000"/>
                <w:sz w:val="20"/>
              </w:rPr>
              <w:tab/>
              <w:t>837</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327"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328" w14:textId="77777777" w:rsidR="005C5CFC" w:rsidRDefault="002654E3">
            <w:pPr>
              <w:keepNext/>
              <w:tabs>
                <w:tab w:val="left" w:pos="1074"/>
                <w:tab w:val="left" w:pos="1732"/>
              </w:tabs>
              <w:spacing w:before="53" w:after="30"/>
              <w:jc w:val="right"/>
            </w:pPr>
            <w:r>
              <w:rPr>
                <w:color w:val="000000"/>
                <w:sz w:val="20"/>
              </w:rPr>
              <w:tab/>
              <w:t>1,311</w:t>
            </w:r>
            <w:r>
              <w:rPr>
                <w:color w:val="000000"/>
                <w:sz w:val="20"/>
              </w:rPr>
              <w:tab/>
            </w:r>
          </w:p>
        </w:tc>
      </w:tr>
      <w:tr w:rsidR="005C5CFC" w14:paraId="4735C32F" w14:textId="77777777">
        <w:trPr>
          <w:cantSplit/>
          <w:trHeight w:hRule="exact" w:val="285"/>
        </w:trPr>
        <w:tc>
          <w:tcPr>
            <w:tcW w:w="5640" w:type="dxa"/>
            <w:tcBorders>
              <w:top w:val="nil"/>
              <w:left w:val="nil"/>
              <w:bottom w:val="nil"/>
              <w:right w:val="nil"/>
            </w:tcBorders>
            <w:shd w:val="clear" w:color="auto" w:fill="CCEEFF"/>
            <w:tcMar>
              <w:top w:w="0" w:type="dxa"/>
              <w:left w:w="53" w:type="dxa"/>
              <w:bottom w:w="0" w:type="dxa"/>
              <w:right w:w="53" w:type="dxa"/>
            </w:tcMar>
            <w:vAlign w:val="bottom"/>
          </w:tcPr>
          <w:p w14:paraId="4735C32A" w14:textId="77777777" w:rsidR="005C5CFC" w:rsidRDefault="002654E3">
            <w:pPr>
              <w:keepNext/>
              <w:spacing w:before="53" w:after="30"/>
              <w:ind w:left="360" w:hanging="180"/>
              <w:rPr>
                <w:sz w:val="20"/>
              </w:rPr>
            </w:pPr>
            <w:r>
              <w:rPr>
                <w:sz w:val="20"/>
              </w:rPr>
              <w:t xml:space="preserve">Start-up costs included in cost of </w:t>
            </w:r>
            <w:r>
              <w:rPr>
                <w:sz w:val="20"/>
              </w:rPr>
              <w:t>goods sold</w:t>
            </w:r>
            <w:r>
              <w:rPr>
                <w:sz w:val="20"/>
                <w:vertAlign w:val="superscript"/>
              </w:rPr>
              <w:t>(3)</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32B"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32C" w14:textId="77777777" w:rsidR="005C5CFC" w:rsidRDefault="002654E3">
            <w:pPr>
              <w:keepNext/>
              <w:tabs>
                <w:tab w:val="left" w:pos="1074"/>
                <w:tab w:val="left" w:pos="1732"/>
              </w:tabs>
              <w:spacing w:before="53" w:after="30"/>
              <w:jc w:val="right"/>
            </w:pPr>
            <w:r>
              <w:rPr>
                <w:color w:val="000000"/>
                <w:sz w:val="20"/>
              </w:rPr>
              <w:tab/>
              <w:t>3,923</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15" w:type="dxa"/>
            </w:tcMar>
            <w:vAlign w:val="bottom"/>
          </w:tcPr>
          <w:p w14:paraId="4735C32D" w14:textId="77777777" w:rsidR="005C5CFC" w:rsidRDefault="005C5CFC">
            <w:pPr>
              <w:keepNext/>
              <w:spacing w:before="53" w:after="30"/>
              <w:jc w:val="righ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32E" w14:textId="77777777" w:rsidR="005C5CFC" w:rsidRDefault="002654E3">
            <w:pPr>
              <w:keepNext/>
              <w:tabs>
                <w:tab w:val="left" w:pos="1324"/>
                <w:tab w:val="left" w:pos="1732"/>
              </w:tabs>
              <w:spacing w:before="53" w:after="30"/>
              <w:jc w:val="right"/>
            </w:pPr>
            <w:r>
              <w:rPr>
                <w:color w:val="000000"/>
                <w:sz w:val="20"/>
              </w:rPr>
              <w:tab/>
              <w:t>—</w:t>
            </w:r>
            <w:r>
              <w:rPr>
                <w:color w:val="000000"/>
                <w:sz w:val="20"/>
              </w:rPr>
              <w:tab/>
            </w:r>
          </w:p>
        </w:tc>
      </w:tr>
      <w:tr w:rsidR="005C5CFC" w14:paraId="4735C335" w14:textId="77777777">
        <w:trPr>
          <w:cantSplit/>
          <w:trHeight w:hRule="exact" w:val="285"/>
        </w:trPr>
        <w:tc>
          <w:tcPr>
            <w:tcW w:w="5640" w:type="dxa"/>
            <w:tcBorders>
              <w:top w:val="nil"/>
              <w:left w:val="nil"/>
              <w:bottom w:val="nil"/>
              <w:right w:val="nil"/>
            </w:tcBorders>
            <w:shd w:val="clear" w:color="auto" w:fill="FFFFFF"/>
            <w:tcMar>
              <w:top w:w="0" w:type="dxa"/>
              <w:left w:w="53" w:type="dxa"/>
              <w:bottom w:w="0" w:type="dxa"/>
              <w:right w:w="53" w:type="dxa"/>
            </w:tcMar>
            <w:vAlign w:val="bottom"/>
          </w:tcPr>
          <w:p w14:paraId="4735C330" w14:textId="77777777" w:rsidR="005C5CFC" w:rsidRDefault="002654E3">
            <w:pPr>
              <w:keepNext/>
              <w:spacing w:before="53" w:after="30"/>
              <w:ind w:left="360" w:hanging="180"/>
              <w:rPr>
                <w:sz w:val="20"/>
              </w:rPr>
            </w:pPr>
            <w:r>
              <w:rPr>
                <w:sz w:val="20"/>
              </w:rPr>
              <w:t>Transaction-related and other non-recurring expenses</w:t>
            </w:r>
            <w:r>
              <w:rPr>
                <w:sz w:val="20"/>
                <w:vertAlign w:val="superscript"/>
              </w:rPr>
              <w:t>(4)</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331"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332" w14:textId="77777777" w:rsidR="005C5CFC" w:rsidRDefault="002654E3">
            <w:pPr>
              <w:keepNext/>
              <w:tabs>
                <w:tab w:val="left" w:pos="1074"/>
                <w:tab w:val="left" w:pos="1732"/>
              </w:tabs>
              <w:spacing w:before="53" w:after="30"/>
              <w:jc w:val="right"/>
            </w:pPr>
            <w:r>
              <w:rPr>
                <w:color w:val="000000"/>
                <w:sz w:val="20"/>
              </w:rPr>
              <w:tab/>
              <w:t>6,194</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333" w14:textId="77777777" w:rsidR="005C5CFC" w:rsidRDefault="005C5CFC">
            <w:pPr>
              <w:keepNext/>
            </w:pPr>
          </w:p>
        </w:tc>
        <w:tc>
          <w:tcPr>
            <w:tcW w:w="1800" w:type="dxa"/>
            <w:tcBorders>
              <w:top w:val="nil"/>
              <w:left w:val="nil"/>
              <w:bottom w:val="nil"/>
              <w:right w:val="nil"/>
            </w:tcBorders>
            <w:shd w:val="clear" w:color="auto" w:fill="FFFFFF"/>
            <w:tcMar>
              <w:top w:w="0" w:type="dxa"/>
              <w:left w:w="0" w:type="dxa"/>
              <w:bottom w:w="0" w:type="dxa"/>
              <w:right w:w="15" w:type="dxa"/>
            </w:tcMar>
            <w:vAlign w:val="bottom"/>
          </w:tcPr>
          <w:p w14:paraId="4735C334" w14:textId="77777777" w:rsidR="005C5CFC" w:rsidRDefault="002654E3">
            <w:pPr>
              <w:keepNext/>
              <w:tabs>
                <w:tab w:val="left" w:pos="1074"/>
                <w:tab w:val="left" w:pos="1732"/>
              </w:tabs>
              <w:spacing w:before="53" w:after="30"/>
              <w:jc w:val="right"/>
            </w:pPr>
            <w:r>
              <w:rPr>
                <w:color w:val="000000"/>
                <w:sz w:val="20"/>
              </w:rPr>
              <w:tab/>
              <w:t>2,178</w:t>
            </w:r>
            <w:r>
              <w:rPr>
                <w:color w:val="000000"/>
                <w:sz w:val="20"/>
              </w:rPr>
              <w:tab/>
            </w:r>
          </w:p>
        </w:tc>
      </w:tr>
      <w:tr w:rsidR="005C5CFC" w14:paraId="4735C33B" w14:textId="77777777">
        <w:trPr>
          <w:cantSplit/>
          <w:trHeight w:hRule="exact" w:val="285"/>
        </w:trPr>
        <w:tc>
          <w:tcPr>
            <w:tcW w:w="5640" w:type="dxa"/>
            <w:tcBorders>
              <w:top w:val="nil"/>
              <w:left w:val="nil"/>
              <w:bottom w:val="nil"/>
              <w:right w:val="nil"/>
            </w:tcBorders>
            <w:shd w:val="clear" w:color="auto" w:fill="CCEEFF"/>
            <w:tcMar>
              <w:top w:w="0" w:type="dxa"/>
              <w:left w:w="53" w:type="dxa"/>
              <w:bottom w:w="0" w:type="dxa"/>
              <w:right w:w="53" w:type="dxa"/>
            </w:tcMar>
            <w:vAlign w:val="bottom"/>
          </w:tcPr>
          <w:p w14:paraId="4735C336" w14:textId="77777777" w:rsidR="005C5CFC" w:rsidRDefault="002654E3">
            <w:pPr>
              <w:keepNext/>
              <w:spacing w:before="53" w:after="30"/>
              <w:ind w:left="360" w:hanging="180"/>
            </w:pPr>
            <w:r>
              <w:rPr>
                <w:color w:val="000000"/>
                <w:sz w:val="20"/>
              </w:rPr>
              <w:t>Loss on sale of assets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337"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338" w14:textId="77777777" w:rsidR="005C5CFC" w:rsidRDefault="002654E3">
            <w:pPr>
              <w:keepNext/>
              <w:tabs>
                <w:tab w:val="left" w:pos="1224"/>
                <w:tab w:val="left" w:pos="1732"/>
              </w:tabs>
              <w:spacing w:before="53" w:after="30"/>
              <w:jc w:val="right"/>
            </w:pPr>
            <w:r>
              <w:rPr>
                <w:color w:val="000000"/>
                <w:sz w:val="20"/>
              </w:rPr>
              <w:tab/>
              <w:t>818</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339" w14:textId="77777777" w:rsidR="005C5CFC" w:rsidRDefault="005C5CFC">
            <w:pPr>
              <w:keepNext/>
            </w:pPr>
          </w:p>
        </w:tc>
        <w:tc>
          <w:tcPr>
            <w:tcW w:w="1800" w:type="dxa"/>
            <w:tcBorders>
              <w:top w:val="nil"/>
              <w:left w:val="nil"/>
              <w:bottom w:val="nil"/>
              <w:right w:val="nil"/>
            </w:tcBorders>
            <w:shd w:val="clear" w:color="auto" w:fill="CCEEFF"/>
            <w:tcMar>
              <w:top w:w="0" w:type="dxa"/>
              <w:left w:w="0" w:type="dxa"/>
              <w:bottom w:w="0" w:type="dxa"/>
              <w:right w:w="15" w:type="dxa"/>
            </w:tcMar>
            <w:vAlign w:val="bottom"/>
          </w:tcPr>
          <w:p w14:paraId="4735C33A" w14:textId="77777777" w:rsidR="005C5CFC" w:rsidRDefault="002654E3">
            <w:pPr>
              <w:keepNext/>
              <w:tabs>
                <w:tab w:val="left" w:pos="1324"/>
                <w:tab w:val="left" w:pos="1732"/>
              </w:tabs>
              <w:spacing w:before="53" w:after="30"/>
              <w:jc w:val="right"/>
            </w:pPr>
            <w:r>
              <w:rPr>
                <w:color w:val="000000"/>
                <w:sz w:val="20"/>
              </w:rPr>
              <w:tab/>
              <w:t>—</w:t>
            </w:r>
            <w:r>
              <w:rPr>
                <w:color w:val="000000"/>
                <w:sz w:val="20"/>
              </w:rPr>
              <w:tab/>
            </w:r>
          </w:p>
        </w:tc>
      </w:tr>
      <w:tr w:rsidR="005C5CFC" w14:paraId="4735C341" w14:textId="77777777">
        <w:trPr>
          <w:cantSplit/>
          <w:trHeight w:hRule="exact" w:val="285"/>
        </w:trPr>
        <w:tc>
          <w:tcPr>
            <w:tcW w:w="5640" w:type="dxa"/>
            <w:tcBorders>
              <w:top w:val="nil"/>
              <w:left w:val="nil"/>
              <w:bottom w:val="nil"/>
              <w:right w:val="nil"/>
            </w:tcBorders>
            <w:shd w:val="clear" w:color="auto" w:fill="FFFFFF"/>
            <w:tcMar>
              <w:top w:w="0" w:type="dxa"/>
              <w:left w:w="53" w:type="dxa"/>
              <w:bottom w:w="0" w:type="dxa"/>
              <w:right w:w="53" w:type="dxa"/>
            </w:tcMar>
            <w:vAlign w:val="bottom"/>
          </w:tcPr>
          <w:p w14:paraId="4735C33C" w14:textId="77777777" w:rsidR="005C5CFC" w:rsidRDefault="002654E3">
            <w:pPr>
              <w:keepNext/>
              <w:spacing w:before="33" w:after="30"/>
              <w:ind w:left="360" w:hanging="180"/>
            </w:pPr>
            <w:r>
              <w:rPr>
                <w:color w:val="000000"/>
                <w:sz w:val="20"/>
              </w:rPr>
              <w:t>Litigation settlement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33D" w14:textId="77777777" w:rsidR="005C5CFC" w:rsidRDefault="005C5CFC">
            <w:pPr>
              <w:keepNext/>
            </w:pPr>
          </w:p>
        </w:tc>
        <w:tc>
          <w:tcPr>
            <w:tcW w:w="18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735C33E" w14:textId="77777777" w:rsidR="005C5CFC" w:rsidRDefault="002654E3">
            <w:pPr>
              <w:keepNext/>
              <w:tabs>
                <w:tab w:val="left" w:pos="1074"/>
                <w:tab w:val="left" w:pos="1732"/>
              </w:tabs>
              <w:spacing w:before="33" w:after="30"/>
              <w:jc w:val="right"/>
            </w:pPr>
            <w:r>
              <w:rPr>
                <w:color w:val="000000"/>
                <w:sz w:val="20"/>
              </w:rPr>
              <w:tab/>
              <w:t>5,000</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33F" w14:textId="77777777" w:rsidR="005C5CFC" w:rsidRDefault="005C5CFC">
            <w:pPr>
              <w:keepNext/>
            </w:pPr>
          </w:p>
        </w:tc>
        <w:tc>
          <w:tcPr>
            <w:tcW w:w="18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735C340" w14:textId="77777777" w:rsidR="005C5CFC" w:rsidRDefault="002654E3">
            <w:pPr>
              <w:keepNext/>
              <w:tabs>
                <w:tab w:val="left" w:pos="974"/>
                <w:tab w:val="left" w:pos="1732"/>
              </w:tabs>
              <w:spacing w:before="33" w:after="30"/>
              <w:jc w:val="right"/>
            </w:pPr>
            <w:r>
              <w:rPr>
                <w:color w:val="000000"/>
                <w:sz w:val="20"/>
              </w:rPr>
              <w:tab/>
              <w:t>36,511</w:t>
            </w:r>
            <w:r>
              <w:rPr>
                <w:color w:val="000000"/>
                <w:sz w:val="20"/>
              </w:rPr>
              <w:tab/>
            </w:r>
          </w:p>
        </w:tc>
      </w:tr>
      <w:tr w:rsidR="005C5CFC" w14:paraId="4735C347" w14:textId="77777777">
        <w:trPr>
          <w:cantSplit/>
          <w:trHeight w:hRule="exact" w:val="285"/>
        </w:trPr>
        <w:tc>
          <w:tcPr>
            <w:tcW w:w="5640" w:type="dxa"/>
            <w:tcBorders>
              <w:top w:val="nil"/>
              <w:left w:val="nil"/>
              <w:bottom w:val="nil"/>
              <w:right w:val="nil"/>
            </w:tcBorders>
            <w:shd w:val="clear" w:color="auto" w:fill="CCEEFF"/>
            <w:tcMar>
              <w:top w:w="0" w:type="dxa"/>
              <w:left w:w="53" w:type="dxa"/>
              <w:bottom w:w="0" w:type="dxa"/>
              <w:right w:w="53" w:type="dxa"/>
            </w:tcMar>
            <w:vAlign w:val="bottom"/>
          </w:tcPr>
          <w:p w14:paraId="4735C342" w14:textId="77777777" w:rsidR="005C5CFC" w:rsidRDefault="002654E3">
            <w:pPr>
              <w:keepNext/>
              <w:spacing w:before="33" w:after="30"/>
            </w:pPr>
            <w:r>
              <w:rPr>
                <w:b/>
                <w:color w:val="000000"/>
                <w:sz w:val="20"/>
              </w:rPr>
              <w:t>Adjusted EBITDA</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343" w14:textId="77777777" w:rsidR="005C5CFC" w:rsidRDefault="005C5CFC">
            <w:pPr>
              <w:keepNext/>
            </w:pPr>
          </w:p>
        </w:tc>
        <w:tc>
          <w:tcPr>
            <w:tcW w:w="18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735C344" w14:textId="77777777" w:rsidR="005C5CFC" w:rsidRDefault="002654E3">
            <w:pPr>
              <w:keepNext/>
              <w:tabs>
                <w:tab w:val="left" w:pos="974"/>
                <w:tab w:val="left" w:pos="1732"/>
              </w:tabs>
              <w:spacing w:before="33" w:after="30"/>
              <w:jc w:val="right"/>
            </w:pPr>
            <w:r>
              <w:rPr>
                <w:color w:val="000000"/>
                <w:sz w:val="20"/>
              </w:rPr>
              <w:t>$</w:t>
            </w:r>
            <w:r>
              <w:rPr>
                <w:color w:val="000000"/>
                <w:sz w:val="20"/>
              </w:rPr>
              <w:tab/>
              <w:t>16,370</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35C345" w14:textId="77777777" w:rsidR="005C5CFC" w:rsidRDefault="005C5CFC">
            <w:pPr>
              <w:keepNext/>
            </w:pPr>
          </w:p>
        </w:tc>
        <w:tc>
          <w:tcPr>
            <w:tcW w:w="18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735C346" w14:textId="77777777" w:rsidR="005C5CFC" w:rsidRDefault="002654E3">
            <w:pPr>
              <w:keepNext/>
              <w:tabs>
                <w:tab w:val="left" w:pos="974"/>
                <w:tab w:val="left" w:pos="1732"/>
              </w:tabs>
              <w:spacing w:before="33" w:after="30"/>
              <w:jc w:val="right"/>
            </w:pPr>
            <w:r>
              <w:rPr>
                <w:color w:val="000000"/>
                <w:sz w:val="20"/>
              </w:rPr>
              <w:t>$</w:t>
            </w:r>
            <w:r>
              <w:rPr>
                <w:color w:val="000000"/>
                <w:sz w:val="20"/>
              </w:rPr>
              <w:tab/>
              <w:t>15,828</w:t>
            </w:r>
            <w:r>
              <w:rPr>
                <w:color w:val="000000"/>
                <w:sz w:val="20"/>
              </w:rPr>
              <w:tab/>
            </w:r>
          </w:p>
        </w:tc>
      </w:tr>
      <w:tr w:rsidR="005C5CFC" w14:paraId="4735C34D" w14:textId="77777777">
        <w:trPr>
          <w:cantSplit/>
          <w:trHeight w:hRule="exact" w:val="255"/>
        </w:trPr>
        <w:tc>
          <w:tcPr>
            <w:tcW w:w="5640" w:type="dxa"/>
            <w:tcBorders>
              <w:top w:val="nil"/>
              <w:left w:val="nil"/>
              <w:bottom w:val="nil"/>
              <w:right w:val="nil"/>
            </w:tcBorders>
            <w:shd w:val="clear" w:color="auto" w:fill="FFFFFF"/>
            <w:tcMar>
              <w:top w:w="0" w:type="dxa"/>
              <w:left w:w="53" w:type="dxa"/>
              <w:bottom w:w="0" w:type="dxa"/>
              <w:right w:w="53" w:type="dxa"/>
            </w:tcMar>
            <w:vAlign w:val="bottom"/>
          </w:tcPr>
          <w:p w14:paraId="4735C348" w14:textId="77777777" w:rsidR="005C5CFC" w:rsidRDefault="002654E3">
            <w:pPr>
              <w:spacing w:after="30"/>
            </w:pPr>
            <w:r>
              <w:rPr>
                <w:i/>
                <w:color w:val="000000"/>
                <w:sz w:val="18"/>
              </w:rPr>
              <w:t>Adjusted EBITDA Margin</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349" w14:textId="77777777" w:rsidR="005C5CFC" w:rsidRDefault="005C5CFC"/>
        </w:tc>
        <w:tc>
          <w:tcPr>
            <w:tcW w:w="18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14:paraId="4735C34A" w14:textId="77777777" w:rsidR="005C5CFC" w:rsidRDefault="002654E3">
            <w:pPr>
              <w:tabs>
                <w:tab w:val="left" w:pos="1"/>
                <w:tab w:val="left" w:pos="525"/>
              </w:tabs>
              <w:spacing w:after="30"/>
              <w:jc w:val="right"/>
            </w:pPr>
            <w:r>
              <w:rPr>
                <w:i/>
                <w:color w:val="000000"/>
                <w:sz w:val="18"/>
              </w:rPr>
              <w:tab/>
              <w:t>19.2%</w:t>
            </w:r>
            <w:r>
              <w:rPr>
                <w:i/>
                <w:color w:val="000000"/>
                <w:sz w:val="18"/>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35C34B" w14:textId="77777777" w:rsidR="005C5CFC" w:rsidRDefault="005C5CFC"/>
        </w:tc>
        <w:tc>
          <w:tcPr>
            <w:tcW w:w="18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14:paraId="4735C34C" w14:textId="77777777" w:rsidR="005C5CFC" w:rsidRDefault="002654E3">
            <w:pPr>
              <w:tabs>
                <w:tab w:val="left" w:pos="1"/>
                <w:tab w:val="left" w:pos="525"/>
              </w:tabs>
              <w:spacing w:after="30"/>
              <w:jc w:val="right"/>
            </w:pPr>
            <w:r>
              <w:rPr>
                <w:i/>
                <w:color w:val="000000"/>
                <w:sz w:val="18"/>
              </w:rPr>
              <w:tab/>
            </w:r>
            <w:r>
              <w:rPr>
                <w:i/>
                <w:color w:val="000000"/>
                <w:sz w:val="18"/>
              </w:rPr>
              <w:t>23.9%</w:t>
            </w:r>
            <w:r>
              <w:rPr>
                <w:i/>
                <w:color w:val="000000"/>
                <w:sz w:val="18"/>
              </w:rPr>
              <w:tab/>
            </w:r>
          </w:p>
        </w:tc>
      </w:tr>
    </w:tbl>
    <w:p w14:paraId="4735C34E" w14:textId="77777777" w:rsidR="005C5CFC" w:rsidRDefault="002654E3">
      <w:pPr>
        <w:numPr>
          <w:ilvl w:val="0"/>
          <w:numId w:val="24"/>
        </w:numPr>
        <w:spacing w:before="180" w:after="120" w:line="288" w:lineRule="auto"/>
        <w:ind w:left="360"/>
        <w:jc w:val="both"/>
        <w:rPr>
          <w:sz w:val="18"/>
          <w:vertAlign w:val="superscript"/>
        </w:rPr>
      </w:pPr>
      <w:r>
        <w:rPr>
          <w:sz w:val="18"/>
        </w:rPr>
        <w:t>Primarily consists of write-offs of expired products and obsolete packaging.</w:t>
      </w:r>
    </w:p>
    <w:p w14:paraId="4735C34F" w14:textId="77777777" w:rsidR="005C5CFC" w:rsidRDefault="002654E3">
      <w:pPr>
        <w:numPr>
          <w:ilvl w:val="0"/>
          <w:numId w:val="25"/>
        </w:numPr>
        <w:spacing w:after="120" w:line="288" w:lineRule="auto"/>
        <w:ind w:left="360"/>
        <w:jc w:val="both"/>
        <w:rPr>
          <w:sz w:val="18"/>
          <w:vertAlign w:val="superscript"/>
        </w:rPr>
      </w:pPr>
      <w:r>
        <w:rPr>
          <w:sz w:val="18"/>
        </w:rPr>
        <w:t xml:space="preserve">One-time costs associated with acquiring real estate, obtaining licenses and permits, and other costs incurred before commencement of operations at certain locations. </w:t>
      </w:r>
    </w:p>
    <w:p w14:paraId="4735C350" w14:textId="77777777" w:rsidR="005C5CFC" w:rsidRDefault="002654E3">
      <w:pPr>
        <w:numPr>
          <w:ilvl w:val="0"/>
          <w:numId w:val="26"/>
        </w:numPr>
        <w:spacing w:after="120" w:line="288" w:lineRule="auto"/>
        <w:ind w:left="360"/>
        <w:jc w:val="both"/>
        <w:rPr>
          <w:sz w:val="18"/>
          <w:vertAlign w:val="superscript"/>
        </w:rPr>
      </w:pPr>
      <w:r>
        <w:rPr>
          <w:sz w:val="18"/>
        </w:rPr>
        <w:t>Incremental expenses associated with the expansion of activities at our cultivation faci</w:t>
      </w:r>
      <w:r>
        <w:rPr>
          <w:sz w:val="18"/>
        </w:rPr>
        <w:t xml:space="preserve">lities that are not yet operating at scale, including excess overhead expenses resulting in delays from regulatory approvals at certain cultivation facilities. </w:t>
      </w:r>
    </w:p>
    <w:p w14:paraId="4735C351" w14:textId="77777777" w:rsidR="005C5CFC" w:rsidRDefault="002654E3">
      <w:pPr>
        <w:numPr>
          <w:ilvl w:val="0"/>
          <w:numId w:val="27"/>
        </w:numPr>
        <w:spacing w:after="120" w:line="288" w:lineRule="auto"/>
        <w:ind w:left="360"/>
        <w:jc w:val="both"/>
        <w:rPr>
          <w:sz w:val="18"/>
          <w:vertAlign w:val="superscript"/>
        </w:rPr>
      </w:pPr>
      <w:r>
        <w:rPr>
          <w:sz w:val="18"/>
        </w:rPr>
        <w:t>Legal and professional fees associated with litigation matters, potential acquisitions, and oth</w:t>
      </w:r>
      <w:r>
        <w:rPr>
          <w:sz w:val="18"/>
        </w:rPr>
        <w:t xml:space="preserve">er regulatory matters and other non-recurring expenses. The prior year includes expenses related to the Company’s Initial Public Offering. </w:t>
      </w:r>
    </w:p>
    <w:sectPr w:rsidR="005C5CFC">
      <w:headerReference w:type="default" r:id="rId18"/>
      <w:pgSz w:w="12240" w:h="15840"/>
      <w:pgMar w:top="1440" w:right="1440" w:bottom="1440" w:left="1440" w:header="450" w:footer="4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C364" w14:textId="77777777" w:rsidR="00000000" w:rsidRDefault="002654E3">
      <w:r>
        <w:separator/>
      </w:r>
    </w:p>
  </w:endnote>
  <w:endnote w:type="continuationSeparator" w:id="0">
    <w:p w14:paraId="4735C366" w14:textId="77777777" w:rsidR="00000000" w:rsidRDefault="0026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C357" w14:textId="77777777" w:rsidR="005C5CFC" w:rsidRDefault="002654E3">
    <w:pPr>
      <w:spacing w:line="288" w:lineRule="auto"/>
      <w:jc w:val="center"/>
    </w:pPr>
    <w:r>
      <w:rPr>
        <w:sz w:val="18"/>
      </w:rPr>
      <w:fldChar w:fldCharType="begin"/>
    </w:r>
    <w:r>
      <w:rPr>
        <w:sz w:val="18"/>
      </w:rPr>
      <w:instrText xml:space="preserve"> PAGE </w:instrText>
    </w:r>
    <w:r>
      <w:rPr>
        <w:sz w:val="18"/>
      </w:rPr>
      <w:fldChar w:fldCharType="separate"/>
    </w:r>
    <w:r>
      <w:rPr>
        <w:sz w:val="18"/>
      </w:rPr>
      <w:t>9</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C359" w14:textId="77777777" w:rsidR="005C5CFC" w:rsidRDefault="002654E3">
    <w:pPr>
      <w:spacing w:line="288" w:lineRule="auto"/>
      <w:jc w:val="center"/>
    </w:pPr>
    <w:r>
      <w:rPr>
        <w:sz w:val="18"/>
      </w:rPr>
      <w:fldChar w:fldCharType="begin"/>
    </w:r>
    <w:r>
      <w:rPr>
        <w:sz w:val="18"/>
      </w:rPr>
      <w:instrText xml:space="preserve"> PAGE </w:instrText>
    </w:r>
    <w:r>
      <w:rPr>
        <w:sz w:val="18"/>
      </w:rPr>
      <w:fldChar w:fldCharType="separate"/>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C354" w14:textId="77777777" w:rsidR="005C5CFC" w:rsidRDefault="002654E3">
      <w:r>
        <w:separator/>
      </w:r>
    </w:p>
  </w:footnote>
  <w:footnote w:type="continuationSeparator" w:id="0">
    <w:p w14:paraId="4735C355" w14:textId="77777777" w:rsidR="005C5CFC" w:rsidRDefault="002654E3">
      <w:r>
        <w:continuationSeparator/>
      </w:r>
    </w:p>
  </w:footnote>
  <w:footnote w:id="1">
    <w:p w14:paraId="4735C362" w14:textId="77777777" w:rsidR="005C5CFC" w:rsidRDefault="002654E3">
      <w:pPr>
        <w:pStyle w:val="FootnoteText"/>
        <w:spacing w:line="288" w:lineRule="auto"/>
        <w:ind w:left="360" w:hanging="360"/>
        <w:rPr>
          <w:sz w:val="18"/>
          <w:vertAlign w:val="superscript"/>
        </w:rPr>
      </w:pPr>
      <w:r>
        <w:rPr>
          <w:rStyle w:val="FootnoteReference"/>
          <w:sz w:val="18"/>
        </w:rPr>
        <w:footnoteRef/>
      </w:r>
      <w:r>
        <w:rPr>
          <w:sz w:val="16"/>
        </w:rPr>
        <w:tab/>
        <w:t>Adjusted Gross Prof</w:t>
      </w:r>
      <w:r>
        <w:rPr>
          <w:sz w:val="16"/>
        </w:rPr>
        <w:t>it, Adjusted Gross Margin, Adjusted EBITDA and Adjusted EBITDA Margin are a non-GAAP financial measures. Please see the “Supplemental Information (Unaudited) Regarding Non-GAAP Financial Measures” at the end of this press release for a reconciliation of no</w:t>
      </w:r>
      <w:r>
        <w:rPr>
          <w:sz w:val="16"/>
        </w:rPr>
        <w:t xml:space="preserve">n-GAAP to GAAP measures. </w:t>
      </w:r>
    </w:p>
  </w:footnote>
  <w:footnote w:id="2">
    <w:p w14:paraId="4735C363" w14:textId="77777777" w:rsidR="005C5CFC" w:rsidRDefault="002654E3">
      <w:pPr>
        <w:pStyle w:val="FootnoteText"/>
        <w:spacing w:line="288" w:lineRule="auto"/>
        <w:rPr>
          <w:sz w:val="16"/>
        </w:rPr>
      </w:pPr>
      <w:r>
        <w:rPr>
          <w:rStyle w:val="FootnoteReference"/>
          <w:sz w:val="16"/>
        </w:rPr>
        <w:footnoteRef/>
      </w:r>
      <w:r>
        <w:rPr>
          <w:sz w:val="16"/>
        </w:rPr>
        <w:t xml:space="preserve">        Total debt less cash and cash equivalents less unamortized deferred financing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C356" w14:textId="77777777" w:rsidR="005C5CFC" w:rsidRDefault="005C5CFC">
    <w:pPr>
      <w:spacing w:line="288" w:lineRule="aut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C358" w14:textId="77777777" w:rsidR="005C5CFC" w:rsidRDefault="002654E3">
    <w:pPr>
      <w:spacing w:line="288" w:lineRule="auto"/>
      <w:jc w:val="right"/>
      <w:outlineLvl w:val="0"/>
      <w:rPr>
        <w:b/>
      </w:rPr>
    </w:pPr>
    <w:r>
      <w:rPr>
        <w:b/>
      </w:rPr>
      <w:t>Exhibit 99.1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C35A" w14:textId="77777777" w:rsidR="005C5CFC" w:rsidRDefault="002654E3">
    <w:pPr>
      <w:spacing w:after="120" w:line="288" w:lineRule="auto"/>
      <w:outlineLvl w:val="0"/>
      <w:rPr>
        <w:sz w:val="20"/>
      </w:rPr>
    </w:pPr>
    <w:r>
      <w:rPr>
        <w:b/>
        <w:sz w:val="20"/>
      </w:rPr>
      <w:t>ASCEND WELLNESS HOLDINGS, INC.</w:t>
    </w:r>
  </w:p>
  <w:p w14:paraId="4735C35B" w14:textId="77777777" w:rsidR="005C5CFC" w:rsidRDefault="002654E3">
    <w:pPr>
      <w:spacing w:after="120" w:line="288" w:lineRule="auto"/>
      <w:rPr>
        <w:sz w:val="20"/>
      </w:rPr>
    </w:pPr>
    <w:r>
      <w:rPr>
        <w:b/>
        <w:sz w:val="20"/>
      </w:rPr>
      <w:t>CONDENSED CONSOLIDATED STATEMENTS OF OPERATIONS INFORMATION (UNAUDITED)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C35C" w14:textId="77777777" w:rsidR="005C5CFC" w:rsidRDefault="002654E3">
    <w:pPr>
      <w:spacing w:after="120" w:line="288" w:lineRule="auto"/>
      <w:outlineLvl w:val="0"/>
      <w:rPr>
        <w:sz w:val="20"/>
      </w:rPr>
    </w:pPr>
    <w:r>
      <w:rPr>
        <w:b/>
        <w:sz w:val="20"/>
      </w:rPr>
      <w:t>ASCEND WELLNESS HOLDINGS, INC.</w:t>
    </w:r>
  </w:p>
  <w:p w14:paraId="4735C35D" w14:textId="77777777" w:rsidR="005C5CFC" w:rsidRDefault="002654E3">
    <w:pPr>
      <w:spacing w:after="120" w:line="288" w:lineRule="auto"/>
      <w:rPr>
        <w:sz w:val="20"/>
      </w:rPr>
    </w:pPr>
    <w:r>
      <w:rPr>
        <w:b/>
        <w:sz w:val="20"/>
      </w:rPr>
      <w:t>SELECTED CONDENSED CONSOLIDATED CASH FLOW INFORMATION (UNAUDITED)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C35E" w14:textId="77777777" w:rsidR="005C5CFC" w:rsidRDefault="002654E3">
    <w:pPr>
      <w:spacing w:after="120" w:line="288" w:lineRule="auto"/>
      <w:outlineLvl w:val="0"/>
      <w:rPr>
        <w:sz w:val="20"/>
      </w:rPr>
    </w:pPr>
    <w:r>
      <w:rPr>
        <w:b/>
        <w:sz w:val="20"/>
      </w:rPr>
      <w:t>ASCEND WELLNESS HOLDINGS, INC.</w:t>
    </w:r>
  </w:p>
  <w:p w14:paraId="4735C35F" w14:textId="77777777" w:rsidR="005C5CFC" w:rsidRDefault="002654E3">
    <w:pPr>
      <w:spacing w:after="120" w:line="288" w:lineRule="auto"/>
      <w:rPr>
        <w:sz w:val="20"/>
      </w:rPr>
    </w:pPr>
    <w:r>
      <w:rPr>
        <w:b/>
        <w:sz w:val="20"/>
      </w:rPr>
      <w:t>SELECTED CONDENSED CONSOLIDATED BALANCE SHEET INFORMATION (UNAUDITED)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C360" w14:textId="77777777" w:rsidR="005C5CFC" w:rsidRDefault="002654E3">
    <w:pPr>
      <w:spacing w:after="120" w:line="288" w:lineRule="auto"/>
      <w:outlineLvl w:val="0"/>
      <w:rPr>
        <w:sz w:val="20"/>
      </w:rPr>
    </w:pPr>
    <w:r>
      <w:rPr>
        <w:b/>
        <w:sz w:val="20"/>
      </w:rPr>
      <w:t>ASCEND WELLNESS HOLDINGS, INC.</w:t>
    </w:r>
  </w:p>
  <w:p w14:paraId="4735C361" w14:textId="77777777" w:rsidR="005C5CFC" w:rsidRDefault="002654E3">
    <w:pPr>
      <w:spacing w:after="120" w:line="288" w:lineRule="auto"/>
      <w:rPr>
        <w:b/>
        <w:sz w:val="20"/>
      </w:rPr>
    </w:pPr>
    <w:r>
      <w:rPr>
        <w:b/>
        <w:sz w:val="20"/>
      </w:rPr>
      <w:t>RECONCILIATIONS OF NON-GAAP FINANCIAL MEASURES (UNAUDITED)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bulletasterisk"/>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1" w15:restartNumberingAfterBreak="0">
    <w:nsid w:val="00000002"/>
    <w:multiLevelType w:val="multilevel"/>
    <w:tmpl w:val="00000002"/>
    <w:styleLink w:val="bulletcircl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2" w15:restartNumberingAfterBreak="0">
    <w:nsid w:val="00000003"/>
    <w:multiLevelType w:val="multilevel"/>
    <w:tmpl w:val="00000003"/>
    <w:styleLink w:val="bulletdagger"/>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3" w15:restartNumberingAfterBreak="0">
    <w:nsid w:val="00000004"/>
    <w:multiLevelType w:val="multilevel"/>
    <w:tmpl w:val="00000004"/>
    <w:styleLink w:val="bulletdash"/>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4" w15:restartNumberingAfterBreak="0">
    <w:nsid w:val="00000005"/>
    <w:multiLevelType w:val="multilevel"/>
    <w:tmpl w:val="00000005"/>
    <w:styleLink w:val="bulletlargebox"/>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5" w15:restartNumberingAfterBreak="0">
    <w:nsid w:val="00000006"/>
    <w:multiLevelType w:val="multilevel"/>
    <w:tmpl w:val="00000006"/>
    <w:styleLink w:val="bulletround"/>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6" w15:restartNumberingAfterBreak="0">
    <w:nsid w:val="00000007"/>
    <w:multiLevelType w:val="multilevel"/>
    <w:tmpl w:val="00000007"/>
    <w:styleLink w:val="bulletsquar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7" w15:restartNumberingAfterBreak="0">
    <w:nsid w:val="00000008"/>
    <w:multiLevelType w:val="multilevel"/>
    <w:tmpl w:val="00000008"/>
    <w:styleLink w:val="listarabi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styleLink w:val="listlatinlowercas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9" w15:restartNumberingAfterBreak="0">
    <w:nsid w:val="0000000A"/>
    <w:multiLevelType w:val="multilevel"/>
    <w:tmpl w:val="0000000A"/>
    <w:styleLink w:val="listlatinuppercas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styleLink w:val="listromanlowercase"/>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start w:val="1"/>
      <w:numFmt w:val="lowerLetter"/>
      <w:lvlText w:val="%9."/>
      <w:lvlJc w:val="left"/>
      <w:pPr>
        <w:tabs>
          <w:tab w:val="num" w:pos="6480"/>
        </w:tabs>
        <w:ind w:left="6480" w:hanging="180"/>
      </w:pPr>
    </w:lvl>
  </w:abstractNum>
  <w:abstractNum w:abstractNumId="11" w15:restartNumberingAfterBreak="0">
    <w:nsid w:val="0000000C"/>
    <w:multiLevelType w:val="multilevel"/>
    <w:tmpl w:val="0000000C"/>
    <w:styleLink w:val="listromanuppercase"/>
    <w:lvl w:ilvl="0">
      <w:start w:val="1"/>
      <w:numFmt w:val="upperRoman"/>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12" w15:restartNumberingAfterBreak="0">
    <w:nsid w:val="0000000D"/>
    <w:multiLevelType w:val="hybridMultilevel"/>
    <w:tmpl w:val="0000000D"/>
    <w:lvl w:ilvl="0" w:tplc="D29A0B36">
      <w:start w:val="1"/>
      <w:numFmt w:val="bullet"/>
      <w:lvlText w:val="•"/>
      <w:lvlJc w:val="left"/>
      <w:pPr>
        <w:tabs>
          <w:tab w:val="num" w:pos="720"/>
        </w:tabs>
        <w:ind w:left="720" w:hanging="360"/>
      </w:pPr>
      <w:rPr>
        <w:rFonts w:ascii="Times New Roman" w:eastAsia="Times New Roman" w:hAnsi="Times New Roman" w:cs="Times New Roman"/>
        <w:b/>
        <w:i w:val="0"/>
        <w:strike w:val="0"/>
        <w:sz w:val="22"/>
      </w:rPr>
    </w:lvl>
    <w:lvl w:ilvl="1" w:tplc="68809690">
      <w:start w:val="1"/>
      <w:numFmt w:val="bullet"/>
      <w:lvlText w:val="o"/>
      <w:lvlJc w:val="left"/>
      <w:pPr>
        <w:tabs>
          <w:tab w:val="num" w:pos="1440"/>
        </w:tabs>
        <w:ind w:left="1440" w:hanging="360"/>
      </w:pPr>
      <w:rPr>
        <w:rFonts w:ascii="Courier New" w:hAnsi="Courier New"/>
      </w:rPr>
    </w:lvl>
    <w:lvl w:ilvl="2" w:tplc="A59AB52C">
      <w:start w:val="1"/>
      <w:numFmt w:val="bullet"/>
      <w:lvlText w:val=""/>
      <w:lvlJc w:val="left"/>
      <w:pPr>
        <w:tabs>
          <w:tab w:val="num" w:pos="2160"/>
        </w:tabs>
        <w:ind w:left="2160" w:hanging="360"/>
      </w:pPr>
      <w:rPr>
        <w:rFonts w:ascii="Wingdings" w:hAnsi="Wingdings"/>
      </w:rPr>
    </w:lvl>
    <w:lvl w:ilvl="3" w:tplc="0768888C">
      <w:start w:val="1"/>
      <w:numFmt w:val="bullet"/>
      <w:lvlText w:val=""/>
      <w:lvlJc w:val="left"/>
      <w:pPr>
        <w:tabs>
          <w:tab w:val="num" w:pos="2880"/>
        </w:tabs>
        <w:ind w:left="2880" w:hanging="360"/>
      </w:pPr>
      <w:rPr>
        <w:rFonts w:ascii="Symbol" w:hAnsi="Symbol"/>
      </w:rPr>
    </w:lvl>
    <w:lvl w:ilvl="4" w:tplc="C46E6AFC">
      <w:start w:val="1"/>
      <w:numFmt w:val="bullet"/>
      <w:lvlText w:val="o"/>
      <w:lvlJc w:val="left"/>
      <w:pPr>
        <w:tabs>
          <w:tab w:val="num" w:pos="3600"/>
        </w:tabs>
        <w:ind w:left="3600" w:hanging="360"/>
      </w:pPr>
      <w:rPr>
        <w:rFonts w:ascii="Courier New" w:hAnsi="Courier New"/>
      </w:rPr>
    </w:lvl>
    <w:lvl w:ilvl="5" w:tplc="CCF0CBB0">
      <w:start w:val="1"/>
      <w:numFmt w:val="bullet"/>
      <w:lvlText w:val=""/>
      <w:lvlJc w:val="left"/>
      <w:pPr>
        <w:tabs>
          <w:tab w:val="num" w:pos="4320"/>
        </w:tabs>
        <w:ind w:left="4320" w:hanging="360"/>
      </w:pPr>
      <w:rPr>
        <w:rFonts w:ascii="Wingdings" w:hAnsi="Wingdings"/>
      </w:rPr>
    </w:lvl>
    <w:lvl w:ilvl="6" w:tplc="BA8AE8AA">
      <w:start w:val="1"/>
      <w:numFmt w:val="bullet"/>
      <w:lvlText w:val=""/>
      <w:lvlJc w:val="left"/>
      <w:pPr>
        <w:tabs>
          <w:tab w:val="num" w:pos="5040"/>
        </w:tabs>
        <w:ind w:left="5040" w:hanging="360"/>
      </w:pPr>
      <w:rPr>
        <w:rFonts w:ascii="Symbol" w:hAnsi="Symbol"/>
      </w:rPr>
    </w:lvl>
    <w:lvl w:ilvl="7" w:tplc="5A3E923A">
      <w:start w:val="1"/>
      <w:numFmt w:val="bullet"/>
      <w:lvlText w:val="o"/>
      <w:lvlJc w:val="left"/>
      <w:pPr>
        <w:tabs>
          <w:tab w:val="num" w:pos="5760"/>
        </w:tabs>
        <w:ind w:left="5760" w:hanging="360"/>
      </w:pPr>
      <w:rPr>
        <w:rFonts w:ascii="Courier New" w:hAnsi="Courier New"/>
      </w:rPr>
    </w:lvl>
    <w:lvl w:ilvl="8" w:tplc="47C492F2">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1276B1DA">
      <w:start w:val="1"/>
      <w:numFmt w:val="bullet"/>
      <w:lvlText w:val="•"/>
      <w:lvlJc w:val="left"/>
      <w:pPr>
        <w:tabs>
          <w:tab w:val="num" w:pos="720"/>
        </w:tabs>
        <w:ind w:left="720" w:hanging="360"/>
      </w:pPr>
      <w:rPr>
        <w:rFonts w:ascii="Times New Roman" w:eastAsia="Times New Roman" w:hAnsi="Times New Roman" w:cs="Times New Roman"/>
        <w:b/>
        <w:i/>
        <w:strike w:val="0"/>
        <w:sz w:val="22"/>
      </w:rPr>
    </w:lvl>
    <w:lvl w:ilvl="1" w:tplc="A1E68238">
      <w:start w:val="1"/>
      <w:numFmt w:val="bullet"/>
      <w:lvlText w:val="o"/>
      <w:lvlJc w:val="left"/>
      <w:pPr>
        <w:tabs>
          <w:tab w:val="num" w:pos="1440"/>
        </w:tabs>
        <w:ind w:left="1440" w:hanging="360"/>
      </w:pPr>
      <w:rPr>
        <w:rFonts w:ascii="Courier New" w:hAnsi="Courier New"/>
      </w:rPr>
    </w:lvl>
    <w:lvl w:ilvl="2" w:tplc="01BCF9F6">
      <w:start w:val="1"/>
      <w:numFmt w:val="bullet"/>
      <w:lvlText w:val=""/>
      <w:lvlJc w:val="left"/>
      <w:pPr>
        <w:tabs>
          <w:tab w:val="num" w:pos="2160"/>
        </w:tabs>
        <w:ind w:left="2160" w:hanging="360"/>
      </w:pPr>
      <w:rPr>
        <w:rFonts w:ascii="Wingdings" w:hAnsi="Wingdings"/>
      </w:rPr>
    </w:lvl>
    <w:lvl w:ilvl="3" w:tplc="1E1A52EE">
      <w:start w:val="1"/>
      <w:numFmt w:val="bullet"/>
      <w:lvlText w:val=""/>
      <w:lvlJc w:val="left"/>
      <w:pPr>
        <w:tabs>
          <w:tab w:val="num" w:pos="2880"/>
        </w:tabs>
        <w:ind w:left="2880" w:hanging="360"/>
      </w:pPr>
      <w:rPr>
        <w:rFonts w:ascii="Symbol" w:hAnsi="Symbol"/>
      </w:rPr>
    </w:lvl>
    <w:lvl w:ilvl="4" w:tplc="EAEE66A2">
      <w:start w:val="1"/>
      <w:numFmt w:val="bullet"/>
      <w:lvlText w:val="o"/>
      <w:lvlJc w:val="left"/>
      <w:pPr>
        <w:tabs>
          <w:tab w:val="num" w:pos="3600"/>
        </w:tabs>
        <w:ind w:left="3600" w:hanging="360"/>
      </w:pPr>
      <w:rPr>
        <w:rFonts w:ascii="Courier New" w:hAnsi="Courier New"/>
      </w:rPr>
    </w:lvl>
    <w:lvl w:ilvl="5" w:tplc="DAD808F0">
      <w:start w:val="1"/>
      <w:numFmt w:val="bullet"/>
      <w:lvlText w:val=""/>
      <w:lvlJc w:val="left"/>
      <w:pPr>
        <w:tabs>
          <w:tab w:val="num" w:pos="4320"/>
        </w:tabs>
        <w:ind w:left="4320" w:hanging="360"/>
      </w:pPr>
      <w:rPr>
        <w:rFonts w:ascii="Wingdings" w:hAnsi="Wingdings"/>
      </w:rPr>
    </w:lvl>
    <w:lvl w:ilvl="6" w:tplc="42B0ADB8">
      <w:start w:val="1"/>
      <w:numFmt w:val="bullet"/>
      <w:lvlText w:val=""/>
      <w:lvlJc w:val="left"/>
      <w:pPr>
        <w:tabs>
          <w:tab w:val="num" w:pos="5040"/>
        </w:tabs>
        <w:ind w:left="5040" w:hanging="360"/>
      </w:pPr>
      <w:rPr>
        <w:rFonts w:ascii="Symbol" w:hAnsi="Symbol"/>
      </w:rPr>
    </w:lvl>
    <w:lvl w:ilvl="7" w:tplc="FCF4A9C2">
      <w:start w:val="1"/>
      <w:numFmt w:val="bullet"/>
      <w:lvlText w:val="o"/>
      <w:lvlJc w:val="left"/>
      <w:pPr>
        <w:tabs>
          <w:tab w:val="num" w:pos="5760"/>
        </w:tabs>
        <w:ind w:left="5760" w:hanging="360"/>
      </w:pPr>
      <w:rPr>
        <w:rFonts w:ascii="Courier New" w:hAnsi="Courier New"/>
      </w:rPr>
    </w:lvl>
    <w:lvl w:ilvl="8" w:tplc="103AE7B6">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C1743158">
      <w:start w:val="1"/>
      <w:numFmt w:val="bullet"/>
      <w:lvlText w:val="•"/>
      <w:lvlJc w:val="left"/>
      <w:pPr>
        <w:tabs>
          <w:tab w:val="num" w:pos="720"/>
        </w:tabs>
        <w:ind w:left="720" w:hanging="360"/>
      </w:pPr>
      <w:rPr>
        <w:rFonts w:ascii="Times New Roman" w:eastAsia="Times New Roman" w:hAnsi="Times New Roman" w:cs="Times New Roman"/>
        <w:b/>
        <w:i/>
        <w:strike w:val="0"/>
        <w:sz w:val="22"/>
      </w:rPr>
    </w:lvl>
    <w:lvl w:ilvl="1" w:tplc="837CB53C">
      <w:start w:val="1"/>
      <w:numFmt w:val="bullet"/>
      <w:lvlText w:val="o"/>
      <w:lvlJc w:val="left"/>
      <w:pPr>
        <w:tabs>
          <w:tab w:val="num" w:pos="1440"/>
        </w:tabs>
        <w:ind w:left="1440" w:hanging="360"/>
      </w:pPr>
      <w:rPr>
        <w:rFonts w:ascii="Courier New" w:hAnsi="Courier New"/>
      </w:rPr>
    </w:lvl>
    <w:lvl w:ilvl="2" w:tplc="640ED536">
      <w:start w:val="1"/>
      <w:numFmt w:val="bullet"/>
      <w:lvlText w:val=""/>
      <w:lvlJc w:val="left"/>
      <w:pPr>
        <w:tabs>
          <w:tab w:val="num" w:pos="2160"/>
        </w:tabs>
        <w:ind w:left="2160" w:hanging="360"/>
      </w:pPr>
      <w:rPr>
        <w:rFonts w:ascii="Wingdings" w:hAnsi="Wingdings"/>
      </w:rPr>
    </w:lvl>
    <w:lvl w:ilvl="3" w:tplc="07080D30">
      <w:start w:val="1"/>
      <w:numFmt w:val="bullet"/>
      <w:lvlText w:val=""/>
      <w:lvlJc w:val="left"/>
      <w:pPr>
        <w:tabs>
          <w:tab w:val="num" w:pos="2880"/>
        </w:tabs>
        <w:ind w:left="2880" w:hanging="360"/>
      </w:pPr>
      <w:rPr>
        <w:rFonts w:ascii="Symbol" w:hAnsi="Symbol"/>
      </w:rPr>
    </w:lvl>
    <w:lvl w:ilvl="4" w:tplc="35485574">
      <w:start w:val="1"/>
      <w:numFmt w:val="bullet"/>
      <w:lvlText w:val="o"/>
      <w:lvlJc w:val="left"/>
      <w:pPr>
        <w:tabs>
          <w:tab w:val="num" w:pos="3600"/>
        </w:tabs>
        <w:ind w:left="3600" w:hanging="360"/>
      </w:pPr>
      <w:rPr>
        <w:rFonts w:ascii="Courier New" w:hAnsi="Courier New"/>
      </w:rPr>
    </w:lvl>
    <w:lvl w:ilvl="5" w:tplc="DA5A565C">
      <w:start w:val="1"/>
      <w:numFmt w:val="bullet"/>
      <w:lvlText w:val=""/>
      <w:lvlJc w:val="left"/>
      <w:pPr>
        <w:tabs>
          <w:tab w:val="num" w:pos="4320"/>
        </w:tabs>
        <w:ind w:left="4320" w:hanging="360"/>
      </w:pPr>
      <w:rPr>
        <w:rFonts w:ascii="Wingdings" w:hAnsi="Wingdings"/>
      </w:rPr>
    </w:lvl>
    <w:lvl w:ilvl="6" w:tplc="A22017BA">
      <w:start w:val="1"/>
      <w:numFmt w:val="bullet"/>
      <w:lvlText w:val=""/>
      <w:lvlJc w:val="left"/>
      <w:pPr>
        <w:tabs>
          <w:tab w:val="num" w:pos="5040"/>
        </w:tabs>
        <w:ind w:left="5040" w:hanging="360"/>
      </w:pPr>
      <w:rPr>
        <w:rFonts w:ascii="Symbol" w:hAnsi="Symbol"/>
      </w:rPr>
    </w:lvl>
    <w:lvl w:ilvl="7" w:tplc="A056AE10">
      <w:start w:val="1"/>
      <w:numFmt w:val="bullet"/>
      <w:lvlText w:val="o"/>
      <w:lvlJc w:val="left"/>
      <w:pPr>
        <w:tabs>
          <w:tab w:val="num" w:pos="5760"/>
        </w:tabs>
        <w:ind w:left="5760" w:hanging="360"/>
      </w:pPr>
      <w:rPr>
        <w:rFonts w:ascii="Courier New" w:hAnsi="Courier New"/>
      </w:rPr>
    </w:lvl>
    <w:lvl w:ilvl="8" w:tplc="405C967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95369F66">
      <w:start w:val="1"/>
      <w:numFmt w:val="bullet"/>
      <w:lvlText w:val="•"/>
      <w:lvlJc w:val="left"/>
      <w:pPr>
        <w:tabs>
          <w:tab w:val="num" w:pos="720"/>
        </w:tabs>
        <w:ind w:left="720" w:hanging="360"/>
      </w:pPr>
      <w:rPr>
        <w:rFonts w:ascii="Times New Roman" w:eastAsia="Times New Roman" w:hAnsi="Times New Roman" w:cs="Times New Roman"/>
        <w:b/>
        <w:i w:val="0"/>
        <w:strike w:val="0"/>
        <w:sz w:val="22"/>
      </w:rPr>
    </w:lvl>
    <w:lvl w:ilvl="1" w:tplc="AB22B64A">
      <w:start w:val="1"/>
      <w:numFmt w:val="bullet"/>
      <w:lvlText w:val="o"/>
      <w:lvlJc w:val="left"/>
      <w:pPr>
        <w:tabs>
          <w:tab w:val="num" w:pos="1440"/>
        </w:tabs>
        <w:ind w:left="1440" w:hanging="360"/>
      </w:pPr>
      <w:rPr>
        <w:rFonts w:ascii="Courier New" w:hAnsi="Courier New"/>
      </w:rPr>
    </w:lvl>
    <w:lvl w:ilvl="2" w:tplc="CCD0D0BA">
      <w:start w:val="1"/>
      <w:numFmt w:val="bullet"/>
      <w:lvlText w:val=""/>
      <w:lvlJc w:val="left"/>
      <w:pPr>
        <w:tabs>
          <w:tab w:val="num" w:pos="2160"/>
        </w:tabs>
        <w:ind w:left="2160" w:hanging="360"/>
      </w:pPr>
      <w:rPr>
        <w:rFonts w:ascii="Wingdings" w:hAnsi="Wingdings"/>
      </w:rPr>
    </w:lvl>
    <w:lvl w:ilvl="3" w:tplc="F89655C8">
      <w:start w:val="1"/>
      <w:numFmt w:val="bullet"/>
      <w:lvlText w:val=""/>
      <w:lvlJc w:val="left"/>
      <w:pPr>
        <w:tabs>
          <w:tab w:val="num" w:pos="2880"/>
        </w:tabs>
        <w:ind w:left="2880" w:hanging="360"/>
      </w:pPr>
      <w:rPr>
        <w:rFonts w:ascii="Symbol" w:hAnsi="Symbol"/>
      </w:rPr>
    </w:lvl>
    <w:lvl w:ilvl="4" w:tplc="322AC09C">
      <w:start w:val="1"/>
      <w:numFmt w:val="bullet"/>
      <w:lvlText w:val="o"/>
      <w:lvlJc w:val="left"/>
      <w:pPr>
        <w:tabs>
          <w:tab w:val="num" w:pos="3600"/>
        </w:tabs>
        <w:ind w:left="3600" w:hanging="360"/>
      </w:pPr>
      <w:rPr>
        <w:rFonts w:ascii="Courier New" w:hAnsi="Courier New"/>
      </w:rPr>
    </w:lvl>
    <w:lvl w:ilvl="5" w:tplc="BE708718">
      <w:start w:val="1"/>
      <w:numFmt w:val="bullet"/>
      <w:lvlText w:val=""/>
      <w:lvlJc w:val="left"/>
      <w:pPr>
        <w:tabs>
          <w:tab w:val="num" w:pos="4320"/>
        </w:tabs>
        <w:ind w:left="4320" w:hanging="360"/>
      </w:pPr>
      <w:rPr>
        <w:rFonts w:ascii="Wingdings" w:hAnsi="Wingdings"/>
      </w:rPr>
    </w:lvl>
    <w:lvl w:ilvl="6" w:tplc="0F80F69E">
      <w:start w:val="1"/>
      <w:numFmt w:val="bullet"/>
      <w:lvlText w:val=""/>
      <w:lvlJc w:val="left"/>
      <w:pPr>
        <w:tabs>
          <w:tab w:val="num" w:pos="5040"/>
        </w:tabs>
        <w:ind w:left="5040" w:hanging="360"/>
      </w:pPr>
      <w:rPr>
        <w:rFonts w:ascii="Symbol" w:hAnsi="Symbol"/>
      </w:rPr>
    </w:lvl>
    <w:lvl w:ilvl="7" w:tplc="BC56C702">
      <w:start w:val="1"/>
      <w:numFmt w:val="bullet"/>
      <w:lvlText w:val="o"/>
      <w:lvlJc w:val="left"/>
      <w:pPr>
        <w:tabs>
          <w:tab w:val="num" w:pos="5760"/>
        </w:tabs>
        <w:ind w:left="5760" w:hanging="360"/>
      </w:pPr>
      <w:rPr>
        <w:rFonts w:ascii="Courier New" w:hAnsi="Courier New"/>
      </w:rPr>
    </w:lvl>
    <w:lvl w:ilvl="8" w:tplc="34C27014">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A11C2948">
      <w:start w:val="1"/>
      <w:numFmt w:val="bullet"/>
      <w:lvlText w:val="•"/>
      <w:lvlJc w:val="left"/>
      <w:pPr>
        <w:tabs>
          <w:tab w:val="num" w:pos="720"/>
        </w:tabs>
        <w:ind w:left="720" w:hanging="360"/>
      </w:pPr>
      <w:rPr>
        <w:rFonts w:ascii="Times New Roman" w:eastAsia="Times New Roman" w:hAnsi="Times New Roman" w:cs="Times New Roman"/>
        <w:b/>
        <w:i/>
        <w:strike w:val="0"/>
        <w:sz w:val="22"/>
      </w:rPr>
    </w:lvl>
    <w:lvl w:ilvl="1" w:tplc="FAC0516C">
      <w:start w:val="1"/>
      <w:numFmt w:val="bullet"/>
      <w:lvlText w:val="o"/>
      <w:lvlJc w:val="left"/>
      <w:pPr>
        <w:tabs>
          <w:tab w:val="num" w:pos="1440"/>
        </w:tabs>
        <w:ind w:left="1440" w:hanging="360"/>
      </w:pPr>
      <w:rPr>
        <w:rFonts w:ascii="Courier New" w:hAnsi="Courier New"/>
      </w:rPr>
    </w:lvl>
    <w:lvl w:ilvl="2" w:tplc="1A72EDC6">
      <w:start w:val="1"/>
      <w:numFmt w:val="bullet"/>
      <w:lvlText w:val=""/>
      <w:lvlJc w:val="left"/>
      <w:pPr>
        <w:tabs>
          <w:tab w:val="num" w:pos="2160"/>
        </w:tabs>
        <w:ind w:left="2160" w:hanging="360"/>
      </w:pPr>
      <w:rPr>
        <w:rFonts w:ascii="Wingdings" w:hAnsi="Wingdings"/>
      </w:rPr>
    </w:lvl>
    <w:lvl w:ilvl="3" w:tplc="750A84FE">
      <w:start w:val="1"/>
      <w:numFmt w:val="bullet"/>
      <w:lvlText w:val=""/>
      <w:lvlJc w:val="left"/>
      <w:pPr>
        <w:tabs>
          <w:tab w:val="num" w:pos="2880"/>
        </w:tabs>
        <w:ind w:left="2880" w:hanging="360"/>
      </w:pPr>
      <w:rPr>
        <w:rFonts w:ascii="Symbol" w:hAnsi="Symbol"/>
      </w:rPr>
    </w:lvl>
    <w:lvl w:ilvl="4" w:tplc="72AA7DB2">
      <w:start w:val="1"/>
      <w:numFmt w:val="bullet"/>
      <w:lvlText w:val="o"/>
      <w:lvlJc w:val="left"/>
      <w:pPr>
        <w:tabs>
          <w:tab w:val="num" w:pos="3600"/>
        </w:tabs>
        <w:ind w:left="3600" w:hanging="360"/>
      </w:pPr>
      <w:rPr>
        <w:rFonts w:ascii="Courier New" w:hAnsi="Courier New"/>
      </w:rPr>
    </w:lvl>
    <w:lvl w:ilvl="5" w:tplc="BAAABE70">
      <w:start w:val="1"/>
      <w:numFmt w:val="bullet"/>
      <w:lvlText w:val=""/>
      <w:lvlJc w:val="left"/>
      <w:pPr>
        <w:tabs>
          <w:tab w:val="num" w:pos="4320"/>
        </w:tabs>
        <w:ind w:left="4320" w:hanging="360"/>
      </w:pPr>
      <w:rPr>
        <w:rFonts w:ascii="Wingdings" w:hAnsi="Wingdings"/>
      </w:rPr>
    </w:lvl>
    <w:lvl w:ilvl="6" w:tplc="4C469ECE">
      <w:start w:val="1"/>
      <w:numFmt w:val="bullet"/>
      <w:lvlText w:val=""/>
      <w:lvlJc w:val="left"/>
      <w:pPr>
        <w:tabs>
          <w:tab w:val="num" w:pos="5040"/>
        </w:tabs>
        <w:ind w:left="5040" w:hanging="360"/>
      </w:pPr>
      <w:rPr>
        <w:rFonts w:ascii="Symbol" w:hAnsi="Symbol"/>
      </w:rPr>
    </w:lvl>
    <w:lvl w:ilvl="7" w:tplc="E24C091C">
      <w:start w:val="1"/>
      <w:numFmt w:val="bullet"/>
      <w:lvlText w:val="o"/>
      <w:lvlJc w:val="left"/>
      <w:pPr>
        <w:tabs>
          <w:tab w:val="num" w:pos="5760"/>
        </w:tabs>
        <w:ind w:left="5760" w:hanging="360"/>
      </w:pPr>
      <w:rPr>
        <w:rFonts w:ascii="Courier New" w:hAnsi="Courier New"/>
      </w:rPr>
    </w:lvl>
    <w:lvl w:ilvl="8" w:tplc="F236A78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115C59C4">
      <w:start w:val="1"/>
      <w:numFmt w:val="bullet"/>
      <w:lvlText w:val="•"/>
      <w:lvlJc w:val="left"/>
      <w:pPr>
        <w:tabs>
          <w:tab w:val="num" w:pos="720"/>
        </w:tabs>
        <w:ind w:left="720" w:hanging="360"/>
      </w:pPr>
      <w:rPr>
        <w:rFonts w:ascii="Times New Roman" w:eastAsia="Times New Roman" w:hAnsi="Times New Roman" w:cs="Times New Roman"/>
        <w:b/>
        <w:i/>
        <w:strike w:val="0"/>
        <w:sz w:val="22"/>
      </w:rPr>
    </w:lvl>
    <w:lvl w:ilvl="1" w:tplc="439C39B8">
      <w:start w:val="1"/>
      <w:numFmt w:val="bullet"/>
      <w:lvlText w:val="o"/>
      <w:lvlJc w:val="left"/>
      <w:pPr>
        <w:tabs>
          <w:tab w:val="num" w:pos="1440"/>
        </w:tabs>
        <w:ind w:left="1440" w:hanging="360"/>
      </w:pPr>
      <w:rPr>
        <w:rFonts w:ascii="Courier New" w:hAnsi="Courier New"/>
      </w:rPr>
    </w:lvl>
    <w:lvl w:ilvl="2" w:tplc="BB76304C">
      <w:start w:val="1"/>
      <w:numFmt w:val="bullet"/>
      <w:lvlText w:val=""/>
      <w:lvlJc w:val="left"/>
      <w:pPr>
        <w:tabs>
          <w:tab w:val="num" w:pos="2160"/>
        </w:tabs>
        <w:ind w:left="2160" w:hanging="360"/>
      </w:pPr>
      <w:rPr>
        <w:rFonts w:ascii="Wingdings" w:hAnsi="Wingdings"/>
      </w:rPr>
    </w:lvl>
    <w:lvl w:ilvl="3" w:tplc="33CEE6FA">
      <w:start w:val="1"/>
      <w:numFmt w:val="bullet"/>
      <w:lvlText w:val=""/>
      <w:lvlJc w:val="left"/>
      <w:pPr>
        <w:tabs>
          <w:tab w:val="num" w:pos="2880"/>
        </w:tabs>
        <w:ind w:left="2880" w:hanging="360"/>
      </w:pPr>
      <w:rPr>
        <w:rFonts w:ascii="Symbol" w:hAnsi="Symbol"/>
      </w:rPr>
    </w:lvl>
    <w:lvl w:ilvl="4" w:tplc="AEEAB24E">
      <w:start w:val="1"/>
      <w:numFmt w:val="bullet"/>
      <w:lvlText w:val="o"/>
      <w:lvlJc w:val="left"/>
      <w:pPr>
        <w:tabs>
          <w:tab w:val="num" w:pos="3600"/>
        </w:tabs>
        <w:ind w:left="3600" w:hanging="360"/>
      </w:pPr>
      <w:rPr>
        <w:rFonts w:ascii="Courier New" w:hAnsi="Courier New"/>
      </w:rPr>
    </w:lvl>
    <w:lvl w:ilvl="5" w:tplc="086C55E6">
      <w:start w:val="1"/>
      <w:numFmt w:val="bullet"/>
      <w:lvlText w:val=""/>
      <w:lvlJc w:val="left"/>
      <w:pPr>
        <w:tabs>
          <w:tab w:val="num" w:pos="4320"/>
        </w:tabs>
        <w:ind w:left="4320" w:hanging="360"/>
      </w:pPr>
      <w:rPr>
        <w:rFonts w:ascii="Wingdings" w:hAnsi="Wingdings"/>
      </w:rPr>
    </w:lvl>
    <w:lvl w:ilvl="6" w:tplc="C50E28EE">
      <w:start w:val="1"/>
      <w:numFmt w:val="bullet"/>
      <w:lvlText w:val=""/>
      <w:lvlJc w:val="left"/>
      <w:pPr>
        <w:tabs>
          <w:tab w:val="num" w:pos="5040"/>
        </w:tabs>
        <w:ind w:left="5040" w:hanging="360"/>
      </w:pPr>
      <w:rPr>
        <w:rFonts w:ascii="Symbol" w:hAnsi="Symbol"/>
      </w:rPr>
    </w:lvl>
    <w:lvl w:ilvl="7" w:tplc="A1CA71EE">
      <w:start w:val="1"/>
      <w:numFmt w:val="bullet"/>
      <w:lvlText w:val="o"/>
      <w:lvlJc w:val="left"/>
      <w:pPr>
        <w:tabs>
          <w:tab w:val="num" w:pos="5760"/>
        </w:tabs>
        <w:ind w:left="5760" w:hanging="360"/>
      </w:pPr>
      <w:rPr>
        <w:rFonts w:ascii="Courier New" w:hAnsi="Courier New"/>
      </w:rPr>
    </w:lvl>
    <w:lvl w:ilvl="8" w:tplc="1AD6F32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574EA30E">
      <w:start w:val="1"/>
      <w:numFmt w:val="bullet"/>
      <w:lvlText w:val="•"/>
      <w:lvlJc w:val="left"/>
      <w:pPr>
        <w:tabs>
          <w:tab w:val="num" w:pos="720"/>
        </w:tabs>
        <w:ind w:left="720" w:hanging="360"/>
      </w:pPr>
      <w:rPr>
        <w:rFonts w:ascii="Times New Roman" w:eastAsia="Times New Roman" w:hAnsi="Times New Roman" w:cs="Times New Roman"/>
        <w:b w:val="0"/>
        <w:i w:val="0"/>
        <w:strike w:val="0"/>
        <w:sz w:val="22"/>
      </w:rPr>
    </w:lvl>
    <w:lvl w:ilvl="1" w:tplc="CD3E4116">
      <w:start w:val="1"/>
      <w:numFmt w:val="bullet"/>
      <w:lvlText w:val="o"/>
      <w:lvlJc w:val="left"/>
      <w:pPr>
        <w:tabs>
          <w:tab w:val="num" w:pos="1440"/>
        </w:tabs>
        <w:ind w:left="1440" w:hanging="360"/>
      </w:pPr>
      <w:rPr>
        <w:rFonts w:ascii="Courier New" w:hAnsi="Courier New"/>
      </w:rPr>
    </w:lvl>
    <w:lvl w:ilvl="2" w:tplc="71C87158">
      <w:start w:val="1"/>
      <w:numFmt w:val="bullet"/>
      <w:lvlText w:val=""/>
      <w:lvlJc w:val="left"/>
      <w:pPr>
        <w:tabs>
          <w:tab w:val="num" w:pos="2160"/>
        </w:tabs>
        <w:ind w:left="2160" w:hanging="360"/>
      </w:pPr>
      <w:rPr>
        <w:rFonts w:ascii="Wingdings" w:hAnsi="Wingdings"/>
      </w:rPr>
    </w:lvl>
    <w:lvl w:ilvl="3" w:tplc="D0E20610">
      <w:start w:val="1"/>
      <w:numFmt w:val="bullet"/>
      <w:lvlText w:val=""/>
      <w:lvlJc w:val="left"/>
      <w:pPr>
        <w:tabs>
          <w:tab w:val="num" w:pos="2880"/>
        </w:tabs>
        <w:ind w:left="2880" w:hanging="360"/>
      </w:pPr>
      <w:rPr>
        <w:rFonts w:ascii="Symbol" w:hAnsi="Symbol"/>
      </w:rPr>
    </w:lvl>
    <w:lvl w:ilvl="4" w:tplc="D62870D4">
      <w:start w:val="1"/>
      <w:numFmt w:val="bullet"/>
      <w:lvlText w:val="o"/>
      <w:lvlJc w:val="left"/>
      <w:pPr>
        <w:tabs>
          <w:tab w:val="num" w:pos="3600"/>
        </w:tabs>
        <w:ind w:left="3600" w:hanging="360"/>
      </w:pPr>
      <w:rPr>
        <w:rFonts w:ascii="Courier New" w:hAnsi="Courier New"/>
      </w:rPr>
    </w:lvl>
    <w:lvl w:ilvl="5" w:tplc="15B4DE24">
      <w:start w:val="1"/>
      <w:numFmt w:val="bullet"/>
      <w:lvlText w:val=""/>
      <w:lvlJc w:val="left"/>
      <w:pPr>
        <w:tabs>
          <w:tab w:val="num" w:pos="4320"/>
        </w:tabs>
        <w:ind w:left="4320" w:hanging="360"/>
      </w:pPr>
      <w:rPr>
        <w:rFonts w:ascii="Wingdings" w:hAnsi="Wingdings"/>
      </w:rPr>
    </w:lvl>
    <w:lvl w:ilvl="6" w:tplc="91DC09C0">
      <w:start w:val="1"/>
      <w:numFmt w:val="bullet"/>
      <w:lvlText w:val=""/>
      <w:lvlJc w:val="left"/>
      <w:pPr>
        <w:tabs>
          <w:tab w:val="num" w:pos="5040"/>
        </w:tabs>
        <w:ind w:left="5040" w:hanging="360"/>
      </w:pPr>
      <w:rPr>
        <w:rFonts w:ascii="Symbol" w:hAnsi="Symbol"/>
      </w:rPr>
    </w:lvl>
    <w:lvl w:ilvl="7" w:tplc="640441C4">
      <w:start w:val="1"/>
      <w:numFmt w:val="bullet"/>
      <w:lvlText w:val="o"/>
      <w:lvlJc w:val="left"/>
      <w:pPr>
        <w:tabs>
          <w:tab w:val="num" w:pos="5760"/>
        </w:tabs>
        <w:ind w:left="5760" w:hanging="360"/>
      </w:pPr>
      <w:rPr>
        <w:rFonts w:ascii="Courier New" w:hAnsi="Courier New"/>
      </w:rPr>
    </w:lvl>
    <w:lvl w:ilvl="8" w:tplc="6096C24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3A60E294">
      <w:start w:val="1"/>
      <w:numFmt w:val="bullet"/>
      <w:lvlText w:val="•"/>
      <w:lvlJc w:val="left"/>
      <w:pPr>
        <w:tabs>
          <w:tab w:val="num" w:pos="720"/>
        </w:tabs>
        <w:ind w:left="720" w:hanging="360"/>
      </w:pPr>
      <w:rPr>
        <w:rFonts w:ascii="Times New Roman" w:eastAsia="Times New Roman" w:hAnsi="Times New Roman" w:cs="Times New Roman"/>
        <w:b w:val="0"/>
        <w:i w:val="0"/>
        <w:strike w:val="0"/>
        <w:sz w:val="22"/>
      </w:rPr>
    </w:lvl>
    <w:lvl w:ilvl="1" w:tplc="C3E6F802">
      <w:start w:val="1"/>
      <w:numFmt w:val="bullet"/>
      <w:lvlText w:val="o"/>
      <w:lvlJc w:val="left"/>
      <w:pPr>
        <w:tabs>
          <w:tab w:val="num" w:pos="1440"/>
        </w:tabs>
        <w:ind w:left="1440" w:hanging="360"/>
      </w:pPr>
      <w:rPr>
        <w:rFonts w:ascii="Courier New" w:hAnsi="Courier New"/>
      </w:rPr>
    </w:lvl>
    <w:lvl w:ilvl="2" w:tplc="1CF40EBA">
      <w:start w:val="1"/>
      <w:numFmt w:val="bullet"/>
      <w:lvlText w:val=""/>
      <w:lvlJc w:val="left"/>
      <w:pPr>
        <w:tabs>
          <w:tab w:val="num" w:pos="2160"/>
        </w:tabs>
        <w:ind w:left="2160" w:hanging="360"/>
      </w:pPr>
      <w:rPr>
        <w:rFonts w:ascii="Wingdings" w:hAnsi="Wingdings"/>
      </w:rPr>
    </w:lvl>
    <w:lvl w:ilvl="3" w:tplc="4CBAF32E">
      <w:start w:val="1"/>
      <w:numFmt w:val="bullet"/>
      <w:lvlText w:val=""/>
      <w:lvlJc w:val="left"/>
      <w:pPr>
        <w:tabs>
          <w:tab w:val="num" w:pos="2880"/>
        </w:tabs>
        <w:ind w:left="2880" w:hanging="360"/>
      </w:pPr>
      <w:rPr>
        <w:rFonts w:ascii="Symbol" w:hAnsi="Symbol"/>
      </w:rPr>
    </w:lvl>
    <w:lvl w:ilvl="4" w:tplc="DADCE010">
      <w:start w:val="1"/>
      <w:numFmt w:val="bullet"/>
      <w:lvlText w:val="o"/>
      <w:lvlJc w:val="left"/>
      <w:pPr>
        <w:tabs>
          <w:tab w:val="num" w:pos="3600"/>
        </w:tabs>
        <w:ind w:left="3600" w:hanging="360"/>
      </w:pPr>
      <w:rPr>
        <w:rFonts w:ascii="Courier New" w:hAnsi="Courier New"/>
      </w:rPr>
    </w:lvl>
    <w:lvl w:ilvl="5" w:tplc="4B66E394">
      <w:start w:val="1"/>
      <w:numFmt w:val="bullet"/>
      <w:lvlText w:val=""/>
      <w:lvlJc w:val="left"/>
      <w:pPr>
        <w:tabs>
          <w:tab w:val="num" w:pos="4320"/>
        </w:tabs>
        <w:ind w:left="4320" w:hanging="360"/>
      </w:pPr>
      <w:rPr>
        <w:rFonts w:ascii="Wingdings" w:hAnsi="Wingdings"/>
      </w:rPr>
    </w:lvl>
    <w:lvl w:ilvl="6" w:tplc="2732FC46">
      <w:start w:val="1"/>
      <w:numFmt w:val="bullet"/>
      <w:lvlText w:val=""/>
      <w:lvlJc w:val="left"/>
      <w:pPr>
        <w:tabs>
          <w:tab w:val="num" w:pos="5040"/>
        </w:tabs>
        <w:ind w:left="5040" w:hanging="360"/>
      </w:pPr>
      <w:rPr>
        <w:rFonts w:ascii="Symbol" w:hAnsi="Symbol"/>
      </w:rPr>
    </w:lvl>
    <w:lvl w:ilvl="7" w:tplc="BB28A6E6">
      <w:start w:val="1"/>
      <w:numFmt w:val="bullet"/>
      <w:lvlText w:val="o"/>
      <w:lvlJc w:val="left"/>
      <w:pPr>
        <w:tabs>
          <w:tab w:val="num" w:pos="5760"/>
        </w:tabs>
        <w:ind w:left="5760" w:hanging="360"/>
      </w:pPr>
      <w:rPr>
        <w:rFonts w:ascii="Courier New" w:hAnsi="Courier New"/>
      </w:rPr>
    </w:lvl>
    <w:lvl w:ilvl="8" w:tplc="792272C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B414E5DA">
      <w:start w:val="1"/>
      <w:numFmt w:val="bullet"/>
      <w:lvlText w:val="•"/>
      <w:lvlJc w:val="left"/>
      <w:pPr>
        <w:tabs>
          <w:tab w:val="num" w:pos="720"/>
        </w:tabs>
        <w:ind w:left="720" w:hanging="360"/>
      </w:pPr>
      <w:rPr>
        <w:rFonts w:ascii="Times New Roman" w:eastAsia="Times New Roman" w:hAnsi="Times New Roman" w:cs="Times New Roman"/>
        <w:b w:val="0"/>
        <w:i w:val="0"/>
        <w:strike w:val="0"/>
        <w:sz w:val="22"/>
      </w:rPr>
    </w:lvl>
    <w:lvl w:ilvl="1" w:tplc="585C5118">
      <w:start w:val="1"/>
      <w:numFmt w:val="bullet"/>
      <w:lvlText w:val="o"/>
      <w:lvlJc w:val="left"/>
      <w:pPr>
        <w:tabs>
          <w:tab w:val="num" w:pos="1440"/>
        </w:tabs>
        <w:ind w:left="1440" w:hanging="360"/>
      </w:pPr>
      <w:rPr>
        <w:rFonts w:ascii="Courier New" w:hAnsi="Courier New"/>
      </w:rPr>
    </w:lvl>
    <w:lvl w:ilvl="2" w:tplc="6B8C7012">
      <w:start w:val="1"/>
      <w:numFmt w:val="bullet"/>
      <w:lvlText w:val=""/>
      <w:lvlJc w:val="left"/>
      <w:pPr>
        <w:tabs>
          <w:tab w:val="num" w:pos="2160"/>
        </w:tabs>
        <w:ind w:left="2160" w:hanging="360"/>
      </w:pPr>
      <w:rPr>
        <w:rFonts w:ascii="Wingdings" w:hAnsi="Wingdings"/>
      </w:rPr>
    </w:lvl>
    <w:lvl w:ilvl="3" w:tplc="F642DCC2">
      <w:start w:val="1"/>
      <w:numFmt w:val="bullet"/>
      <w:lvlText w:val=""/>
      <w:lvlJc w:val="left"/>
      <w:pPr>
        <w:tabs>
          <w:tab w:val="num" w:pos="2880"/>
        </w:tabs>
        <w:ind w:left="2880" w:hanging="360"/>
      </w:pPr>
      <w:rPr>
        <w:rFonts w:ascii="Symbol" w:hAnsi="Symbol"/>
      </w:rPr>
    </w:lvl>
    <w:lvl w:ilvl="4" w:tplc="9DC2A59C">
      <w:start w:val="1"/>
      <w:numFmt w:val="bullet"/>
      <w:lvlText w:val="o"/>
      <w:lvlJc w:val="left"/>
      <w:pPr>
        <w:tabs>
          <w:tab w:val="num" w:pos="3600"/>
        </w:tabs>
        <w:ind w:left="3600" w:hanging="360"/>
      </w:pPr>
      <w:rPr>
        <w:rFonts w:ascii="Courier New" w:hAnsi="Courier New"/>
      </w:rPr>
    </w:lvl>
    <w:lvl w:ilvl="5" w:tplc="CCA67FB8">
      <w:start w:val="1"/>
      <w:numFmt w:val="bullet"/>
      <w:lvlText w:val=""/>
      <w:lvlJc w:val="left"/>
      <w:pPr>
        <w:tabs>
          <w:tab w:val="num" w:pos="4320"/>
        </w:tabs>
        <w:ind w:left="4320" w:hanging="360"/>
      </w:pPr>
      <w:rPr>
        <w:rFonts w:ascii="Wingdings" w:hAnsi="Wingdings"/>
      </w:rPr>
    </w:lvl>
    <w:lvl w:ilvl="6" w:tplc="2EFC0842">
      <w:start w:val="1"/>
      <w:numFmt w:val="bullet"/>
      <w:lvlText w:val=""/>
      <w:lvlJc w:val="left"/>
      <w:pPr>
        <w:tabs>
          <w:tab w:val="num" w:pos="5040"/>
        </w:tabs>
        <w:ind w:left="5040" w:hanging="360"/>
      </w:pPr>
      <w:rPr>
        <w:rFonts w:ascii="Symbol" w:hAnsi="Symbol"/>
      </w:rPr>
    </w:lvl>
    <w:lvl w:ilvl="7" w:tplc="4D28755C">
      <w:start w:val="1"/>
      <w:numFmt w:val="bullet"/>
      <w:lvlText w:val="o"/>
      <w:lvlJc w:val="left"/>
      <w:pPr>
        <w:tabs>
          <w:tab w:val="num" w:pos="5760"/>
        </w:tabs>
        <w:ind w:left="5760" w:hanging="360"/>
      </w:pPr>
      <w:rPr>
        <w:rFonts w:ascii="Courier New" w:hAnsi="Courier New"/>
      </w:rPr>
    </w:lvl>
    <w:lvl w:ilvl="8" w:tplc="D1C888D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4CB058E0">
      <w:start w:val="1"/>
      <w:numFmt w:val="decimal"/>
      <w:lvlText w:val="(%1)"/>
      <w:lvlJc w:val="left"/>
      <w:pPr>
        <w:tabs>
          <w:tab w:val="num" w:pos="360"/>
        </w:tabs>
        <w:ind w:left="720" w:hanging="360"/>
      </w:pPr>
      <w:rPr>
        <w:rFonts w:ascii="Times New Roman" w:eastAsia="Times New Roman" w:hAnsi="Times New Roman" w:cs="Times New Roman"/>
        <w:b w:val="0"/>
        <w:i w:val="0"/>
        <w:strike w:val="0"/>
        <w:sz w:val="18"/>
        <w:vertAlign w:val="superscript"/>
      </w:rPr>
    </w:lvl>
    <w:lvl w:ilvl="1" w:tplc="FEB05A16">
      <w:start w:val="1"/>
      <w:numFmt w:val="bullet"/>
      <w:lvlText w:val="o"/>
      <w:lvlJc w:val="left"/>
      <w:pPr>
        <w:tabs>
          <w:tab w:val="num" w:pos="1440"/>
        </w:tabs>
        <w:ind w:left="1440" w:hanging="360"/>
      </w:pPr>
      <w:rPr>
        <w:rFonts w:ascii="Courier New" w:hAnsi="Courier New"/>
      </w:rPr>
    </w:lvl>
    <w:lvl w:ilvl="2" w:tplc="93EC6442">
      <w:start w:val="1"/>
      <w:numFmt w:val="bullet"/>
      <w:lvlText w:val=""/>
      <w:lvlJc w:val="left"/>
      <w:pPr>
        <w:tabs>
          <w:tab w:val="num" w:pos="2160"/>
        </w:tabs>
        <w:ind w:left="2160" w:hanging="360"/>
      </w:pPr>
      <w:rPr>
        <w:rFonts w:ascii="Wingdings" w:hAnsi="Wingdings"/>
      </w:rPr>
    </w:lvl>
    <w:lvl w:ilvl="3" w:tplc="C8CE38EA">
      <w:start w:val="1"/>
      <w:numFmt w:val="bullet"/>
      <w:lvlText w:val=""/>
      <w:lvlJc w:val="left"/>
      <w:pPr>
        <w:tabs>
          <w:tab w:val="num" w:pos="2880"/>
        </w:tabs>
        <w:ind w:left="2880" w:hanging="360"/>
      </w:pPr>
      <w:rPr>
        <w:rFonts w:ascii="Symbol" w:hAnsi="Symbol"/>
      </w:rPr>
    </w:lvl>
    <w:lvl w:ilvl="4" w:tplc="CC64A69C">
      <w:start w:val="1"/>
      <w:numFmt w:val="bullet"/>
      <w:lvlText w:val="o"/>
      <w:lvlJc w:val="left"/>
      <w:pPr>
        <w:tabs>
          <w:tab w:val="num" w:pos="3600"/>
        </w:tabs>
        <w:ind w:left="3600" w:hanging="360"/>
      </w:pPr>
      <w:rPr>
        <w:rFonts w:ascii="Courier New" w:hAnsi="Courier New"/>
      </w:rPr>
    </w:lvl>
    <w:lvl w:ilvl="5" w:tplc="4574096E">
      <w:start w:val="1"/>
      <w:numFmt w:val="bullet"/>
      <w:lvlText w:val=""/>
      <w:lvlJc w:val="left"/>
      <w:pPr>
        <w:tabs>
          <w:tab w:val="num" w:pos="4320"/>
        </w:tabs>
        <w:ind w:left="4320" w:hanging="360"/>
      </w:pPr>
      <w:rPr>
        <w:rFonts w:ascii="Wingdings" w:hAnsi="Wingdings"/>
      </w:rPr>
    </w:lvl>
    <w:lvl w:ilvl="6" w:tplc="1DF6A89E">
      <w:start w:val="1"/>
      <w:numFmt w:val="bullet"/>
      <w:lvlText w:val=""/>
      <w:lvlJc w:val="left"/>
      <w:pPr>
        <w:tabs>
          <w:tab w:val="num" w:pos="5040"/>
        </w:tabs>
        <w:ind w:left="5040" w:hanging="360"/>
      </w:pPr>
      <w:rPr>
        <w:rFonts w:ascii="Symbol" w:hAnsi="Symbol"/>
      </w:rPr>
    </w:lvl>
    <w:lvl w:ilvl="7" w:tplc="66ECCB28">
      <w:start w:val="1"/>
      <w:numFmt w:val="bullet"/>
      <w:lvlText w:val="o"/>
      <w:lvlJc w:val="left"/>
      <w:pPr>
        <w:tabs>
          <w:tab w:val="num" w:pos="5760"/>
        </w:tabs>
        <w:ind w:left="5760" w:hanging="360"/>
      </w:pPr>
      <w:rPr>
        <w:rFonts w:ascii="Courier New" w:hAnsi="Courier New"/>
      </w:rPr>
    </w:lvl>
    <w:lvl w:ilvl="8" w:tplc="4C90C252">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CD26E16E">
      <w:start w:val="2"/>
      <w:numFmt w:val="decimal"/>
      <w:lvlText w:val="(%1)"/>
      <w:lvlJc w:val="left"/>
      <w:pPr>
        <w:tabs>
          <w:tab w:val="num" w:pos="360"/>
        </w:tabs>
        <w:ind w:left="720" w:hanging="360"/>
      </w:pPr>
      <w:rPr>
        <w:rFonts w:ascii="Times New Roman" w:eastAsia="Times New Roman" w:hAnsi="Times New Roman" w:cs="Times New Roman"/>
        <w:b w:val="0"/>
        <w:i w:val="0"/>
        <w:strike w:val="0"/>
        <w:sz w:val="18"/>
        <w:vertAlign w:val="superscript"/>
      </w:rPr>
    </w:lvl>
    <w:lvl w:ilvl="1" w:tplc="BB4E1C4E">
      <w:start w:val="1"/>
      <w:numFmt w:val="bullet"/>
      <w:lvlText w:val="o"/>
      <w:lvlJc w:val="left"/>
      <w:pPr>
        <w:tabs>
          <w:tab w:val="num" w:pos="1440"/>
        </w:tabs>
        <w:ind w:left="1440" w:hanging="360"/>
      </w:pPr>
      <w:rPr>
        <w:rFonts w:ascii="Courier New" w:hAnsi="Courier New"/>
      </w:rPr>
    </w:lvl>
    <w:lvl w:ilvl="2" w:tplc="3B2465C0">
      <w:start w:val="1"/>
      <w:numFmt w:val="bullet"/>
      <w:lvlText w:val=""/>
      <w:lvlJc w:val="left"/>
      <w:pPr>
        <w:tabs>
          <w:tab w:val="num" w:pos="2160"/>
        </w:tabs>
        <w:ind w:left="2160" w:hanging="360"/>
      </w:pPr>
      <w:rPr>
        <w:rFonts w:ascii="Wingdings" w:hAnsi="Wingdings"/>
      </w:rPr>
    </w:lvl>
    <w:lvl w:ilvl="3" w:tplc="E5CA2E32">
      <w:start w:val="1"/>
      <w:numFmt w:val="bullet"/>
      <w:lvlText w:val=""/>
      <w:lvlJc w:val="left"/>
      <w:pPr>
        <w:tabs>
          <w:tab w:val="num" w:pos="2880"/>
        </w:tabs>
        <w:ind w:left="2880" w:hanging="360"/>
      </w:pPr>
      <w:rPr>
        <w:rFonts w:ascii="Symbol" w:hAnsi="Symbol"/>
      </w:rPr>
    </w:lvl>
    <w:lvl w:ilvl="4" w:tplc="B834584E">
      <w:start w:val="1"/>
      <w:numFmt w:val="bullet"/>
      <w:lvlText w:val="o"/>
      <w:lvlJc w:val="left"/>
      <w:pPr>
        <w:tabs>
          <w:tab w:val="num" w:pos="3600"/>
        </w:tabs>
        <w:ind w:left="3600" w:hanging="360"/>
      </w:pPr>
      <w:rPr>
        <w:rFonts w:ascii="Courier New" w:hAnsi="Courier New"/>
      </w:rPr>
    </w:lvl>
    <w:lvl w:ilvl="5" w:tplc="3C001A26">
      <w:start w:val="1"/>
      <w:numFmt w:val="bullet"/>
      <w:lvlText w:val=""/>
      <w:lvlJc w:val="left"/>
      <w:pPr>
        <w:tabs>
          <w:tab w:val="num" w:pos="4320"/>
        </w:tabs>
        <w:ind w:left="4320" w:hanging="360"/>
      </w:pPr>
      <w:rPr>
        <w:rFonts w:ascii="Wingdings" w:hAnsi="Wingdings"/>
      </w:rPr>
    </w:lvl>
    <w:lvl w:ilvl="6" w:tplc="71123716">
      <w:start w:val="1"/>
      <w:numFmt w:val="bullet"/>
      <w:lvlText w:val=""/>
      <w:lvlJc w:val="left"/>
      <w:pPr>
        <w:tabs>
          <w:tab w:val="num" w:pos="5040"/>
        </w:tabs>
        <w:ind w:left="5040" w:hanging="360"/>
      </w:pPr>
      <w:rPr>
        <w:rFonts w:ascii="Symbol" w:hAnsi="Symbol"/>
      </w:rPr>
    </w:lvl>
    <w:lvl w:ilvl="7" w:tplc="CEC030D6">
      <w:start w:val="1"/>
      <w:numFmt w:val="bullet"/>
      <w:lvlText w:val="o"/>
      <w:lvlJc w:val="left"/>
      <w:pPr>
        <w:tabs>
          <w:tab w:val="num" w:pos="5760"/>
        </w:tabs>
        <w:ind w:left="5760" w:hanging="360"/>
      </w:pPr>
      <w:rPr>
        <w:rFonts w:ascii="Courier New" w:hAnsi="Courier New"/>
      </w:rPr>
    </w:lvl>
    <w:lvl w:ilvl="8" w:tplc="E7A2EF1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E0968416">
      <w:start w:val="1"/>
      <w:numFmt w:val="decimal"/>
      <w:lvlText w:val="(%1)"/>
      <w:lvlJc w:val="left"/>
      <w:pPr>
        <w:tabs>
          <w:tab w:val="num" w:pos="360"/>
        </w:tabs>
        <w:ind w:left="720" w:hanging="360"/>
      </w:pPr>
      <w:rPr>
        <w:rFonts w:ascii="Times New Roman" w:eastAsia="Times New Roman" w:hAnsi="Times New Roman" w:cs="Times New Roman"/>
        <w:b w:val="0"/>
        <w:i w:val="0"/>
        <w:strike w:val="0"/>
        <w:sz w:val="18"/>
        <w:vertAlign w:val="superscript"/>
      </w:rPr>
    </w:lvl>
    <w:lvl w:ilvl="1" w:tplc="E2AEC5A2">
      <w:start w:val="1"/>
      <w:numFmt w:val="bullet"/>
      <w:lvlText w:val="o"/>
      <w:lvlJc w:val="left"/>
      <w:pPr>
        <w:tabs>
          <w:tab w:val="num" w:pos="1440"/>
        </w:tabs>
        <w:ind w:left="1440" w:hanging="360"/>
      </w:pPr>
      <w:rPr>
        <w:rFonts w:ascii="Courier New" w:hAnsi="Courier New"/>
      </w:rPr>
    </w:lvl>
    <w:lvl w:ilvl="2" w:tplc="4AB80892">
      <w:start w:val="1"/>
      <w:numFmt w:val="bullet"/>
      <w:lvlText w:val=""/>
      <w:lvlJc w:val="left"/>
      <w:pPr>
        <w:tabs>
          <w:tab w:val="num" w:pos="2160"/>
        </w:tabs>
        <w:ind w:left="2160" w:hanging="360"/>
      </w:pPr>
      <w:rPr>
        <w:rFonts w:ascii="Wingdings" w:hAnsi="Wingdings"/>
      </w:rPr>
    </w:lvl>
    <w:lvl w:ilvl="3" w:tplc="0FA48C5E">
      <w:start w:val="1"/>
      <w:numFmt w:val="bullet"/>
      <w:lvlText w:val=""/>
      <w:lvlJc w:val="left"/>
      <w:pPr>
        <w:tabs>
          <w:tab w:val="num" w:pos="2880"/>
        </w:tabs>
        <w:ind w:left="2880" w:hanging="360"/>
      </w:pPr>
      <w:rPr>
        <w:rFonts w:ascii="Symbol" w:hAnsi="Symbol"/>
      </w:rPr>
    </w:lvl>
    <w:lvl w:ilvl="4" w:tplc="632C1294">
      <w:start w:val="1"/>
      <w:numFmt w:val="bullet"/>
      <w:lvlText w:val="o"/>
      <w:lvlJc w:val="left"/>
      <w:pPr>
        <w:tabs>
          <w:tab w:val="num" w:pos="3600"/>
        </w:tabs>
        <w:ind w:left="3600" w:hanging="360"/>
      </w:pPr>
      <w:rPr>
        <w:rFonts w:ascii="Courier New" w:hAnsi="Courier New"/>
      </w:rPr>
    </w:lvl>
    <w:lvl w:ilvl="5" w:tplc="0D8C06EE">
      <w:start w:val="1"/>
      <w:numFmt w:val="bullet"/>
      <w:lvlText w:val=""/>
      <w:lvlJc w:val="left"/>
      <w:pPr>
        <w:tabs>
          <w:tab w:val="num" w:pos="4320"/>
        </w:tabs>
        <w:ind w:left="4320" w:hanging="360"/>
      </w:pPr>
      <w:rPr>
        <w:rFonts w:ascii="Wingdings" w:hAnsi="Wingdings"/>
      </w:rPr>
    </w:lvl>
    <w:lvl w:ilvl="6" w:tplc="4BF2E84A">
      <w:start w:val="1"/>
      <w:numFmt w:val="bullet"/>
      <w:lvlText w:val=""/>
      <w:lvlJc w:val="left"/>
      <w:pPr>
        <w:tabs>
          <w:tab w:val="num" w:pos="5040"/>
        </w:tabs>
        <w:ind w:left="5040" w:hanging="360"/>
      </w:pPr>
      <w:rPr>
        <w:rFonts w:ascii="Symbol" w:hAnsi="Symbol"/>
      </w:rPr>
    </w:lvl>
    <w:lvl w:ilvl="7" w:tplc="2710E9BE">
      <w:start w:val="1"/>
      <w:numFmt w:val="bullet"/>
      <w:lvlText w:val="o"/>
      <w:lvlJc w:val="left"/>
      <w:pPr>
        <w:tabs>
          <w:tab w:val="num" w:pos="5760"/>
        </w:tabs>
        <w:ind w:left="5760" w:hanging="360"/>
      </w:pPr>
      <w:rPr>
        <w:rFonts w:ascii="Courier New" w:hAnsi="Courier New"/>
      </w:rPr>
    </w:lvl>
    <w:lvl w:ilvl="8" w:tplc="C0FE73D2">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B964E12A">
      <w:start w:val="2"/>
      <w:numFmt w:val="decimal"/>
      <w:lvlText w:val="(%1)"/>
      <w:lvlJc w:val="left"/>
      <w:pPr>
        <w:tabs>
          <w:tab w:val="num" w:pos="360"/>
        </w:tabs>
        <w:ind w:left="720" w:hanging="360"/>
      </w:pPr>
      <w:rPr>
        <w:rFonts w:ascii="Times New Roman" w:eastAsia="Times New Roman" w:hAnsi="Times New Roman" w:cs="Times New Roman"/>
        <w:b w:val="0"/>
        <w:i w:val="0"/>
        <w:strike w:val="0"/>
        <w:sz w:val="18"/>
        <w:vertAlign w:val="superscript"/>
      </w:rPr>
    </w:lvl>
    <w:lvl w:ilvl="1" w:tplc="8EE2FE00">
      <w:start w:val="1"/>
      <w:numFmt w:val="bullet"/>
      <w:lvlText w:val="o"/>
      <w:lvlJc w:val="left"/>
      <w:pPr>
        <w:tabs>
          <w:tab w:val="num" w:pos="1440"/>
        </w:tabs>
        <w:ind w:left="1440" w:hanging="360"/>
      </w:pPr>
      <w:rPr>
        <w:rFonts w:ascii="Courier New" w:hAnsi="Courier New"/>
      </w:rPr>
    </w:lvl>
    <w:lvl w:ilvl="2" w:tplc="DD742610">
      <w:start w:val="1"/>
      <w:numFmt w:val="bullet"/>
      <w:lvlText w:val=""/>
      <w:lvlJc w:val="left"/>
      <w:pPr>
        <w:tabs>
          <w:tab w:val="num" w:pos="2160"/>
        </w:tabs>
        <w:ind w:left="2160" w:hanging="360"/>
      </w:pPr>
      <w:rPr>
        <w:rFonts w:ascii="Wingdings" w:hAnsi="Wingdings"/>
      </w:rPr>
    </w:lvl>
    <w:lvl w:ilvl="3" w:tplc="9512712A">
      <w:start w:val="1"/>
      <w:numFmt w:val="bullet"/>
      <w:lvlText w:val=""/>
      <w:lvlJc w:val="left"/>
      <w:pPr>
        <w:tabs>
          <w:tab w:val="num" w:pos="2880"/>
        </w:tabs>
        <w:ind w:left="2880" w:hanging="360"/>
      </w:pPr>
      <w:rPr>
        <w:rFonts w:ascii="Symbol" w:hAnsi="Symbol"/>
      </w:rPr>
    </w:lvl>
    <w:lvl w:ilvl="4" w:tplc="F8AC6F4A">
      <w:start w:val="1"/>
      <w:numFmt w:val="bullet"/>
      <w:lvlText w:val="o"/>
      <w:lvlJc w:val="left"/>
      <w:pPr>
        <w:tabs>
          <w:tab w:val="num" w:pos="3600"/>
        </w:tabs>
        <w:ind w:left="3600" w:hanging="360"/>
      </w:pPr>
      <w:rPr>
        <w:rFonts w:ascii="Courier New" w:hAnsi="Courier New"/>
      </w:rPr>
    </w:lvl>
    <w:lvl w:ilvl="5" w:tplc="C4AA259C">
      <w:start w:val="1"/>
      <w:numFmt w:val="bullet"/>
      <w:lvlText w:val=""/>
      <w:lvlJc w:val="left"/>
      <w:pPr>
        <w:tabs>
          <w:tab w:val="num" w:pos="4320"/>
        </w:tabs>
        <w:ind w:left="4320" w:hanging="360"/>
      </w:pPr>
      <w:rPr>
        <w:rFonts w:ascii="Wingdings" w:hAnsi="Wingdings"/>
      </w:rPr>
    </w:lvl>
    <w:lvl w:ilvl="6" w:tplc="34B6736C">
      <w:start w:val="1"/>
      <w:numFmt w:val="bullet"/>
      <w:lvlText w:val=""/>
      <w:lvlJc w:val="left"/>
      <w:pPr>
        <w:tabs>
          <w:tab w:val="num" w:pos="5040"/>
        </w:tabs>
        <w:ind w:left="5040" w:hanging="360"/>
      </w:pPr>
      <w:rPr>
        <w:rFonts w:ascii="Symbol" w:hAnsi="Symbol"/>
      </w:rPr>
    </w:lvl>
    <w:lvl w:ilvl="7" w:tplc="797E46D8">
      <w:start w:val="1"/>
      <w:numFmt w:val="bullet"/>
      <w:lvlText w:val="o"/>
      <w:lvlJc w:val="left"/>
      <w:pPr>
        <w:tabs>
          <w:tab w:val="num" w:pos="5760"/>
        </w:tabs>
        <w:ind w:left="5760" w:hanging="360"/>
      </w:pPr>
      <w:rPr>
        <w:rFonts w:ascii="Courier New" w:hAnsi="Courier New"/>
      </w:rPr>
    </w:lvl>
    <w:lvl w:ilvl="8" w:tplc="46020A92">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40C4ED8A">
      <w:start w:val="3"/>
      <w:numFmt w:val="decimal"/>
      <w:lvlText w:val="(%1)"/>
      <w:lvlJc w:val="left"/>
      <w:pPr>
        <w:tabs>
          <w:tab w:val="num" w:pos="360"/>
        </w:tabs>
        <w:ind w:left="720" w:hanging="360"/>
      </w:pPr>
      <w:rPr>
        <w:rFonts w:ascii="Times New Roman" w:eastAsia="Times New Roman" w:hAnsi="Times New Roman" w:cs="Times New Roman"/>
        <w:b w:val="0"/>
        <w:i w:val="0"/>
        <w:strike w:val="0"/>
        <w:sz w:val="18"/>
        <w:vertAlign w:val="superscript"/>
      </w:rPr>
    </w:lvl>
    <w:lvl w:ilvl="1" w:tplc="4A1691DA">
      <w:start w:val="1"/>
      <w:numFmt w:val="bullet"/>
      <w:lvlText w:val="o"/>
      <w:lvlJc w:val="left"/>
      <w:pPr>
        <w:tabs>
          <w:tab w:val="num" w:pos="1440"/>
        </w:tabs>
        <w:ind w:left="1440" w:hanging="360"/>
      </w:pPr>
      <w:rPr>
        <w:rFonts w:ascii="Courier New" w:hAnsi="Courier New"/>
      </w:rPr>
    </w:lvl>
    <w:lvl w:ilvl="2" w:tplc="F5487F30">
      <w:start w:val="1"/>
      <w:numFmt w:val="bullet"/>
      <w:lvlText w:val=""/>
      <w:lvlJc w:val="left"/>
      <w:pPr>
        <w:tabs>
          <w:tab w:val="num" w:pos="2160"/>
        </w:tabs>
        <w:ind w:left="2160" w:hanging="360"/>
      </w:pPr>
      <w:rPr>
        <w:rFonts w:ascii="Wingdings" w:hAnsi="Wingdings"/>
      </w:rPr>
    </w:lvl>
    <w:lvl w:ilvl="3" w:tplc="CA92CDD8">
      <w:start w:val="1"/>
      <w:numFmt w:val="bullet"/>
      <w:lvlText w:val=""/>
      <w:lvlJc w:val="left"/>
      <w:pPr>
        <w:tabs>
          <w:tab w:val="num" w:pos="2880"/>
        </w:tabs>
        <w:ind w:left="2880" w:hanging="360"/>
      </w:pPr>
      <w:rPr>
        <w:rFonts w:ascii="Symbol" w:hAnsi="Symbol"/>
      </w:rPr>
    </w:lvl>
    <w:lvl w:ilvl="4" w:tplc="699CEFA4">
      <w:start w:val="1"/>
      <w:numFmt w:val="bullet"/>
      <w:lvlText w:val="o"/>
      <w:lvlJc w:val="left"/>
      <w:pPr>
        <w:tabs>
          <w:tab w:val="num" w:pos="3600"/>
        </w:tabs>
        <w:ind w:left="3600" w:hanging="360"/>
      </w:pPr>
      <w:rPr>
        <w:rFonts w:ascii="Courier New" w:hAnsi="Courier New"/>
      </w:rPr>
    </w:lvl>
    <w:lvl w:ilvl="5" w:tplc="E906188C">
      <w:start w:val="1"/>
      <w:numFmt w:val="bullet"/>
      <w:lvlText w:val=""/>
      <w:lvlJc w:val="left"/>
      <w:pPr>
        <w:tabs>
          <w:tab w:val="num" w:pos="4320"/>
        </w:tabs>
        <w:ind w:left="4320" w:hanging="360"/>
      </w:pPr>
      <w:rPr>
        <w:rFonts w:ascii="Wingdings" w:hAnsi="Wingdings"/>
      </w:rPr>
    </w:lvl>
    <w:lvl w:ilvl="6" w:tplc="0D50F9CA">
      <w:start w:val="1"/>
      <w:numFmt w:val="bullet"/>
      <w:lvlText w:val=""/>
      <w:lvlJc w:val="left"/>
      <w:pPr>
        <w:tabs>
          <w:tab w:val="num" w:pos="5040"/>
        </w:tabs>
        <w:ind w:left="5040" w:hanging="360"/>
      </w:pPr>
      <w:rPr>
        <w:rFonts w:ascii="Symbol" w:hAnsi="Symbol"/>
      </w:rPr>
    </w:lvl>
    <w:lvl w:ilvl="7" w:tplc="6390FBF6">
      <w:start w:val="1"/>
      <w:numFmt w:val="bullet"/>
      <w:lvlText w:val="o"/>
      <w:lvlJc w:val="left"/>
      <w:pPr>
        <w:tabs>
          <w:tab w:val="num" w:pos="5760"/>
        </w:tabs>
        <w:ind w:left="5760" w:hanging="360"/>
      </w:pPr>
      <w:rPr>
        <w:rFonts w:ascii="Courier New" w:hAnsi="Courier New"/>
      </w:rPr>
    </w:lvl>
    <w:lvl w:ilvl="8" w:tplc="ACB89A62">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52D4E37A">
      <w:start w:val="4"/>
      <w:numFmt w:val="decimal"/>
      <w:lvlText w:val="(%1)"/>
      <w:lvlJc w:val="left"/>
      <w:pPr>
        <w:tabs>
          <w:tab w:val="num" w:pos="360"/>
        </w:tabs>
        <w:ind w:left="720" w:hanging="360"/>
      </w:pPr>
      <w:rPr>
        <w:rFonts w:ascii="Times New Roman" w:eastAsia="Times New Roman" w:hAnsi="Times New Roman" w:cs="Times New Roman"/>
        <w:b w:val="0"/>
        <w:i w:val="0"/>
        <w:strike w:val="0"/>
        <w:sz w:val="18"/>
        <w:vertAlign w:val="superscript"/>
      </w:rPr>
    </w:lvl>
    <w:lvl w:ilvl="1" w:tplc="60C03A42">
      <w:start w:val="1"/>
      <w:numFmt w:val="bullet"/>
      <w:lvlText w:val="o"/>
      <w:lvlJc w:val="left"/>
      <w:pPr>
        <w:tabs>
          <w:tab w:val="num" w:pos="1440"/>
        </w:tabs>
        <w:ind w:left="1440" w:hanging="360"/>
      </w:pPr>
      <w:rPr>
        <w:rFonts w:ascii="Courier New" w:hAnsi="Courier New"/>
      </w:rPr>
    </w:lvl>
    <w:lvl w:ilvl="2" w:tplc="5D36433A">
      <w:start w:val="1"/>
      <w:numFmt w:val="bullet"/>
      <w:lvlText w:val=""/>
      <w:lvlJc w:val="left"/>
      <w:pPr>
        <w:tabs>
          <w:tab w:val="num" w:pos="2160"/>
        </w:tabs>
        <w:ind w:left="2160" w:hanging="360"/>
      </w:pPr>
      <w:rPr>
        <w:rFonts w:ascii="Wingdings" w:hAnsi="Wingdings"/>
      </w:rPr>
    </w:lvl>
    <w:lvl w:ilvl="3" w:tplc="60DAEE5A">
      <w:start w:val="1"/>
      <w:numFmt w:val="bullet"/>
      <w:lvlText w:val=""/>
      <w:lvlJc w:val="left"/>
      <w:pPr>
        <w:tabs>
          <w:tab w:val="num" w:pos="2880"/>
        </w:tabs>
        <w:ind w:left="2880" w:hanging="360"/>
      </w:pPr>
      <w:rPr>
        <w:rFonts w:ascii="Symbol" w:hAnsi="Symbol"/>
      </w:rPr>
    </w:lvl>
    <w:lvl w:ilvl="4" w:tplc="8B12BB08">
      <w:start w:val="1"/>
      <w:numFmt w:val="bullet"/>
      <w:lvlText w:val="o"/>
      <w:lvlJc w:val="left"/>
      <w:pPr>
        <w:tabs>
          <w:tab w:val="num" w:pos="3600"/>
        </w:tabs>
        <w:ind w:left="3600" w:hanging="360"/>
      </w:pPr>
      <w:rPr>
        <w:rFonts w:ascii="Courier New" w:hAnsi="Courier New"/>
      </w:rPr>
    </w:lvl>
    <w:lvl w:ilvl="5" w:tplc="D03E8DFA">
      <w:start w:val="1"/>
      <w:numFmt w:val="bullet"/>
      <w:lvlText w:val=""/>
      <w:lvlJc w:val="left"/>
      <w:pPr>
        <w:tabs>
          <w:tab w:val="num" w:pos="4320"/>
        </w:tabs>
        <w:ind w:left="4320" w:hanging="360"/>
      </w:pPr>
      <w:rPr>
        <w:rFonts w:ascii="Wingdings" w:hAnsi="Wingdings"/>
      </w:rPr>
    </w:lvl>
    <w:lvl w:ilvl="6" w:tplc="4D7E327C">
      <w:start w:val="1"/>
      <w:numFmt w:val="bullet"/>
      <w:lvlText w:val=""/>
      <w:lvlJc w:val="left"/>
      <w:pPr>
        <w:tabs>
          <w:tab w:val="num" w:pos="5040"/>
        </w:tabs>
        <w:ind w:left="5040" w:hanging="360"/>
      </w:pPr>
      <w:rPr>
        <w:rFonts w:ascii="Symbol" w:hAnsi="Symbol"/>
      </w:rPr>
    </w:lvl>
    <w:lvl w:ilvl="7" w:tplc="2BC219A2">
      <w:start w:val="1"/>
      <w:numFmt w:val="bullet"/>
      <w:lvlText w:val="o"/>
      <w:lvlJc w:val="left"/>
      <w:pPr>
        <w:tabs>
          <w:tab w:val="num" w:pos="5760"/>
        </w:tabs>
        <w:ind w:left="5760" w:hanging="360"/>
      </w:pPr>
      <w:rPr>
        <w:rFonts w:ascii="Courier New" w:hAnsi="Courier New"/>
      </w:rPr>
    </w:lvl>
    <w:lvl w:ilvl="8" w:tplc="D758C242">
      <w:start w:val="1"/>
      <w:numFmt w:val="bullet"/>
      <w:lvlText w:val=""/>
      <w:lvlJc w:val="left"/>
      <w:pPr>
        <w:tabs>
          <w:tab w:val="num" w:pos="6480"/>
        </w:tabs>
        <w:ind w:left="6480" w:hanging="360"/>
      </w:pPr>
      <w:rPr>
        <w:rFonts w:ascii="Wingdings" w:hAnsi="Wingdings"/>
      </w:rPr>
    </w:lvl>
  </w:abstractNum>
  <w:num w:numId="1" w16cid:durableId="2120563926">
    <w:abstractNumId w:val="0"/>
  </w:num>
  <w:num w:numId="2" w16cid:durableId="166678400">
    <w:abstractNumId w:val="1"/>
  </w:num>
  <w:num w:numId="3" w16cid:durableId="356201051">
    <w:abstractNumId w:val="2"/>
  </w:num>
  <w:num w:numId="4" w16cid:durableId="361050856">
    <w:abstractNumId w:val="3"/>
  </w:num>
  <w:num w:numId="5" w16cid:durableId="515851771">
    <w:abstractNumId w:val="4"/>
  </w:num>
  <w:num w:numId="6" w16cid:durableId="1956402884">
    <w:abstractNumId w:val="5"/>
  </w:num>
  <w:num w:numId="7" w16cid:durableId="983310329">
    <w:abstractNumId w:val="6"/>
  </w:num>
  <w:num w:numId="8" w16cid:durableId="2136440550">
    <w:abstractNumId w:val="7"/>
  </w:num>
  <w:num w:numId="9" w16cid:durableId="1925064765">
    <w:abstractNumId w:val="8"/>
  </w:num>
  <w:num w:numId="10" w16cid:durableId="1035808787">
    <w:abstractNumId w:val="9"/>
  </w:num>
  <w:num w:numId="11" w16cid:durableId="444888143">
    <w:abstractNumId w:val="10"/>
  </w:num>
  <w:num w:numId="12" w16cid:durableId="191460728">
    <w:abstractNumId w:val="11"/>
  </w:num>
  <w:num w:numId="13" w16cid:durableId="1880195043">
    <w:abstractNumId w:val="12"/>
  </w:num>
  <w:num w:numId="14" w16cid:durableId="1543010858">
    <w:abstractNumId w:val="13"/>
  </w:num>
  <w:num w:numId="15" w16cid:durableId="875653590">
    <w:abstractNumId w:val="14"/>
  </w:num>
  <w:num w:numId="16" w16cid:durableId="1765489888">
    <w:abstractNumId w:val="15"/>
  </w:num>
  <w:num w:numId="17" w16cid:durableId="691151729">
    <w:abstractNumId w:val="16"/>
  </w:num>
  <w:num w:numId="18" w16cid:durableId="1507162914">
    <w:abstractNumId w:val="17"/>
  </w:num>
  <w:num w:numId="19" w16cid:durableId="703409083">
    <w:abstractNumId w:val="18"/>
  </w:num>
  <w:num w:numId="20" w16cid:durableId="813520276">
    <w:abstractNumId w:val="19"/>
  </w:num>
  <w:num w:numId="21" w16cid:durableId="1159425040">
    <w:abstractNumId w:val="20"/>
  </w:num>
  <w:num w:numId="22" w16cid:durableId="953445833">
    <w:abstractNumId w:val="21"/>
  </w:num>
  <w:num w:numId="23" w16cid:durableId="1426534962">
    <w:abstractNumId w:val="22"/>
  </w:num>
  <w:num w:numId="24" w16cid:durableId="944383249">
    <w:abstractNumId w:val="23"/>
  </w:num>
  <w:num w:numId="25" w16cid:durableId="852111087">
    <w:abstractNumId w:val="24"/>
  </w:num>
  <w:num w:numId="26" w16cid:durableId="905602591">
    <w:abstractNumId w:val="25"/>
  </w:num>
  <w:num w:numId="27" w16cid:durableId="17863404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654E3"/>
    <w:rsid w:val="005C5CF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35C157"/>
  <w15:docId w15:val="{19F42C7F-4486-474C-BCB1-81608CF4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asterisk">
    <w:name w:val="bullet.asterisk"/>
    <w:pPr>
      <w:numPr>
        <w:numId w:val="1"/>
      </w:numPr>
    </w:pPr>
  </w:style>
  <w:style w:type="numbering" w:customStyle="1" w:styleId="bulletcircle">
    <w:name w:val="bullet.circle"/>
    <w:pPr>
      <w:numPr>
        <w:numId w:val="2"/>
      </w:numPr>
    </w:pPr>
  </w:style>
  <w:style w:type="numbering" w:customStyle="1" w:styleId="bulletdagger">
    <w:name w:val="bullet.dagger"/>
    <w:pPr>
      <w:numPr>
        <w:numId w:val="3"/>
      </w:numPr>
    </w:pPr>
  </w:style>
  <w:style w:type="numbering" w:customStyle="1" w:styleId="bulletdash">
    <w:name w:val="bullet.dash"/>
    <w:pPr>
      <w:numPr>
        <w:numId w:val="4"/>
      </w:numPr>
    </w:pPr>
  </w:style>
  <w:style w:type="numbering" w:customStyle="1" w:styleId="bulletlargebox">
    <w:name w:val="bullet.largebox"/>
    <w:pPr>
      <w:numPr>
        <w:numId w:val="5"/>
      </w:numPr>
    </w:pPr>
  </w:style>
  <w:style w:type="numbering" w:customStyle="1" w:styleId="bulletround">
    <w:name w:val="bullet.round"/>
    <w:pPr>
      <w:numPr>
        <w:numId w:val="6"/>
      </w:numPr>
    </w:pPr>
  </w:style>
  <w:style w:type="numbering" w:customStyle="1" w:styleId="bulletsquare">
    <w:name w:val="bullet.square"/>
    <w:pPr>
      <w:numPr>
        <w:numId w:val="7"/>
      </w:numPr>
    </w:pPr>
  </w:style>
  <w:style w:type="numbering" w:customStyle="1" w:styleId="listarabic">
    <w:name w:val="list.arabic"/>
    <w:pPr>
      <w:numPr>
        <w:numId w:val="8"/>
      </w:numPr>
    </w:pPr>
  </w:style>
  <w:style w:type="numbering" w:customStyle="1" w:styleId="listlatinlowercase">
    <w:name w:val="list.latin.lowercase"/>
    <w:pPr>
      <w:numPr>
        <w:numId w:val="9"/>
      </w:numPr>
    </w:pPr>
  </w:style>
  <w:style w:type="numbering" w:customStyle="1" w:styleId="listlatinuppercase">
    <w:name w:val="list.latin.uppercase"/>
    <w:pPr>
      <w:numPr>
        <w:numId w:val="10"/>
      </w:numPr>
    </w:pPr>
  </w:style>
  <w:style w:type="numbering" w:customStyle="1" w:styleId="listromanlowercase">
    <w:name w:val="list.roman.lowercase"/>
    <w:pPr>
      <w:numPr>
        <w:numId w:val="11"/>
      </w:numPr>
    </w:pPr>
  </w:style>
  <w:style w:type="numbering" w:customStyle="1" w:styleId="listromanuppercase">
    <w:name w:val="list.roman.uppercase"/>
    <w:pPr>
      <w:numPr>
        <w:numId w:val="12"/>
      </w:numPr>
    </w:pPr>
  </w:style>
  <w:style w:type="character" w:styleId="FootnoteReference">
    <w:name w:val="footnote reference"/>
    <w:basedOn w:val="DefaultParagraphFont"/>
    <w:rsid w:val="00805BCE"/>
    <w:rPr>
      <w:vertAlign w:val="superscript"/>
    </w:rPr>
  </w:style>
  <w:style w:type="paragraph" w:styleId="FootnoteText">
    <w:name w:val="footnote text"/>
    <w:basedOn w:val="Normal"/>
    <w:link w:val="FootnoteTextChar"/>
    <w:uiPriority w:val="99"/>
    <w:rsid w:val="000F3DF7"/>
    <w:rPr>
      <w:sz w:val="20"/>
      <w:szCs w:val="20"/>
    </w:rPr>
  </w:style>
  <w:style w:type="character" w:customStyle="1" w:styleId="FootnoteTextChar">
    <w:name w:val="Footnote Text Char"/>
    <w:basedOn w:val="DefaultParagraphFont"/>
    <w:link w:val="FootnoteText"/>
    <w:uiPriority w:val="99"/>
    <w:rsid w:val="000F3D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6D1960146A8D44B8E3DF7EEC180126" ma:contentTypeVersion="13" ma:contentTypeDescription="Create a new document." ma:contentTypeScope="" ma:versionID="2b6e70f2c7e30455af58ead25c1da35f">
  <xsd:schema xmlns:xsd="http://www.w3.org/2001/XMLSchema" xmlns:xs="http://www.w3.org/2001/XMLSchema" xmlns:p="http://schemas.microsoft.com/office/2006/metadata/properties" xmlns:ns2="f38da7ce-f6fd-40f4-9978-d2b0dd665447" xmlns:ns3="f51ad710-171d-4a01-95d8-150e09d6e53d" targetNamespace="http://schemas.microsoft.com/office/2006/metadata/properties" ma:root="true" ma:fieldsID="25796249364bc63f89462d4bec0028ad" ns2:_="" ns3:_="">
    <xsd:import namespace="f38da7ce-f6fd-40f4-9978-d2b0dd665447"/>
    <xsd:import namespace="f51ad710-171d-4a01-95d8-150e09d6e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da7ce-f6fd-40f4-9978-d2b0dd665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ad710-171d-4a01-95d8-150e09d6e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743A8-F215-498F-888F-5C2318D7CA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3E11B-3FB4-491E-9DCA-CC821D16A151}">
  <ds:schemaRefs>
    <ds:schemaRef ds:uri="http://schemas.microsoft.com/sharepoint/v3/contenttype/forms"/>
  </ds:schemaRefs>
</ds:datastoreItem>
</file>

<file path=customXml/itemProps3.xml><?xml version="1.0" encoding="utf-8"?>
<ds:datastoreItem xmlns:ds="http://schemas.openxmlformats.org/officeDocument/2006/customXml" ds:itemID="{69C5141A-7CD5-4217-97D9-9E55CEF0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da7ce-f6fd-40f4-9978-d2b0dd665447"/>
    <ds:schemaRef ds:uri="f51ad710-171d-4a01-95d8-150e09d6e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99.1 - AWH Q1 2022 Press Release</dc:title>
  <cp:lastModifiedBy>John Wisniewski</cp:lastModifiedBy>
  <cp:revision>2</cp:revision>
  <dcterms:created xsi:type="dcterms:W3CDTF">2022-05-11T20:36:00Z</dcterms:created>
  <dcterms:modified xsi:type="dcterms:W3CDTF">2022-05-11T20:36:00Z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0x0101000A6D1960146A8D44B8E3DF7EEC180126</vt:lpwstr>
  </property>
</Properties>
</file>