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8E724" w14:textId="77777777" w:rsidR="00EA4133" w:rsidRPr="0001060A" w:rsidRDefault="009F392E">
      <w:pPr>
        <w:pStyle w:val="Title"/>
        <w:spacing w:before="0"/>
        <w:rPr>
          <w:sz w:val="28"/>
          <w:lang w:val="en-CA"/>
        </w:rPr>
      </w:pPr>
      <w:r w:rsidRPr="0001060A">
        <w:rPr>
          <w:sz w:val="28"/>
          <w:lang w:val="en-CA"/>
        </w:rPr>
        <w:t>AMENDED FORM 9</w:t>
      </w:r>
    </w:p>
    <w:p w14:paraId="2878E725" w14:textId="77777777" w:rsidR="00EA4133" w:rsidRPr="007568B3" w:rsidRDefault="009F392E">
      <w:pPr>
        <w:pStyle w:val="Title"/>
        <w:spacing w:before="0" w:after="0"/>
        <w:rPr>
          <w:sz w:val="28"/>
          <w:u w:val="single"/>
          <w:lang w:val="en-CA"/>
        </w:rPr>
      </w:pPr>
      <w:r w:rsidRPr="007568B3">
        <w:rPr>
          <w:sz w:val="28"/>
          <w:u w:val="single"/>
          <w:lang w:val="en-CA"/>
        </w:rPr>
        <w:t xml:space="preserve">NOTICE OF PROPOSED ISSUANCE OF LISTED SECURITIES </w:t>
      </w:r>
    </w:p>
    <w:p w14:paraId="2878E726" w14:textId="77777777" w:rsidR="00EA4133" w:rsidRDefault="009F392E">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2878E727" w14:textId="77777777" w:rsidR="00EA4133" w:rsidRDefault="009F392E">
      <w:pPr>
        <w:pStyle w:val="BodyText"/>
        <w:rPr>
          <w:rFonts w:ascii="Arial" w:hAnsi="Arial"/>
          <w:lang w:val="en-CA"/>
        </w:rPr>
      </w:pPr>
      <w:r>
        <w:rPr>
          <w:rFonts w:ascii="Arial" w:hAnsi="Arial"/>
          <w:lang w:val="en-CA"/>
        </w:rPr>
        <w:t>Please complete the following:</w:t>
      </w:r>
    </w:p>
    <w:p w14:paraId="2878E728" w14:textId="77777777" w:rsidR="00EA4133" w:rsidRDefault="009F392E">
      <w:pPr>
        <w:pStyle w:val="BodyText"/>
        <w:rPr>
          <w:rFonts w:ascii="Arial" w:hAnsi="Arial"/>
          <w:lang w:val="en-CA"/>
        </w:rPr>
      </w:pPr>
      <w:r>
        <w:rPr>
          <w:rFonts w:ascii="Arial" w:hAnsi="Arial"/>
          <w:lang w:val="en-CA"/>
        </w:rPr>
        <w:t xml:space="preserve">Name of Listed Issuer:  </w:t>
      </w:r>
      <w:r>
        <w:rPr>
          <w:rFonts w:ascii="Arial" w:hAnsi="Arial"/>
          <w:u w:val="single"/>
          <w:lang w:val="en-CA"/>
        </w:rPr>
        <w:tab/>
        <w:t xml:space="preserve">EnviroLeach Technologies Inc. </w:t>
      </w:r>
      <w:r>
        <w:rPr>
          <w:rFonts w:ascii="Arial" w:hAnsi="Arial"/>
          <w:u w:val="single"/>
          <w:lang w:val="en-CA"/>
        </w:rPr>
        <w:tab/>
      </w:r>
      <w:r>
        <w:rPr>
          <w:rFonts w:ascii="Arial" w:hAnsi="Arial"/>
          <w:u w:val="single"/>
          <w:lang w:val="en-CA"/>
        </w:rPr>
        <w:tab/>
      </w:r>
      <w:r>
        <w:rPr>
          <w:rFonts w:ascii="Arial" w:hAnsi="Arial"/>
          <w:lang w:val="en-CA"/>
        </w:rPr>
        <w:t xml:space="preserve">(the “Issuer”).  </w:t>
      </w:r>
    </w:p>
    <w:p w14:paraId="2878E729" w14:textId="77777777" w:rsidR="00EA4133" w:rsidRDefault="009F392E">
      <w:pPr>
        <w:pStyle w:val="BodyText"/>
        <w:rPr>
          <w:rFonts w:ascii="Arial" w:hAnsi="Arial"/>
          <w:lang w:val="en-CA"/>
        </w:rPr>
      </w:pPr>
      <w:r>
        <w:rPr>
          <w:rFonts w:ascii="Arial" w:hAnsi="Arial"/>
          <w:lang w:val="en-CA"/>
        </w:rPr>
        <w:t xml:space="preserve">Trading Symbol:  </w:t>
      </w:r>
      <w:r>
        <w:rPr>
          <w:rFonts w:ascii="Arial" w:hAnsi="Arial"/>
          <w:u w:val="single"/>
          <w:lang w:val="en-CA"/>
        </w:rPr>
        <w:t>ETI</w:t>
      </w:r>
      <w:r>
        <w:rPr>
          <w:rFonts w:ascii="Arial" w:hAnsi="Arial"/>
          <w:u w:val="single"/>
          <w:lang w:val="en-CA"/>
        </w:rPr>
        <w:tab/>
      </w:r>
      <w:r>
        <w:rPr>
          <w:rFonts w:ascii="Arial" w:hAnsi="Arial"/>
          <w:lang w:val="en-CA"/>
        </w:rPr>
        <w:t>.</w:t>
      </w:r>
    </w:p>
    <w:p w14:paraId="2878E72A" w14:textId="77777777" w:rsidR="00EA4133" w:rsidRDefault="009F392E">
      <w:pPr>
        <w:pStyle w:val="BodyText"/>
        <w:spacing w:after="240"/>
        <w:rPr>
          <w:rFonts w:ascii="Arial" w:hAnsi="Arial"/>
          <w:lang w:val="en-CA"/>
        </w:rPr>
      </w:pPr>
      <w:r>
        <w:rPr>
          <w:rFonts w:ascii="Arial" w:hAnsi="Arial"/>
          <w:lang w:val="en-CA"/>
        </w:rPr>
        <w:t xml:space="preserve">Date:  </w:t>
      </w:r>
      <w:r>
        <w:rPr>
          <w:rFonts w:ascii="Arial" w:hAnsi="Arial"/>
          <w:u w:val="single"/>
          <w:lang w:val="en-CA"/>
        </w:rPr>
        <w:tab/>
        <w:t xml:space="preserve">March 2, </w:t>
      </w:r>
      <w:proofErr w:type="gramStart"/>
      <w:r>
        <w:rPr>
          <w:rFonts w:ascii="Arial" w:hAnsi="Arial"/>
          <w:u w:val="single"/>
          <w:lang w:val="en-CA"/>
        </w:rPr>
        <w:t>2018</w:t>
      </w:r>
      <w:r>
        <w:rPr>
          <w:rFonts w:ascii="Arial" w:hAnsi="Arial"/>
          <w:lang w:val="en-CA"/>
        </w:rPr>
        <w:t xml:space="preserve"> .</w:t>
      </w:r>
      <w:proofErr w:type="gramEnd"/>
    </w:p>
    <w:p w14:paraId="2878E72B" w14:textId="77777777" w:rsidR="00EA4133" w:rsidRDefault="009F392E">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Wingdings" w:hAnsi="Wingdings"/>
          <w:lang w:val="en-CA"/>
        </w:rPr>
        <w:sym w:font="Wingdings" w:char="F0FE"/>
      </w:r>
      <w:r>
        <w:rPr>
          <w:rFonts w:ascii="Arial" w:hAnsi="Arial"/>
          <w:lang w:val="en-CA"/>
        </w:rPr>
        <w:t>Yes</w:t>
      </w:r>
      <w:r>
        <w:rPr>
          <w:rFonts w:ascii="Arial" w:hAnsi="Arial"/>
          <w:lang w:val="en-CA"/>
        </w:rPr>
        <w:tab/>
      </w:r>
      <w:r>
        <w:rPr>
          <w:rFonts w:ascii="Arial" w:hAnsi="Arial"/>
          <w:lang w:val="en-CA"/>
        </w:rPr>
        <w:tab/>
      </w:r>
      <w:r>
        <w:rPr>
          <w:rFonts w:ascii="Monotype Sorts" w:hAnsi="Monotype Sorts"/>
          <w:lang w:val="en-CA"/>
        </w:rPr>
        <w:sym w:font="Monotype Sorts" w:char="F07F"/>
      </w:r>
      <w:proofErr w:type="gramStart"/>
      <w:r>
        <w:rPr>
          <w:rFonts w:ascii="Arial" w:hAnsi="Arial"/>
          <w:lang w:val="en-CA"/>
        </w:rPr>
        <w:t>No</w:t>
      </w:r>
      <w:proofErr w:type="gramEnd"/>
      <w:r>
        <w:rPr>
          <w:rFonts w:ascii="Arial" w:hAnsi="Arial"/>
          <w:sz w:val="32"/>
          <w:lang w:val="en-CA"/>
        </w:rPr>
        <w:tab/>
      </w:r>
    </w:p>
    <w:p w14:paraId="2878E72C" w14:textId="77777777" w:rsidR="00EA4133" w:rsidRDefault="009F392E">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14:paraId="2878E72D" w14:textId="77777777" w:rsidR="00EA4133" w:rsidRDefault="009F392E">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proofErr w:type="gramStart"/>
      <w:r>
        <w:rPr>
          <w:rFonts w:ascii="Arial" w:hAnsi="Arial"/>
          <w:u w:val="single"/>
          <w:lang w:val="en-CA"/>
        </w:rPr>
        <w:t>52,456,000</w:t>
      </w:r>
      <w:r>
        <w:rPr>
          <w:rFonts w:ascii="Arial" w:hAnsi="Arial"/>
          <w:lang w:val="en-CA"/>
        </w:rPr>
        <w:t xml:space="preserve"> .</w:t>
      </w:r>
      <w:proofErr w:type="gramEnd"/>
    </w:p>
    <w:p w14:paraId="2878E72E" w14:textId="77777777" w:rsidR="00EA4133" w:rsidRDefault="009F392E">
      <w:pPr>
        <w:pStyle w:val="BodyText"/>
        <w:tabs>
          <w:tab w:val="left" w:pos="9180"/>
        </w:tabs>
        <w:spacing w:before="0" w:after="240"/>
        <w:rPr>
          <w:rFonts w:ascii="Arial" w:hAnsi="Arial"/>
          <w:lang w:val="en-CA"/>
        </w:rPr>
      </w:pPr>
      <w:r>
        <w:rPr>
          <w:rFonts w:ascii="Arial" w:hAnsi="Arial"/>
          <w:lang w:val="en-CA"/>
        </w:rPr>
        <w:t>Date of News</w:t>
      </w:r>
      <w:r>
        <w:rPr>
          <w:rFonts w:ascii="Arial" w:hAnsi="Arial"/>
          <w:lang w:val="en-CA"/>
        </w:rPr>
        <w:t xml:space="preserve"> Release Announcing Private Placement:  </w:t>
      </w:r>
      <w:r>
        <w:rPr>
          <w:rFonts w:ascii="Arial" w:hAnsi="Arial"/>
          <w:u w:val="single"/>
          <w:lang w:val="en-CA"/>
        </w:rPr>
        <w:t xml:space="preserve">February 27, </w:t>
      </w:r>
      <w:proofErr w:type="gramStart"/>
      <w:r>
        <w:rPr>
          <w:rFonts w:ascii="Arial" w:hAnsi="Arial"/>
          <w:u w:val="single"/>
          <w:lang w:val="en-CA"/>
        </w:rPr>
        <w:t>2018</w:t>
      </w:r>
      <w:r>
        <w:rPr>
          <w:rFonts w:ascii="Arial" w:hAnsi="Arial"/>
          <w:lang w:val="en-CA"/>
        </w:rPr>
        <w:t xml:space="preserve"> .</w:t>
      </w:r>
      <w:proofErr w:type="gramEnd"/>
    </w:p>
    <w:p w14:paraId="2878E72F" w14:textId="77777777" w:rsidR="00EA4133" w:rsidRDefault="009F392E">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Pr>
          <w:rFonts w:ascii="Arial" w:hAnsi="Arial"/>
          <w:u w:val="single"/>
          <w:lang w:val="en-CA"/>
        </w:rPr>
        <w:t>CDN$1.71</w:t>
      </w:r>
      <w:r w:rsidRPr="000F40A7">
        <w:rPr>
          <w:rFonts w:ascii="Arial" w:hAnsi="Arial"/>
          <w:u w:val="single"/>
          <w:vertAlign w:val="superscript"/>
          <w:lang w:val="en-CA"/>
        </w:rPr>
        <w:t>(1)</w:t>
      </w:r>
      <w:r>
        <w:rPr>
          <w:rFonts w:ascii="Arial" w:hAnsi="Arial"/>
          <w:lang w:val="en-CA"/>
        </w:rPr>
        <w:t xml:space="preserve"> </w:t>
      </w:r>
    </w:p>
    <w:p w14:paraId="2878E730" w14:textId="77777777" w:rsidR="00872BB7" w:rsidRPr="00F7523C" w:rsidRDefault="009F392E" w:rsidP="00872BB7">
      <w:pPr>
        <w:pStyle w:val="BodyText"/>
        <w:tabs>
          <w:tab w:val="left" w:pos="9180"/>
        </w:tabs>
        <w:spacing w:before="0" w:after="240"/>
        <w:jc w:val="both"/>
        <w:rPr>
          <w:rFonts w:ascii="Arial" w:hAnsi="Arial"/>
          <w:sz w:val="20"/>
          <w:u w:val="single"/>
          <w:lang w:val="en-CA"/>
        </w:rPr>
      </w:pPr>
      <w:r w:rsidRPr="00F7523C">
        <w:rPr>
          <w:rFonts w:ascii="Arial" w:hAnsi="Arial"/>
          <w:sz w:val="20"/>
          <w:u w:val="single"/>
          <w:vertAlign w:val="superscript"/>
          <w:lang w:val="en-CA"/>
        </w:rPr>
        <w:t>(1)</w:t>
      </w:r>
      <w:r w:rsidRPr="00F7523C">
        <w:rPr>
          <w:rFonts w:ascii="Arial" w:hAnsi="Arial"/>
          <w:sz w:val="20"/>
          <w:u w:val="single"/>
          <w:lang w:val="en-CA"/>
        </w:rPr>
        <w:t xml:space="preserve"> Price reservation was made on February 20, 2018, based on a closing market price of CDN$1.71 on February 16, 2018. </w:t>
      </w:r>
    </w:p>
    <w:p w14:paraId="2878E731" w14:textId="77777777" w:rsidR="00A90670" w:rsidRDefault="009F392E">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w:t>
      </w:r>
      <w:r>
        <w:rPr>
          <w:rFonts w:ascii="Arial" w:hAnsi="Arial"/>
          <w:b/>
          <w:lang w:val="en-CA"/>
        </w:rPr>
        <w:t>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357EAF" w14:paraId="2878E743" w14:textId="77777777" w:rsidTr="00E64EF0">
        <w:trPr>
          <w:trHeight w:val="1965"/>
        </w:trPr>
        <w:tc>
          <w:tcPr>
            <w:tcW w:w="1394" w:type="dxa"/>
          </w:tcPr>
          <w:p w14:paraId="2878E732" w14:textId="77777777" w:rsidR="00EA4133" w:rsidRDefault="009F392E">
            <w:pPr>
              <w:pStyle w:val="BodyText"/>
              <w:spacing w:before="0" w:line="280" w:lineRule="exact"/>
              <w:jc w:val="center"/>
              <w:rPr>
                <w:rFonts w:ascii="Arial" w:hAnsi="Arial"/>
                <w:b/>
                <w:sz w:val="20"/>
                <w:lang w:val="en-CA"/>
              </w:rPr>
            </w:pPr>
          </w:p>
          <w:p w14:paraId="2878E733"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14:paraId="2878E734" w14:textId="77777777" w:rsidR="00EA4133" w:rsidRDefault="009F392E">
            <w:pPr>
              <w:pStyle w:val="BodyText"/>
              <w:spacing w:before="0" w:line="280" w:lineRule="exact"/>
              <w:jc w:val="center"/>
              <w:rPr>
                <w:rFonts w:ascii="Arial" w:hAnsi="Arial"/>
                <w:b/>
                <w:sz w:val="20"/>
                <w:lang w:val="en-CA"/>
              </w:rPr>
            </w:pPr>
          </w:p>
          <w:p w14:paraId="2878E735"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2878E736" w14:textId="77777777" w:rsidR="00EA4133" w:rsidRDefault="009F392E">
            <w:pPr>
              <w:pStyle w:val="BodyText"/>
              <w:spacing w:before="0" w:line="280" w:lineRule="exact"/>
              <w:jc w:val="center"/>
              <w:rPr>
                <w:rFonts w:ascii="Arial" w:hAnsi="Arial"/>
                <w:b/>
                <w:sz w:val="20"/>
                <w:lang w:val="en-CA"/>
              </w:rPr>
            </w:pPr>
          </w:p>
          <w:p w14:paraId="2878E737"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2878E738" w14:textId="77777777" w:rsidR="00EA4133" w:rsidRDefault="009F392E">
            <w:pPr>
              <w:pStyle w:val="BodyText"/>
              <w:spacing w:before="0" w:line="280" w:lineRule="exact"/>
              <w:jc w:val="center"/>
              <w:rPr>
                <w:rFonts w:ascii="Arial" w:hAnsi="Arial"/>
                <w:b/>
                <w:sz w:val="20"/>
                <w:lang w:val="en-CA"/>
              </w:rPr>
            </w:pPr>
          </w:p>
          <w:p w14:paraId="2878E739"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Conversion</w:t>
            </w:r>
          </w:p>
          <w:p w14:paraId="2878E73A"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Price (if</w:t>
            </w:r>
          </w:p>
          <w:p w14:paraId="2878E73B"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2878E73C" w14:textId="77777777" w:rsidR="00EA4133" w:rsidRDefault="009F392E">
            <w:pPr>
              <w:pStyle w:val="BodyText"/>
              <w:spacing w:before="0" w:line="280" w:lineRule="exact"/>
              <w:jc w:val="center"/>
              <w:rPr>
                <w:rFonts w:ascii="Arial" w:hAnsi="Arial"/>
                <w:b/>
                <w:sz w:val="20"/>
                <w:lang w:val="en-CA"/>
              </w:rPr>
            </w:pPr>
          </w:p>
          <w:p w14:paraId="2878E73D"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2878E73E" w14:textId="77777777" w:rsidR="00EA4133" w:rsidRDefault="009F392E">
            <w:pPr>
              <w:pStyle w:val="BodyText"/>
              <w:spacing w:before="0" w:line="280" w:lineRule="exact"/>
              <w:jc w:val="center"/>
              <w:rPr>
                <w:rFonts w:ascii="Arial" w:hAnsi="Arial"/>
                <w:b/>
                <w:sz w:val="20"/>
                <w:lang w:val="en-CA"/>
              </w:rPr>
            </w:pPr>
            <w:r>
              <w:rPr>
                <w:rFonts w:ascii="Arial" w:hAnsi="Arial"/>
                <w:b/>
                <w:sz w:val="20"/>
              </w:rPr>
              <w:t xml:space="preserve">No. of Securities, </w:t>
            </w:r>
            <w:r>
              <w:rPr>
                <w:rFonts w:ascii="Arial" w:hAnsi="Arial"/>
                <w:b/>
                <w:sz w:val="20"/>
              </w:rPr>
              <w:t>directly or indirectly, Owned, Controlled or Directed</w:t>
            </w:r>
          </w:p>
        </w:tc>
        <w:tc>
          <w:tcPr>
            <w:tcW w:w="1100" w:type="dxa"/>
          </w:tcPr>
          <w:p w14:paraId="2878E73F" w14:textId="77777777" w:rsidR="00EA4133" w:rsidRDefault="009F392E">
            <w:pPr>
              <w:pStyle w:val="BodyText"/>
              <w:spacing w:before="0" w:line="280" w:lineRule="exact"/>
              <w:jc w:val="center"/>
              <w:rPr>
                <w:rFonts w:ascii="Arial" w:hAnsi="Arial"/>
                <w:b/>
                <w:sz w:val="20"/>
                <w:lang w:val="en-CA"/>
              </w:rPr>
            </w:pPr>
          </w:p>
          <w:p w14:paraId="2878E740" w14:textId="77777777" w:rsidR="00EA4133" w:rsidRDefault="009F392E">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2878E741" w14:textId="77777777" w:rsidR="00EA4133" w:rsidRDefault="009F392E">
            <w:pPr>
              <w:pStyle w:val="BodyText"/>
              <w:spacing w:before="0" w:line="280" w:lineRule="exact"/>
              <w:jc w:val="center"/>
              <w:rPr>
                <w:rFonts w:ascii="Arial" w:hAnsi="Arial"/>
                <w:b/>
                <w:sz w:val="20"/>
                <w:lang w:val="en-CA"/>
              </w:rPr>
            </w:pPr>
          </w:p>
          <w:p w14:paraId="2878E742" w14:textId="77777777" w:rsidR="00EA4133" w:rsidRDefault="009F392E">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357EAF" w14:paraId="2878E745" w14:textId="77777777" w:rsidTr="001B658F">
        <w:trPr>
          <w:trHeight w:val="864"/>
        </w:trPr>
        <w:tc>
          <w:tcPr>
            <w:tcW w:w="10656" w:type="dxa"/>
            <w:gridSpan w:val="8"/>
          </w:tcPr>
          <w:p w14:paraId="2878E744" w14:textId="77777777" w:rsidR="00E64EF0" w:rsidRDefault="009F392E">
            <w:pPr>
              <w:pStyle w:val="BodyText"/>
              <w:spacing w:before="0" w:line="280" w:lineRule="exact"/>
              <w:jc w:val="center"/>
              <w:rPr>
                <w:rFonts w:ascii="Arial" w:hAnsi="Arial"/>
                <w:b/>
                <w:color w:val="000000"/>
                <w:sz w:val="20"/>
                <w:lang w:val="en-CA"/>
              </w:rPr>
            </w:pPr>
            <w:r>
              <w:rPr>
                <w:rFonts w:ascii="Arial" w:hAnsi="Arial"/>
                <w:b/>
                <w:color w:val="000000"/>
                <w:sz w:val="20"/>
                <w:lang w:val="en-CA"/>
              </w:rPr>
              <w:t>See attached Schedule A</w:t>
            </w:r>
          </w:p>
        </w:tc>
      </w:tr>
    </w:tbl>
    <w:p w14:paraId="2878E746" w14:textId="77777777" w:rsidR="00EA4133" w:rsidRPr="008003B9" w:rsidRDefault="009F392E">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w:t>
      </w:r>
      <w:r w:rsidRPr="008003B9">
        <w:rPr>
          <w:rFonts w:ascii="Arial" w:hAnsi="Arial" w:cs="Arial"/>
          <w:sz w:val="20"/>
        </w:rPr>
        <w:t xml:space="preserve"> date, conditions to release of funds etc.  Indicate if the placement funds been placed in trust pending receipt of all necessary approvals.</w:t>
      </w:r>
    </w:p>
    <w:p w14:paraId="2878E747" w14:textId="77777777" w:rsidR="00EA4133" w:rsidRPr="008003B9" w:rsidRDefault="009F392E">
      <w:pPr>
        <w:pStyle w:val="BodyText"/>
        <w:numPr>
          <w:ilvl w:val="0"/>
          <w:numId w:val="8"/>
        </w:numPr>
        <w:rPr>
          <w:rFonts w:ascii="Arial" w:hAnsi="Arial" w:cs="Arial"/>
          <w:sz w:val="20"/>
        </w:rPr>
      </w:pPr>
      <w:r w:rsidRPr="008003B9">
        <w:rPr>
          <w:rFonts w:ascii="Arial" w:hAnsi="Arial" w:cs="Arial"/>
          <w:sz w:val="20"/>
        </w:rPr>
        <w:t>Indicate if Related Person.</w:t>
      </w:r>
    </w:p>
    <w:p w14:paraId="2878E748" w14:textId="77777777" w:rsidR="00EA4133" w:rsidRPr="008003B9" w:rsidRDefault="009F392E">
      <w:pPr>
        <w:pStyle w:val="BodyText"/>
        <w:rPr>
          <w:rFonts w:ascii="Arial" w:hAnsi="Arial" w:cs="Arial"/>
          <w:sz w:val="20"/>
        </w:rPr>
      </w:pPr>
    </w:p>
    <w:p w14:paraId="2878E749" w14:textId="77777777" w:rsidR="00EA4133" w:rsidRPr="008003B9" w:rsidRDefault="009F392E">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w:t>
      </w:r>
      <w:r w:rsidRPr="008003B9">
        <w:rPr>
          <w:rFonts w:ascii="Arial" w:hAnsi="Arial" w:cs="Arial"/>
        </w:rPr>
        <w:t>ficant transaction as defined in Policy 7, in which case it is to be reported on Form 10</w:t>
      </w:r>
      <w:r w:rsidRPr="008003B9">
        <w:rPr>
          <w:rFonts w:ascii="Arial" w:hAnsi="Arial" w:cs="Arial"/>
          <w:sz w:val="24"/>
          <w:szCs w:val="24"/>
        </w:rPr>
        <w:t>.</w:t>
      </w:r>
    </w:p>
    <w:p w14:paraId="2878E74A" w14:textId="77777777" w:rsidR="00EA4133" w:rsidRDefault="009F392E" w:rsidP="00D33627">
      <w:pPr>
        <w:pStyle w:val="List"/>
        <w:tabs>
          <w:tab w:val="left" w:pos="9162"/>
        </w:tabs>
        <w:jc w:val="both"/>
        <w:rPr>
          <w:rFonts w:ascii="Arial" w:hAnsi="Arial"/>
        </w:rPr>
      </w:pPr>
      <w:r>
        <w:rPr>
          <w:rFonts w:ascii="Arial" w:hAnsi="Arial"/>
        </w:rPr>
        <w:t>1.</w:t>
      </w:r>
      <w:r>
        <w:rPr>
          <w:rFonts w:ascii="Arial" w:hAnsi="Arial"/>
        </w:rPr>
        <w:tab/>
        <w:t xml:space="preserve">Total amount of funds to be raised: </w:t>
      </w:r>
      <w:r w:rsidRPr="00D33627">
        <w:rPr>
          <w:rFonts w:ascii="Arial" w:hAnsi="Arial"/>
          <w:u w:val="single"/>
        </w:rPr>
        <w:t xml:space="preserve">An aggregate total of </w:t>
      </w:r>
      <w:r w:rsidRPr="00D33627">
        <w:rPr>
          <w:rFonts w:ascii="Arial" w:hAnsi="Arial"/>
          <w:u w:val="single"/>
          <w:lang w:val="en-CA"/>
        </w:rPr>
        <w:t>CDN</w:t>
      </w:r>
      <w:r w:rsidRPr="00D33627">
        <w:rPr>
          <w:rFonts w:ascii="Arial" w:hAnsi="Arial"/>
          <w:u w:val="single"/>
        </w:rPr>
        <w:t xml:space="preserve">$10,050,000, comprised of: (a) the gross proceeds of </w:t>
      </w:r>
      <w:r w:rsidRPr="00D33627">
        <w:rPr>
          <w:rFonts w:ascii="Arial" w:hAnsi="Arial"/>
          <w:u w:val="single"/>
          <w:lang w:val="en-CA"/>
        </w:rPr>
        <w:t>CDN</w:t>
      </w:r>
      <w:r w:rsidRPr="00D33627">
        <w:rPr>
          <w:rFonts w:ascii="Arial" w:hAnsi="Arial"/>
          <w:u w:val="single"/>
        </w:rPr>
        <w:t xml:space="preserve">$2,049,999 of a non-brokered private placement offering of units at </w:t>
      </w:r>
      <w:r w:rsidRPr="00D33627">
        <w:rPr>
          <w:rFonts w:ascii="Arial" w:hAnsi="Arial"/>
          <w:u w:val="single"/>
          <w:lang w:val="en-CA"/>
        </w:rPr>
        <w:t>CDN</w:t>
      </w:r>
      <w:r>
        <w:rPr>
          <w:rFonts w:ascii="Arial" w:hAnsi="Arial"/>
          <w:u w:val="single"/>
        </w:rPr>
        <w:t xml:space="preserve">$1.50 per unit, and (b) the gross proceeds of </w:t>
      </w:r>
      <w:r w:rsidRPr="00D33627">
        <w:rPr>
          <w:rFonts w:ascii="Arial" w:hAnsi="Arial"/>
          <w:u w:val="single"/>
          <w:lang w:val="en-CA"/>
        </w:rPr>
        <w:t>CDN</w:t>
      </w:r>
      <w:r>
        <w:rPr>
          <w:rFonts w:ascii="Arial" w:hAnsi="Arial"/>
          <w:u w:val="single"/>
        </w:rPr>
        <w:t xml:space="preserve">$8,000,0001 of a brokered private placement offering of units at </w:t>
      </w:r>
      <w:r w:rsidRPr="00D33627">
        <w:rPr>
          <w:rFonts w:ascii="Arial" w:hAnsi="Arial"/>
          <w:u w:val="single"/>
          <w:lang w:val="en-CA"/>
        </w:rPr>
        <w:t>CDN</w:t>
      </w:r>
      <w:r>
        <w:rPr>
          <w:rFonts w:ascii="Arial" w:hAnsi="Arial"/>
          <w:u w:val="single"/>
        </w:rPr>
        <w:t>$1.50 per unit.</w:t>
      </w:r>
    </w:p>
    <w:p w14:paraId="2878E74B" w14:textId="77777777" w:rsidR="00EA4133" w:rsidRDefault="009F392E" w:rsidP="00660D0A">
      <w:pPr>
        <w:pStyle w:val="BodyText"/>
        <w:tabs>
          <w:tab w:val="left" w:pos="1080"/>
          <w:tab w:val="left" w:pos="9180"/>
        </w:tabs>
        <w:ind w:left="1080" w:hanging="1080"/>
        <w:jc w:val="both"/>
        <w:rPr>
          <w:rFonts w:ascii="Arial" w:hAnsi="Arial"/>
        </w:rPr>
      </w:pPr>
      <w:r>
        <w:rPr>
          <w:rFonts w:ascii="Arial" w:hAnsi="Arial"/>
        </w:rPr>
        <w:t>2.</w:t>
      </w:r>
      <w:r>
        <w:rPr>
          <w:rFonts w:ascii="Arial" w:hAnsi="Arial"/>
        </w:rPr>
        <w:tab/>
        <w:t xml:space="preserve">Provide full details of the use of the proceeds. </w:t>
      </w:r>
      <w:r>
        <w:rPr>
          <w:rFonts w:ascii="Arial" w:hAnsi="Arial"/>
        </w:rPr>
        <w:t xml:space="preserve"> The disclosure should be sufficiently complete to enable a reader to appreciate the significance of the transaction without reference to any other material.  </w:t>
      </w:r>
      <w:r>
        <w:rPr>
          <w:rFonts w:ascii="Arial" w:hAnsi="Arial"/>
          <w:u w:val="single"/>
        </w:rPr>
        <w:t>The Issuer intends to use the proceeds from the private placement for general working capital and</w:t>
      </w:r>
      <w:r>
        <w:rPr>
          <w:rFonts w:ascii="Arial" w:hAnsi="Arial"/>
          <w:u w:val="single"/>
        </w:rPr>
        <w:t xml:space="preserve"> to continue the development of its </w:t>
      </w:r>
      <w:proofErr w:type="gramStart"/>
      <w:r>
        <w:rPr>
          <w:rFonts w:ascii="Arial" w:hAnsi="Arial"/>
          <w:u w:val="single"/>
        </w:rPr>
        <w:t>technologies</w:t>
      </w:r>
      <w:r>
        <w:rPr>
          <w:rFonts w:ascii="Arial" w:hAnsi="Arial"/>
        </w:rPr>
        <w:t xml:space="preserve"> .</w:t>
      </w:r>
      <w:proofErr w:type="gramEnd"/>
    </w:p>
    <w:p w14:paraId="2878E74C" w14:textId="77777777" w:rsidR="00EA4133" w:rsidRPr="00E64EF0" w:rsidRDefault="009F392E" w:rsidP="00E64EF0">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Pr="00E64EF0">
        <w:rPr>
          <w:rFonts w:ascii="Arial" w:hAnsi="Arial"/>
          <w:u w:val="single"/>
        </w:rPr>
        <w:t xml:space="preserve">Not </w:t>
      </w:r>
      <w:proofErr w:type="gramStart"/>
      <w:r w:rsidRPr="00E64EF0">
        <w:rPr>
          <w:rFonts w:ascii="Arial" w:hAnsi="Arial"/>
          <w:u w:val="single"/>
        </w:rPr>
        <w:t>applicable</w:t>
      </w:r>
      <w:r w:rsidRPr="00E64EF0">
        <w:rPr>
          <w:rFonts w:ascii="Arial" w:hAnsi="Arial"/>
        </w:rPr>
        <w:t xml:space="preserve"> .</w:t>
      </w:r>
      <w:proofErr w:type="gramEnd"/>
    </w:p>
    <w:p w14:paraId="2878E74D" w14:textId="77777777" w:rsidR="00EA4133" w:rsidRDefault="009F392E">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w:t>
      </w:r>
      <w:r>
        <w:rPr>
          <w:rFonts w:ascii="Arial" w:hAnsi="Arial"/>
        </w:rPr>
        <w:t xml:space="preserve">ement(s) or other documentation evidencing the debt and the agreement to exchange the debt for securities. </w:t>
      </w:r>
      <w:r w:rsidRPr="00E64EF0">
        <w:rPr>
          <w:rFonts w:ascii="Arial" w:hAnsi="Arial"/>
          <w:u w:val="single"/>
        </w:rPr>
        <w:t xml:space="preserve">Not </w:t>
      </w:r>
      <w:proofErr w:type="gramStart"/>
      <w:r w:rsidRPr="00E64EF0">
        <w:rPr>
          <w:rFonts w:ascii="Arial" w:hAnsi="Arial"/>
          <w:u w:val="single"/>
        </w:rPr>
        <w:t>applicable</w:t>
      </w:r>
      <w:r w:rsidRPr="00E64EF0">
        <w:rPr>
          <w:rFonts w:ascii="Arial" w:hAnsi="Arial"/>
        </w:rPr>
        <w:t xml:space="preserve"> .</w:t>
      </w:r>
      <w:proofErr w:type="gramEnd"/>
    </w:p>
    <w:p w14:paraId="2878E74E" w14:textId="77777777" w:rsidR="00EA4133" w:rsidRDefault="009F392E">
      <w:pPr>
        <w:pStyle w:val="BodyText"/>
        <w:numPr>
          <w:ilvl w:val="0"/>
          <w:numId w:val="10"/>
        </w:numPr>
        <w:tabs>
          <w:tab w:val="left" w:pos="9180"/>
        </w:tabs>
        <w:rPr>
          <w:rFonts w:ascii="Arial" w:hAnsi="Arial"/>
        </w:rPr>
      </w:pPr>
      <w:r>
        <w:rPr>
          <w:rFonts w:ascii="Arial" w:hAnsi="Arial"/>
        </w:rPr>
        <w:t xml:space="preserve">Description of securities to be issued: </w:t>
      </w:r>
      <w:r w:rsidRPr="0038754B">
        <w:rPr>
          <w:rFonts w:ascii="Arial" w:hAnsi="Arial"/>
          <w:u w:val="single"/>
        </w:rPr>
        <w:t>Units, comprised of one common share and one common share purchase warrant</w:t>
      </w:r>
    </w:p>
    <w:p w14:paraId="2878E74F" w14:textId="77777777" w:rsidR="00EA4133" w:rsidRDefault="009F392E" w:rsidP="0038754B">
      <w:pPr>
        <w:pStyle w:val="BodyText"/>
        <w:keepNext/>
        <w:keepLines/>
        <w:tabs>
          <w:tab w:val="left" w:pos="1080"/>
          <w:tab w:val="left" w:pos="1440"/>
          <w:tab w:val="left" w:pos="2160"/>
          <w:tab w:val="left" w:pos="9180"/>
        </w:tabs>
        <w:ind w:left="2160" w:hanging="2160"/>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Comm</w:t>
      </w:r>
      <w:r>
        <w:rPr>
          <w:rFonts w:ascii="Arial" w:hAnsi="Arial"/>
          <w:u w:val="single"/>
        </w:rPr>
        <w:t>on</w:t>
      </w:r>
      <w:proofErr w:type="gramEnd"/>
      <w:r>
        <w:rPr>
          <w:rFonts w:ascii="Arial" w:hAnsi="Arial"/>
          <w:u w:val="single"/>
        </w:rPr>
        <w:t xml:space="preserve"> Shares</w:t>
      </w:r>
      <w:r>
        <w:rPr>
          <w:rFonts w:ascii="Arial" w:hAnsi="Arial"/>
          <w:u w:val="single"/>
        </w:rPr>
        <w:tab/>
      </w:r>
      <w:r>
        <w:rPr>
          <w:rFonts w:ascii="Arial" w:hAnsi="Arial"/>
        </w:rPr>
        <w:t xml:space="preserve"> .</w:t>
      </w:r>
    </w:p>
    <w:p w14:paraId="2878E750" w14:textId="77777777" w:rsidR="00EA4133" w:rsidRDefault="009F392E">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6,700,000</w:t>
      </w:r>
      <w:proofErr w:type="gramStart"/>
      <w:r>
        <w:rPr>
          <w:rFonts w:ascii="Arial" w:hAnsi="Arial"/>
          <w:u w:val="single"/>
        </w:rPr>
        <w:tab/>
      </w:r>
      <w:r>
        <w:rPr>
          <w:rFonts w:ascii="Arial" w:hAnsi="Arial"/>
        </w:rPr>
        <w:t xml:space="preserve"> .</w:t>
      </w:r>
      <w:proofErr w:type="gramEnd"/>
    </w:p>
    <w:p w14:paraId="2878E751" w14:textId="77777777" w:rsidR="00EA4133" w:rsidRDefault="009F392E">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Pr="00D33627">
        <w:rPr>
          <w:rFonts w:ascii="Arial" w:hAnsi="Arial"/>
          <w:u w:val="single"/>
          <w:lang w:val="en-CA"/>
        </w:rPr>
        <w:t>CDN</w:t>
      </w:r>
      <w:r>
        <w:rPr>
          <w:rFonts w:ascii="Arial" w:hAnsi="Arial"/>
          <w:u w:val="single"/>
        </w:rPr>
        <w:t>$1.50</w:t>
      </w:r>
      <w:proofErr w:type="gramStart"/>
      <w:r>
        <w:rPr>
          <w:rFonts w:ascii="Arial" w:hAnsi="Arial"/>
          <w:u w:val="single"/>
        </w:rPr>
        <w:tab/>
      </w:r>
      <w:r>
        <w:rPr>
          <w:rFonts w:ascii="Arial" w:hAnsi="Arial"/>
        </w:rPr>
        <w:t xml:space="preserve"> .</w:t>
      </w:r>
      <w:proofErr w:type="gramEnd"/>
    </w:p>
    <w:p w14:paraId="2878E752" w14:textId="77777777" w:rsidR="00EA4133" w:rsidRDefault="009F392E">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w:t>
      </w:r>
      <w:proofErr w:type="gramStart"/>
      <w:r>
        <w:rPr>
          <w:rFonts w:ascii="Arial" w:hAnsi="Arial"/>
        </w:rPr>
        <w:t xml:space="preserve">rights  </w:t>
      </w:r>
      <w:r>
        <w:rPr>
          <w:rFonts w:ascii="Arial" w:hAnsi="Arial"/>
          <w:u w:val="single"/>
        </w:rPr>
        <w:t>Yes</w:t>
      </w:r>
      <w:proofErr w:type="gramEnd"/>
      <w:r>
        <w:rPr>
          <w:rFonts w:ascii="Arial" w:hAnsi="Arial"/>
          <w:u w:val="single"/>
        </w:rPr>
        <w:t>, one vote per share held</w:t>
      </w:r>
      <w:r>
        <w:rPr>
          <w:rFonts w:ascii="Arial" w:hAnsi="Arial"/>
          <w:u w:val="single"/>
        </w:rPr>
        <w:tab/>
      </w:r>
      <w:r>
        <w:rPr>
          <w:rFonts w:ascii="Arial" w:hAnsi="Arial"/>
        </w:rPr>
        <w:t xml:space="preserve"> </w:t>
      </w:r>
    </w:p>
    <w:p w14:paraId="2878E753" w14:textId="77777777" w:rsidR="00EA4133" w:rsidRDefault="009F392E">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2878E754" w14:textId="77777777" w:rsidR="00EA4133" w:rsidRDefault="009F392E">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6,700,000</w:t>
      </w:r>
      <w:proofErr w:type="gramStart"/>
      <w:r>
        <w:rPr>
          <w:rFonts w:ascii="Arial" w:hAnsi="Arial"/>
          <w:u w:val="single"/>
        </w:rPr>
        <w:tab/>
      </w:r>
      <w:r>
        <w:rPr>
          <w:rFonts w:ascii="Arial" w:hAnsi="Arial"/>
        </w:rPr>
        <w:t xml:space="preserve"> .</w:t>
      </w:r>
      <w:proofErr w:type="gramEnd"/>
    </w:p>
    <w:p w14:paraId="2878E755" w14:textId="77777777" w:rsidR="00EA4133" w:rsidRPr="0038754B" w:rsidRDefault="009F392E" w:rsidP="00D33627">
      <w:pPr>
        <w:pStyle w:val="List"/>
        <w:numPr>
          <w:ilvl w:val="0"/>
          <w:numId w:val="11"/>
        </w:numPr>
        <w:tabs>
          <w:tab w:val="left" w:pos="1080"/>
          <w:tab w:val="left" w:pos="1440"/>
          <w:tab w:val="left" w:pos="9180"/>
        </w:tabs>
        <w:jc w:val="both"/>
        <w:rPr>
          <w:rFonts w:ascii="Arial" w:hAnsi="Arial"/>
          <w:u w:val="single"/>
        </w:rPr>
      </w:pPr>
      <w:r>
        <w:rPr>
          <w:rFonts w:ascii="Arial" w:hAnsi="Arial"/>
        </w:rPr>
        <w:tab/>
        <w:t xml:space="preserve">Number of securities eligible to be purchased on exercise of Warrants (or </w:t>
      </w:r>
      <w:proofErr w:type="gramStart"/>
      <w:r>
        <w:rPr>
          <w:rFonts w:ascii="Arial" w:hAnsi="Arial"/>
        </w:rPr>
        <w:t xml:space="preserve">options)  </w:t>
      </w:r>
      <w:r>
        <w:rPr>
          <w:rFonts w:ascii="Arial" w:hAnsi="Arial"/>
          <w:u w:val="single"/>
        </w:rPr>
        <w:t>Up</w:t>
      </w:r>
      <w:proofErr w:type="gramEnd"/>
      <w:r>
        <w:rPr>
          <w:rFonts w:ascii="Arial" w:hAnsi="Arial"/>
          <w:u w:val="single"/>
        </w:rPr>
        <w:t xml:space="preserve"> to 6,700,000 common shares (the “</w:t>
      </w:r>
      <w:r w:rsidRPr="00660D0A">
        <w:rPr>
          <w:rFonts w:ascii="Arial" w:hAnsi="Arial"/>
          <w:b/>
          <w:u w:val="single"/>
        </w:rPr>
        <w:t>Warrant Shares</w:t>
      </w:r>
      <w:r>
        <w:rPr>
          <w:rFonts w:ascii="Arial" w:hAnsi="Arial"/>
          <w:u w:val="single"/>
        </w:rPr>
        <w:t>”)</w:t>
      </w:r>
      <w:r>
        <w:rPr>
          <w:rFonts w:ascii="Arial" w:hAnsi="Arial"/>
          <w:u w:val="single"/>
        </w:rPr>
        <w:tab/>
      </w:r>
      <w:r w:rsidRPr="0038754B">
        <w:rPr>
          <w:rFonts w:ascii="Arial" w:hAnsi="Arial"/>
        </w:rPr>
        <w:t>.</w:t>
      </w:r>
    </w:p>
    <w:p w14:paraId="2878E756" w14:textId="77777777" w:rsidR="00EA4133" w:rsidRDefault="009F392E">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price </w:t>
      </w:r>
      <w:r w:rsidRPr="00D33627">
        <w:rPr>
          <w:rFonts w:ascii="Arial" w:hAnsi="Arial"/>
          <w:u w:val="single"/>
          <w:lang w:val="en-CA"/>
        </w:rPr>
        <w:t>CDN</w:t>
      </w:r>
      <w:r>
        <w:rPr>
          <w:rFonts w:ascii="Arial" w:hAnsi="Arial"/>
          <w:u w:val="single"/>
        </w:rPr>
        <w:t xml:space="preserve">$2.50 </w:t>
      </w:r>
      <w:proofErr w:type="gramStart"/>
      <w:r>
        <w:rPr>
          <w:rFonts w:ascii="Arial" w:hAnsi="Arial"/>
          <w:u w:val="single"/>
        </w:rPr>
        <w:tab/>
      </w:r>
      <w:r>
        <w:rPr>
          <w:rFonts w:ascii="Arial" w:hAnsi="Arial"/>
        </w:rPr>
        <w:t xml:space="preserve"> .</w:t>
      </w:r>
      <w:proofErr w:type="gramEnd"/>
    </w:p>
    <w:p w14:paraId="2878E757" w14:textId="77777777" w:rsidR="00660D0A" w:rsidRPr="00660D0A" w:rsidRDefault="009F392E" w:rsidP="00660D0A">
      <w:pPr>
        <w:pStyle w:val="List"/>
        <w:tabs>
          <w:tab w:val="left" w:pos="1080"/>
          <w:tab w:val="left" w:pos="2160"/>
          <w:tab w:val="left" w:pos="3600"/>
          <w:tab w:val="left" w:pos="5040"/>
          <w:tab w:val="left" w:pos="7560"/>
          <w:tab w:val="left" w:pos="9180"/>
        </w:tabs>
        <w:ind w:left="2160" w:hanging="2160"/>
        <w:jc w:val="both"/>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cs="Arial"/>
          <w:szCs w:val="24"/>
          <w:u w:val="single"/>
        </w:rPr>
        <w:t>24 months from the date of issuance, subject to ac</w:t>
      </w:r>
      <w:r>
        <w:rPr>
          <w:rFonts w:ascii="Arial" w:hAnsi="Arial" w:cs="Arial"/>
          <w:szCs w:val="24"/>
          <w:u w:val="single"/>
        </w:rPr>
        <w:t xml:space="preserve">celeration as follows: if at any time following the expiry of the four month holding period that will apply to the Warrants and the </w:t>
      </w:r>
      <w:r>
        <w:rPr>
          <w:rFonts w:ascii="Arial" w:hAnsi="Arial" w:cs="Arial"/>
          <w:szCs w:val="24"/>
          <w:u w:val="single"/>
        </w:rPr>
        <w:lastRenderedPageBreak/>
        <w:t xml:space="preserve">Warrant Shares under National Instrument 45-102 – </w:t>
      </w:r>
      <w:r w:rsidRPr="00D33627">
        <w:rPr>
          <w:rFonts w:ascii="Arial" w:hAnsi="Arial" w:cs="Arial"/>
          <w:i/>
          <w:szCs w:val="24"/>
          <w:u w:val="single"/>
        </w:rPr>
        <w:t>Resale of Securities</w:t>
      </w:r>
      <w:r>
        <w:rPr>
          <w:rFonts w:ascii="Arial" w:hAnsi="Arial" w:cs="Arial"/>
          <w:szCs w:val="24"/>
          <w:u w:val="single"/>
        </w:rPr>
        <w:t>, the closing price (or closing bid price on days when</w:t>
      </w:r>
      <w:r>
        <w:rPr>
          <w:rFonts w:ascii="Arial" w:hAnsi="Arial" w:cs="Arial"/>
          <w:szCs w:val="24"/>
          <w:u w:val="single"/>
        </w:rPr>
        <w:t xml:space="preserve"> there are no trades) of the common shares on the CSE exceeds CDN$3.00 for 10 consecutive trading days, then, upon the Issuer sending Warrantholders notice of such date and issuing a news release announcing acceleration of the expiry date, the Warrant will</w:t>
      </w:r>
      <w:r>
        <w:rPr>
          <w:rFonts w:ascii="Arial" w:hAnsi="Arial" w:cs="Arial"/>
          <w:szCs w:val="24"/>
          <w:u w:val="single"/>
        </w:rPr>
        <w:t xml:space="preserve"> only be exercisable for a period of 30 days following the date on which notice is sent to the Warrantholders.</w:t>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2878E758" w14:textId="77777777" w:rsidR="00EA4133" w:rsidRDefault="009F392E">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Pr>
          <w:b w:val="0"/>
          <w:sz w:val="24"/>
        </w:rPr>
        <w:t xml:space="preserve"> </w:t>
      </w:r>
      <w:r w:rsidRPr="0038754B">
        <w:rPr>
          <w:b w:val="0"/>
          <w:sz w:val="24"/>
          <w:u w:val="single"/>
        </w:rPr>
        <w:t>Not applicable</w:t>
      </w:r>
    </w:p>
    <w:p w14:paraId="2878E759" w14:textId="77777777" w:rsidR="00EA4133" w:rsidRDefault="009F392E">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2878E75A" w14:textId="77777777" w:rsidR="00EA4133" w:rsidRDefault="009F392E">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Pr>
          <w:rFonts w:ascii="Arial" w:hAnsi="Arial"/>
        </w:rPr>
        <w:t xml:space="preserve"> </w:t>
      </w:r>
      <w:proofErr w:type="gramStart"/>
      <w:r>
        <w:rPr>
          <w:rFonts w:ascii="Arial" w:hAnsi="Arial"/>
          <w:u w:val="single"/>
        </w:rPr>
        <w:tab/>
      </w:r>
      <w:r>
        <w:rPr>
          <w:rFonts w:ascii="Arial" w:hAnsi="Arial"/>
        </w:rPr>
        <w:t xml:space="preserve"> .</w:t>
      </w:r>
      <w:proofErr w:type="gramEnd"/>
    </w:p>
    <w:p w14:paraId="2878E75B" w14:textId="77777777" w:rsidR="00EA4133" w:rsidRDefault="009F392E">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2878E75C" w14:textId="77777777" w:rsidR="00EA4133" w:rsidRDefault="009F392E">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2878E75D" w14:textId="77777777" w:rsidR="00EA4133" w:rsidRDefault="009F392E">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2878E75E" w14:textId="77777777" w:rsidR="00EA4133" w:rsidRDefault="009F392E">
      <w:pPr>
        <w:pStyle w:val="List"/>
        <w:numPr>
          <w:ilvl w:val="0"/>
          <w:numId w:val="10"/>
        </w:numPr>
        <w:jc w:val="both"/>
        <w:rPr>
          <w:rFonts w:ascii="Arial" w:hAnsi="Arial"/>
        </w:rPr>
      </w:pPr>
      <w:r>
        <w:rPr>
          <w:rFonts w:ascii="Arial" w:hAnsi="Arial"/>
        </w:rPr>
        <w:t xml:space="preserve">Provide the following information for any agent’s fee, commission, bonus or finder’s fee, or other compensation paid or to be paid in connection with the placement </w:t>
      </w:r>
      <w:r>
        <w:rPr>
          <w:rFonts w:ascii="Arial" w:hAnsi="Arial"/>
        </w:rPr>
        <w:t>(including warrants, options, etc.):</w:t>
      </w:r>
    </w:p>
    <w:p w14:paraId="2878E75F" w14:textId="77777777" w:rsidR="00660D0A" w:rsidRDefault="009F392E">
      <w:pPr>
        <w:pStyle w:val="List"/>
        <w:tabs>
          <w:tab w:val="left" w:pos="2160"/>
          <w:tab w:val="left" w:pos="9180"/>
        </w:tabs>
        <w:ind w:left="2160"/>
        <w:jc w:val="both"/>
        <w:rPr>
          <w:rFonts w:ascii="Arial" w:hAnsi="Arial"/>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w:t>
      </w:r>
      <w:r>
        <w:rPr>
          <w:rFonts w:ascii="Arial" w:hAnsi="Arial"/>
        </w:rPr>
        <w:t xml:space="preserve"> the voting shares if known to the Issuer):</w:t>
      </w:r>
    </w:p>
    <w:p w14:paraId="2878E760" w14:textId="77777777" w:rsidR="00EA4133" w:rsidRPr="00660D0A" w:rsidRDefault="009F392E">
      <w:pPr>
        <w:pStyle w:val="List"/>
        <w:tabs>
          <w:tab w:val="left" w:pos="2160"/>
          <w:tab w:val="left" w:pos="9180"/>
        </w:tabs>
        <w:ind w:left="2160"/>
        <w:jc w:val="both"/>
        <w:rPr>
          <w:rFonts w:ascii="Arial" w:hAnsi="Arial"/>
          <w:u w:val="single"/>
        </w:rPr>
      </w:pPr>
      <w:r>
        <w:rPr>
          <w:rFonts w:ascii="Arial" w:hAnsi="Arial"/>
        </w:rPr>
        <w:tab/>
      </w:r>
      <w:r w:rsidRPr="00660D0A">
        <w:rPr>
          <w:rFonts w:ascii="Arial" w:hAnsi="Arial"/>
          <w:u w:val="single"/>
        </w:rPr>
        <w:t>Roth Capital Partners, LLC, 888 San Clemente Drive, Suite 400, Newport Beach, CA USA 92660.</w:t>
      </w:r>
    </w:p>
    <w:p w14:paraId="2878E761" w14:textId="77777777" w:rsidR="00EA4133" w:rsidRDefault="009F392E">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CDN$608,000</w:t>
      </w:r>
      <w:proofErr w:type="gramStart"/>
      <w:r>
        <w:rPr>
          <w:rFonts w:ascii="Arial" w:hAnsi="Arial"/>
          <w:u w:val="single"/>
        </w:rPr>
        <w:tab/>
      </w:r>
      <w:r>
        <w:rPr>
          <w:rFonts w:ascii="Arial" w:hAnsi="Arial"/>
        </w:rPr>
        <w:t xml:space="preserve"> .</w:t>
      </w:r>
      <w:proofErr w:type="gramEnd"/>
    </w:p>
    <w:p w14:paraId="2878E762" w14:textId="77777777" w:rsidR="00EA4133" w:rsidRDefault="009F392E" w:rsidP="0038754B">
      <w:pPr>
        <w:pStyle w:val="List"/>
        <w:tabs>
          <w:tab w:val="left" w:pos="2160"/>
          <w:tab w:val="left" w:pos="9180"/>
        </w:tabs>
        <w:ind w:left="2160"/>
        <w:jc w:val="both"/>
        <w:rPr>
          <w:rFonts w:ascii="Arial" w:hAnsi="Arial"/>
        </w:rPr>
      </w:pPr>
      <w:r>
        <w:rPr>
          <w:rFonts w:ascii="Arial" w:hAnsi="Arial"/>
        </w:rPr>
        <w:t>(c)</w:t>
      </w:r>
      <w:r>
        <w:rPr>
          <w:rFonts w:ascii="Arial" w:hAnsi="Arial"/>
        </w:rPr>
        <w:tab/>
        <w:t xml:space="preserve">Securities </w:t>
      </w:r>
      <w:r>
        <w:rPr>
          <w:rFonts w:ascii="Arial" w:hAnsi="Arial"/>
          <w:u w:val="single"/>
        </w:rPr>
        <w:t>405,333 compensation warrants (each, a “</w:t>
      </w:r>
      <w:r w:rsidRPr="0038754B">
        <w:rPr>
          <w:rFonts w:ascii="Arial" w:hAnsi="Arial"/>
          <w:b/>
          <w:u w:val="single"/>
        </w:rPr>
        <w:t>Compensation Warrant</w:t>
      </w:r>
      <w:r>
        <w:rPr>
          <w:rFonts w:ascii="Arial" w:hAnsi="Arial"/>
          <w:u w:val="single"/>
        </w:rPr>
        <w:t xml:space="preserve">”). Each Compensation Warrant will entitle the holder to purchase one unit (consisting of one common share and one common share purchase warrant) at CDN$1.50 per </w:t>
      </w:r>
      <w:proofErr w:type="gramStart"/>
      <w:r>
        <w:rPr>
          <w:rFonts w:ascii="Arial" w:hAnsi="Arial"/>
          <w:u w:val="single"/>
        </w:rPr>
        <w:t>unit, and</w:t>
      </w:r>
      <w:proofErr w:type="gramEnd"/>
      <w:r>
        <w:rPr>
          <w:rFonts w:ascii="Arial" w:hAnsi="Arial"/>
          <w:u w:val="single"/>
        </w:rPr>
        <w:t xml:space="preserve"> will be exercisable for a period of 24 months, including by way of cashless exercise</w:t>
      </w:r>
      <w:r>
        <w:rPr>
          <w:rFonts w:ascii="Arial" w:hAnsi="Arial"/>
          <w:u w:val="single"/>
        </w:rPr>
        <w:t>. Each underlying common share purchase warrant will be subject to substantially the same terms as are applicable to the Warrants, except that, subject to acceleration, they will expire 24 months after the issue date of the Compensation Warrants and will i</w:t>
      </w:r>
      <w:r>
        <w:rPr>
          <w:rFonts w:ascii="Arial" w:hAnsi="Arial"/>
          <w:u w:val="single"/>
        </w:rPr>
        <w:t xml:space="preserve">nclude a cashless exercise provision. </w:t>
      </w:r>
    </w:p>
    <w:p w14:paraId="2878E763" w14:textId="77777777" w:rsidR="00EA4133" w:rsidRDefault="009F392E">
      <w:pPr>
        <w:pStyle w:val="List"/>
        <w:tabs>
          <w:tab w:val="left" w:pos="2160"/>
          <w:tab w:val="left" w:pos="9180"/>
        </w:tabs>
        <w:ind w:left="2160"/>
        <w:rPr>
          <w:rFonts w:ascii="Arial" w:hAnsi="Arial"/>
        </w:rPr>
      </w:pPr>
      <w:r>
        <w:rPr>
          <w:rFonts w:ascii="Arial" w:hAnsi="Arial"/>
        </w:rPr>
        <w:lastRenderedPageBreak/>
        <w:t>(d)</w:t>
      </w:r>
      <w:r>
        <w:rPr>
          <w:rFonts w:ascii="Arial" w:hAnsi="Arial"/>
        </w:rPr>
        <w:tab/>
        <w:t xml:space="preserve">Other </w:t>
      </w:r>
      <w:r>
        <w:rPr>
          <w:rFonts w:ascii="Arial" w:hAnsi="Arial"/>
          <w:u w:val="single"/>
        </w:rPr>
        <w:t>Not applicable</w:t>
      </w:r>
      <w:proofErr w:type="gramStart"/>
      <w:r>
        <w:rPr>
          <w:rFonts w:ascii="Arial" w:hAnsi="Arial"/>
          <w:u w:val="single"/>
        </w:rPr>
        <w:tab/>
      </w:r>
      <w:r>
        <w:rPr>
          <w:rFonts w:ascii="Arial" w:hAnsi="Arial"/>
        </w:rPr>
        <w:t xml:space="preserve"> .</w:t>
      </w:r>
      <w:proofErr w:type="gramEnd"/>
    </w:p>
    <w:p w14:paraId="2878E764" w14:textId="77777777" w:rsidR="0038754B" w:rsidRDefault="009F392E">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
    <w:p w14:paraId="2878E765" w14:textId="77777777" w:rsidR="00EA4133" w:rsidRPr="0038754B" w:rsidRDefault="009F392E" w:rsidP="0038754B">
      <w:pPr>
        <w:pStyle w:val="List"/>
        <w:tabs>
          <w:tab w:val="left" w:pos="2160"/>
          <w:tab w:val="left" w:pos="9180"/>
        </w:tabs>
        <w:ind w:left="2160"/>
        <w:jc w:val="both"/>
        <w:rPr>
          <w:rFonts w:ascii="Arial" w:hAnsi="Arial"/>
          <w:u w:val="single"/>
        </w:rPr>
      </w:pPr>
      <w:r>
        <w:rPr>
          <w:rFonts w:ascii="Arial" w:hAnsi="Arial"/>
        </w:rPr>
        <w:tab/>
      </w:r>
      <w:r w:rsidRPr="0038754B">
        <w:rPr>
          <w:rFonts w:ascii="Arial" w:hAnsi="Arial"/>
          <w:u w:val="single"/>
        </w:rPr>
        <w:t>Expiry date of Compensation Warrants: 24 months from the date of issuance.</w:t>
      </w:r>
    </w:p>
    <w:p w14:paraId="2878E766" w14:textId="77777777" w:rsidR="0038754B" w:rsidRPr="0038754B" w:rsidRDefault="009F392E" w:rsidP="0038754B">
      <w:pPr>
        <w:pStyle w:val="List"/>
        <w:tabs>
          <w:tab w:val="left" w:pos="2160"/>
          <w:tab w:val="left" w:pos="9180"/>
        </w:tabs>
        <w:ind w:left="2160"/>
        <w:jc w:val="both"/>
        <w:rPr>
          <w:rFonts w:ascii="Arial" w:hAnsi="Arial"/>
          <w:u w:val="single"/>
        </w:rPr>
      </w:pPr>
      <w:r>
        <w:rPr>
          <w:rFonts w:ascii="Arial" w:hAnsi="Arial"/>
        </w:rPr>
        <w:tab/>
      </w:r>
      <w:r w:rsidRPr="0038754B">
        <w:rPr>
          <w:rFonts w:ascii="Arial" w:hAnsi="Arial"/>
          <w:u w:val="single"/>
        </w:rPr>
        <w:t>Expiry date of underlying common share purchase warrants: 24 mont</w:t>
      </w:r>
      <w:r w:rsidRPr="0038754B">
        <w:rPr>
          <w:rFonts w:ascii="Arial" w:hAnsi="Arial"/>
          <w:u w:val="single"/>
        </w:rPr>
        <w:t xml:space="preserve">hs from the date of issuance of the Compensation Warrants. </w:t>
      </w:r>
    </w:p>
    <w:p w14:paraId="2878E767" w14:textId="77777777" w:rsidR="00EA4133" w:rsidRDefault="009F392E">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
    <w:p w14:paraId="2878E768" w14:textId="77777777" w:rsidR="0038754B" w:rsidRPr="0038754B" w:rsidRDefault="009F392E" w:rsidP="0038754B">
      <w:pPr>
        <w:pStyle w:val="List"/>
        <w:tabs>
          <w:tab w:val="left" w:pos="2160"/>
          <w:tab w:val="left" w:pos="9180"/>
        </w:tabs>
        <w:ind w:left="2160"/>
        <w:jc w:val="both"/>
        <w:rPr>
          <w:rFonts w:ascii="Arial" w:hAnsi="Arial"/>
          <w:u w:val="single"/>
        </w:rPr>
      </w:pPr>
      <w:r>
        <w:rPr>
          <w:rFonts w:ascii="Arial" w:hAnsi="Arial"/>
        </w:rPr>
        <w:tab/>
      </w:r>
      <w:r w:rsidRPr="0038754B">
        <w:rPr>
          <w:rFonts w:ascii="Arial" w:hAnsi="Arial"/>
          <w:u w:val="single"/>
        </w:rPr>
        <w:t xml:space="preserve">Exercise price of Compensation Warrants: </w:t>
      </w:r>
      <w:r w:rsidRPr="00D33627">
        <w:rPr>
          <w:rFonts w:ascii="Arial" w:hAnsi="Arial"/>
          <w:u w:val="single"/>
          <w:lang w:val="en-CA"/>
        </w:rPr>
        <w:t>CDN</w:t>
      </w:r>
      <w:r>
        <w:rPr>
          <w:rFonts w:ascii="Arial" w:hAnsi="Arial"/>
          <w:u w:val="single"/>
        </w:rPr>
        <w:t xml:space="preserve">$1.50 per unit </w:t>
      </w:r>
    </w:p>
    <w:p w14:paraId="2878E769" w14:textId="77777777" w:rsidR="0038754B" w:rsidRPr="0038754B" w:rsidRDefault="009F392E" w:rsidP="0038754B">
      <w:pPr>
        <w:pStyle w:val="List"/>
        <w:tabs>
          <w:tab w:val="left" w:pos="2160"/>
          <w:tab w:val="left" w:pos="9180"/>
        </w:tabs>
        <w:ind w:left="2160"/>
        <w:jc w:val="both"/>
        <w:rPr>
          <w:rFonts w:ascii="Arial" w:hAnsi="Arial"/>
          <w:u w:val="single"/>
        </w:rPr>
      </w:pPr>
      <w:r>
        <w:rPr>
          <w:rFonts w:ascii="Arial" w:hAnsi="Arial"/>
        </w:rPr>
        <w:tab/>
      </w:r>
      <w:r w:rsidRPr="0038754B">
        <w:rPr>
          <w:rFonts w:ascii="Arial" w:hAnsi="Arial"/>
          <w:u w:val="single"/>
        </w:rPr>
        <w:t xml:space="preserve">Exercise price of underlying common share purchase warrants: </w:t>
      </w:r>
      <w:r w:rsidRPr="00D33627">
        <w:rPr>
          <w:rFonts w:ascii="Arial" w:hAnsi="Arial"/>
          <w:u w:val="single"/>
          <w:lang w:val="en-CA"/>
        </w:rPr>
        <w:t>CDN</w:t>
      </w:r>
      <w:r w:rsidRPr="0038754B">
        <w:rPr>
          <w:rFonts w:ascii="Arial" w:hAnsi="Arial"/>
          <w:u w:val="single"/>
        </w:rPr>
        <w:t>$2.50 per common sha</w:t>
      </w:r>
      <w:r w:rsidRPr="0038754B">
        <w:rPr>
          <w:rFonts w:ascii="Arial" w:hAnsi="Arial"/>
          <w:u w:val="single"/>
        </w:rPr>
        <w:t xml:space="preserve">re  </w:t>
      </w:r>
    </w:p>
    <w:p w14:paraId="2878E76A" w14:textId="77777777" w:rsidR="00EA4133" w:rsidRDefault="009F392E" w:rsidP="0038754B">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roofErr w:type="gramStart"/>
      <w:r>
        <w:rPr>
          <w:rFonts w:ascii="Arial" w:hAnsi="Arial"/>
          <w:u w:val="single"/>
        </w:rPr>
        <w:t>No</w:t>
      </w:r>
      <w:r>
        <w:rPr>
          <w:rFonts w:ascii="Arial" w:hAnsi="Arial"/>
        </w:rPr>
        <w:t xml:space="preserve"> .</w:t>
      </w:r>
      <w:proofErr w:type="gramEnd"/>
    </w:p>
    <w:p w14:paraId="2878E76B" w14:textId="77777777" w:rsidR="00EA4133" w:rsidRDefault="009F392E">
      <w:pPr>
        <w:pStyle w:val="List"/>
        <w:numPr>
          <w:ilvl w:val="0"/>
          <w:numId w:val="10"/>
        </w:numPr>
        <w:rPr>
          <w:rFonts w:ascii="Arial" w:hAnsi="Arial"/>
        </w:rPr>
      </w:pPr>
      <w:r>
        <w:rPr>
          <w:rFonts w:ascii="Arial" w:hAnsi="Arial"/>
        </w:rPr>
        <w:t xml:space="preserve">Describe any unusual </w:t>
      </w:r>
      <w:proofErr w:type="gramStart"/>
      <w:r>
        <w:rPr>
          <w:rFonts w:ascii="Arial" w:hAnsi="Arial"/>
        </w:rPr>
        <w:t>particulars of</w:t>
      </w:r>
      <w:proofErr w:type="gramEnd"/>
      <w:r>
        <w:rPr>
          <w:rFonts w:ascii="Arial" w:hAnsi="Arial"/>
        </w:rPr>
        <w:t xml:space="preserve"> the transaction (i.e. tax “flow through” shares, etc.).</w:t>
      </w:r>
    </w:p>
    <w:p w14:paraId="2878E76C" w14:textId="77777777" w:rsidR="00EA4133" w:rsidRDefault="009F392E" w:rsidP="00D33627">
      <w:pPr>
        <w:pStyle w:val="List"/>
        <w:tabs>
          <w:tab w:val="left" w:pos="1080"/>
          <w:tab w:val="left" w:pos="9180"/>
        </w:tabs>
        <w:ind w:firstLine="0"/>
        <w:jc w:val="both"/>
        <w:rPr>
          <w:rFonts w:ascii="Arial" w:hAnsi="Arial"/>
        </w:rPr>
      </w:pPr>
      <w:r>
        <w:rPr>
          <w:rFonts w:ascii="Arial" w:hAnsi="Arial"/>
          <w:u w:val="single"/>
        </w:rPr>
        <w:t>Not applicable</w:t>
      </w:r>
      <w:proofErr w:type="gramStart"/>
      <w:r>
        <w:rPr>
          <w:rFonts w:ascii="Arial" w:hAnsi="Arial"/>
          <w:u w:val="single"/>
        </w:rPr>
        <w:tab/>
      </w:r>
      <w:r>
        <w:rPr>
          <w:rFonts w:ascii="Arial" w:hAnsi="Arial"/>
        </w:rPr>
        <w:t xml:space="preserve"> .</w:t>
      </w:r>
      <w:proofErr w:type="gramEnd"/>
    </w:p>
    <w:p w14:paraId="2878E76D" w14:textId="77777777" w:rsidR="00EA4133" w:rsidRDefault="009F392E">
      <w:pPr>
        <w:pStyle w:val="List"/>
        <w:numPr>
          <w:ilvl w:val="0"/>
          <w:numId w:val="10"/>
        </w:numPr>
        <w:rPr>
          <w:rFonts w:ascii="Arial" w:hAnsi="Arial"/>
        </w:rPr>
      </w:pPr>
      <w:r>
        <w:rPr>
          <w:rFonts w:ascii="Arial" w:hAnsi="Arial"/>
        </w:rPr>
        <w:t>State whether the private placement will result in a change of control.</w:t>
      </w:r>
    </w:p>
    <w:p w14:paraId="2878E76E" w14:textId="77777777" w:rsidR="00EA4133" w:rsidRDefault="009F392E" w:rsidP="0038754B">
      <w:pPr>
        <w:pStyle w:val="List"/>
        <w:tabs>
          <w:tab w:val="left" w:pos="1080"/>
          <w:tab w:val="left" w:pos="9180"/>
        </w:tabs>
        <w:ind w:firstLine="0"/>
        <w:jc w:val="both"/>
        <w:rPr>
          <w:rFonts w:ascii="Arial" w:hAnsi="Arial"/>
        </w:rPr>
      </w:pPr>
      <w:r>
        <w:rPr>
          <w:rFonts w:ascii="Arial" w:hAnsi="Arial"/>
          <w:u w:val="single"/>
        </w:rPr>
        <w:t>No.</w:t>
      </w:r>
      <w:proofErr w:type="gramStart"/>
      <w:r>
        <w:rPr>
          <w:rFonts w:ascii="Arial" w:hAnsi="Arial"/>
          <w:u w:val="single"/>
        </w:rPr>
        <w:tab/>
      </w:r>
      <w:r>
        <w:rPr>
          <w:rFonts w:ascii="Arial" w:hAnsi="Arial"/>
        </w:rPr>
        <w:t xml:space="preserve"> .</w:t>
      </w:r>
      <w:proofErr w:type="gramEnd"/>
    </w:p>
    <w:p w14:paraId="2878E76F" w14:textId="77777777" w:rsidR="00EA4133" w:rsidRDefault="009F392E">
      <w:pPr>
        <w:pStyle w:val="List"/>
        <w:tabs>
          <w:tab w:val="left" w:pos="9180"/>
        </w:tabs>
        <w:spacing w:before="0"/>
        <w:jc w:val="both"/>
        <w:rPr>
          <w:rFonts w:ascii="Arial" w:hAnsi="Arial"/>
        </w:rPr>
      </w:pPr>
    </w:p>
    <w:p w14:paraId="2878E770" w14:textId="77777777" w:rsidR="00EA4133" w:rsidRDefault="009F392E">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Not applicable.</w:t>
      </w:r>
      <w:r>
        <w:rPr>
          <w:rFonts w:ascii="Arial" w:hAnsi="Arial"/>
          <w:u w:val="single"/>
        </w:rPr>
        <w:tab/>
      </w:r>
    </w:p>
    <w:p w14:paraId="2878E771" w14:textId="77777777" w:rsidR="00EA4133" w:rsidRDefault="009F392E">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878E772" w14:textId="77777777" w:rsidR="00EA4133" w:rsidRDefault="009F392E">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878E773" w14:textId="77777777" w:rsidR="00EA4133" w:rsidRDefault="009F392E">
      <w:pPr>
        <w:pStyle w:val="List"/>
        <w:tabs>
          <w:tab w:val="left" w:pos="1080"/>
          <w:tab w:val="left" w:pos="9180"/>
        </w:tabs>
        <w:spacing w:before="0"/>
        <w:ind w:left="0" w:firstLine="0"/>
        <w:jc w:val="both"/>
        <w:rPr>
          <w:rFonts w:ascii="Arial" w:hAnsi="Arial"/>
        </w:rPr>
      </w:pPr>
      <w:r>
        <w:rPr>
          <w:rFonts w:ascii="Arial" w:hAnsi="Arial"/>
        </w:rPr>
        <w:tab/>
      </w:r>
    </w:p>
    <w:p w14:paraId="2878E774" w14:textId="77777777" w:rsidR="00EA4133" w:rsidRDefault="009F392E">
      <w:pPr>
        <w:pStyle w:val="List"/>
        <w:numPr>
          <w:ilvl w:val="0"/>
          <w:numId w:val="10"/>
        </w:numPr>
        <w:jc w:val="both"/>
        <w:rPr>
          <w:rFonts w:ascii="Arial" w:hAnsi="Arial"/>
        </w:rPr>
      </w:pPr>
      <w:r>
        <w:rPr>
          <w:rFonts w:ascii="Arial" w:hAnsi="Arial"/>
        </w:rPr>
        <w:t>Each purchaser has been advised of the applicable securit</w:t>
      </w:r>
      <w:r>
        <w:rPr>
          <w:rFonts w:ascii="Arial" w:hAnsi="Arial"/>
        </w:rPr>
        <w:t>ies legislation restricted or seasoning period.  All certificates for securities issued which are subject to a hold period bear the appropriate legend restricting their transfer until the expiry of the applicable hold period required by National Instrument</w:t>
      </w:r>
      <w:r>
        <w:rPr>
          <w:rFonts w:ascii="Arial" w:hAnsi="Arial"/>
        </w:rPr>
        <w:t xml:space="preserve"> 45-102.</w:t>
      </w:r>
    </w:p>
    <w:p w14:paraId="2878E775" w14:textId="77777777" w:rsidR="0038754B" w:rsidRDefault="009F392E" w:rsidP="0038754B">
      <w:pPr>
        <w:pStyle w:val="List"/>
        <w:ind w:firstLine="0"/>
        <w:jc w:val="both"/>
        <w:rPr>
          <w:rFonts w:ascii="Arial" w:hAnsi="Arial"/>
          <w:u w:val="single"/>
        </w:rPr>
      </w:pPr>
      <w:r>
        <w:rPr>
          <w:rFonts w:ascii="Arial" w:hAnsi="Arial"/>
          <w:u w:val="single"/>
        </w:rPr>
        <w:t>Confirmed.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878E776" w14:textId="77777777" w:rsidR="0038754B" w:rsidRDefault="009F392E">
      <w:pPr>
        <w:rPr>
          <w:rFonts w:ascii="Arial" w:hAnsi="Arial"/>
          <w:sz w:val="24"/>
          <w:u w:val="single"/>
          <w:lang w:val="en-GB"/>
        </w:rPr>
      </w:pPr>
      <w:r>
        <w:rPr>
          <w:rFonts w:ascii="Arial" w:hAnsi="Arial"/>
          <w:u w:val="single"/>
        </w:rPr>
        <w:br w:type="page"/>
      </w:r>
    </w:p>
    <w:p w14:paraId="2878E777" w14:textId="77777777" w:rsidR="00EA4133" w:rsidRDefault="009F392E">
      <w:pPr>
        <w:pStyle w:val="BodyText"/>
        <w:tabs>
          <w:tab w:val="left" w:pos="1080"/>
          <w:tab w:val="left" w:pos="4230"/>
        </w:tabs>
        <w:rPr>
          <w:rFonts w:ascii="Arial" w:hAnsi="Arial"/>
          <w:color w:val="000000"/>
        </w:rPr>
      </w:pPr>
      <w:r>
        <w:rPr>
          <w:rFonts w:ascii="Arial" w:hAnsi="Arial"/>
          <w:b/>
          <w:color w:val="000000"/>
        </w:rPr>
        <w:lastRenderedPageBreak/>
        <w:t>2.</w:t>
      </w:r>
      <w:r>
        <w:rPr>
          <w:rFonts w:ascii="Arial" w:hAnsi="Arial"/>
          <w:b/>
          <w:color w:val="000000"/>
        </w:rPr>
        <w:tab/>
        <w:t>Acquisition</w:t>
      </w:r>
    </w:p>
    <w:p w14:paraId="2878E778" w14:textId="77777777" w:rsidR="00EA4133" w:rsidRDefault="009F392E">
      <w:pPr>
        <w:pStyle w:val="List"/>
        <w:tabs>
          <w:tab w:val="left" w:pos="9180"/>
        </w:tabs>
        <w:spacing w:before="0"/>
        <w:ind w:left="0" w:firstLine="0"/>
        <w:jc w:val="both"/>
        <w:rPr>
          <w:rFonts w:ascii="Arial" w:hAnsi="Arial"/>
          <w:color w:val="000000"/>
        </w:rPr>
      </w:pPr>
    </w:p>
    <w:p w14:paraId="2878E779" w14:textId="77777777" w:rsidR="00EA4133" w:rsidRDefault="009F392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w:t>
      </w:r>
      <w:r>
        <w:rPr>
          <w:rFonts w:ascii="Arial" w:hAnsi="Arial"/>
          <w:color w:val="000000"/>
        </w:rPr>
        <w:t xml:space="preserve">nce of the transaction without reference to any other material:  </w:t>
      </w:r>
      <w:r>
        <w:rPr>
          <w:rFonts w:ascii="Arial" w:hAnsi="Arial"/>
          <w:color w:val="000000"/>
          <w:u w:val="single"/>
        </w:rPr>
        <w:tab/>
      </w:r>
    </w:p>
    <w:p w14:paraId="2878E77A" w14:textId="77777777" w:rsidR="00EA4133" w:rsidRDefault="009F392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878E77B" w14:textId="77777777" w:rsidR="00EA4133" w:rsidRDefault="009F392E">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 The disclosure should be suffic</w:t>
      </w:r>
      <w:r>
        <w:rPr>
          <w:rFonts w:ascii="Arial" w:hAnsi="Arial"/>
          <w:color w:val="000000"/>
        </w:rPr>
        <w:t xml:space="preserve">iently complete to enable a reader to appreciate the significance of the acquisition without reference to any other material: </w:t>
      </w:r>
      <w:r>
        <w:rPr>
          <w:rFonts w:ascii="Arial" w:hAnsi="Arial"/>
          <w:color w:val="000000"/>
          <w:u w:val="single"/>
        </w:rPr>
        <w:tab/>
      </w:r>
    </w:p>
    <w:p w14:paraId="2878E77C" w14:textId="77777777" w:rsidR="00EA4133" w:rsidRDefault="009F392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878E77D" w14:textId="77777777" w:rsidR="00EA4133" w:rsidRDefault="009F392E">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w:t>
      </w:r>
      <w:r>
        <w:rPr>
          <w:rFonts w:ascii="Arial" w:hAnsi="Arial"/>
          <w:color w:val="000000"/>
        </w:rPr>
        <w:t xml:space="preserve"> securities or other consideration) and any required work commitments:</w:t>
      </w:r>
    </w:p>
    <w:p w14:paraId="2878E77E" w14:textId="77777777" w:rsidR="00EA4133" w:rsidRDefault="009F392E">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14:paraId="2878E77F"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2878E780"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878E781" w14:textId="77777777" w:rsidR="00EA4133" w:rsidRDefault="009F392E">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2878E782"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2878E783"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2878E784"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2878E785" w14:textId="77777777" w:rsidR="00EA4133" w:rsidRDefault="009F392E">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2878E786" w14:textId="77777777" w:rsidR="00EA4133" w:rsidRDefault="009F392E">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w:t>
      </w:r>
      <w:r>
        <w:rPr>
          <w:rFonts w:ascii="Arial" w:hAnsi="Arial"/>
          <w:color w:val="000000"/>
        </w:rPr>
        <w:t>ty valuation etc).</w:t>
      </w:r>
    </w:p>
    <w:p w14:paraId="2878E787" w14:textId="77777777" w:rsidR="00EA4133" w:rsidRDefault="009F392E">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 xml:space="preserve"> </w:t>
      </w:r>
      <w:r>
        <w:rPr>
          <w:rFonts w:ascii="Arial" w:hAnsi="Arial"/>
          <w:color w:val="000000"/>
          <w:u w:val="single"/>
        </w:rPr>
        <w:tab/>
      </w:r>
    </w:p>
    <w:p w14:paraId="2878E788" w14:textId="77777777" w:rsidR="00EA4133" w:rsidRDefault="009F392E">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2878E789" w14:textId="77777777" w:rsidR="00EA4133" w:rsidRDefault="009F392E">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w:t>
      </w:r>
      <w:r>
        <w:rPr>
          <w:rFonts w:ascii="Arial" w:hAnsi="Arial"/>
          <w:color w:val="000000"/>
        </w:rPr>
        <w: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357EAF" w14:paraId="2878E799" w14:textId="77777777">
        <w:tc>
          <w:tcPr>
            <w:tcW w:w="1440" w:type="dxa"/>
          </w:tcPr>
          <w:p w14:paraId="2878E78A" w14:textId="77777777" w:rsidR="00EA4133" w:rsidRDefault="009F392E">
            <w:pPr>
              <w:pStyle w:val="BodyText"/>
              <w:keepNext/>
              <w:keepLines/>
              <w:spacing w:before="0" w:line="280" w:lineRule="exact"/>
              <w:jc w:val="center"/>
              <w:rPr>
                <w:rFonts w:ascii="Arial" w:hAnsi="Arial"/>
                <w:b/>
                <w:color w:val="000000"/>
                <w:sz w:val="20"/>
                <w:lang w:val="en-CA"/>
              </w:rPr>
            </w:pPr>
          </w:p>
          <w:p w14:paraId="2878E78B"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878E78C" w14:textId="77777777" w:rsidR="00EA4133" w:rsidRDefault="009F392E">
            <w:pPr>
              <w:pStyle w:val="BodyText"/>
              <w:keepNext/>
              <w:keepLines/>
              <w:spacing w:before="0" w:line="280" w:lineRule="exact"/>
              <w:jc w:val="center"/>
              <w:rPr>
                <w:rFonts w:ascii="Arial" w:hAnsi="Arial"/>
                <w:b/>
                <w:sz w:val="20"/>
                <w:lang w:val="en-CA"/>
              </w:rPr>
            </w:pPr>
          </w:p>
          <w:p w14:paraId="2878E78D"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2878E78E" w14:textId="77777777" w:rsidR="00EA4133" w:rsidRDefault="009F392E">
            <w:pPr>
              <w:pStyle w:val="BodyText"/>
              <w:keepNext/>
              <w:keepLines/>
              <w:spacing w:before="0" w:line="280" w:lineRule="exact"/>
              <w:jc w:val="center"/>
              <w:rPr>
                <w:rFonts w:ascii="Arial" w:hAnsi="Arial"/>
                <w:b/>
                <w:sz w:val="20"/>
                <w:lang w:val="en-CA"/>
              </w:rPr>
            </w:pPr>
          </w:p>
          <w:p w14:paraId="2878E78F"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878E790" w14:textId="77777777" w:rsidR="00EA4133" w:rsidRDefault="009F392E">
            <w:pPr>
              <w:pStyle w:val="BodyText"/>
              <w:keepNext/>
              <w:keepLines/>
              <w:spacing w:before="0" w:line="280" w:lineRule="exact"/>
              <w:jc w:val="center"/>
              <w:rPr>
                <w:rFonts w:ascii="Arial" w:hAnsi="Arial"/>
                <w:b/>
                <w:sz w:val="20"/>
                <w:lang w:val="en-CA"/>
              </w:rPr>
            </w:pPr>
          </w:p>
          <w:p w14:paraId="2878E791"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878E792" w14:textId="77777777" w:rsidR="00EA4133" w:rsidRDefault="009F392E">
            <w:pPr>
              <w:pStyle w:val="BodyText"/>
              <w:keepNext/>
              <w:keepLines/>
              <w:spacing w:before="0" w:line="280" w:lineRule="exact"/>
              <w:jc w:val="center"/>
              <w:rPr>
                <w:rFonts w:ascii="Arial" w:hAnsi="Arial"/>
                <w:b/>
                <w:sz w:val="20"/>
                <w:lang w:val="en-CA"/>
              </w:rPr>
            </w:pPr>
          </w:p>
          <w:p w14:paraId="2878E793"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878E794" w14:textId="77777777" w:rsidR="00EA4133" w:rsidRDefault="009F392E">
            <w:pPr>
              <w:pStyle w:val="BodyText"/>
              <w:keepNext/>
              <w:keepLines/>
              <w:spacing w:before="0" w:line="280" w:lineRule="exact"/>
              <w:jc w:val="center"/>
              <w:rPr>
                <w:rFonts w:ascii="Arial" w:hAnsi="Arial"/>
                <w:b/>
                <w:sz w:val="20"/>
              </w:rPr>
            </w:pPr>
          </w:p>
          <w:p w14:paraId="2878E795" w14:textId="77777777" w:rsidR="00EA4133" w:rsidRDefault="009F392E">
            <w:pPr>
              <w:pStyle w:val="BodyText"/>
              <w:keepNext/>
              <w:keepLines/>
              <w:spacing w:before="0" w:line="280" w:lineRule="exact"/>
              <w:jc w:val="center"/>
              <w:rPr>
                <w:rFonts w:ascii="Arial" w:hAnsi="Arial"/>
                <w:b/>
                <w:sz w:val="20"/>
                <w:lang w:val="en-CA"/>
              </w:rPr>
            </w:pPr>
            <w:r>
              <w:rPr>
                <w:rFonts w:ascii="Arial" w:hAnsi="Arial"/>
                <w:b/>
                <w:sz w:val="20"/>
              </w:rPr>
              <w:t xml:space="preserve">No. of </w:t>
            </w:r>
            <w:r>
              <w:rPr>
                <w:rFonts w:ascii="Arial" w:hAnsi="Arial"/>
                <w:b/>
                <w:sz w:val="20"/>
              </w:rPr>
              <w:t>Securities, directly or indirectly, Owned, Controlled or Directed by Party</w:t>
            </w:r>
          </w:p>
        </w:tc>
        <w:tc>
          <w:tcPr>
            <w:tcW w:w="1530" w:type="dxa"/>
          </w:tcPr>
          <w:p w14:paraId="2878E796" w14:textId="77777777" w:rsidR="00EA4133" w:rsidRDefault="009F392E">
            <w:pPr>
              <w:pStyle w:val="BodyText"/>
              <w:keepNext/>
              <w:keepLines/>
              <w:spacing w:before="0" w:line="280" w:lineRule="exact"/>
              <w:jc w:val="center"/>
              <w:rPr>
                <w:rFonts w:ascii="Arial" w:hAnsi="Arial"/>
                <w:b/>
                <w:sz w:val="20"/>
                <w:lang w:val="en-CA"/>
              </w:rPr>
            </w:pPr>
          </w:p>
          <w:p w14:paraId="2878E797" w14:textId="77777777" w:rsidR="00EA4133" w:rsidRDefault="009F392E">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878E798" w14:textId="77777777" w:rsidR="00EA4133" w:rsidRDefault="009F392E">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357EAF" w14:paraId="2878E7A1" w14:textId="77777777">
        <w:trPr>
          <w:trHeight w:hRule="exact" w:val="280"/>
        </w:trPr>
        <w:tc>
          <w:tcPr>
            <w:tcW w:w="1440" w:type="dxa"/>
          </w:tcPr>
          <w:p w14:paraId="2878E79A" w14:textId="77777777" w:rsidR="00EA4133" w:rsidRDefault="009F392E">
            <w:pPr>
              <w:pStyle w:val="BodyText"/>
              <w:keepNext/>
              <w:keepLines/>
              <w:rPr>
                <w:rFonts w:ascii="Arial" w:hAnsi="Arial"/>
                <w:color w:val="000000"/>
                <w:lang w:val="en-CA"/>
              </w:rPr>
            </w:pPr>
          </w:p>
        </w:tc>
        <w:tc>
          <w:tcPr>
            <w:tcW w:w="1260" w:type="dxa"/>
          </w:tcPr>
          <w:p w14:paraId="2878E79B" w14:textId="77777777" w:rsidR="00EA4133" w:rsidRDefault="009F392E">
            <w:pPr>
              <w:pStyle w:val="BodyText"/>
              <w:keepNext/>
              <w:keepLines/>
              <w:rPr>
                <w:rFonts w:ascii="Arial" w:hAnsi="Arial"/>
                <w:color w:val="000000"/>
                <w:lang w:val="en-CA"/>
              </w:rPr>
            </w:pPr>
          </w:p>
        </w:tc>
        <w:tc>
          <w:tcPr>
            <w:tcW w:w="1260" w:type="dxa"/>
          </w:tcPr>
          <w:p w14:paraId="2878E79C" w14:textId="77777777" w:rsidR="00EA4133" w:rsidRDefault="009F392E">
            <w:pPr>
              <w:pStyle w:val="BodyText"/>
              <w:keepNext/>
              <w:keepLines/>
              <w:rPr>
                <w:rFonts w:ascii="Arial" w:hAnsi="Arial"/>
                <w:color w:val="000000"/>
                <w:lang w:val="en-CA"/>
              </w:rPr>
            </w:pPr>
          </w:p>
        </w:tc>
        <w:tc>
          <w:tcPr>
            <w:tcW w:w="1440" w:type="dxa"/>
          </w:tcPr>
          <w:p w14:paraId="2878E79D" w14:textId="77777777" w:rsidR="00EA4133" w:rsidRDefault="009F392E">
            <w:pPr>
              <w:pStyle w:val="BodyText"/>
              <w:keepNext/>
              <w:keepLines/>
              <w:rPr>
                <w:rFonts w:ascii="Arial" w:hAnsi="Arial"/>
                <w:color w:val="000000"/>
                <w:lang w:val="en-CA"/>
              </w:rPr>
            </w:pPr>
          </w:p>
        </w:tc>
        <w:tc>
          <w:tcPr>
            <w:tcW w:w="1440" w:type="dxa"/>
          </w:tcPr>
          <w:p w14:paraId="2878E79E" w14:textId="77777777" w:rsidR="00EA4133" w:rsidRDefault="009F392E">
            <w:pPr>
              <w:pStyle w:val="BodyText"/>
              <w:keepNext/>
              <w:keepLines/>
              <w:rPr>
                <w:rFonts w:ascii="Arial" w:hAnsi="Arial"/>
                <w:color w:val="000000"/>
                <w:lang w:val="en-CA"/>
              </w:rPr>
            </w:pPr>
          </w:p>
        </w:tc>
        <w:tc>
          <w:tcPr>
            <w:tcW w:w="1620" w:type="dxa"/>
          </w:tcPr>
          <w:p w14:paraId="2878E79F" w14:textId="77777777" w:rsidR="00EA4133" w:rsidRDefault="009F392E">
            <w:pPr>
              <w:pStyle w:val="BodyText"/>
              <w:keepNext/>
              <w:keepLines/>
              <w:rPr>
                <w:rFonts w:ascii="Arial" w:hAnsi="Arial"/>
                <w:color w:val="000000"/>
                <w:lang w:val="en-CA"/>
              </w:rPr>
            </w:pPr>
          </w:p>
        </w:tc>
        <w:tc>
          <w:tcPr>
            <w:tcW w:w="1530" w:type="dxa"/>
          </w:tcPr>
          <w:p w14:paraId="2878E7A0" w14:textId="77777777" w:rsidR="00EA4133" w:rsidRDefault="009F392E">
            <w:pPr>
              <w:pStyle w:val="BodyText"/>
              <w:keepNext/>
              <w:keepLines/>
              <w:rPr>
                <w:rFonts w:ascii="Arial" w:hAnsi="Arial"/>
                <w:color w:val="000000"/>
                <w:lang w:val="en-CA"/>
              </w:rPr>
            </w:pPr>
          </w:p>
        </w:tc>
      </w:tr>
    </w:tbl>
    <w:p w14:paraId="2878E7A2" w14:textId="77777777" w:rsidR="00EA4133" w:rsidRDefault="009F392E"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878E7A3" w14:textId="77777777" w:rsidR="00EA4133" w:rsidRDefault="009F392E">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2878E7A4" w14:textId="77777777" w:rsidR="00EA4133" w:rsidRDefault="009F392E">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878E7A5" w14:textId="77777777" w:rsidR="00EA4133" w:rsidRDefault="009F392E">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w:t>
      </w:r>
      <w:r>
        <w:rPr>
          <w:rFonts w:ascii="Arial" w:hAnsi="Arial"/>
        </w:rPr>
        <w:t>nnection with the acquisition (including warrants, options, etc.):</w:t>
      </w:r>
    </w:p>
    <w:p w14:paraId="2878E7A6" w14:textId="77777777" w:rsidR="00EA4133" w:rsidRDefault="009F392E">
      <w:pPr>
        <w:pStyle w:val="List"/>
        <w:tabs>
          <w:tab w:val="left" w:pos="2160"/>
          <w:tab w:val="left" w:pos="9180"/>
        </w:tabs>
        <w:ind w:left="2160"/>
        <w:jc w:val="both"/>
        <w:rPr>
          <w:rFonts w:ascii="Arial" w:hAnsi="Arial"/>
          <w:u w:val="single"/>
        </w:rPr>
      </w:pPr>
      <w:r>
        <w:rPr>
          <w:rFonts w:ascii="Arial" w:hAnsi="Arial"/>
        </w:rPr>
        <w:t>(a)</w:t>
      </w:r>
      <w:r>
        <w:rPr>
          <w:rFonts w:ascii="Arial" w:hAnsi="Arial"/>
        </w:rPr>
        <w:tab/>
      </w:r>
      <w:r>
        <w:rPr>
          <w:rFonts w:ascii="Arial" w:hAnsi="Arial"/>
        </w:rPr>
        <w:t>Details of any dealer, agent, broker or other person receiving compensation in connection with the acquisition (name, address. If a corporation, identify persons owning or exercising voting control over 20% or more of the voting shares if known to the Issu</w:t>
      </w:r>
      <w:r>
        <w:rPr>
          <w:rFonts w:ascii="Arial" w:hAnsi="Arial"/>
        </w:rPr>
        <w:t xml:space="preserve">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14:paraId="2878E7A7" w14:textId="77777777" w:rsidR="00EA4133" w:rsidRDefault="009F392E">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2878E7A8" w14:textId="77777777" w:rsidR="00EA4133" w:rsidRDefault="009F392E">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2878E7A9" w14:textId="77777777" w:rsidR="00EA4133" w:rsidRDefault="009F392E">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2878E7AA" w14:textId="77777777" w:rsidR="00EA4133" w:rsidRDefault="009F392E">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878E7AB" w14:textId="77777777" w:rsidR="00CF2A90" w:rsidRPr="0038754B" w:rsidRDefault="009F392E" w:rsidP="0038754B">
      <w:pPr>
        <w:pStyle w:val="List"/>
        <w:numPr>
          <w:ilvl w:val="0"/>
          <w:numId w:val="15"/>
        </w:numPr>
        <w:tabs>
          <w:tab w:val="left" w:pos="2160"/>
          <w:tab w:val="left" w:pos="9180"/>
        </w:tabs>
        <w:rPr>
          <w:rFonts w:ascii="Arial" w:hAnsi="Arial"/>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2878E7AC" w14:textId="77777777" w:rsidR="00EA4133" w:rsidRDefault="009F392E">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878E7AD" w14:textId="77777777" w:rsidR="00EA4133" w:rsidRDefault="009F392E">
      <w:pPr>
        <w:pStyle w:val="List"/>
        <w:numPr>
          <w:ilvl w:val="0"/>
          <w:numId w:val="16"/>
        </w:numPr>
        <w:tabs>
          <w:tab w:val="left" w:pos="9180"/>
        </w:tabs>
        <w:jc w:val="both"/>
        <w:rPr>
          <w:rFonts w:ascii="Arial" w:hAnsi="Arial"/>
          <w:color w:val="000000"/>
        </w:rPr>
      </w:pPr>
      <w:r>
        <w:rPr>
          <w:rFonts w:ascii="Arial" w:hAnsi="Arial"/>
          <w:color w:val="000000"/>
        </w:rPr>
        <w:t>If applicable, indicate whether</w:t>
      </w:r>
      <w:r>
        <w:rPr>
          <w:rFonts w:ascii="Arial" w:hAnsi="Arial"/>
          <w:color w:val="000000"/>
        </w:rPr>
        <w:t xml:space="preserve"> the acquisition is the acquisition of an interest in property contiguous to or otherwise related to any other asset acquired in the last 12 months. </w:t>
      </w:r>
      <w:r>
        <w:rPr>
          <w:rFonts w:ascii="Arial" w:hAnsi="Arial"/>
          <w:color w:val="000000"/>
          <w:u w:val="single"/>
        </w:rPr>
        <w:tab/>
      </w:r>
    </w:p>
    <w:p w14:paraId="2878E7AE" w14:textId="77777777" w:rsidR="0038754B" w:rsidRDefault="009F392E">
      <w:pPr>
        <w:rPr>
          <w:rFonts w:ascii="Arial" w:hAnsi="Arial"/>
          <w:b/>
          <w:sz w:val="24"/>
          <w:lang w:val="en-GB"/>
        </w:rPr>
      </w:pPr>
      <w:r>
        <w:rPr>
          <w:rFonts w:ascii="Arial" w:hAnsi="Arial"/>
          <w:b/>
        </w:rPr>
        <w:br w:type="page"/>
      </w:r>
    </w:p>
    <w:p w14:paraId="2878E7AF" w14:textId="77777777" w:rsidR="00EA4133" w:rsidRDefault="009F392E">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2878E7B0" w14:textId="77777777" w:rsidR="00EA4133" w:rsidRDefault="009F392E">
      <w:pPr>
        <w:pStyle w:val="BodyText"/>
        <w:rPr>
          <w:rFonts w:ascii="Arial" w:hAnsi="Arial"/>
        </w:rPr>
      </w:pPr>
      <w:r>
        <w:rPr>
          <w:rFonts w:ascii="Arial" w:hAnsi="Arial"/>
        </w:rPr>
        <w:t>The undersigned hereby certifies that:</w:t>
      </w:r>
    </w:p>
    <w:p w14:paraId="2878E7B1" w14:textId="77777777" w:rsidR="00EA4133" w:rsidRDefault="009F392E">
      <w:pPr>
        <w:pStyle w:val="List"/>
        <w:jc w:val="both"/>
        <w:rPr>
          <w:rFonts w:ascii="Arial" w:hAnsi="Arial"/>
        </w:rPr>
      </w:pPr>
      <w:r>
        <w:rPr>
          <w:rFonts w:ascii="Arial" w:hAnsi="Arial"/>
        </w:rPr>
        <w:t>1.</w:t>
      </w:r>
      <w:r>
        <w:rPr>
          <w:rFonts w:ascii="Arial" w:hAnsi="Arial"/>
        </w:rPr>
        <w:tab/>
        <w:t>The undersigned is a director and/o</w:t>
      </w:r>
      <w:r>
        <w:rPr>
          <w:rFonts w:ascii="Arial" w:hAnsi="Arial"/>
        </w:rPr>
        <w:t>r senior officer of the Issuer and has been duly authorized by a resolution of the board of directors of the Issuer to sign this Certificate of Compliance on behalf of the Issuer.</w:t>
      </w:r>
    </w:p>
    <w:p w14:paraId="2878E7B2" w14:textId="77777777" w:rsidR="00EA4133" w:rsidRDefault="009F392E">
      <w:pPr>
        <w:pStyle w:val="List"/>
        <w:numPr>
          <w:ilvl w:val="0"/>
          <w:numId w:val="7"/>
        </w:numPr>
        <w:jc w:val="both"/>
        <w:rPr>
          <w:rFonts w:ascii="Arial" w:hAnsi="Arial"/>
        </w:rPr>
      </w:pPr>
      <w:r>
        <w:rPr>
          <w:rFonts w:ascii="Arial" w:hAnsi="Arial"/>
        </w:rPr>
        <w:t>As of the date hereof there is not material information concerning the Issue</w:t>
      </w:r>
      <w:r>
        <w:rPr>
          <w:rFonts w:ascii="Arial" w:hAnsi="Arial"/>
        </w:rPr>
        <w:t>r which has not been publicly disclosed.</w:t>
      </w:r>
    </w:p>
    <w:p w14:paraId="2878E7B3" w14:textId="77777777" w:rsidR="00EA4133" w:rsidRDefault="009F392E">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w:t>
      </w:r>
      <w:r>
        <w:rPr>
          <w:rFonts w:ascii="Arial" w:hAnsi="Arial"/>
        </w:rPr>
        <w:t>equirements (as defined in CSE Policy 1).</w:t>
      </w:r>
    </w:p>
    <w:p w14:paraId="2878E7B4" w14:textId="77777777" w:rsidR="00EA4133" w:rsidRDefault="009F392E">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2878E7B5" w14:textId="77777777" w:rsidR="00EA4133" w:rsidRDefault="009F392E">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March 2, 2018</w:t>
      </w:r>
      <w:r>
        <w:rPr>
          <w:rFonts w:ascii="Arial" w:hAnsi="Arial"/>
        </w:rPr>
        <w:t>.</w:t>
      </w:r>
    </w:p>
    <w:p w14:paraId="2878E7B6" w14:textId="77777777" w:rsidR="00EA4133" w:rsidRDefault="009F392E">
      <w:pPr>
        <w:pStyle w:val="List"/>
        <w:tabs>
          <w:tab w:val="left" w:pos="9180"/>
        </w:tabs>
        <w:ind w:left="5760" w:hanging="5760"/>
        <w:rPr>
          <w:rFonts w:ascii="Arial" w:hAnsi="Arial"/>
        </w:rPr>
      </w:pPr>
      <w:r>
        <w:rPr>
          <w:rFonts w:ascii="Arial" w:hAnsi="Arial"/>
        </w:rPr>
        <w:tab/>
      </w:r>
      <w:r w:rsidRPr="0038754B">
        <w:rPr>
          <w:rFonts w:ascii="Arial" w:hAnsi="Arial"/>
          <w:u w:val="single"/>
        </w:rPr>
        <w:t>Don Weatherbee</w:t>
      </w:r>
      <w:r w:rsidRPr="0038754B">
        <w:rPr>
          <w:rFonts w:ascii="Arial" w:hAnsi="Arial"/>
          <w:u w:val="single"/>
        </w:rPr>
        <w:tab/>
      </w:r>
      <w:r w:rsidRPr="0038754B">
        <w:rPr>
          <w:rFonts w:ascii="Arial" w:hAnsi="Arial"/>
          <w:u w:val="single"/>
        </w:rPr>
        <w:br/>
      </w:r>
      <w:r>
        <w:rPr>
          <w:rFonts w:ascii="Arial" w:hAnsi="Arial"/>
        </w:rPr>
        <w:t>Name of Director or Senior Officer</w:t>
      </w:r>
    </w:p>
    <w:p w14:paraId="2878E7B7" w14:textId="0F8E0548" w:rsidR="00EA4133" w:rsidRDefault="009F392E">
      <w:pPr>
        <w:pStyle w:val="List"/>
        <w:tabs>
          <w:tab w:val="left" w:pos="9180"/>
          <w:tab w:val="left" w:pos="9360"/>
        </w:tabs>
        <w:ind w:left="5760" w:hanging="5760"/>
        <w:rPr>
          <w:rFonts w:ascii="Arial" w:hAnsi="Arial"/>
        </w:rPr>
      </w:pPr>
      <w:r>
        <w:rPr>
          <w:rFonts w:ascii="Arial" w:hAnsi="Arial"/>
        </w:rPr>
        <w:tab/>
        <w:t>“Don Weatherbee”</w:t>
      </w:r>
      <w:bookmarkStart w:id="4" w:name="_GoBack"/>
      <w:bookmarkEnd w:id="4"/>
      <w:r>
        <w:rPr>
          <w:rFonts w:ascii="Arial" w:hAnsi="Arial"/>
          <w:u w:val="single"/>
        </w:rPr>
        <w:tab/>
      </w:r>
      <w:r>
        <w:rPr>
          <w:rFonts w:ascii="Arial" w:hAnsi="Arial"/>
        </w:rPr>
        <w:br/>
        <w:t>Signature</w:t>
      </w:r>
    </w:p>
    <w:p w14:paraId="2878E7B8" w14:textId="77777777" w:rsidR="00EA4133" w:rsidRDefault="009F392E">
      <w:pPr>
        <w:pStyle w:val="List"/>
        <w:tabs>
          <w:tab w:val="left" w:pos="9180"/>
          <w:tab w:val="left" w:pos="9360"/>
        </w:tabs>
        <w:ind w:left="5760" w:hanging="5760"/>
        <w:rPr>
          <w:rFonts w:ascii="Arial" w:hAnsi="Arial"/>
        </w:rPr>
      </w:pPr>
      <w:r>
        <w:rPr>
          <w:rFonts w:ascii="Arial" w:hAnsi="Arial"/>
        </w:rPr>
        <w:tab/>
      </w:r>
      <w:r w:rsidRPr="0038754B">
        <w:rPr>
          <w:rFonts w:ascii="Arial" w:hAnsi="Arial"/>
          <w:u w:val="single"/>
        </w:rPr>
        <w:t>Corporate Secretary</w:t>
      </w:r>
      <w:r w:rsidRPr="0038754B">
        <w:rPr>
          <w:rFonts w:ascii="Arial" w:hAnsi="Arial"/>
          <w:u w:val="single"/>
        </w:rPr>
        <w:tab/>
      </w:r>
      <w:r>
        <w:rPr>
          <w:rFonts w:ascii="Arial" w:hAnsi="Arial"/>
        </w:rPr>
        <w:br/>
        <w:t>Official Capacity</w:t>
      </w:r>
    </w:p>
    <w:p w14:paraId="2878E7B9" w14:textId="77777777" w:rsidR="00126EAC" w:rsidRDefault="009F392E">
      <w:pPr>
        <w:pStyle w:val="List"/>
        <w:tabs>
          <w:tab w:val="left" w:pos="9180"/>
          <w:tab w:val="left" w:pos="9360"/>
        </w:tabs>
        <w:ind w:left="5760" w:hanging="5760"/>
        <w:rPr>
          <w:rFonts w:ascii="Arial" w:hAnsi="Arial"/>
        </w:rPr>
      </w:pPr>
    </w:p>
    <w:p w14:paraId="2878E7BA" w14:textId="77777777" w:rsidR="00126EAC" w:rsidRDefault="009F392E">
      <w:pPr>
        <w:pStyle w:val="List"/>
        <w:tabs>
          <w:tab w:val="left" w:pos="9180"/>
          <w:tab w:val="left" w:pos="9360"/>
        </w:tabs>
        <w:ind w:left="5760" w:hanging="5760"/>
        <w:rPr>
          <w:rFonts w:ascii="Arial" w:hAnsi="Arial"/>
        </w:rPr>
        <w:sectPr w:rsidR="00126EAC"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pPr>
    </w:p>
    <w:p w14:paraId="2878E7BB" w14:textId="77777777" w:rsidR="008F484F" w:rsidRDefault="009F392E" w:rsidP="008F484F">
      <w:pPr>
        <w:pStyle w:val="List"/>
        <w:tabs>
          <w:tab w:val="left" w:pos="9180"/>
          <w:tab w:val="left" w:pos="9360"/>
        </w:tabs>
        <w:ind w:left="5760" w:hanging="5760"/>
        <w:jc w:val="center"/>
        <w:rPr>
          <w:rFonts w:ascii="Arial" w:hAnsi="Arial"/>
        </w:rPr>
      </w:pPr>
      <w:r>
        <w:rPr>
          <w:rFonts w:ascii="Arial" w:hAnsi="Arial"/>
        </w:rPr>
        <w:lastRenderedPageBreak/>
        <w:t>Schedule A to CSE</w:t>
      </w:r>
      <w:r>
        <w:rPr>
          <w:rFonts w:ascii="Arial" w:hAnsi="Arial"/>
        </w:rPr>
        <w:t xml:space="preserve"> Form 9</w:t>
      </w:r>
    </w:p>
    <w:p w14:paraId="2878E7BC" w14:textId="77777777" w:rsidR="008F484F" w:rsidRDefault="009F392E" w:rsidP="008F484F">
      <w:pPr>
        <w:pStyle w:val="List"/>
        <w:tabs>
          <w:tab w:val="left" w:pos="9180"/>
          <w:tab w:val="left" w:pos="9360"/>
        </w:tabs>
        <w:spacing w:before="0"/>
        <w:ind w:left="5760" w:hanging="5760"/>
        <w:jc w:val="center"/>
        <w:rPr>
          <w:rFonts w:ascii="Arial" w:hAnsi="Arial"/>
        </w:rPr>
      </w:pPr>
    </w:p>
    <w:tbl>
      <w:tblPr>
        <w:tblW w:w="137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10"/>
        <w:gridCol w:w="1260"/>
        <w:gridCol w:w="1350"/>
        <w:gridCol w:w="1800"/>
        <w:gridCol w:w="1890"/>
        <w:gridCol w:w="1620"/>
        <w:gridCol w:w="2070"/>
      </w:tblGrid>
      <w:tr w:rsidR="00357EAF" w14:paraId="2878E7C7" w14:textId="77777777" w:rsidTr="001B658F">
        <w:trPr>
          <w:trHeight w:val="1965"/>
          <w:tblHeader/>
        </w:trPr>
        <w:tc>
          <w:tcPr>
            <w:tcW w:w="2088" w:type="dxa"/>
          </w:tcPr>
          <w:p w14:paraId="2878E7BD" w14:textId="77777777" w:rsidR="00126EAC" w:rsidRDefault="009F392E" w:rsidP="001B658F">
            <w:pPr>
              <w:pStyle w:val="BodyText"/>
              <w:spacing w:before="0" w:line="280" w:lineRule="exact"/>
              <w:rPr>
                <w:rFonts w:ascii="Arial" w:hAnsi="Arial"/>
                <w:b/>
                <w:sz w:val="20"/>
                <w:lang w:val="en-CA"/>
              </w:rPr>
            </w:pPr>
            <w:r>
              <w:rPr>
                <w:rFonts w:ascii="Arial" w:hAnsi="Arial"/>
                <w:b/>
                <w:sz w:val="20"/>
                <w:lang w:val="en-CA"/>
              </w:rPr>
              <w:t>Full Name &amp; Residential Address of Placee</w:t>
            </w:r>
          </w:p>
        </w:tc>
        <w:tc>
          <w:tcPr>
            <w:tcW w:w="1710" w:type="dxa"/>
          </w:tcPr>
          <w:p w14:paraId="2878E7BE" w14:textId="77777777" w:rsidR="00126EAC" w:rsidRDefault="009F392E" w:rsidP="001B658F">
            <w:pPr>
              <w:pStyle w:val="BodyText"/>
              <w:spacing w:before="0" w:line="280" w:lineRule="exact"/>
              <w:rPr>
                <w:rFonts w:ascii="Arial" w:hAnsi="Arial"/>
                <w:b/>
                <w:sz w:val="20"/>
                <w:lang w:val="en-CA"/>
              </w:rPr>
            </w:pPr>
            <w:r>
              <w:rPr>
                <w:rFonts w:ascii="Arial" w:hAnsi="Arial"/>
                <w:b/>
                <w:sz w:val="20"/>
                <w:lang w:val="en-CA"/>
              </w:rPr>
              <w:t>Number of Securities Purchased or to be Purchased</w:t>
            </w:r>
          </w:p>
        </w:tc>
        <w:tc>
          <w:tcPr>
            <w:tcW w:w="1260" w:type="dxa"/>
          </w:tcPr>
          <w:p w14:paraId="2878E7BF" w14:textId="77777777" w:rsidR="00126EAC" w:rsidRDefault="009F392E" w:rsidP="001B658F">
            <w:pPr>
              <w:pStyle w:val="BodyText"/>
              <w:spacing w:before="0" w:line="280" w:lineRule="exact"/>
              <w:rPr>
                <w:rFonts w:ascii="Arial" w:hAnsi="Arial"/>
                <w:b/>
                <w:sz w:val="20"/>
                <w:lang w:val="en-CA"/>
              </w:rPr>
            </w:pPr>
            <w:r>
              <w:rPr>
                <w:rFonts w:ascii="Arial" w:hAnsi="Arial"/>
                <w:b/>
                <w:sz w:val="20"/>
                <w:lang w:val="en-CA"/>
              </w:rPr>
              <w:t>Purchase price per Security (CDN$)</w:t>
            </w:r>
          </w:p>
        </w:tc>
        <w:tc>
          <w:tcPr>
            <w:tcW w:w="1350" w:type="dxa"/>
          </w:tcPr>
          <w:p w14:paraId="2878E7C0" w14:textId="77777777" w:rsidR="00126EAC" w:rsidRDefault="009F392E" w:rsidP="001B658F">
            <w:pPr>
              <w:pStyle w:val="BodyText"/>
              <w:spacing w:before="0" w:line="280" w:lineRule="exact"/>
              <w:rPr>
                <w:rFonts w:ascii="Arial" w:hAnsi="Arial"/>
                <w:b/>
                <w:sz w:val="20"/>
                <w:lang w:val="en-CA"/>
              </w:rPr>
            </w:pPr>
            <w:r>
              <w:rPr>
                <w:rFonts w:ascii="Arial" w:hAnsi="Arial"/>
                <w:b/>
                <w:sz w:val="20"/>
                <w:lang w:val="en-CA"/>
              </w:rPr>
              <w:t>Conversion</w:t>
            </w:r>
          </w:p>
          <w:p w14:paraId="2878E7C1" w14:textId="77777777" w:rsidR="00126EAC" w:rsidRDefault="009F392E" w:rsidP="001B658F">
            <w:pPr>
              <w:pStyle w:val="BodyText"/>
              <w:spacing w:before="0" w:line="280" w:lineRule="exact"/>
              <w:rPr>
                <w:rFonts w:ascii="Arial" w:hAnsi="Arial"/>
                <w:b/>
                <w:sz w:val="20"/>
                <w:lang w:val="en-CA"/>
              </w:rPr>
            </w:pPr>
            <w:r>
              <w:rPr>
                <w:rFonts w:ascii="Arial" w:hAnsi="Arial"/>
                <w:b/>
                <w:sz w:val="20"/>
                <w:lang w:val="en-CA"/>
              </w:rPr>
              <w:t>Price (if</w:t>
            </w:r>
          </w:p>
          <w:p w14:paraId="2878E7C2" w14:textId="77777777" w:rsidR="00126EAC" w:rsidRDefault="009F392E" w:rsidP="001B658F">
            <w:pPr>
              <w:pStyle w:val="BodyText"/>
              <w:spacing w:before="0" w:line="280" w:lineRule="exact"/>
              <w:rPr>
                <w:rFonts w:ascii="Arial" w:hAnsi="Arial"/>
                <w:b/>
                <w:sz w:val="20"/>
                <w:lang w:val="en-CA"/>
              </w:rPr>
            </w:pPr>
            <w:r>
              <w:rPr>
                <w:rFonts w:ascii="Arial" w:hAnsi="Arial"/>
                <w:b/>
                <w:sz w:val="20"/>
                <w:lang w:val="en-CA"/>
              </w:rPr>
              <w:t>Applicable)</w:t>
            </w:r>
          </w:p>
        </w:tc>
        <w:tc>
          <w:tcPr>
            <w:tcW w:w="1800" w:type="dxa"/>
          </w:tcPr>
          <w:p w14:paraId="2878E7C3" w14:textId="77777777" w:rsidR="00126EAC" w:rsidRDefault="009F392E" w:rsidP="001B658F">
            <w:pPr>
              <w:pStyle w:val="BodyText"/>
              <w:spacing w:before="0" w:line="280" w:lineRule="exact"/>
              <w:rPr>
                <w:rFonts w:ascii="Arial" w:hAnsi="Arial"/>
                <w:b/>
                <w:sz w:val="20"/>
                <w:lang w:val="en-CA"/>
              </w:rPr>
            </w:pPr>
            <w:r>
              <w:rPr>
                <w:rFonts w:ascii="Arial" w:hAnsi="Arial"/>
                <w:b/>
                <w:sz w:val="20"/>
                <w:lang w:val="en-CA"/>
              </w:rPr>
              <w:t>Prospectus Exemption</w:t>
            </w:r>
          </w:p>
        </w:tc>
        <w:tc>
          <w:tcPr>
            <w:tcW w:w="1890" w:type="dxa"/>
          </w:tcPr>
          <w:p w14:paraId="2878E7C4" w14:textId="77777777" w:rsidR="00126EAC" w:rsidRDefault="009F392E" w:rsidP="001B658F">
            <w:pPr>
              <w:pStyle w:val="BodyText"/>
              <w:spacing w:before="0" w:line="280" w:lineRule="exact"/>
              <w:rPr>
                <w:rFonts w:ascii="Arial" w:hAnsi="Arial"/>
                <w:b/>
                <w:sz w:val="20"/>
                <w:lang w:val="en-CA"/>
              </w:rPr>
            </w:pPr>
            <w:r>
              <w:rPr>
                <w:rFonts w:ascii="Arial" w:hAnsi="Arial"/>
                <w:b/>
                <w:sz w:val="20"/>
              </w:rPr>
              <w:t xml:space="preserve">No. of Securities, directly or indirectly, Owned, Controlled or </w:t>
            </w:r>
            <w:r>
              <w:rPr>
                <w:rFonts w:ascii="Arial" w:hAnsi="Arial"/>
                <w:b/>
                <w:sz w:val="20"/>
              </w:rPr>
              <w:t>Directed</w:t>
            </w:r>
          </w:p>
        </w:tc>
        <w:tc>
          <w:tcPr>
            <w:tcW w:w="1620" w:type="dxa"/>
          </w:tcPr>
          <w:p w14:paraId="2878E7C5" w14:textId="77777777" w:rsidR="00126EAC" w:rsidRDefault="009F392E" w:rsidP="001B658F">
            <w:pPr>
              <w:pStyle w:val="BodyText"/>
              <w:spacing w:before="0" w:line="280" w:lineRule="exact"/>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2070" w:type="dxa"/>
          </w:tcPr>
          <w:p w14:paraId="2878E7C6" w14:textId="77777777" w:rsidR="00126EAC" w:rsidRDefault="009F392E" w:rsidP="001B658F">
            <w:pPr>
              <w:pStyle w:val="BodyText"/>
              <w:spacing w:before="0" w:line="280" w:lineRule="exact"/>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357EAF" w14:paraId="2878E7D1" w14:textId="77777777" w:rsidTr="001B658F">
        <w:trPr>
          <w:trHeight w:val="20"/>
        </w:trPr>
        <w:tc>
          <w:tcPr>
            <w:tcW w:w="2088" w:type="dxa"/>
          </w:tcPr>
          <w:p w14:paraId="2878E7C8" w14:textId="77777777" w:rsidR="00126EAC" w:rsidRDefault="009F392E" w:rsidP="001B658F">
            <w:pPr>
              <w:pStyle w:val="BodyText"/>
              <w:spacing w:before="0" w:line="280" w:lineRule="exact"/>
              <w:rPr>
                <w:rFonts w:ascii="Arial" w:hAnsi="Arial"/>
                <w:sz w:val="20"/>
                <w:lang w:val="en-CA"/>
              </w:rPr>
            </w:pPr>
            <w:r w:rsidRPr="00126EAC">
              <w:rPr>
                <w:rFonts w:ascii="Arial" w:hAnsi="Arial"/>
                <w:sz w:val="20"/>
                <w:lang w:val="en-CA"/>
              </w:rPr>
              <w:t>Mezzo Consulting Services S.A.</w:t>
            </w:r>
          </w:p>
          <w:p w14:paraId="2878E7C9" w14:textId="77777777" w:rsidR="00126EAC" w:rsidRPr="00126EAC" w:rsidRDefault="009F392E" w:rsidP="001B658F">
            <w:pPr>
              <w:pStyle w:val="BodyText"/>
              <w:spacing w:before="0" w:line="280" w:lineRule="exact"/>
              <w:rPr>
                <w:rFonts w:ascii="Arial" w:hAnsi="Arial"/>
                <w:sz w:val="20"/>
                <w:lang w:val="en-CA"/>
              </w:rPr>
            </w:pPr>
            <w:r w:rsidRPr="00126EAC">
              <w:rPr>
                <w:rFonts w:ascii="Arial" w:hAnsi="Arial"/>
                <w:sz w:val="20"/>
                <w:lang w:val="en-CA"/>
              </w:rPr>
              <w:t>Guaira, Paraguay</w:t>
            </w:r>
          </w:p>
        </w:tc>
        <w:tc>
          <w:tcPr>
            <w:tcW w:w="1710" w:type="dxa"/>
          </w:tcPr>
          <w:p w14:paraId="2878E7CA"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150,000</w:t>
            </w:r>
          </w:p>
        </w:tc>
        <w:tc>
          <w:tcPr>
            <w:tcW w:w="1260" w:type="dxa"/>
          </w:tcPr>
          <w:p w14:paraId="2878E7CB"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Pr>
          <w:p w14:paraId="2878E7CC"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Pr>
          <w:p w14:paraId="2878E7CD"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Pr>
          <w:p w14:paraId="2878E7CE" w14:textId="77777777" w:rsidR="00126EAC" w:rsidRPr="001B658F" w:rsidRDefault="009F392E" w:rsidP="001B658F">
            <w:pPr>
              <w:pStyle w:val="BodyText"/>
              <w:spacing w:before="0" w:line="280" w:lineRule="exact"/>
              <w:jc w:val="center"/>
              <w:rPr>
                <w:rFonts w:ascii="Arial" w:hAnsi="Arial"/>
                <w:sz w:val="20"/>
              </w:rPr>
            </w:pPr>
            <w:r w:rsidRPr="001B658F">
              <w:rPr>
                <w:rFonts w:ascii="Arial" w:hAnsi="Arial"/>
                <w:sz w:val="20"/>
              </w:rPr>
              <w:t>387,000 shares, 200,000 warrants, and 200,000 options</w:t>
            </w:r>
          </w:p>
        </w:tc>
        <w:tc>
          <w:tcPr>
            <w:tcW w:w="1620" w:type="dxa"/>
          </w:tcPr>
          <w:p w14:paraId="2878E7CF"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February 28, 2018</w:t>
            </w:r>
          </w:p>
        </w:tc>
        <w:tc>
          <w:tcPr>
            <w:tcW w:w="2070" w:type="dxa"/>
          </w:tcPr>
          <w:p w14:paraId="2878E7D0" w14:textId="77777777" w:rsidR="00126EAC"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7DB"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7D2" w14:textId="77777777" w:rsidR="00126EAC" w:rsidRPr="00126EAC" w:rsidRDefault="009F392E" w:rsidP="001B658F">
            <w:pPr>
              <w:pStyle w:val="BodyText"/>
              <w:spacing w:before="0" w:line="280" w:lineRule="exact"/>
              <w:rPr>
                <w:rFonts w:ascii="Arial" w:hAnsi="Arial"/>
                <w:sz w:val="20"/>
                <w:lang w:val="en-CA"/>
              </w:rPr>
            </w:pPr>
            <w:r w:rsidRPr="00126EAC">
              <w:rPr>
                <w:rFonts w:ascii="Arial" w:hAnsi="Arial"/>
                <w:sz w:val="20"/>
                <w:lang w:val="en-CA"/>
              </w:rPr>
              <w:t>Keith Peck</w:t>
            </w:r>
          </w:p>
          <w:p w14:paraId="2878E7D3" w14:textId="77777777" w:rsidR="00126EAC" w:rsidRPr="00126EAC" w:rsidRDefault="009F392E" w:rsidP="001B658F">
            <w:pPr>
              <w:pStyle w:val="BodyText"/>
              <w:spacing w:before="0" w:line="280" w:lineRule="exact"/>
              <w:rPr>
                <w:rFonts w:ascii="Arial" w:hAnsi="Arial"/>
                <w:sz w:val="20"/>
                <w:lang w:val="en-CA"/>
              </w:rPr>
            </w:pPr>
            <w:r w:rsidRPr="00126EAC">
              <w:rPr>
                <w:rFonts w:ascii="Arial" w:hAnsi="Arial"/>
                <w:sz w:val="20"/>
                <w:lang w:val="en-CA"/>
              </w:rPr>
              <w:t xml:space="preserve">Vancouver, </w:t>
            </w:r>
            <w:r w:rsidRPr="00126EAC">
              <w:rPr>
                <w:rFonts w:ascii="Arial" w:hAnsi="Arial"/>
                <w:sz w:val="20"/>
                <w:lang w:val="en-CA"/>
              </w:rPr>
              <w:t>BC</w:t>
            </w:r>
          </w:p>
        </w:tc>
        <w:tc>
          <w:tcPr>
            <w:tcW w:w="1710" w:type="dxa"/>
            <w:tcBorders>
              <w:top w:val="single" w:sz="4" w:space="0" w:color="auto"/>
              <w:left w:val="single" w:sz="4" w:space="0" w:color="auto"/>
              <w:bottom w:val="single" w:sz="4" w:space="0" w:color="auto"/>
              <w:right w:val="single" w:sz="4" w:space="0" w:color="auto"/>
            </w:tcBorders>
          </w:tcPr>
          <w:p w14:paraId="2878E7D4"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33,000</w:t>
            </w:r>
          </w:p>
        </w:tc>
        <w:tc>
          <w:tcPr>
            <w:tcW w:w="1260" w:type="dxa"/>
            <w:tcBorders>
              <w:top w:val="single" w:sz="4" w:space="0" w:color="auto"/>
              <w:left w:val="single" w:sz="4" w:space="0" w:color="auto"/>
              <w:bottom w:val="single" w:sz="4" w:space="0" w:color="auto"/>
              <w:right w:val="single" w:sz="4" w:space="0" w:color="auto"/>
            </w:tcBorders>
          </w:tcPr>
          <w:p w14:paraId="2878E7D5"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7D6"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7D7"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7D8" w14:textId="77777777" w:rsidR="00126EAC" w:rsidRPr="001B658F" w:rsidRDefault="009F392E" w:rsidP="001B658F">
            <w:pPr>
              <w:pStyle w:val="BodyText"/>
              <w:spacing w:before="0" w:line="280" w:lineRule="exact"/>
              <w:jc w:val="center"/>
              <w:rPr>
                <w:rFonts w:ascii="Arial" w:hAnsi="Arial"/>
                <w:sz w:val="20"/>
              </w:rPr>
            </w:pPr>
            <w:r w:rsidRPr="001B658F">
              <w:rPr>
                <w:rFonts w:ascii="Arial" w:hAnsi="Arial"/>
                <w:sz w:val="20"/>
              </w:rPr>
              <w:t>0</w:t>
            </w:r>
          </w:p>
        </w:tc>
        <w:tc>
          <w:tcPr>
            <w:tcW w:w="1620" w:type="dxa"/>
            <w:tcBorders>
              <w:top w:val="single" w:sz="4" w:space="0" w:color="auto"/>
              <w:left w:val="single" w:sz="4" w:space="0" w:color="auto"/>
              <w:bottom w:val="single" w:sz="4" w:space="0" w:color="auto"/>
              <w:right w:val="single" w:sz="4" w:space="0" w:color="auto"/>
            </w:tcBorders>
          </w:tcPr>
          <w:p w14:paraId="2878E7D9"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February 28, 2018</w:t>
            </w:r>
          </w:p>
        </w:tc>
        <w:tc>
          <w:tcPr>
            <w:tcW w:w="2070" w:type="dxa"/>
            <w:tcBorders>
              <w:top w:val="single" w:sz="4" w:space="0" w:color="auto"/>
              <w:left w:val="single" w:sz="4" w:space="0" w:color="auto"/>
              <w:bottom w:val="single" w:sz="4" w:space="0" w:color="auto"/>
              <w:right w:val="double" w:sz="4" w:space="0" w:color="auto"/>
            </w:tcBorders>
          </w:tcPr>
          <w:p w14:paraId="2878E7DA" w14:textId="77777777" w:rsidR="00126EAC"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7E5"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7DC" w14:textId="77777777" w:rsidR="00126EAC" w:rsidRPr="00126EAC" w:rsidRDefault="009F392E" w:rsidP="001B658F">
            <w:pPr>
              <w:pStyle w:val="BodyText"/>
              <w:spacing w:before="0" w:line="280" w:lineRule="exact"/>
              <w:rPr>
                <w:rFonts w:ascii="Arial" w:hAnsi="Arial"/>
                <w:sz w:val="20"/>
                <w:lang w:val="en-CA"/>
              </w:rPr>
            </w:pPr>
            <w:r w:rsidRPr="00126EAC">
              <w:rPr>
                <w:rFonts w:ascii="Arial" w:hAnsi="Arial"/>
                <w:sz w:val="20"/>
                <w:lang w:val="en-CA"/>
              </w:rPr>
              <w:t>869563 Alberta Ltd.</w:t>
            </w:r>
          </w:p>
          <w:p w14:paraId="2878E7DD" w14:textId="77777777" w:rsidR="00126EAC" w:rsidRPr="00126EAC" w:rsidRDefault="009F392E" w:rsidP="001B658F">
            <w:pPr>
              <w:pStyle w:val="BodyText"/>
              <w:spacing w:before="0" w:line="280" w:lineRule="exact"/>
              <w:rPr>
                <w:rFonts w:ascii="Arial" w:hAnsi="Arial"/>
                <w:sz w:val="20"/>
                <w:lang w:val="en-CA"/>
              </w:rPr>
            </w:pPr>
            <w:r w:rsidRPr="00126EAC">
              <w:rPr>
                <w:rFonts w:ascii="Arial" w:hAnsi="Arial"/>
                <w:sz w:val="20"/>
                <w:lang w:val="en-CA"/>
              </w:rPr>
              <w:t>Lethbridge, AB</w:t>
            </w:r>
          </w:p>
        </w:tc>
        <w:tc>
          <w:tcPr>
            <w:tcW w:w="1710" w:type="dxa"/>
            <w:tcBorders>
              <w:top w:val="single" w:sz="4" w:space="0" w:color="auto"/>
              <w:left w:val="single" w:sz="4" w:space="0" w:color="auto"/>
              <w:bottom w:val="single" w:sz="4" w:space="0" w:color="auto"/>
              <w:right w:val="single" w:sz="4" w:space="0" w:color="auto"/>
            </w:tcBorders>
          </w:tcPr>
          <w:p w14:paraId="2878E7DE"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60,000</w:t>
            </w:r>
          </w:p>
        </w:tc>
        <w:tc>
          <w:tcPr>
            <w:tcW w:w="1260" w:type="dxa"/>
            <w:tcBorders>
              <w:top w:val="single" w:sz="4" w:space="0" w:color="auto"/>
              <w:left w:val="single" w:sz="4" w:space="0" w:color="auto"/>
              <w:bottom w:val="single" w:sz="4" w:space="0" w:color="auto"/>
              <w:right w:val="single" w:sz="4" w:space="0" w:color="auto"/>
            </w:tcBorders>
          </w:tcPr>
          <w:p w14:paraId="2878E7DF"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7E0"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7E1"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7E2" w14:textId="77777777" w:rsidR="00126EAC" w:rsidRPr="001B658F" w:rsidRDefault="009F392E" w:rsidP="001B658F">
            <w:pPr>
              <w:pStyle w:val="BodyText"/>
              <w:spacing w:before="0" w:line="280" w:lineRule="exact"/>
              <w:jc w:val="center"/>
              <w:rPr>
                <w:rFonts w:ascii="Arial" w:hAnsi="Arial"/>
                <w:sz w:val="20"/>
              </w:rPr>
            </w:pPr>
            <w:r w:rsidRPr="001B658F">
              <w:rPr>
                <w:rFonts w:ascii="Arial" w:hAnsi="Arial"/>
                <w:sz w:val="20"/>
              </w:rPr>
              <w:t>446,680 shares</w:t>
            </w:r>
          </w:p>
        </w:tc>
        <w:tc>
          <w:tcPr>
            <w:tcW w:w="1620" w:type="dxa"/>
            <w:tcBorders>
              <w:top w:val="single" w:sz="4" w:space="0" w:color="auto"/>
              <w:left w:val="single" w:sz="4" w:space="0" w:color="auto"/>
              <w:bottom w:val="single" w:sz="4" w:space="0" w:color="auto"/>
              <w:right w:val="single" w:sz="4" w:space="0" w:color="auto"/>
            </w:tcBorders>
          </w:tcPr>
          <w:p w14:paraId="2878E7E3"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February 28, 2018</w:t>
            </w:r>
          </w:p>
        </w:tc>
        <w:tc>
          <w:tcPr>
            <w:tcW w:w="2070" w:type="dxa"/>
            <w:tcBorders>
              <w:top w:val="single" w:sz="4" w:space="0" w:color="auto"/>
              <w:left w:val="single" w:sz="4" w:space="0" w:color="auto"/>
              <w:bottom w:val="single" w:sz="4" w:space="0" w:color="auto"/>
              <w:right w:val="double" w:sz="4" w:space="0" w:color="auto"/>
            </w:tcBorders>
          </w:tcPr>
          <w:p w14:paraId="2878E7E4" w14:textId="77777777" w:rsidR="00126EAC"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7EF"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7E6" w14:textId="77777777" w:rsidR="00126EAC" w:rsidRDefault="009F392E" w:rsidP="001B658F">
            <w:pPr>
              <w:pStyle w:val="BodyText"/>
              <w:spacing w:before="0" w:line="280" w:lineRule="exact"/>
              <w:rPr>
                <w:rFonts w:ascii="Arial" w:hAnsi="Arial"/>
                <w:sz w:val="20"/>
                <w:lang w:val="en-CA"/>
              </w:rPr>
            </w:pPr>
            <w:r>
              <w:rPr>
                <w:rFonts w:ascii="Arial" w:hAnsi="Arial"/>
                <w:sz w:val="20"/>
                <w:lang w:val="en-CA"/>
              </w:rPr>
              <w:t>Emergco Funding Corp.</w:t>
            </w:r>
          </w:p>
          <w:p w14:paraId="2878E7E7" w14:textId="77777777" w:rsidR="00126EAC" w:rsidRPr="00126EAC" w:rsidRDefault="009F392E" w:rsidP="001B658F">
            <w:pPr>
              <w:pStyle w:val="BodyText"/>
              <w:spacing w:before="0" w:line="280" w:lineRule="exact"/>
              <w:rPr>
                <w:rFonts w:ascii="Arial" w:hAnsi="Arial"/>
                <w:sz w:val="20"/>
                <w:lang w:val="en-CA"/>
              </w:rPr>
            </w:pPr>
            <w:r>
              <w:rPr>
                <w:rFonts w:ascii="Arial" w:hAnsi="Arial"/>
                <w:sz w:val="20"/>
                <w:lang w:val="en-CA"/>
              </w:rPr>
              <w:t>Vancouver, BC</w:t>
            </w:r>
          </w:p>
        </w:tc>
        <w:tc>
          <w:tcPr>
            <w:tcW w:w="1710" w:type="dxa"/>
            <w:tcBorders>
              <w:top w:val="single" w:sz="4" w:space="0" w:color="auto"/>
              <w:left w:val="single" w:sz="4" w:space="0" w:color="auto"/>
              <w:bottom w:val="single" w:sz="4" w:space="0" w:color="auto"/>
              <w:right w:val="single" w:sz="4" w:space="0" w:color="auto"/>
            </w:tcBorders>
          </w:tcPr>
          <w:p w14:paraId="2878E7E8" w14:textId="77777777" w:rsidR="00126EAC" w:rsidRPr="001B658F" w:rsidRDefault="009F392E" w:rsidP="001B658F">
            <w:pPr>
              <w:jc w:val="center"/>
              <w:rPr>
                <w:rFonts w:ascii="Calibri" w:hAnsi="Calibri"/>
                <w:sz w:val="22"/>
                <w:szCs w:val="22"/>
              </w:rPr>
            </w:pPr>
            <w:r w:rsidRPr="001B658F">
              <w:rPr>
                <w:rFonts w:ascii="Calibri" w:hAnsi="Calibri"/>
                <w:sz w:val="22"/>
                <w:szCs w:val="22"/>
              </w:rPr>
              <w:t>80,000</w:t>
            </w:r>
          </w:p>
        </w:tc>
        <w:tc>
          <w:tcPr>
            <w:tcW w:w="1260" w:type="dxa"/>
            <w:tcBorders>
              <w:top w:val="single" w:sz="4" w:space="0" w:color="auto"/>
              <w:left w:val="single" w:sz="4" w:space="0" w:color="auto"/>
              <w:bottom w:val="single" w:sz="4" w:space="0" w:color="auto"/>
              <w:right w:val="single" w:sz="4" w:space="0" w:color="auto"/>
            </w:tcBorders>
          </w:tcPr>
          <w:p w14:paraId="2878E7E9"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7EA"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7EB"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 xml:space="preserve">Section 2.3 </w:t>
            </w:r>
            <w:r w:rsidRPr="001B658F">
              <w:rPr>
                <w:rFonts w:ascii="Arial" w:hAnsi="Arial"/>
                <w:sz w:val="20"/>
                <w:lang w:val="en-CA"/>
              </w:rPr>
              <w:t>of NI 45-106</w:t>
            </w:r>
          </w:p>
        </w:tc>
        <w:tc>
          <w:tcPr>
            <w:tcW w:w="1890" w:type="dxa"/>
            <w:tcBorders>
              <w:top w:val="single" w:sz="4" w:space="0" w:color="auto"/>
              <w:left w:val="single" w:sz="4" w:space="0" w:color="auto"/>
              <w:bottom w:val="single" w:sz="4" w:space="0" w:color="auto"/>
              <w:right w:val="single" w:sz="4" w:space="0" w:color="auto"/>
            </w:tcBorders>
          </w:tcPr>
          <w:p w14:paraId="2878E7EC" w14:textId="77777777" w:rsidR="00126EAC" w:rsidRPr="001B658F" w:rsidRDefault="009F392E" w:rsidP="001B658F">
            <w:pPr>
              <w:jc w:val="center"/>
              <w:rPr>
                <w:rFonts w:ascii="Calibri" w:hAnsi="Calibri"/>
                <w:sz w:val="22"/>
                <w:szCs w:val="22"/>
              </w:rPr>
            </w:pPr>
            <w:r w:rsidRPr="001B658F">
              <w:rPr>
                <w:rFonts w:ascii="Calibri" w:hAnsi="Calibri"/>
                <w:sz w:val="22"/>
                <w:szCs w:val="22"/>
              </w:rPr>
              <w:t>0</w:t>
            </w:r>
          </w:p>
        </w:tc>
        <w:tc>
          <w:tcPr>
            <w:tcW w:w="1620" w:type="dxa"/>
            <w:tcBorders>
              <w:top w:val="single" w:sz="4" w:space="0" w:color="auto"/>
              <w:left w:val="single" w:sz="4" w:space="0" w:color="auto"/>
              <w:bottom w:val="single" w:sz="4" w:space="0" w:color="auto"/>
              <w:right w:val="single" w:sz="4" w:space="0" w:color="auto"/>
            </w:tcBorders>
          </w:tcPr>
          <w:p w14:paraId="2878E7ED"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7EE" w14:textId="77777777" w:rsidR="00126EAC"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7F9"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7F0" w14:textId="77777777" w:rsidR="00126EAC" w:rsidRDefault="009F392E" w:rsidP="001B658F">
            <w:pPr>
              <w:pStyle w:val="BodyText"/>
              <w:spacing w:before="0" w:line="280" w:lineRule="exact"/>
              <w:rPr>
                <w:rFonts w:ascii="Arial" w:hAnsi="Arial"/>
                <w:sz w:val="20"/>
                <w:lang w:val="en-CA"/>
              </w:rPr>
            </w:pPr>
            <w:r>
              <w:rPr>
                <w:rFonts w:ascii="Arial" w:hAnsi="Arial"/>
                <w:sz w:val="20"/>
                <w:lang w:val="en-CA"/>
              </w:rPr>
              <w:t>Akiva Borenstein</w:t>
            </w:r>
          </w:p>
          <w:p w14:paraId="2878E7F1" w14:textId="77777777" w:rsidR="00126EAC" w:rsidRPr="00126EAC" w:rsidRDefault="009F392E" w:rsidP="001B658F">
            <w:pPr>
              <w:pStyle w:val="BodyText"/>
              <w:spacing w:before="0" w:line="280" w:lineRule="exact"/>
              <w:rPr>
                <w:rFonts w:ascii="Arial" w:hAnsi="Arial"/>
                <w:sz w:val="20"/>
                <w:lang w:val="en-CA"/>
              </w:rPr>
            </w:pPr>
            <w:r>
              <w:rPr>
                <w:rFonts w:ascii="Arial" w:hAnsi="Arial"/>
                <w:sz w:val="20"/>
                <w:lang w:val="en-CA"/>
              </w:rPr>
              <w:t>Winnipeg, MB</w:t>
            </w:r>
          </w:p>
        </w:tc>
        <w:tc>
          <w:tcPr>
            <w:tcW w:w="1710" w:type="dxa"/>
            <w:tcBorders>
              <w:top w:val="single" w:sz="4" w:space="0" w:color="auto"/>
              <w:left w:val="single" w:sz="4" w:space="0" w:color="auto"/>
              <w:bottom w:val="single" w:sz="4" w:space="0" w:color="auto"/>
              <w:right w:val="single" w:sz="4" w:space="0" w:color="auto"/>
            </w:tcBorders>
          </w:tcPr>
          <w:p w14:paraId="2878E7F2" w14:textId="77777777" w:rsidR="00126EAC" w:rsidRPr="001B658F" w:rsidRDefault="009F392E" w:rsidP="001B658F">
            <w:pPr>
              <w:jc w:val="center"/>
              <w:rPr>
                <w:rFonts w:ascii="Calibri" w:hAnsi="Calibri"/>
                <w:color w:val="000000"/>
                <w:sz w:val="22"/>
                <w:szCs w:val="22"/>
              </w:rPr>
            </w:pPr>
            <w:r w:rsidRPr="001B658F">
              <w:rPr>
                <w:rFonts w:ascii="Calibri" w:hAnsi="Calibri"/>
                <w:color w:val="000000"/>
                <w:sz w:val="22"/>
                <w:szCs w:val="22"/>
              </w:rPr>
              <w:t>300,000</w:t>
            </w:r>
          </w:p>
        </w:tc>
        <w:tc>
          <w:tcPr>
            <w:tcW w:w="1260" w:type="dxa"/>
            <w:tcBorders>
              <w:top w:val="single" w:sz="4" w:space="0" w:color="auto"/>
              <w:left w:val="single" w:sz="4" w:space="0" w:color="auto"/>
              <w:bottom w:val="single" w:sz="4" w:space="0" w:color="auto"/>
              <w:right w:val="single" w:sz="4" w:space="0" w:color="auto"/>
            </w:tcBorders>
          </w:tcPr>
          <w:p w14:paraId="2878E7F3"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7F4"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7F5"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7F6" w14:textId="77777777" w:rsidR="00126EAC" w:rsidRPr="001B658F" w:rsidRDefault="009F392E" w:rsidP="001B658F">
            <w:pPr>
              <w:jc w:val="center"/>
              <w:rPr>
                <w:rFonts w:ascii="Calibri" w:hAnsi="Calibri"/>
                <w:color w:val="000000"/>
                <w:sz w:val="22"/>
                <w:szCs w:val="22"/>
              </w:rPr>
            </w:pPr>
            <w:r>
              <w:rPr>
                <w:rFonts w:ascii="Calibri" w:hAnsi="Calibri"/>
                <w:color w:val="000000"/>
                <w:sz w:val="22"/>
                <w:szCs w:val="22"/>
              </w:rPr>
              <w:t>2,500,000 shares</w:t>
            </w:r>
          </w:p>
        </w:tc>
        <w:tc>
          <w:tcPr>
            <w:tcW w:w="1620" w:type="dxa"/>
            <w:tcBorders>
              <w:top w:val="single" w:sz="4" w:space="0" w:color="auto"/>
              <w:left w:val="single" w:sz="4" w:space="0" w:color="auto"/>
              <w:bottom w:val="single" w:sz="4" w:space="0" w:color="auto"/>
              <w:right w:val="single" w:sz="4" w:space="0" w:color="auto"/>
            </w:tcBorders>
          </w:tcPr>
          <w:p w14:paraId="2878E7F7"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7F8" w14:textId="77777777" w:rsidR="00126EAC"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03"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7FA" w14:textId="77777777" w:rsidR="00CF108A" w:rsidRDefault="009F392E" w:rsidP="001B658F">
            <w:pPr>
              <w:pStyle w:val="BodyText"/>
              <w:spacing w:before="0" w:line="280" w:lineRule="exact"/>
              <w:rPr>
                <w:rFonts w:ascii="Arial" w:hAnsi="Arial"/>
                <w:sz w:val="20"/>
                <w:lang w:val="en-CA"/>
              </w:rPr>
            </w:pPr>
            <w:r>
              <w:rPr>
                <w:rFonts w:ascii="Arial" w:hAnsi="Arial"/>
                <w:sz w:val="20"/>
                <w:lang w:val="en-CA"/>
              </w:rPr>
              <w:t xml:space="preserve">Brian J. Carpenter Holdco Ltd. </w:t>
            </w:r>
          </w:p>
          <w:p w14:paraId="2878E7FB" w14:textId="77777777" w:rsidR="00CF108A" w:rsidRPr="00126EAC" w:rsidRDefault="009F392E" w:rsidP="001B658F">
            <w:pPr>
              <w:pStyle w:val="BodyText"/>
              <w:spacing w:before="0" w:line="280" w:lineRule="exact"/>
              <w:rPr>
                <w:rFonts w:ascii="Arial" w:hAnsi="Arial"/>
                <w:sz w:val="20"/>
                <w:lang w:val="en-CA"/>
              </w:rPr>
            </w:pPr>
            <w:r>
              <w:rPr>
                <w:rFonts w:ascii="Arial" w:hAnsi="Arial"/>
                <w:sz w:val="20"/>
                <w:lang w:val="en-CA"/>
              </w:rPr>
              <w:t>Edmonton, AB</w:t>
            </w:r>
          </w:p>
        </w:tc>
        <w:tc>
          <w:tcPr>
            <w:tcW w:w="1710" w:type="dxa"/>
            <w:tcBorders>
              <w:top w:val="single" w:sz="4" w:space="0" w:color="auto"/>
              <w:left w:val="single" w:sz="4" w:space="0" w:color="auto"/>
              <w:bottom w:val="single" w:sz="4" w:space="0" w:color="auto"/>
              <w:right w:val="single" w:sz="4" w:space="0" w:color="auto"/>
            </w:tcBorders>
          </w:tcPr>
          <w:p w14:paraId="2878E7FC"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180,000</w:t>
            </w:r>
          </w:p>
        </w:tc>
        <w:tc>
          <w:tcPr>
            <w:tcW w:w="1260" w:type="dxa"/>
            <w:tcBorders>
              <w:top w:val="single" w:sz="4" w:space="0" w:color="auto"/>
              <w:left w:val="single" w:sz="4" w:space="0" w:color="auto"/>
              <w:bottom w:val="single" w:sz="4" w:space="0" w:color="auto"/>
              <w:right w:val="single" w:sz="4" w:space="0" w:color="auto"/>
            </w:tcBorders>
          </w:tcPr>
          <w:p w14:paraId="2878E7FD"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7FE"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7FF" w14:textId="77777777" w:rsidR="00CF108A" w:rsidRPr="001B658F" w:rsidRDefault="009F392E" w:rsidP="00F16009">
            <w:pPr>
              <w:pStyle w:val="BodyText"/>
              <w:spacing w:before="0" w:line="280" w:lineRule="exact"/>
              <w:jc w:val="center"/>
              <w:rPr>
                <w:rFonts w:ascii="Arial" w:hAnsi="Arial"/>
                <w:sz w:val="20"/>
                <w:lang w:val="en-CA"/>
              </w:rPr>
            </w:pPr>
            <w:r w:rsidRPr="001B658F">
              <w:rPr>
                <w:rFonts w:ascii="Arial" w:hAnsi="Arial"/>
                <w:sz w:val="20"/>
                <w:lang w:val="en-CA"/>
              </w:rPr>
              <w:t>Section 2.10 of NI 45-106</w:t>
            </w:r>
          </w:p>
        </w:tc>
        <w:tc>
          <w:tcPr>
            <w:tcW w:w="1890" w:type="dxa"/>
            <w:tcBorders>
              <w:top w:val="single" w:sz="4" w:space="0" w:color="auto"/>
              <w:left w:val="single" w:sz="4" w:space="0" w:color="auto"/>
              <w:bottom w:val="single" w:sz="4" w:space="0" w:color="auto"/>
              <w:right w:val="single" w:sz="4" w:space="0" w:color="auto"/>
            </w:tcBorders>
          </w:tcPr>
          <w:p w14:paraId="2878E800"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800,000 shares</w:t>
            </w:r>
          </w:p>
        </w:tc>
        <w:tc>
          <w:tcPr>
            <w:tcW w:w="1620" w:type="dxa"/>
            <w:tcBorders>
              <w:top w:val="single" w:sz="4" w:space="0" w:color="auto"/>
              <w:left w:val="single" w:sz="4" w:space="0" w:color="auto"/>
              <w:bottom w:val="single" w:sz="4" w:space="0" w:color="auto"/>
              <w:right w:val="single" w:sz="4" w:space="0" w:color="auto"/>
            </w:tcBorders>
          </w:tcPr>
          <w:p w14:paraId="2878E801"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w:t>
            </w:r>
            <w:r w:rsidRPr="001B658F">
              <w:rPr>
                <w:rFonts w:ascii="Arial" w:hAnsi="Arial"/>
                <w:sz w:val="20"/>
                <w:lang w:val="en-CA"/>
              </w:rPr>
              <w:t xml:space="preserve"> 1, 2018</w:t>
            </w:r>
          </w:p>
        </w:tc>
        <w:tc>
          <w:tcPr>
            <w:tcW w:w="2070" w:type="dxa"/>
            <w:tcBorders>
              <w:top w:val="single" w:sz="4" w:space="0" w:color="auto"/>
              <w:left w:val="single" w:sz="4" w:space="0" w:color="auto"/>
              <w:bottom w:val="single" w:sz="4" w:space="0" w:color="auto"/>
              <w:right w:val="double" w:sz="4" w:space="0" w:color="auto"/>
            </w:tcBorders>
          </w:tcPr>
          <w:p w14:paraId="2878E802"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0D"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04" w14:textId="77777777" w:rsidR="00126EAC" w:rsidRDefault="009F392E" w:rsidP="001B658F">
            <w:pPr>
              <w:pStyle w:val="BodyText"/>
              <w:spacing w:before="0" w:line="280" w:lineRule="exact"/>
              <w:rPr>
                <w:rFonts w:ascii="Arial" w:hAnsi="Arial"/>
                <w:sz w:val="20"/>
                <w:lang w:val="en-CA"/>
              </w:rPr>
            </w:pPr>
            <w:r>
              <w:rPr>
                <w:rFonts w:ascii="Arial" w:hAnsi="Arial"/>
                <w:sz w:val="20"/>
                <w:lang w:val="en-CA"/>
              </w:rPr>
              <w:t>Regent Holdings Ltd.</w:t>
            </w:r>
          </w:p>
          <w:p w14:paraId="2878E805" w14:textId="77777777" w:rsidR="00126EAC" w:rsidRPr="00126EAC" w:rsidRDefault="009F392E" w:rsidP="001B658F">
            <w:pPr>
              <w:pStyle w:val="BodyText"/>
              <w:spacing w:before="0" w:line="280" w:lineRule="exact"/>
              <w:rPr>
                <w:rFonts w:ascii="Arial" w:hAnsi="Arial"/>
                <w:sz w:val="20"/>
                <w:lang w:val="en-CA"/>
              </w:rPr>
            </w:pPr>
            <w:r>
              <w:rPr>
                <w:rFonts w:ascii="Arial" w:hAnsi="Arial"/>
                <w:sz w:val="20"/>
                <w:lang w:val="en-CA"/>
              </w:rPr>
              <w:t>Vancouver, BC</w:t>
            </w:r>
          </w:p>
        </w:tc>
        <w:tc>
          <w:tcPr>
            <w:tcW w:w="1710" w:type="dxa"/>
            <w:tcBorders>
              <w:top w:val="single" w:sz="4" w:space="0" w:color="auto"/>
              <w:left w:val="single" w:sz="4" w:space="0" w:color="auto"/>
              <w:bottom w:val="single" w:sz="4" w:space="0" w:color="auto"/>
              <w:right w:val="single" w:sz="4" w:space="0" w:color="auto"/>
            </w:tcBorders>
          </w:tcPr>
          <w:p w14:paraId="2878E806" w14:textId="77777777" w:rsidR="00126EAC" w:rsidRPr="001B658F" w:rsidRDefault="009F392E" w:rsidP="001B658F">
            <w:pPr>
              <w:jc w:val="center"/>
              <w:rPr>
                <w:rFonts w:ascii="Calibri" w:hAnsi="Calibri"/>
                <w:color w:val="000000"/>
                <w:sz w:val="22"/>
                <w:szCs w:val="22"/>
              </w:rPr>
            </w:pPr>
            <w:r w:rsidRPr="001B658F">
              <w:rPr>
                <w:rFonts w:ascii="Calibri" w:hAnsi="Calibri"/>
                <w:color w:val="000000"/>
                <w:sz w:val="22"/>
                <w:szCs w:val="22"/>
              </w:rPr>
              <w:t>60,000</w:t>
            </w:r>
          </w:p>
        </w:tc>
        <w:tc>
          <w:tcPr>
            <w:tcW w:w="1260" w:type="dxa"/>
            <w:tcBorders>
              <w:top w:val="single" w:sz="4" w:space="0" w:color="auto"/>
              <w:left w:val="single" w:sz="4" w:space="0" w:color="auto"/>
              <w:bottom w:val="single" w:sz="4" w:space="0" w:color="auto"/>
              <w:right w:val="single" w:sz="4" w:space="0" w:color="auto"/>
            </w:tcBorders>
          </w:tcPr>
          <w:p w14:paraId="2878E807"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08"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09"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80A" w14:textId="77777777" w:rsidR="00126EAC" w:rsidRPr="001B658F" w:rsidRDefault="009F392E" w:rsidP="001B658F">
            <w:pPr>
              <w:jc w:val="center"/>
              <w:rPr>
                <w:rFonts w:ascii="Calibri" w:hAnsi="Calibri"/>
                <w:color w:val="000000"/>
                <w:sz w:val="22"/>
                <w:szCs w:val="22"/>
              </w:rPr>
            </w:pPr>
            <w:r w:rsidRPr="001B658F">
              <w:rPr>
                <w:rFonts w:ascii="Calibri" w:hAnsi="Calibri"/>
                <w:color w:val="000000"/>
                <w:sz w:val="22"/>
                <w:szCs w:val="22"/>
              </w:rPr>
              <w:t>800,000 shares</w:t>
            </w:r>
          </w:p>
        </w:tc>
        <w:tc>
          <w:tcPr>
            <w:tcW w:w="1620" w:type="dxa"/>
            <w:tcBorders>
              <w:top w:val="single" w:sz="4" w:space="0" w:color="auto"/>
              <w:left w:val="single" w:sz="4" w:space="0" w:color="auto"/>
              <w:bottom w:val="single" w:sz="4" w:space="0" w:color="auto"/>
              <w:right w:val="single" w:sz="4" w:space="0" w:color="auto"/>
            </w:tcBorders>
          </w:tcPr>
          <w:p w14:paraId="2878E80B"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0C" w14:textId="77777777" w:rsidR="00126EAC"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16"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0E" w14:textId="77777777" w:rsidR="00126EAC" w:rsidRPr="00126EAC" w:rsidRDefault="009F392E" w:rsidP="001B658F">
            <w:pPr>
              <w:rPr>
                <w:rFonts w:ascii="Calibri" w:hAnsi="Calibri"/>
                <w:color w:val="000000"/>
                <w:sz w:val="22"/>
                <w:szCs w:val="22"/>
                <w:lang w:val="fr-FR"/>
              </w:rPr>
            </w:pPr>
            <w:r w:rsidRPr="00126EAC">
              <w:rPr>
                <w:rFonts w:ascii="Calibri" w:hAnsi="Calibri"/>
                <w:color w:val="000000"/>
                <w:sz w:val="22"/>
                <w:szCs w:val="22"/>
                <w:lang w:val="fr-FR"/>
              </w:rPr>
              <w:t xml:space="preserve">Alice Pendura, Edmonton, AB </w:t>
            </w:r>
          </w:p>
        </w:tc>
        <w:tc>
          <w:tcPr>
            <w:tcW w:w="1710" w:type="dxa"/>
            <w:tcBorders>
              <w:top w:val="single" w:sz="4" w:space="0" w:color="auto"/>
              <w:left w:val="single" w:sz="4" w:space="0" w:color="auto"/>
              <w:bottom w:val="single" w:sz="4" w:space="0" w:color="auto"/>
              <w:right w:val="single" w:sz="4" w:space="0" w:color="auto"/>
            </w:tcBorders>
          </w:tcPr>
          <w:p w14:paraId="2878E80F" w14:textId="77777777" w:rsidR="00126EAC" w:rsidRPr="001B658F" w:rsidRDefault="009F392E" w:rsidP="001B658F">
            <w:pPr>
              <w:jc w:val="center"/>
              <w:rPr>
                <w:rFonts w:ascii="Calibri" w:hAnsi="Calibri"/>
                <w:color w:val="000000"/>
                <w:sz w:val="22"/>
                <w:szCs w:val="22"/>
              </w:rPr>
            </w:pPr>
            <w:r w:rsidRPr="001B658F">
              <w:rPr>
                <w:rFonts w:ascii="Calibri" w:hAnsi="Calibri"/>
                <w:color w:val="000000"/>
                <w:sz w:val="22"/>
                <w:szCs w:val="22"/>
              </w:rPr>
              <w:t>50,000</w:t>
            </w:r>
          </w:p>
        </w:tc>
        <w:tc>
          <w:tcPr>
            <w:tcW w:w="1260" w:type="dxa"/>
            <w:tcBorders>
              <w:top w:val="single" w:sz="4" w:space="0" w:color="auto"/>
              <w:left w:val="single" w:sz="4" w:space="0" w:color="auto"/>
              <w:bottom w:val="single" w:sz="4" w:space="0" w:color="auto"/>
              <w:right w:val="single" w:sz="4" w:space="0" w:color="auto"/>
            </w:tcBorders>
          </w:tcPr>
          <w:p w14:paraId="2878E810"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11"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12"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813" w14:textId="77777777" w:rsidR="00126EAC" w:rsidRPr="001B658F" w:rsidRDefault="009F392E" w:rsidP="001B658F">
            <w:pPr>
              <w:jc w:val="center"/>
              <w:rPr>
                <w:rFonts w:ascii="Calibri" w:hAnsi="Calibri"/>
                <w:color w:val="000000"/>
                <w:sz w:val="22"/>
                <w:szCs w:val="22"/>
              </w:rPr>
            </w:pPr>
            <w:r>
              <w:rPr>
                <w:rFonts w:ascii="Calibri" w:hAnsi="Calibri"/>
                <w:color w:val="000000"/>
                <w:sz w:val="22"/>
                <w:szCs w:val="22"/>
              </w:rPr>
              <w:t>550,000 shares</w:t>
            </w:r>
          </w:p>
        </w:tc>
        <w:tc>
          <w:tcPr>
            <w:tcW w:w="1620" w:type="dxa"/>
            <w:tcBorders>
              <w:top w:val="single" w:sz="4" w:space="0" w:color="auto"/>
              <w:left w:val="single" w:sz="4" w:space="0" w:color="auto"/>
              <w:bottom w:val="single" w:sz="4" w:space="0" w:color="auto"/>
              <w:right w:val="single" w:sz="4" w:space="0" w:color="auto"/>
            </w:tcBorders>
          </w:tcPr>
          <w:p w14:paraId="2878E814" w14:textId="77777777" w:rsidR="00126EAC"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15" w14:textId="77777777" w:rsidR="00126EAC"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20"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17" w14:textId="77777777" w:rsidR="001B658F" w:rsidRDefault="009F392E" w:rsidP="001B658F">
            <w:pPr>
              <w:rPr>
                <w:rFonts w:ascii="Calibri" w:hAnsi="Calibri"/>
                <w:color w:val="000000"/>
                <w:sz w:val="22"/>
                <w:szCs w:val="22"/>
              </w:rPr>
            </w:pPr>
            <w:r>
              <w:rPr>
                <w:rFonts w:ascii="Calibri" w:hAnsi="Calibri"/>
                <w:color w:val="000000"/>
                <w:sz w:val="22"/>
                <w:szCs w:val="22"/>
              </w:rPr>
              <w:t>Herc Holdings Inc.</w:t>
            </w:r>
          </w:p>
          <w:p w14:paraId="2878E818" w14:textId="77777777" w:rsidR="001B658F" w:rsidRDefault="009F392E" w:rsidP="001B658F">
            <w:pPr>
              <w:rPr>
                <w:rFonts w:ascii="Calibri" w:hAnsi="Calibri"/>
                <w:color w:val="000000"/>
                <w:sz w:val="22"/>
                <w:szCs w:val="22"/>
              </w:rPr>
            </w:pPr>
            <w:r>
              <w:rPr>
                <w:rFonts w:ascii="Calibri" w:hAnsi="Calibri"/>
                <w:color w:val="000000"/>
                <w:sz w:val="22"/>
                <w:szCs w:val="22"/>
              </w:rPr>
              <w:t xml:space="preserve">St. Albert, AB </w:t>
            </w:r>
          </w:p>
        </w:tc>
        <w:tc>
          <w:tcPr>
            <w:tcW w:w="1710" w:type="dxa"/>
            <w:tcBorders>
              <w:top w:val="single" w:sz="4" w:space="0" w:color="auto"/>
              <w:left w:val="single" w:sz="4" w:space="0" w:color="auto"/>
              <w:bottom w:val="single" w:sz="4" w:space="0" w:color="auto"/>
              <w:right w:val="single" w:sz="4" w:space="0" w:color="auto"/>
            </w:tcBorders>
          </w:tcPr>
          <w:p w14:paraId="2878E819"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155,666</w:t>
            </w:r>
          </w:p>
        </w:tc>
        <w:tc>
          <w:tcPr>
            <w:tcW w:w="1260" w:type="dxa"/>
            <w:tcBorders>
              <w:top w:val="single" w:sz="4" w:space="0" w:color="auto"/>
              <w:left w:val="single" w:sz="4" w:space="0" w:color="auto"/>
              <w:bottom w:val="single" w:sz="4" w:space="0" w:color="auto"/>
              <w:right w:val="single" w:sz="4" w:space="0" w:color="auto"/>
            </w:tcBorders>
          </w:tcPr>
          <w:p w14:paraId="2878E81A"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1B"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1C"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81D" w14:textId="77777777" w:rsidR="001B658F" w:rsidRPr="001B658F" w:rsidRDefault="009F392E" w:rsidP="001B658F">
            <w:pPr>
              <w:jc w:val="center"/>
              <w:rPr>
                <w:rFonts w:ascii="Calibri" w:hAnsi="Calibri"/>
                <w:color w:val="000000"/>
                <w:sz w:val="22"/>
                <w:szCs w:val="22"/>
              </w:rPr>
            </w:pPr>
            <w:r>
              <w:rPr>
                <w:rFonts w:ascii="Calibri" w:hAnsi="Calibri"/>
                <w:color w:val="000000"/>
                <w:sz w:val="22"/>
                <w:szCs w:val="22"/>
              </w:rPr>
              <w:t>200,000 shares</w:t>
            </w:r>
          </w:p>
        </w:tc>
        <w:tc>
          <w:tcPr>
            <w:tcW w:w="1620" w:type="dxa"/>
            <w:tcBorders>
              <w:top w:val="single" w:sz="4" w:space="0" w:color="auto"/>
              <w:left w:val="single" w:sz="4" w:space="0" w:color="auto"/>
              <w:bottom w:val="single" w:sz="4" w:space="0" w:color="auto"/>
              <w:right w:val="single" w:sz="4" w:space="0" w:color="auto"/>
            </w:tcBorders>
          </w:tcPr>
          <w:p w14:paraId="2878E81E"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1F" w14:textId="77777777" w:rsidR="001B658F"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2A"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21" w14:textId="77777777" w:rsidR="001B658F" w:rsidRDefault="009F392E" w:rsidP="001B658F">
            <w:pPr>
              <w:rPr>
                <w:rFonts w:ascii="Calibri" w:hAnsi="Calibri"/>
                <w:color w:val="000000"/>
                <w:sz w:val="22"/>
                <w:szCs w:val="22"/>
              </w:rPr>
            </w:pPr>
            <w:r>
              <w:rPr>
                <w:rFonts w:ascii="Calibri" w:hAnsi="Calibri"/>
                <w:color w:val="000000"/>
                <w:sz w:val="22"/>
                <w:szCs w:val="22"/>
              </w:rPr>
              <w:t>Rene Wong, St. Albert, AB</w:t>
            </w:r>
          </w:p>
        </w:tc>
        <w:tc>
          <w:tcPr>
            <w:tcW w:w="1710" w:type="dxa"/>
            <w:tcBorders>
              <w:top w:val="single" w:sz="4" w:space="0" w:color="auto"/>
              <w:left w:val="single" w:sz="4" w:space="0" w:color="auto"/>
              <w:bottom w:val="single" w:sz="4" w:space="0" w:color="auto"/>
              <w:right w:val="single" w:sz="4" w:space="0" w:color="auto"/>
            </w:tcBorders>
          </w:tcPr>
          <w:p w14:paraId="2878E822"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60,000</w:t>
            </w:r>
          </w:p>
        </w:tc>
        <w:tc>
          <w:tcPr>
            <w:tcW w:w="1260" w:type="dxa"/>
            <w:tcBorders>
              <w:top w:val="single" w:sz="4" w:space="0" w:color="auto"/>
              <w:left w:val="single" w:sz="4" w:space="0" w:color="auto"/>
              <w:bottom w:val="single" w:sz="4" w:space="0" w:color="auto"/>
              <w:right w:val="single" w:sz="4" w:space="0" w:color="auto"/>
            </w:tcBorders>
          </w:tcPr>
          <w:p w14:paraId="2878E823"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24"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25"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826"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2,000,000 shares, 600,000 warrants</w:t>
            </w:r>
          </w:p>
        </w:tc>
        <w:tc>
          <w:tcPr>
            <w:tcW w:w="1620" w:type="dxa"/>
            <w:tcBorders>
              <w:top w:val="single" w:sz="4" w:space="0" w:color="auto"/>
              <w:left w:val="single" w:sz="4" w:space="0" w:color="auto"/>
              <w:bottom w:val="single" w:sz="4" w:space="0" w:color="auto"/>
              <w:right w:val="single" w:sz="4" w:space="0" w:color="auto"/>
            </w:tcBorders>
          </w:tcPr>
          <w:p w14:paraId="2878E827"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28" w14:textId="77777777" w:rsid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p w14:paraId="2878E829" w14:textId="77777777" w:rsidR="001B658F" w:rsidRPr="001B658F" w:rsidRDefault="009F392E" w:rsidP="008F484F">
            <w:pPr>
              <w:pStyle w:val="BodyText"/>
              <w:spacing w:before="0" w:line="280" w:lineRule="exact"/>
              <w:rPr>
                <w:rFonts w:ascii="Arial" w:hAnsi="Arial"/>
                <w:color w:val="000000"/>
                <w:sz w:val="20"/>
                <w:lang w:val="en-CA"/>
              </w:rPr>
            </w:pPr>
          </w:p>
        </w:tc>
      </w:tr>
      <w:tr w:rsidR="00357EAF" w14:paraId="2878E834"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2B" w14:textId="77777777" w:rsidR="001B658F" w:rsidRDefault="009F392E" w:rsidP="001B658F">
            <w:pPr>
              <w:rPr>
                <w:rFonts w:ascii="Calibri" w:hAnsi="Calibri"/>
                <w:color w:val="000000"/>
                <w:sz w:val="22"/>
                <w:szCs w:val="22"/>
                <w:lang w:val="fr-FR"/>
              </w:rPr>
            </w:pPr>
            <w:r w:rsidRPr="00126EAC">
              <w:rPr>
                <w:rFonts w:ascii="Calibri" w:hAnsi="Calibri"/>
                <w:color w:val="000000"/>
                <w:sz w:val="22"/>
                <w:szCs w:val="22"/>
                <w:lang w:val="fr-FR"/>
              </w:rPr>
              <w:lastRenderedPageBreak/>
              <w:t>Kevin O'Neill</w:t>
            </w:r>
          </w:p>
          <w:p w14:paraId="2878E82C" w14:textId="77777777" w:rsidR="001B658F" w:rsidRPr="00126EAC" w:rsidRDefault="009F392E" w:rsidP="001B658F">
            <w:pPr>
              <w:rPr>
                <w:rFonts w:ascii="Calibri" w:hAnsi="Calibri"/>
                <w:color w:val="000000"/>
                <w:sz w:val="22"/>
                <w:szCs w:val="22"/>
                <w:lang w:val="fr-FR"/>
              </w:rPr>
            </w:pPr>
            <w:r>
              <w:rPr>
                <w:rFonts w:ascii="Calibri" w:hAnsi="Calibri"/>
                <w:color w:val="000000"/>
                <w:sz w:val="22"/>
                <w:szCs w:val="22"/>
                <w:lang w:val="fr-FR"/>
              </w:rPr>
              <w:t>Edmonton, AB</w:t>
            </w:r>
          </w:p>
        </w:tc>
        <w:tc>
          <w:tcPr>
            <w:tcW w:w="1710" w:type="dxa"/>
            <w:tcBorders>
              <w:top w:val="single" w:sz="4" w:space="0" w:color="auto"/>
              <w:left w:val="single" w:sz="4" w:space="0" w:color="auto"/>
              <w:bottom w:val="single" w:sz="4" w:space="0" w:color="auto"/>
              <w:right w:val="single" w:sz="4" w:space="0" w:color="auto"/>
            </w:tcBorders>
          </w:tcPr>
          <w:p w14:paraId="2878E82D"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16,000</w:t>
            </w:r>
          </w:p>
        </w:tc>
        <w:tc>
          <w:tcPr>
            <w:tcW w:w="1260" w:type="dxa"/>
            <w:tcBorders>
              <w:top w:val="single" w:sz="4" w:space="0" w:color="auto"/>
              <w:left w:val="single" w:sz="4" w:space="0" w:color="auto"/>
              <w:bottom w:val="single" w:sz="4" w:space="0" w:color="auto"/>
              <w:right w:val="single" w:sz="4" w:space="0" w:color="auto"/>
            </w:tcBorders>
          </w:tcPr>
          <w:p w14:paraId="2878E82E"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2F"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30"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831" w14:textId="77777777" w:rsidR="001B658F" w:rsidRPr="001B658F" w:rsidRDefault="009F392E" w:rsidP="001B658F">
            <w:pPr>
              <w:jc w:val="center"/>
              <w:rPr>
                <w:rFonts w:ascii="Calibri" w:hAnsi="Calibri"/>
                <w:color w:val="000000"/>
                <w:sz w:val="22"/>
                <w:szCs w:val="22"/>
              </w:rPr>
            </w:pPr>
            <w:r>
              <w:rPr>
                <w:rFonts w:ascii="Calibri" w:hAnsi="Calibri"/>
                <w:color w:val="000000"/>
                <w:sz w:val="22"/>
                <w:szCs w:val="22"/>
              </w:rPr>
              <w:t>449,000 shares</w:t>
            </w:r>
          </w:p>
        </w:tc>
        <w:tc>
          <w:tcPr>
            <w:tcW w:w="1620" w:type="dxa"/>
            <w:tcBorders>
              <w:top w:val="single" w:sz="4" w:space="0" w:color="auto"/>
              <w:left w:val="single" w:sz="4" w:space="0" w:color="auto"/>
              <w:bottom w:val="single" w:sz="4" w:space="0" w:color="auto"/>
              <w:right w:val="single" w:sz="4" w:space="0" w:color="auto"/>
            </w:tcBorders>
          </w:tcPr>
          <w:p w14:paraId="2878E832"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33" w14:textId="77777777" w:rsidR="001B658F"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3E"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35" w14:textId="77777777" w:rsidR="001B658F" w:rsidRDefault="009F392E" w:rsidP="001B658F">
            <w:pPr>
              <w:rPr>
                <w:rFonts w:ascii="Calibri" w:hAnsi="Calibri"/>
                <w:color w:val="000000"/>
                <w:sz w:val="22"/>
                <w:szCs w:val="22"/>
              </w:rPr>
            </w:pPr>
            <w:r>
              <w:rPr>
                <w:rFonts w:ascii="Calibri" w:hAnsi="Calibri"/>
                <w:color w:val="000000"/>
                <w:sz w:val="22"/>
                <w:szCs w:val="22"/>
              </w:rPr>
              <w:t xml:space="preserve">Barry Sookarookoff, </w:t>
            </w:r>
          </w:p>
          <w:p w14:paraId="2878E836" w14:textId="77777777" w:rsidR="001B658F" w:rsidRDefault="009F392E" w:rsidP="001B658F">
            <w:pPr>
              <w:rPr>
                <w:rFonts w:ascii="Calibri" w:hAnsi="Calibri"/>
                <w:color w:val="000000"/>
                <w:sz w:val="22"/>
                <w:szCs w:val="22"/>
              </w:rPr>
            </w:pPr>
            <w:r>
              <w:rPr>
                <w:rFonts w:ascii="Calibri" w:hAnsi="Calibri"/>
                <w:color w:val="000000"/>
                <w:sz w:val="22"/>
                <w:szCs w:val="22"/>
              </w:rPr>
              <w:t xml:space="preserve">Beaumont, AB </w:t>
            </w:r>
          </w:p>
        </w:tc>
        <w:tc>
          <w:tcPr>
            <w:tcW w:w="1710" w:type="dxa"/>
            <w:tcBorders>
              <w:top w:val="single" w:sz="4" w:space="0" w:color="auto"/>
              <w:left w:val="single" w:sz="4" w:space="0" w:color="auto"/>
              <w:bottom w:val="single" w:sz="4" w:space="0" w:color="auto"/>
              <w:right w:val="single" w:sz="4" w:space="0" w:color="auto"/>
            </w:tcBorders>
          </w:tcPr>
          <w:p w14:paraId="2878E837"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6,000</w:t>
            </w:r>
          </w:p>
        </w:tc>
        <w:tc>
          <w:tcPr>
            <w:tcW w:w="1260" w:type="dxa"/>
            <w:tcBorders>
              <w:top w:val="single" w:sz="4" w:space="0" w:color="auto"/>
              <w:left w:val="single" w:sz="4" w:space="0" w:color="auto"/>
              <w:bottom w:val="single" w:sz="4" w:space="0" w:color="auto"/>
              <w:right w:val="single" w:sz="4" w:space="0" w:color="auto"/>
            </w:tcBorders>
          </w:tcPr>
          <w:p w14:paraId="2878E838"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39"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3A"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83B"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228,004 shares, 120,000 warrants</w:t>
            </w:r>
          </w:p>
        </w:tc>
        <w:tc>
          <w:tcPr>
            <w:tcW w:w="1620" w:type="dxa"/>
            <w:tcBorders>
              <w:top w:val="single" w:sz="4" w:space="0" w:color="auto"/>
              <w:left w:val="single" w:sz="4" w:space="0" w:color="auto"/>
              <w:bottom w:val="single" w:sz="4" w:space="0" w:color="auto"/>
              <w:right w:val="single" w:sz="4" w:space="0" w:color="auto"/>
            </w:tcBorders>
          </w:tcPr>
          <w:p w14:paraId="2878E83C"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3D" w14:textId="77777777" w:rsidR="001B658F"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47"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3F" w14:textId="77777777" w:rsidR="001B658F" w:rsidRDefault="009F392E" w:rsidP="001B658F">
            <w:pPr>
              <w:rPr>
                <w:rFonts w:ascii="Calibri" w:hAnsi="Calibri"/>
                <w:color w:val="000000"/>
                <w:sz w:val="22"/>
                <w:szCs w:val="22"/>
              </w:rPr>
            </w:pPr>
            <w:r>
              <w:rPr>
                <w:rFonts w:ascii="Calibri" w:hAnsi="Calibri"/>
                <w:color w:val="000000"/>
                <w:sz w:val="22"/>
                <w:szCs w:val="22"/>
              </w:rPr>
              <w:t xml:space="preserve">George C. Shen Professional Corporation, Edmonton, AB </w:t>
            </w:r>
          </w:p>
        </w:tc>
        <w:tc>
          <w:tcPr>
            <w:tcW w:w="1710" w:type="dxa"/>
            <w:tcBorders>
              <w:top w:val="single" w:sz="4" w:space="0" w:color="auto"/>
              <w:left w:val="single" w:sz="4" w:space="0" w:color="auto"/>
              <w:bottom w:val="single" w:sz="4" w:space="0" w:color="auto"/>
              <w:right w:val="single" w:sz="4" w:space="0" w:color="auto"/>
            </w:tcBorders>
          </w:tcPr>
          <w:p w14:paraId="2878E840"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60,000</w:t>
            </w:r>
          </w:p>
        </w:tc>
        <w:tc>
          <w:tcPr>
            <w:tcW w:w="1260" w:type="dxa"/>
            <w:tcBorders>
              <w:top w:val="single" w:sz="4" w:space="0" w:color="auto"/>
              <w:left w:val="single" w:sz="4" w:space="0" w:color="auto"/>
              <w:bottom w:val="single" w:sz="4" w:space="0" w:color="auto"/>
              <w:right w:val="single" w:sz="4" w:space="0" w:color="auto"/>
            </w:tcBorders>
          </w:tcPr>
          <w:p w14:paraId="2878E841"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42"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43"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844"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0</w:t>
            </w:r>
          </w:p>
        </w:tc>
        <w:tc>
          <w:tcPr>
            <w:tcW w:w="1620" w:type="dxa"/>
            <w:tcBorders>
              <w:top w:val="single" w:sz="4" w:space="0" w:color="auto"/>
              <w:left w:val="single" w:sz="4" w:space="0" w:color="auto"/>
              <w:bottom w:val="single" w:sz="4" w:space="0" w:color="auto"/>
              <w:right w:val="single" w:sz="4" w:space="0" w:color="auto"/>
            </w:tcBorders>
          </w:tcPr>
          <w:p w14:paraId="2878E845"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46" w14:textId="77777777" w:rsidR="001B658F"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51"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48" w14:textId="77777777" w:rsidR="001B658F" w:rsidRDefault="009F392E" w:rsidP="001B658F">
            <w:pPr>
              <w:rPr>
                <w:rFonts w:ascii="Calibri" w:hAnsi="Calibri"/>
                <w:color w:val="000000"/>
                <w:sz w:val="22"/>
                <w:szCs w:val="22"/>
              </w:rPr>
            </w:pPr>
            <w:r>
              <w:rPr>
                <w:rFonts w:ascii="Calibri" w:hAnsi="Calibri"/>
                <w:color w:val="000000"/>
                <w:sz w:val="22"/>
                <w:szCs w:val="22"/>
              </w:rPr>
              <w:t>Celestine Montgomery</w:t>
            </w:r>
          </w:p>
          <w:p w14:paraId="2878E849" w14:textId="77777777" w:rsidR="001B658F" w:rsidRDefault="009F392E" w:rsidP="001B658F">
            <w:pPr>
              <w:rPr>
                <w:rFonts w:ascii="Calibri" w:hAnsi="Calibri"/>
                <w:color w:val="000000"/>
                <w:sz w:val="22"/>
                <w:szCs w:val="22"/>
              </w:rPr>
            </w:pPr>
            <w:r>
              <w:rPr>
                <w:rFonts w:ascii="Calibri" w:hAnsi="Calibri"/>
                <w:color w:val="000000"/>
                <w:sz w:val="22"/>
                <w:szCs w:val="22"/>
              </w:rPr>
              <w:t xml:space="preserve">Edmonton, AB </w:t>
            </w:r>
          </w:p>
        </w:tc>
        <w:tc>
          <w:tcPr>
            <w:tcW w:w="1710" w:type="dxa"/>
            <w:tcBorders>
              <w:top w:val="single" w:sz="4" w:space="0" w:color="auto"/>
              <w:left w:val="single" w:sz="4" w:space="0" w:color="auto"/>
              <w:bottom w:val="single" w:sz="4" w:space="0" w:color="auto"/>
              <w:right w:val="single" w:sz="4" w:space="0" w:color="auto"/>
            </w:tcBorders>
          </w:tcPr>
          <w:p w14:paraId="2878E84A"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30,000</w:t>
            </w:r>
          </w:p>
        </w:tc>
        <w:tc>
          <w:tcPr>
            <w:tcW w:w="1260" w:type="dxa"/>
            <w:tcBorders>
              <w:top w:val="single" w:sz="4" w:space="0" w:color="auto"/>
              <w:left w:val="single" w:sz="4" w:space="0" w:color="auto"/>
              <w:bottom w:val="single" w:sz="4" w:space="0" w:color="auto"/>
              <w:right w:val="single" w:sz="4" w:space="0" w:color="auto"/>
            </w:tcBorders>
          </w:tcPr>
          <w:p w14:paraId="2878E84B"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4C"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4D"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84E"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0</w:t>
            </w:r>
          </w:p>
        </w:tc>
        <w:tc>
          <w:tcPr>
            <w:tcW w:w="1620" w:type="dxa"/>
            <w:tcBorders>
              <w:top w:val="single" w:sz="4" w:space="0" w:color="auto"/>
              <w:left w:val="single" w:sz="4" w:space="0" w:color="auto"/>
              <w:bottom w:val="single" w:sz="4" w:space="0" w:color="auto"/>
              <w:right w:val="single" w:sz="4" w:space="0" w:color="auto"/>
            </w:tcBorders>
          </w:tcPr>
          <w:p w14:paraId="2878E84F"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50" w14:textId="77777777" w:rsidR="001B658F"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5B"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52" w14:textId="77777777" w:rsidR="001B658F" w:rsidRDefault="009F392E" w:rsidP="001B658F">
            <w:pPr>
              <w:rPr>
                <w:rFonts w:ascii="Calibri" w:hAnsi="Calibri"/>
                <w:color w:val="000000"/>
                <w:sz w:val="22"/>
                <w:szCs w:val="22"/>
              </w:rPr>
            </w:pPr>
            <w:r>
              <w:rPr>
                <w:rFonts w:ascii="Calibri" w:hAnsi="Calibri"/>
                <w:color w:val="000000"/>
                <w:sz w:val="22"/>
                <w:szCs w:val="22"/>
              </w:rPr>
              <w:t>Chris Marchese</w:t>
            </w:r>
          </w:p>
          <w:p w14:paraId="2878E853" w14:textId="77777777" w:rsidR="001B658F" w:rsidRDefault="009F392E" w:rsidP="001B658F">
            <w:pPr>
              <w:rPr>
                <w:rFonts w:ascii="Calibri" w:hAnsi="Calibri"/>
                <w:color w:val="000000"/>
                <w:sz w:val="22"/>
                <w:szCs w:val="22"/>
              </w:rPr>
            </w:pPr>
            <w:r>
              <w:rPr>
                <w:rFonts w:ascii="Calibri" w:hAnsi="Calibri"/>
                <w:color w:val="000000"/>
                <w:sz w:val="22"/>
                <w:szCs w:val="22"/>
              </w:rPr>
              <w:t xml:space="preserve">CA, USA </w:t>
            </w:r>
          </w:p>
        </w:tc>
        <w:tc>
          <w:tcPr>
            <w:tcW w:w="1710" w:type="dxa"/>
            <w:tcBorders>
              <w:top w:val="single" w:sz="4" w:space="0" w:color="auto"/>
              <w:left w:val="single" w:sz="4" w:space="0" w:color="auto"/>
              <w:bottom w:val="single" w:sz="4" w:space="0" w:color="auto"/>
              <w:right w:val="single" w:sz="4" w:space="0" w:color="auto"/>
            </w:tcBorders>
          </w:tcPr>
          <w:p w14:paraId="2878E854" w14:textId="77777777" w:rsidR="001B658F" w:rsidRPr="001B658F" w:rsidRDefault="009F392E" w:rsidP="001B658F">
            <w:pPr>
              <w:jc w:val="center"/>
              <w:rPr>
                <w:rFonts w:ascii="Calibri" w:hAnsi="Calibri"/>
                <w:color w:val="000000"/>
                <w:sz w:val="22"/>
                <w:szCs w:val="22"/>
              </w:rPr>
            </w:pPr>
            <w:r w:rsidRPr="001B658F">
              <w:rPr>
                <w:rFonts w:ascii="Calibri" w:hAnsi="Calibri"/>
                <w:color w:val="000000"/>
                <w:sz w:val="22"/>
                <w:szCs w:val="22"/>
              </w:rPr>
              <w:t>12,000</w:t>
            </w:r>
          </w:p>
        </w:tc>
        <w:tc>
          <w:tcPr>
            <w:tcW w:w="1260" w:type="dxa"/>
            <w:tcBorders>
              <w:top w:val="single" w:sz="4" w:space="0" w:color="auto"/>
              <w:left w:val="single" w:sz="4" w:space="0" w:color="auto"/>
              <w:bottom w:val="single" w:sz="4" w:space="0" w:color="auto"/>
              <w:right w:val="single" w:sz="4" w:space="0" w:color="auto"/>
            </w:tcBorders>
          </w:tcPr>
          <w:p w14:paraId="2878E855"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56"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57" w14:textId="77777777" w:rsidR="001B658F" w:rsidRPr="001B658F" w:rsidRDefault="009F392E" w:rsidP="00CF108A">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58" w14:textId="77777777" w:rsidR="001B658F" w:rsidRPr="001B658F" w:rsidRDefault="009F392E" w:rsidP="001B658F">
            <w:pPr>
              <w:jc w:val="center"/>
              <w:rPr>
                <w:rFonts w:ascii="Calibri" w:hAnsi="Calibri"/>
                <w:color w:val="000000"/>
                <w:sz w:val="22"/>
                <w:szCs w:val="22"/>
              </w:rPr>
            </w:pPr>
            <w:r>
              <w:rPr>
                <w:rFonts w:ascii="Calibri" w:hAnsi="Calibri"/>
                <w:color w:val="000000"/>
                <w:sz w:val="22"/>
                <w:szCs w:val="22"/>
              </w:rPr>
              <w:t>100,000 shares</w:t>
            </w:r>
          </w:p>
        </w:tc>
        <w:tc>
          <w:tcPr>
            <w:tcW w:w="1620" w:type="dxa"/>
            <w:tcBorders>
              <w:top w:val="single" w:sz="4" w:space="0" w:color="auto"/>
              <w:left w:val="single" w:sz="4" w:space="0" w:color="auto"/>
              <w:bottom w:val="single" w:sz="4" w:space="0" w:color="auto"/>
              <w:right w:val="single" w:sz="4" w:space="0" w:color="auto"/>
            </w:tcBorders>
          </w:tcPr>
          <w:p w14:paraId="2878E859" w14:textId="77777777" w:rsidR="001B658F"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5A" w14:textId="77777777" w:rsidR="001B658F"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65"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5C" w14:textId="77777777" w:rsidR="00CF108A" w:rsidRDefault="009F392E" w:rsidP="001B658F">
            <w:pPr>
              <w:rPr>
                <w:rFonts w:ascii="Calibri" w:hAnsi="Calibri"/>
                <w:color w:val="000000"/>
                <w:sz w:val="22"/>
                <w:szCs w:val="22"/>
              </w:rPr>
            </w:pPr>
            <w:r>
              <w:rPr>
                <w:rFonts w:ascii="Calibri" w:hAnsi="Calibri"/>
                <w:color w:val="000000"/>
                <w:sz w:val="22"/>
                <w:szCs w:val="22"/>
              </w:rPr>
              <w:t>Todd Fite</w:t>
            </w:r>
          </w:p>
          <w:p w14:paraId="2878E85D" w14:textId="77777777" w:rsidR="00CF108A" w:rsidRDefault="009F392E" w:rsidP="001B658F">
            <w:pPr>
              <w:rPr>
                <w:rFonts w:ascii="Calibri" w:hAnsi="Calibri"/>
                <w:color w:val="000000"/>
                <w:sz w:val="22"/>
                <w:szCs w:val="22"/>
              </w:rPr>
            </w:pPr>
            <w:r>
              <w:rPr>
                <w:rFonts w:ascii="Calibri" w:hAnsi="Calibri"/>
                <w:color w:val="000000"/>
                <w:sz w:val="22"/>
                <w:szCs w:val="22"/>
              </w:rPr>
              <w:t>CA, USA</w:t>
            </w:r>
          </w:p>
        </w:tc>
        <w:tc>
          <w:tcPr>
            <w:tcW w:w="1710" w:type="dxa"/>
            <w:tcBorders>
              <w:top w:val="single" w:sz="4" w:space="0" w:color="auto"/>
              <w:left w:val="single" w:sz="4" w:space="0" w:color="auto"/>
              <w:bottom w:val="single" w:sz="4" w:space="0" w:color="auto"/>
              <w:right w:val="single" w:sz="4" w:space="0" w:color="auto"/>
            </w:tcBorders>
          </w:tcPr>
          <w:p w14:paraId="2878E85E"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33,000</w:t>
            </w:r>
          </w:p>
        </w:tc>
        <w:tc>
          <w:tcPr>
            <w:tcW w:w="1260" w:type="dxa"/>
            <w:tcBorders>
              <w:top w:val="single" w:sz="4" w:space="0" w:color="auto"/>
              <w:left w:val="single" w:sz="4" w:space="0" w:color="auto"/>
              <w:bottom w:val="single" w:sz="4" w:space="0" w:color="auto"/>
              <w:right w:val="single" w:sz="4" w:space="0" w:color="auto"/>
            </w:tcBorders>
          </w:tcPr>
          <w:p w14:paraId="2878E85F"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60"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61"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62"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347,046 shares, 60,000 warrants</w:t>
            </w:r>
          </w:p>
        </w:tc>
        <w:tc>
          <w:tcPr>
            <w:tcW w:w="1620" w:type="dxa"/>
            <w:tcBorders>
              <w:top w:val="single" w:sz="4" w:space="0" w:color="auto"/>
              <w:left w:val="single" w:sz="4" w:space="0" w:color="auto"/>
              <w:bottom w:val="single" w:sz="4" w:space="0" w:color="auto"/>
              <w:right w:val="single" w:sz="4" w:space="0" w:color="auto"/>
            </w:tcBorders>
          </w:tcPr>
          <w:p w14:paraId="2878E863"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64"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6F"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66" w14:textId="77777777" w:rsidR="00CF108A" w:rsidRDefault="009F392E" w:rsidP="001B658F">
            <w:pPr>
              <w:rPr>
                <w:rFonts w:ascii="Calibri" w:hAnsi="Calibri"/>
                <w:color w:val="000000"/>
                <w:sz w:val="22"/>
                <w:szCs w:val="22"/>
              </w:rPr>
            </w:pPr>
            <w:r>
              <w:rPr>
                <w:rFonts w:ascii="Calibri" w:hAnsi="Calibri"/>
                <w:color w:val="000000"/>
                <w:sz w:val="22"/>
                <w:szCs w:val="22"/>
              </w:rPr>
              <w:t>Jonathan A. Berkers and Suzanne M. Berkers</w:t>
            </w:r>
          </w:p>
          <w:p w14:paraId="2878E867" w14:textId="77777777" w:rsidR="00CF108A" w:rsidRDefault="009F392E" w:rsidP="001B658F">
            <w:pPr>
              <w:rPr>
                <w:rFonts w:ascii="Calibri" w:hAnsi="Calibri"/>
                <w:color w:val="000000"/>
                <w:sz w:val="22"/>
                <w:szCs w:val="22"/>
              </w:rPr>
            </w:pPr>
            <w:r>
              <w:rPr>
                <w:rFonts w:ascii="Calibri" w:hAnsi="Calibri"/>
                <w:color w:val="000000"/>
                <w:sz w:val="22"/>
                <w:szCs w:val="22"/>
              </w:rPr>
              <w:t>CA, USA</w:t>
            </w:r>
          </w:p>
        </w:tc>
        <w:tc>
          <w:tcPr>
            <w:tcW w:w="1710" w:type="dxa"/>
            <w:tcBorders>
              <w:top w:val="single" w:sz="4" w:space="0" w:color="auto"/>
              <w:left w:val="single" w:sz="4" w:space="0" w:color="auto"/>
              <w:bottom w:val="single" w:sz="4" w:space="0" w:color="auto"/>
              <w:right w:val="single" w:sz="4" w:space="0" w:color="auto"/>
            </w:tcBorders>
          </w:tcPr>
          <w:p w14:paraId="2878E868"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33,000</w:t>
            </w:r>
          </w:p>
        </w:tc>
        <w:tc>
          <w:tcPr>
            <w:tcW w:w="1260" w:type="dxa"/>
            <w:tcBorders>
              <w:top w:val="single" w:sz="4" w:space="0" w:color="auto"/>
              <w:left w:val="single" w:sz="4" w:space="0" w:color="auto"/>
              <w:bottom w:val="single" w:sz="4" w:space="0" w:color="auto"/>
              <w:right w:val="single" w:sz="4" w:space="0" w:color="auto"/>
            </w:tcBorders>
          </w:tcPr>
          <w:p w14:paraId="2878E869"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6A"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6B"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6C" w14:textId="77777777" w:rsidR="00CF108A" w:rsidRPr="001B658F" w:rsidRDefault="009F392E" w:rsidP="001B658F">
            <w:pPr>
              <w:jc w:val="center"/>
              <w:rPr>
                <w:rFonts w:ascii="Calibri" w:hAnsi="Calibri"/>
                <w:color w:val="000000"/>
                <w:sz w:val="22"/>
                <w:szCs w:val="22"/>
              </w:rPr>
            </w:pPr>
            <w:r>
              <w:rPr>
                <w:rFonts w:ascii="Calibri" w:hAnsi="Calibri"/>
                <w:color w:val="000000"/>
                <w:sz w:val="22"/>
                <w:szCs w:val="22"/>
              </w:rPr>
              <w:t>26,996 shares</w:t>
            </w:r>
          </w:p>
        </w:tc>
        <w:tc>
          <w:tcPr>
            <w:tcW w:w="1620" w:type="dxa"/>
            <w:tcBorders>
              <w:top w:val="single" w:sz="4" w:space="0" w:color="auto"/>
              <w:left w:val="single" w:sz="4" w:space="0" w:color="auto"/>
              <w:bottom w:val="single" w:sz="4" w:space="0" w:color="auto"/>
              <w:right w:val="single" w:sz="4" w:space="0" w:color="auto"/>
            </w:tcBorders>
          </w:tcPr>
          <w:p w14:paraId="2878E86D"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6E"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79"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70" w14:textId="77777777" w:rsidR="00CF108A" w:rsidRDefault="009F392E" w:rsidP="001B658F">
            <w:pPr>
              <w:rPr>
                <w:rFonts w:ascii="Calibri" w:hAnsi="Calibri"/>
                <w:color w:val="000000"/>
                <w:sz w:val="22"/>
                <w:szCs w:val="22"/>
              </w:rPr>
            </w:pPr>
            <w:r>
              <w:rPr>
                <w:rFonts w:ascii="Calibri" w:hAnsi="Calibri"/>
                <w:color w:val="000000"/>
                <w:sz w:val="22"/>
                <w:szCs w:val="22"/>
              </w:rPr>
              <w:t>Taura Mizrahi</w:t>
            </w:r>
          </w:p>
          <w:p w14:paraId="2878E871" w14:textId="77777777" w:rsidR="00CF108A" w:rsidRDefault="009F392E" w:rsidP="001B658F">
            <w:pPr>
              <w:rPr>
                <w:rFonts w:ascii="Calibri" w:hAnsi="Calibri"/>
                <w:color w:val="000000"/>
                <w:sz w:val="22"/>
                <w:szCs w:val="22"/>
              </w:rPr>
            </w:pPr>
            <w:r>
              <w:rPr>
                <w:rFonts w:ascii="Calibri" w:hAnsi="Calibri"/>
                <w:color w:val="000000"/>
                <w:sz w:val="22"/>
                <w:szCs w:val="22"/>
              </w:rPr>
              <w:t>CA, USA</w:t>
            </w:r>
          </w:p>
        </w:tc>
        <w:tc>
          <w:tcPr>
            <w:tcW w:w="1710" w:type="dxa"/>
            <w:tcBorders>
              <w:top w:val="single" w:sz="4" w:space="0" w:color="auto"/>
              <w:left w:val="single" w:sz="4" w:space="0" w:color="auto"/>
              <w:bottom w:val="single" w:sz="4" w:space="0" w:color="auto"/>
              <w:right w:val="single" w:sz="4" w:space="0" w:color="auto"/>
            </w:tcBorders>
          </w:tcPr>
          <w:p w14:paraId="2878E872"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20,000</w:t>
            </w:r>
          </w:p>
        </w:tc>
        <w:tc>
          <w:tcPr>
            <w:tcW w:w="1260" w:type="dxa"/>
            <w:tcBorders>
              <w:top w:val="single" w:sz="4" w:space="0" w:color="auto"/>
              <w:left w:val="single" w:sz="4" w:space="0" w:color="auto"/>
              <w:bottom w:val="single" w:sz="4" w:space="0" w:color="auto"/>
              <w:right w:val="single" w:sz="4" w:space="0" w:color="auto"/>
            </w:tcBorders>
          </w:tcPr>
          <w:p w14:paraId="2878E873"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74"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75"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76" w14:textId="77777777" w:rsidR="00CF108A" w:rsidRPr="001B658F" w:rsidRDefault="009F392E" w:rsidP="001B658F">
            <w:pPr>
              <w:jc w:val="center"/>
              <w:rPr>
                <w:rFonts w:ascii="Calibri" w:hAnsi="Calibri"/>
                <w:sz w:val="22"/>
                <w:szCs w:val="22"/>
              </w:rPr>
            </w:pPr>
            <w:r>
              <w:rPr>
                <w:rFonts w:ascii="Arial" w:hAnsi="Arial"/>
                <w:lang w:val="en-CA"/>
              </w:rPr>
              <w:t>0</w:t>
            </w:r>
          </w:p>
        </w:tc>
        <w:tc>
          <w:tcPr>
            <w:tcW w:w="1620" w:type="dxa"/>
            <w:tcBorders>
              <w:top w:val="single" w:sz="4" w:space="0" w:color="auto"/>
              <w:left w:val="single" w:sz="4" w:space="0" w:color="auto"/>
              <w:bottom w:val="single" w:sz="4" w:space="0" w:color="auto"/>
              <w:right w:val="single" w:sz="4" w:space="0" w:color="auto"/>
            </w:tcBorders>
          </w:tcPr>
          <w:p w14:paraId="2878E877"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78"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83"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7A" w14:textId="77777777" w:rsidR="00CF108A" w:rsidRDefault="009F392E" w:rsidP="001B658F">
            <w:pPr>
              <w:rPr>
                <w:rFonts w:ascii="Calibri" w:hAnsi="Calibri"/>
                <w:color w:val="000000"/>
                <w:sz w:val="22"/>
                <w:szCs w:val="22"/>
              </w:rPr>
            </w:pPr>
            <w:r>
              <w:rPr>
                <w:rFonts w:ascii="Calibri" w:hAnsi="Calibri"/>
                <w:color w:val="000000"/>
                <w:sz w:val="22"/>
                <w:szCs w:val="22"/>
              </w:rPr>
              <w:t>James E. Wilson Jr</w:t>
            </w:r>
          </w:p>
          <w:p w14:paraId="2878E87B" w14:textId="77777777" w:rsidR="00CF108A" w:rsidRDefault="009F392E" w:rsidP="001B658F">
            <w:pPr>
              <w:rPr>
                <w:rFonts w:ascii="Calibri" w:hAnsi="Calibri"/>
                <w:color w:val="000000"/>
                <w:sz w:val="22"/>
                <w:szCs w:val="22"/>
              </w:rPr>
            </w:pPr>
            <w:r>
              <w:rPr>
                <w:rFonts w:ascii="Calibri" w:hAnsi="Calibri"/>
                <w:color w:val="000000"/>
                <w:sz w:val="22"/>
                <w:szCs w:val="22"/>
              </w:rPr>
              <w:t>AL, USA</w:t>
            </w:r>
          </w:p>
        </w:tc>
        <w:tc>
          <w:tcPr>
            <w:tcW w:w="1710" w:type="dxa"/>
            <w:tcBorders>
              <w:top w:val="single" w:sz="4" w:space="0" w:color="auto"/>
              <w:left w:val="single" w:sz="4" w:space="0" w:color="auto"/>
              <w:bottom w:val="single" w:sz="4" w:space="0" w:color="auto"/>
              <w:right w:val="single" w:sz="4" w:space="0" w:color="auto"/>
            </w:tcBorders>
          </w:tcPr>
          <w:p w14:paraId="2878E87C"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4,000</w:t>
            </w:r>
          </w:p>
        </w:tc>
        <w:tc>
          <w:tcPr>
            <w:tcW w:w="1260" w:type="dxa"/>
            <w:tcBorders>
              <w:top w:val="single" w:sz="4" w:space="0" w:color="auto"/>
              <w:left w:val="single" w:sz="4" w:space="0" w:color="auto"/>
              <w:bottom w:val="single" w:sz="4" w:space="0" w:color="auto"/>
              <w:right w:val="single" w:sz="4" w:space="0" w:color="auto"/>
            </w:tcBorders>
          </w:tcPr>
          <w:p w14:paraId="2878E87D"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7E"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7F"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80" w14:textId="77777777" w:rsidR="00CF108A" w:rsidRPr="001B658F" w:rsidRDefault="009F392E" w:rsidP="001B658F">
            <w:pPr>
              <w:jc w:val="center"/>
              <w:rPr>
                <w:rFonts w:ascii="Calibri" w:hAnsi="Calibri"/>
                <w:color w:val="000000"/>
                <w:sz w:val="22"/>
                <w:szCs w:val="22"/>
              </w:rPr>
            </w:pPr>
            <w:r>
              <w:rPr>
                <w:rFonts w:ascii="Calibri" w:hAnsi="Calibri"/>
                <w:color w:val="000000"/>
                <w:sz w:val="22"/>
                <w:szCs w:val="22"/>
              </w:rPr>
              <w:t>3,400 shares</w:t>
            </w:r>
          </w:p>
        </w:tc>
        <w:tc>
          <w:tcPr>
            <w:tcW w:w="1620" w:type="dxa"/>
            <w:tcBorders>
              <w:top w:val="single" w:sz="4" w:space="0" w:color="auto"/>
              <w:left w:val="single" w:sz="4" w:space="0" w:color="auto"/>
              <w:bottom w:val="single" w:sz="4" w:space="0" w:color="auto"/>
              <w:right w:val="single" w:sz="4" w:space="0" w:color="auto"/>
            </w:tcBorders>
          </w:tcPr>
          <w:p w14:paraId="2878E881"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82"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8D"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84" w14:textId="77777777" w:rsidR="00CF108A" w:rsidRDefault="009F392E" w:rsidP="001B658F">
            <w:pPr>
              <w:rPr>
                <w:rFonts w:ascii="Calibri" w:hAnsi="Calibri"/>
                <w:color w:val="000000"/>
                <w:sz w:val="22"/>
                <w:szCs w:val="22"/>
              </w:rPr>
            </w:pPr>
            <w:r>
              <w:rPr>
                <w:rFonts w:ascii="Calibri" w:hAnsi="Calibri"/>
                <w:color w:val="000000"/>
                <w:sz w:val="22"/>
                <w:szCs w:val="22"/>
              </w:rPr>
              <w:t>JoAnne Salkoski</w:t>
            </w:r>
          </w:p>
          <w:p w14:paraId="2878E885" w14:textId="77777777" w:rsidR="00CF108A" w:rsidRDefault="009F392E" w:rsidP="001B658F">
            <w:pPr>
              <w:rPr>
                <w:rFonts w:ascii="Calibri" w:hAnsi="Calibri"/>
                <w:color w:val="000000"/>
                <w:sz w:val="22"/>
                <w:szCs w:val="22"/>
              </w:rPr>
            </w:pPr>
            <w:r>
              <w:rPr>
                <w:rFonts w:ascii="Calibri" w:hAnsi="Calibri"/>
                <w:color w:val="000000"/>
                <w:sz w:val="22"/>
                <w:szCs w:val="22"/>
              </w:rPr>
              <w:t>CA, USA</w:t>
            </w:r>
          </w:p>
        </w:tc>
        <w:tc>
          <w:tcPr>
            <w:tcW w:w="1710" w:type="dxa"/>
            <w:tcBorders>
              <w:top w:val="single" w:sz="4" w:space="0" w:color="auto"/>
              <w:left w:val="single" w:sz="4" w:space="0" w:color="auto"/>
              <w:bottom w:val="single" w:sz="4" w:space="0" w:color="auto"/>
              <w:right w:val="single" w:sz="4" w:space="0" w:color="auto"/>
            </w:tcBorders>
          </w:tcPr>
          <w:p w14:paraId="2878E886"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4,000</w:t>
            </w:r>
          </w:p>
        </w:tc>
        <w:tc>
          <w:tcPr>
            <w:tcW w:w="1260" w:type="dxa"/>
            <w:tcBorders>
              <w:top w:val="single" w:sz="4" w:space="0" w:color="auto"/>
              <w:left w:val="single" w:sz="4" w:space="0" w:color="auto"/>
              <w:bottom w:val="single" w:sz="4" w:space="0" w:color="auto"/>
              <w:right w:val="single" w:sz="4" w:space="0" w:color="auto"/>
            </w:tcBorders>
          </w:tcPr>
          <w:p w14:paraId="2878E887"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88"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89"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8A"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1,173 shares</w:t>
            </w:r>
          </w:p>
        </w:tc>
        <w:tc>
          <w:tcPr>
            <w:tcW w:w="1620" w:type="dxa"/>
            <w:tcBorders>
              <w:top w:val="single" w:sz="4" w:space="0" w:color="auto"/>
              <w:left w:val="single" w:sz="4" w:space="0" w:color="auto"/>
              <w:bottom w:val="single" w:sz="4" w:space="0" w:color="auto"/>
              <w:right w:val="single" w:sz="4" w:space="0" w:color="auto"/>
            </w:tcBorders>
          </w:tcPr>
          <w:p w14:paraId="2878E88B"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8C"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97"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8E" w14:textId="77777777" w:rsidR="00CF108A" w:rsidRDefault="009F392E" w:rsidP="001B658F">
            <w:pPr>
              <w:rPr>
                <w:rFonts w:ascii="Calibri" w:hAnsi="Calibri"/>
                <w:color w:val="000000"/>
                <w:sz w:val="22"/>
                <w:szCs w:val="22"/>
              </w:rPr>
            </w:pPr>
            <w:r>
              <w:rPr>
                <w:rFonts w:ascii="Calibri" w:hAnsi="Calibri"/>
                <w:color w:val="000000"/>
                <w:sz w:val="22"/>
                <w:szCs w:val="22"/>
              </w:rPr>
              <w:t>Michelle Beabout</w:t>
            </w:r>
          </w:p>
          <w:p w14:paraId="2878E88F" w14:textId="77777777" w:rsidR="00CF108A" w:rsidRDefault="009F392E" w:rsidP="001B658F">
            <w:pPr>
              <w:rPr>
                <w:rFonts w:ascii="Calibri" w:hAnsi="Calibri"/>
                <w:color w:val="000000"/>
                <w:sz w:val="22"/>
                <w:szCs w:val="22"/>
              </w:rPr>
            </w:pPr>
            <w:r>
              <w:rPr>
                <w:rFonts w:ascii="Calibri" w:hAnsi="Calibri"/>
                <w:color w:val="000000"/>
                <w:sz w:val="22"/>
                <w:szCs w:val="22"/>
              </w:rPr>
              <w:t>CA, USA</w:t>
            </w:r>
          </w:p>
        </w:tc>
        <w:tc>
          <w:tcPr>
            <w:tcW w:w="1710" w:type="dxa"/>
            <w:tcBorders>
              <w:top w:val="single" w:sz="4" w:space="0" w:color="auto"/>
              <w:left w:val="single" w:sz="4" w:space="0" w:color="auto"/>
              <w:bottom w:val="single" w:sz="4" w:space="0" w:color="auto"/>
              <w:right w:val="single" w:sz="4" w:space="0" w:color="auto"/>
            </w:tcBorders>
          </w:tcPr>
          <w:p w14:paraId="2878E890"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4,000</w:t>
            </w:r>
          </w:p>
        </w:tc>
        <w:tc>
          <w:tcPr>
            <w:tcW w:w="1260" w:type="dxa"/>
            <w:tcBorders>
              <w:top w:val="single" w:sz="4" w:space="0" w:color="auto"/>
              <w:left w:val="single" w:sz="4" w:space="0" w:color="auto"/>
              <w:bottom w:val="single" w:sz="4" w:space="0" w:color="auto"/>
              <w:right w:val="single" w:sz="4" w:space="0" w:color="auto"/>
            </w:tcBorders>
          </w:tcPr>
          <w:p w14:paraId="2878E891"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92"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93"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94" w14:textId="77777777" w:rsidR="00CF108A" w:rsidRPr="001B658F" w:rsidRDefault="009F392E" w:rsidP="001B658F">
            <w:pPr>
              <w:jc w:val="center"/>
              <w:rPr>
                <w:rFonts w:ascii="Calibri" w:hAnsi="Calibri"/>
                <w:color w:val="000000"/>
                <w:sz w:val="22"/>
                <w:szCs w:val="22"/>
              </w:rPr>
            </w:pPr>
            <w:r>
              <w:rPr>
                <w:rFonts w:ascii="Calibri" w:hAnsi="Calibri"/>
                <w:color w:val="000000"/>
                <w:sz w:val="22"/>
                <w:szCs w:val="22"/>
              </w:rPr>
              <w:t>50,000 shares</w:t>
            </w:r>
          </w:p>
        </w:tc>
        <w:tc>
          <w:tcPr>
            <w:tcW w:w="1620" w:type="dxa"/>
            <w:tcBorders>
              <w:top w:val="single" w:sz="4" w:space="0" w:color="auto"/>
              <w:left w:val="single" w:sz="4" w:space="0" w:color="auto"/>
              <w:bottom w:val="single" w:sz="4" w:space="0" w:color="auto"/>
              <w:right w:val="single" w:sz="4" w:space="0" w:color="auto"/>
            </w:tcBorders>
          </w:tcPr>
          <w:p w14:paraId="2878E895"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96"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A1"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98" w14:textId="77777777" w:rsidR="00CF108A" w:rsidRPr="001B658F" w:rsidRDefault="009F392E" w:rsidP="001B658F">
            <w:pPr>
              <w:pStyle w:val="BodyText"/>
              <w:spacing w:before="0" w:line="280" w:lineRule="exact"/>
              <w:rPr>
                <w:rFonts w:ascii="Arial" w:hAnsi="Arial"/>
                <w:sz w:val="20"/>
                <w:lang w:val="en-CA"/>
              </w:rPr>
            </w:pPr>
            <w:r w:rsidRPr="001B658F">
              <w:rPr>
                <w:rFonts w:ascii="Arial" w:hAnsi="Arial"/>
                <w:sz w:val="20"/>
                <w:lang w:val="en-CA"/>
              </w:rPr>
              <w:lastRenderedPageBreak/>
              <w:t>James Richardson</w:t>
            </w:r>
          </w:p>
          <w:p w14:paraId="2878E899" w14:textId="77777777" w:rsidR="00CF108A" w:rsidRPr="001B658F" w:rsidRDefault="009F392E" w:rsidP="001B658F">
            <w:pPr>
              <w:pStyle w:val="BodyText"/>
              <w:spacing w:before="0" w:line="280" w:lineRule="exact"/>
              <w:rPr>
                <w:rFonts w:ascii="Arial" w:hAnsi="Arial"/>
                <w:sz w:val="20"/>
                <w:lang w:val="en-CA"/>
              </w:rPr>
            </w:pPr>
            <w:r>
              <w:rPr>
                <w:rFonts w:ascii="Arial" w:hAnsi="Arial"/>
                <w:sz w:val="20"/>
                <w:lang w:val="en-CA"/>
              </w:rPr>
              <w:t>CA, USA</w:t>
            </w:r>
          </w:p>
        </w:tc>
        <w:tc>
          <w:tcPr>
            <w:tcW w:w="1710" w:type="dxa"/>
            <w:tcBorders>
              <w:top w:val="single" w:sz="4" w:space="0" w:color="auto"/>
              <w:left w:val="single" w:sz="4" w:space="0" w:color="auto"/>
              <w:bottom w:val="single" w:sz="4" w:space="0" w:color="auto"/>
              <w:right w:val="single" w:sz="4" w:space="0" w:color="auto"/>
            </w:tcBorders>
          </w:tcPr>
          <w:p w14:paraId="2878E89A"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4,000</w:t>
            </w:r>
          </w:p>
        </w:tc>
        <w:tc>
          <w:tcPr>
            <w:tcW w:w="1260" w:type="dxa"/>
            <w:tcBorders>
              <w:top w:val="single" w:sz="4" w:space="0" w:color="auto"/>
              <w:left w:val="single" w:sz="4" w:space="0" w:color="auto"/>
              <w:bottom w:val="single" w:sz="4" w:space="0" w:color="auto"/>
              <w:right w:val="single" w:sz="4" w:space="0" w:color="auto"/>
            </w:tcBorders>
          </w:tcPr>
          <w:p w14:paraId="2878E89B"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9C"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9D"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9E"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0</w:t>
            </w:r>
          </w:p>
        </w:tc>
        <w:tc>
          <w:tcPr>
            <w:tcW w:w="1620" w:type="dxa"/>
            <w:tcBorders>
              <w:top w:val="single" w:sz="4" w:space="0" w:color="auto"/>
              <w:left w:val="single" w:sz="4" w:space="0" w:color="auto"/>
              <w:bottom w:val="single" w:sz="4" w:space="0" w:color="auto"/>
              <w:right w:val="single" w:sz="4" w:space="0" w:color="auto"/>
            </w:tcBorders>
          </w:tcPr>
          <w:p w14:paraId="2878E89F"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A0"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AB"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A2" w14:textId="77777777" w:rsidR="00CF108A" w:rsidRPr="001B658F" w:rsidRDefault="009F392E" w:rsidP="001B658F">
            <w:pPr>
              <w:pStyle w:val="BodyText"/>
              <w:spacing w:before="0" w:line="280" w:lineRule="exact"/>
              <w:rPr>
                <w:rFonts w:ascii="Arial" w:hAnsi="Arial"/>
                <w:sz w:val="20"/>
                <w:lang w:val="en-CA"/>
              </w:rPr>
            </w:pPr>
            <w:r w:rsidRPr="001B658F">
              <w:rPr>
                <w:rFonts w:ascii="Arial" w:hAnsi="Arial"/>
                <w:sz w:val="20"/>
                <w:lang w:val="en-CA"/>
              </w:rPr>
              <w:t>Joseph L. Stefanelli</w:t>
            </w:r>
          </w:p>
          <w:p w14:paraId="2878E8A3" w14:textId="77777777" w:rsidR="00CF108A" w:rsidRPr="001B658F" w:rsidRDefault="009F392E" w:rsidP="001B658F">
            <w:pPr>
              <w:pStyle w:val="BodyText"/>
              <w:spacing w:before="0" w:line="280" w:lineRule="exact"/>
              <w:rPr>
                <w:rFonts w:ascii="Arial" w:hAnsi="Arial"/>
                <w:sz w:val="20"/>
                <w:lang w:val="en-CA"/>
              </w:rPr>
            </w:pPr>
            <w:r w:rsidRPr="001B658F">
              <w:rPr>
                <w:rFonts w:ascii="Arial" w:hAnsi="Arial"/>
                <w:sz w:val="20"/>
                <w:lang w:val="en-CA"/>
              </w:rPr>
              <w:t>CA, USA</w:t>
            </w:r>
          </w:p>
        </w:tc>
        <w:tc>
          <w:tcPr>
            <w:tcW w:w="1710" w:type="dxa"/>
            <w:tcBorders>
              <w:top w:val="single" w:sz="4" w:space="0" w:color="auto"/>
              <w:left w:val="single" w:sz="4" w:space="0" w:color="auto"/>
              <w:bottom w:val="single" w:sz="4" w:space="0" w:color="auto"/>
              <w:right w:val="single" w:sz="4" w:space="0" w:color="auto"/>
            </w:tcBorders>
          </w:tcPr>
          <w:p w14:paraId="2878E8A4"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4,000</w:t>
            </w:r>
          </w:p>
        </w:tc>
        <w:tc>
          <w:tcPr>
            <w:tcW w:w="1260" w:type="dxa"/>
            <w:tcBorders>
              <w:top w:val="single" w:sz="4" w:space="0" w:color="auto"/>
              <w:left w:val="single" w:sz="4" w:space="0" w:color="auto"/>
              <w:bottom w:val="single" w:sz="4" w:space="0" w:color="auto"/>
              <w:right w:val="single" w:sz="4" w:space="0" w:color="auto"/>
            </w:tcBorders>
          </w:tcPr>
          <w:p w14:paraId="2878E8A5"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A6"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A7"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A8"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4,600 shares</w:t>
            </w:r>
          </w:p>
        </w:tc>
        <w:tc>
          <w:tcPr>
            <w:tcW w:w="1620" w:type="dxa"/>
            <w:tcBorders>
              <w:top w:val="single" w:sz="4" w:space="0" w:color="auto"/>
              <w:left w:val="single" w:sz="4" w:space="0" w:color="auto"/>
              <w:bottom w:val="single" w:sz="4" w:space="0" w:color="auto"/>
              <w:right w:val="single" w:sz="4" w:space="0" w:color="auto"/>
            </w:tcBorders>
          </w:tcPr>
          <w:p w14:paraId="2878E8A9"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AA"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B5"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AC" w14:textId="77777777" w:rsidR="00CF108A" w:rsidRPr="001B658F" w:rsidRDefault="009F392E" w:rsidP="001B658F">
            <w:pPr>
              <w:pStyle w:val="BodyText"/>
              <w:spacing w:before="0" w:line="280" w:lineRule="exact"/>
              <w:rPr>
                <w:rFonts w:ascii="Arial" w:hAnsi="Arial"/>
                <w:sz w:val="20"/>
                <w:lang w:val="en-CA"/>
              </w:rPr>
            </w:pPr>
            <w:r w:rsidRPr="001B658F">
              <w:rPr>
                <w:rFonts w:ascii="Arial" w:hAnsi="Arial"/>
                <w:sz w:val="20"/>
                <w:lang w:val="en-CA"/>
              </w:rPr>
              <w:t xml:space="preserve">Brandon </w:t>
            </w:r>
            <w:r w:rsidRPr="001B658F">
              <w:rPr>
                <w:rFonts w:ascii="Arial" w:hAnsi="Arial"/>
                <w:sz w:val="20"/>
                <w:lang w:val="en-CA"/>
              </w:rPr>
              <w:t>Loomis</w:t>
            </w:r>
          </w:p>
          <w:p w14:paraId="2878E8AD" w14:textId="77777777" w:rsidR="00CF108A" w:rsidRPr="001B658F" w:rsidRDefault="009F392E" w:rsidP="001B658F">
            <w:pPr>
              <w:pStyle w:val="BodyText"/>
              <w:spacing w:before="0" w:line="280" w:lineRule="exact"/>
              <w:rPr>
                <w:rFonts w:ascii="Arial" w:hAnsi="Arial"/>
                <w:sz w:val="20"/>
                <w:lang w:val="en-CA"/>
              </w:rPr>
            </w:pPr>
            <w:r w:rsidRPr="001B658F">
              <w:rPr>
                <w:rFonts w:ascii="Arial" w:hAnsi="Arial"/>
                <w:sz w:val="20"/>
                <w:lang w:val="en-CA"/>
              </w:rPr>
              <w:t>CA, USA</w:t>
            </w:r>
          </w:p>
        </w:tc>
        <w:tc>
          <w:tcPr>
            <w:tcW w:w="1710" w:type="dxa"/>
            <w:tcBorders>
              <w:top w:val="single" w:sz="4" w:space="0" w:color="auto"/>
              <w:left w:val="single" w:sz="4" w:space="0" w:color="auto"/>
              <w:bottom w:val="single" w:sz="4" w:space="0" w:color="auto"/>
              <w:right w:val="single" w:sz="4" w:space="0" w:color="auto"/>
            </w:tcBorders>
          </w:tcPr>
          <w:p w14:paraId="2878E8AE"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4,000</w:t>
            </w:r>
          </w:p>
        </w:tc>
        <w:tc>
          <w:tcPr>
            <w:tcW w:w="1260" w:type="dxa"/>
            <w:tcBorders>
              <w:top w:val="single" w:sz="4" w:space="0" w:color="auto"/>
              <w:left w:val="single" w:sz="4" w:space="0" w:color="auto"/>
              <w:bottom w:val="single" w:sz="4" w:space="0" w:color="auto"/>
              <w:right w:val="single" w:sz="4" w:space="0" w:color="auto"/>
            </w:tcBorders>
          </w:tcPr>
          <w:p w14:paraId="2878E8AF"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B0"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B1"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B2" w14:textId="77777777" w:rsidR="00CF108A" w:rsidRPr="001B658F" w:rsidRDefault="009F392E" w:rsidP="001B658F">
            <w:pPr>
              <w:jc w:val="center"/>
              <w:rPr>
                <w:rFonts w:ascii="Calibri" w:hAnsi="Calibri"/>
                <w:color w:val="000000"/>
                <w:sz w:val="22"/>
                <w:szCs w:val="22"/>
              </w:rPr>
            </w:pPr>
            <w:r>
              <w:rPr>
                <w:rFonts w:ascii="Calibri" w:hAnsi="Calibri"/>
                <w:color w:val="000000"/>
                <w:sz w:val="22"/>
                <w:szCs w:val="22"/>
              </w:rPr>
              <w:t>1,100 shares</w:t>
            </w:r>
          </w:p>
        </w:tc>
        <w:tc>
          <w:tcPr>
            <w:tcW w:w="1620" w:type="dxa"/>
            <w:tcBorders>
              <w:top w:val="single" w:sz="4" w:space="0" w:color="auto"/>
              <w:left w:val="single" w:sz="4" w:space="0" w:color="auto"/>
              <w:bottom w:val="single" w:sz="4" w:space="0" w:color="auto"/>
              <w:right w:val="single" w:sz="4" w:space="0" w:color="auto"/>
            </w:tcBorders>
          </w:tcPr>
          <w:p w14:paraId="2878E8B3"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B4"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BF"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B6" w14:textId="77777777" w:rsidR="00CF108A" w:rsidRPr="001B658F" w:rsidRDefault="009F392E" w:rsidP="001B658F">
            <w:pPr>
              <w:pStyle w:val="BodyText"/>
              <w:spacing w:before="0" w:line="280" w:lineRule="exact"/>
              <w:rPr>
                <w:rFonts w:ascii="Arial" w:hAnsi="Arial"/>
                <w:sz w:val="20"/>
                <w:lang w:val="en-CA"/>
              </w:rPr>
            </w:pPr>
            <w:r w:rsidRPr="001B658F">
              <w:rPr>
                <w:rFonts w:ascii="Arial" w:hAnsi="Arial"/>
                <w:sz w:val="20"/>
                <w:lang w:val="en-CA"/>
              </w:rPr>
              <w:t>John Beaube</w:t>
            </w:r>
          </w:p>
          <w:p w14:paraId="2878E8B7" w14:textId="77777777" w:rsidR="00CF108A" w:rsidRPr="001B658F" w:rsidRDefault="009F392E" w:rsidP="001B658F">
            <w:pPr>
              <w:pStyle w:val="BodyText"/>
              <w:spacing w:before="0" w:line="280" w:lineRule="exact"/>
              <w:rPr>
                <w:rFonts w:ascii="Arial" w:hAnsi="Arial"/>
                <w:sz w:val="20"/>
                <w:lang w:val="en-CA"/>
              </w:rPr>
            </w:pPr>
            <w:r w:rsidRPr="001B658F">
              <w:rPr>
                <w:rFonts w:ascii="Arial" w:hAnsi="Arial"/>
                <w:sz w:val="20"/>
                <w:lang w:val="en-CA"/>
              </w:rPr>
              <w:t>AL, USA</w:t>
            </w:r>
          </w:p>
        </w:tc>
        <w:tc>
          <w:tcPr>
            <w:tcW w:w="1710" w:type="dxa"/>
            <w:tcBorders>
              <w:top w:val="single" w:sz="4" w:space="0" w:color="auto"/>
              <w:left w:val="single" w:sz="4" w:space="0" w:color="auto"/>
              <w:bottom w:val="single" w:sz="4" w:space="0" w:color="auto"/>
              <w:right w:val="single" w:sz="4" w:space="0" w:color="auto"/>
            </w:tcBorders>
          </w:tcPr>
          <w:p w14:paraId="2878E8B8"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4,000</w:t>
            </w:r>
          </w:p>
        </w:tc>
        <w:tc>
          <w:tcPr>
            <w:tcW w:w="1260" w:type="dxa"/>
            <w:tcBorders>
              <w:top w:val="single" w:sz="4" w:space="0" w:color="auto"/>
              <w:left w:val="single" w:sz="4" w:space="0" w:color="auto"/>
              <w:bottom w:val="single" w:sz="4" w:space="0" w:color="auto"/>
              <w:right w:val="single" w:sz="4" w:space="0" w:color="auto"/>
            </w:tcBorders>
          </w:tcPr>
          <w:p w14:paraId="2878E8B9"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BA"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BB"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BCI Rule 72-503</w:t>
            </w:r>
          </w:p>
        </w:tc>
        <w:tc>
          <w:tcPr>
            <w:tcW w:w="1890" w:type="dxa"/>
            <w:tcBorders>
              <w:top w:val="single" w:sz="4" w:space="0" w:color="auto"/>
              <w:left w:val="single" w:sz="4" w:space="0" w:color="auto"/>
              <w:bottom w:val="single" w:sz="4" w:space="0" w:color="auto"/>
              <w:right w:val="single" w:sz="4" w:space="0" w:color="auto"/>
            </w:tcBorders>
          </w:tcPr>
          <w:p w14:paraId="2878E8BC" w14:textId="77777777" w:rsidR="00CF108A" w:rsidRPr="001B658F" w:rsidRDefault="009F392E" w:rsidP="001B658F">
            <w:pPr>
              <w:jc w:val="center"/>
              <w:rPr>
                <w:rFonts w:ascii="Calibri" w:hAnsi="Calibri"/>
                <w:color w:val="000000"/>
                <w:sz w:val="22"/>
                <w:szCs w:val="22"/>
              </w:rPr>
            </w:pPr>
            <w:r>
              <w:rPr>
                <w:rFonts w:ascii="Calibri" w:hAnsi="Calibri"/>
                <w:color w:val="000000"/>
                <w:sz w:val="22"/>
                <w:szCs w:val="22"/>
              </w:rPr>
              <w:t>16,377 shares</w:t>
            </w:r>
          </w:p>
        </w:tc>
        <w:tc>
          <w:tcPr>
            <w:tcW w:w="1620" w:type="dxa"/>
            <w:tcBorders>
              <w:top w:val="single" w:sz="4" w:space="0" w:color="auto"/>
              <w:left w:val="single" w:sz="4" w:space="0" w:color="auto"/>
              <w:bottom w:val="single" w:sz="4" w:space="0" w:color="auto"/>
              <w:right w:val="single" w:sz="4" w:space="0" w:color="auto"/>
            </w:tcBorders>
          </w:tcPr>
          <w:p w14:paraId="2878E8BD"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BE"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C9"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C0" w14:textId="77777777" w:rsidR="00CF108A" w:rsidRDefault="009F392E" w:rsidP="001B658F">
            <w:pPr>
              <w:rPr>
                <w:rFonts w:ascii="Calibri" w:hAnsi="Calibri"/>
                <w:color w:val="000000"/>
                <w:sz w:val="22"/>
                <w:szCs w:val="22"/>
              </w:rPr>
            </w:pPr>
            <w:r>
              <w:rPr>
                <w:rFonts w:ascii="Calibri" w:hAnsi="Calibri"/>
                <w:color w:val="000000"/>
                <w:sz w:val="22"/>
                <w:szCs w:val="22"/>
              </w:rPr>
              <w:t>Michael Alen-Buckley</w:t>
            </w:r>
          </w:p>
          <w:p w14:paraId="2878E8C1" w14:textId="77777777" w:rsidR="00CF108A" w:rsidRDefault="009F392E" w:rsidP="001B658F">
            <w:pPr>
              <w:rPr>
                <w:rFonts w:ascii="Calibri" w:hAnsi="Calibri"/>
                <w:color w:val="000000"/>
                <w:sz w:val="22"/>
                <w:szCs w:val="22"/>
              </w:rPr>
            </w:pPr>
            <w:r>
              <w:rPr>
                <w:rFonts w:ascii="Calibri" w:hAnsi="Calibri"/>
                <w:color w:val="000000"/>
                <w:sz w:val="22"/>
                <w:szCs w:val="22"/>
              </w:rPr>
              <w:t>London, UK</w:t>
            </w:r>
          </w:p>
        </w:tc>
        <w:tc>
          <w:tcPr>
            <w:tcW w:w="1710" w:type="dxa"/>
            <w:tcBorders>
              <w:top w:val="single" w:sz="4" w:space="0" w:color="auto"/>
              <w:left w:val="single" w:sz="4" w:space="0" w:color="auto"/>
              <w:bottom w:val="single" w:sz="4" w:space="0" w:color="auto"/>
              <w:right w:val="single" w:sz="4" w:space="0" w:color="auto"/>
            </w:tcBorders>
          </w:tcPr>
          <w:p w14:paraId="2878E8C2"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166,667</w:t>
            </w:r>
          </w:p>
        </w:tc>
        <w:tc>
          <w:tcPr>
            <w:tcW w:w="1260" w:type="dxa"/>
            <w:tcBorders>
              <w:top w:val="single" w:sz="4" w:space="0" w:color="auto"/>
              <w:left w:val="single" w:sz="4" w:space="0" w:color="auto"/>
              <w:bottom w:val="single" w:sz="4" w:space="0" w:color="auto"/>
              <w:right w:val="single" w:sz="4" w:space="0" w:color="auto"/>
            </w:tcBorders>
          </w:tcPr>
          <w:p w14:paraId="2878E8C3"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C4"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C5"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Section 2.3 of NI 45-106</w:t>
            </w:r>
          </w:p>
        </w:tc>
        <w:tc>
          <w:tcPr>
            <w:tcW w:w="1890" w:type="dxa"/>
            <w:tcBorders>
              <w:top w:val="single" w:sz="4" w:space="0" w:color="auto"/>
              <w:left w:val="single" w:sz="4" w:space="0" w:color="auto"/>
              <w:bottom w:val="single" w:sz="4" w:space="0" w:color="auto"/>
              <w:right w:val="single" w:sz="4" w:space="0" w:color="auto"/>
            </w:tcBorders>
          </w:tcPr>
          <w:p w14:paraId="2878E8C6" w14:textId="77777777" w:rsidR="00CF108A" w:rsidRPr="001B658F" w:rsidRDefault="009F392E" w:rsidP="001B658F">
            <w:pPr>
              <w:pStyle w:val="BodyText"/>
              <w:spacing w:before="0" w:line="280" w:lineRule="exact"/>
              <w:jc w:val="center"/>
              <w:rPr>
                <w:rFonts w:ascii="Arial" w:hAnsi="Arial"/>
                <w:sz w:val="20"/>
              </w:rPr>
            </w:pPr>
            <w:r w:rsidRPr="001B658F">
              <w:rPr>
                <w:rFonts w:ascii="Arial" w:hAnsi="Arial"/>
                <w:sz w:val="20"/>
              </w:rPr>
              <w:t>0</w:t>
            </w:r>
          </w:p>
        </w:tc>
        <w:tc>
          <w:tcPr>
            <w:tcW w:w="1620" w:type="dxa"/>
            <w:tcBorders>
              <w:top w:val="single" w:sz="4" w:space="0" w:color="auto"/>
              <w:left w:val="single" w:sz="4" w:space="0" w:color="auto"/>
              <w:bottom w:val="single" w:sz="4" w:space="0" w:color="auto"/>
              <w:right w:val="single" w:sz="4" w:space="0" w:color="auto"/>
            </w:tcBorders>
          </w:tcPr>
          <w:p w14:paraId="2878E8C7"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 xml:space="preserve">March 1, </w:t>
            </w:r>
            <w:r w:rsidRPr="001B658F">
              <w:rPr>
                <w:rFonts w:ascii="Arial" w:hAnsi="Arial"/>
                <w:sz w:val="20"/>
                <w:lang w:val="en-CA"/>
              </w:rPr>
              <w:t>2018</w:t>
            </w:r>
          </w:p>
        </w:tc>
        <w:tc>
          <w:tcPr>
            <w:tcW w:w="2070" w:type="dxa"/>
            <w:tcBorders>
              <w:top w:val="single" w:sz="4" w:space="0" w:color="auto"/>
              <w:left w:val="single" w:sz="4" w:space="0" w:color="auto"/>
              <w:bottom w:val="single" w:sz="4" w:space="0" w:color="auto"/>
              <w:right w:val="double" w:sz="4" w:space="0" w:color="auto"/>
            </w:tcBorders>
          </w:tcPr>
          <w:p w14:paraId="2878E8C8"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D3"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CA" w14:textId="77777777" w:rsidR="00CF108A" w:rsidRDefault="009F392E" w:rsidP="001B658F">
            <w:pPr>
              <w:rPr>
                <w:rFonts w:ascii="Calibri" w:hAnsi="Calibri"/>
                <w:color w:val="000000"/>
                <w:sz w:val="22"/>
                <w:szCs w:val="22"/>
              </w:rPr>
            </w:pPr>
            <w:r>
              <w:rPr>
                <w:rFonts w:ascii="Calibri" w:hAnsi="Calibri"/>
                <w:color w:val="000000"/>
                <w:sz w:val="22"/>
                <w:szCs w:val="22"/>
              </w:rPr>
              <w:t>Shareholder Value Beteiligungen AG</w:t>
            </w:r>
          </w:p>
          <w:p w14:paraId="2878E8CB" w14:textId="77777777" w:rsidR="00CF108A" w:rsidRDefault="009F392E" w:rsidP="001B658F">
            <w:pPr>
              <w:rPr>
                <w:rFonts w:ascii="Calibri" w:hAnsi="Calibri"/>
                <w:color w:val="000000"/>
                <w:sz w:val="22"/>
                <w:szCs w:val="22"/>
              </w:rPr>
            </w:pPr>
            <w:r>
              <w:rPr>
                <w:rFonts w:ascii="Calibri" w:hAnsi="Calibri"/>
                <w:color w:val="000000"/>
                <w:sz w:val="22"/>
                <w:szCs w:val="22"/>
              </w:rPr>
              <w:t>Frankfurt, Germany</w:t>
            </w:r>
          </w:p>
        </w:tc>
        <w:tc>
          <w:tcPr>
            <w:tcW w:w="1710" w:type="dxa"/>
            <w:tcBorders>
              <w:top w:val="single" w:sz="4" w:space="0" w:color="auto"/>
              <w:left w:val="single" w:sz="4" w:space="0" w:color="auto"/>
              <w:bottom w:val="single" w:sz="4" w:space="0" w:color="auto"/>
              <w:right w:val="single" w:sz="4" w:space="0" w:color="auto"/>
            </w:tcBorders>
          </w:tcPr>
          <w:p w14:paraId="2878E8CC"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2,604,167</w:t>
            </w:r>
          </w:p>
        </w:tc>
        <w:tc>
          <w:tcPr>
            <w:tcW w:w="1260" w:type="dxa"/>
            <w:tcBorders>
              <w:top w:val="single" w:sz="4" w:space="0" w:color="auto"/>
              <w:left w:val="single" w:sz="4" w:space="0" w:color="auto"/>
              <w:bottom w:val="single" w:sz="4" w:space="0" w:color="auto"/>
              <w:right w:val="single" w:sz="4" w:space="0" w:color="auto"/>
            </w:tcBorders>
          </w:tcPr>
          <w:p w14:paraId="2878E8CD"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CE"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CF"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Section 2.10 of NI 45-106</w:t>
            </w:r>
          </w:p>
        </w:tc>
        <w:tc>
          <w:tcPr>
            <w:tcW w:w="1890" w:type="dxa"/>
            <w:tcBorders>
              <w:top w:val="single" w:sz="4" w:space="0" w:color="auto"/>
              <w:left w:val="single" w:sz="4" w:space="0" w:color="auto"/>
              <w:bottom w:val="single" w:sz="4" w:space="0" w:color="auto"/>
              <w:right w:val="single" w:sz="4" w:space="0" w:color="auto"/>
            </w:tcBorders>
          </w:tcPr>
          <w:p w14:paraId="2878E8D0" w14:textId="77777777" w:rsidR="00CF108A" w:rsidRPr="001B658F" w:rsidRDefault="009F392E" w:rsidP="001B658F">
            <w:pPr>
              <w:pStyle w:val="BodyText"/>
              <w:spacing w:before="0" w:line="280" w:lineRule="exact"/>
              <w:jc w:val="center"/>
              <w:rPr>
                <w:rFonts w:ascii="Arial" w:hAnsi="Arial"/>
                <w:sz w:val="20"/>
              </w:rPr>
            </w:pPr>
            <w:r w:rsidRPr="001B658F">
              <w:rPr>
                <w:rFonts w:ascii="Arial" w:hAnsi="Arial"/>
                <w:sz w:val="20"/>
              </w:rPr>
              <w:t>0</w:t>
            </w:r>
          </w:p>
        </w:tc>
        <w:tc>
          <w:tcPr>
            <w:tcW w:w="1620" w:type="dxa"/>
            <w:tcBorders>
              <w:top w:val="single" w:sz="4" w:space="0" w:color="auto"/>
              <w:left w:val="single" w:sz="4" w:space="0" w:color="auto"/>
              <w:bottom w:val="single" w:sz="4" w:space="0" w:color="auto"/>
              <w:right w:val="single" w:sz="4" w:space="0" w:color="auto"/>
            </w:tcBorders>
          </w:tcPr>
          <w:p w14:paraId="2878E8D1"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D2"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DD"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D4" w14:textId="77777777" w:rsidR="00CF108A" w:rsidRDefault="009F392E" w:rsidP="001B658F">
            <w:pPr>
              <w:rPr>
                <w:rFonts w:ascii="Calibri" w:hAnsi="Calibri"/>
                <w:color w:val="000000"/>
                <w:sz w:val="22"/>
                <w:szCs w:val="22"/>
              </w:rPr>
            </w:pPr>
            <w:r>
              <w:rPr>
                <w:rFonts w:ascii="Calibri" w:hAnsi="Calibri"/>
                <w:color w:val="000000"/>
                <w:sz w:val="22"/>
                <w:szCs w:val="22"/>
              </w:rPr>
              <w:t>Baader Bank AG</w:t>
            </w:r>
          </w:p>
          <w:p w14:paraId="2878E8D5" w14:textId="77777777" w:rsidR="00CF108A" w:rsidRDefault="009F392E" w:rsidP="001B658F">
            <w:pPr>
              <w:rPr>
                <w:rFonts w:ascii="Calibri" w:hAnsi="Calibri"/>
                <w:color w:val="000000"/>
                <w:sz w:val="22"/>
                <w:szCs w:val="22"/>
              </w:rPr>
            </w:pPr>
            <w:r>
              <w:rPr>
                <w:rFonts w:ascii="Calibri" w:hAnsi="Calibri"/>
                <w:color w:val="000000"/>
                <w:sz w:val="22"/>
                <w:szCs w:val="22"/>
              </w:rPr>
              <w:t>Unterschleissheim, Germany</w:t>
            </w:r>
          </w:p>
        </w:tc>
        <w:tc>
          <w:tcPr>
            <w:tcW w:w="1710" w:type="dxa"/>
            <w:tcBorders>
              <w:top w:val="single" w:sz="4" w:space="0" w:color="auto"/>
              <w:left w:val="single" w:sz="4" w:space="0" w:color="auto"/>
              <w:bottom w:val="single" w:sz="4" w:space="0" w:color="auto"/>
              <w:right w:val="single" w:sz="4" w:space="0" w:color="auto"/>
            </w:tcBorders>
          </w:tcPr>
          <w:p w14:paraId="2878E8D6"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520,833</w:t>
            </w:r>
          </w:p>
        </w:tc>
        <w:tc>
          <w:tcPr>
            <w:tcW w:w="1260" w:type="dxa"/>
            <w:tcBorders>
              <w:top w:val="single" w:sz="4" w:space="0" w:color="auto"/>
              <w:left w:val="single" w:sz="4" w:space="0" w:color="auto"/>
              <w:bottom w:val="single" w:sz="4" w:space="0" w:color="auto"/>
              <w:right w:val="single" w:sz="4" w:space="0" w:color="auto"/>
            </w:tcBorders>
          </w:tcPr>
          <w:p w14:paraId="2878E8D7"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D8"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D9"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Section 2.10 of NI 45-106</w:t>
            </w:r>
          </w:p>
        </w:tc>
        <w:tc>
          <w:tcPr>
            <w:tcW w:w="1890" w:type="dxa"/>
            <w:tcBorders>
              <w:top w:val="single" w:sz="4" w:space="0" w:color="auto"/>
              <w:left w:val="single" w:sz="4" w:space="0" w:color="auto"/>
              <w:bottom w:val="single" w:sz="4" w:space="0" w:color="auto"/>
              <w:right w:val="single" w:sz="4" w:space="0" w:color="auto"/>
            </w:tcBorders>
          </w:tcPr>
          <w:p w14:paraId="2878E8DA" w14:textId="77777777" w:rsidR="00CF108A" w:rsidRPr="001B658F" w:rsidRDefault="009F392E" w:rsidP="001B658F">
            <w:pPr>
              <w:pStyle w:val="BodyText"/>
              <w:spacing w:before="0" w:line="280" w:lineRule="exact"/>
              <w:jc w:val="center"/>
              <w:rPr>
                <w:rFonts w:ascii="Arial" w:hAnsi="Arial"/>
                <w:sz w:val="20"/>
              </w:rPr>
            </w:pPr>
            <w:r w:rsidRPr="001B658F">
              <w:rPr>
                <w:rFonts w:ascii="Arial" w:hAnsi="Arial"/>
                <w:sz w:val="20"/>
              </w:rPr>
              <w:t>0</w:t>
            </w:r>
          </w:p>
        </w:tc>
        <w:tc>
          <w:tcPr>
            <w:tcW w:w="1620" w:type="dxa"/>
            <w:tcBorders>
              <w:top w:val="single" w:sz="4" w:space="0" w:color="auto"/>
              <w:left w:val="single" w:sz="4" w:space="0" w:color="auto"/>
              <w:bottom w:val="single" w:sz="4" w:space="0" w:color="auto"/>
              <w:right w:val="single" w:sz="4" w:space="0" w:color="auto"/>
            </w:tcBorders>
          </w:tcPr>
          <w:p w14:paraId="2878E8DB"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DC"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E7" w14:textId="77777777" w:rsidTr="001B658F">
        <w:trPr>
          <w:trHeight w:val="20"/>
        </w:trPr>
        <w:tc>
          <w:tcPr>
            <w:tcW w:w="2088" w:type="dxa"/>
            <w:tcBorders>
              <w:top w:val="single" w:sz="4" w:space="0" w:color="auto"/>
              <w:left w:val="double" w:sz="4" w:space="0" w:color="auto"/>
              <w:bottom w:val="single" w:sz="4" w:space="0" w:color="auto"/>
              <w:right w:val="single" w:sz="4" w:space="0" w:color="auto"/>
            </w:tcBorders>
          </w:tcPr>
          <w:p w14:paraId="2878E8DE" w14:textId="77777777" w:rsidR="00CF108A" w:rsidRDefault="009F392E" w:rsidP="001B658F">
            <w:pPr>
              <w:rPr>
                <w:rFonts w:ascii="Calibri" w:hAnsi="Calibri"/>
                <w:color w:val="000000"/>
                <w:sz w:val="22"/>
                <w:szCs w:val="22"/>
              </w:rPr>
            </w:pPr>
            <w:r>
              <w:rPr>
                <w:rFonts w:ascii="Calibri" w:hAnsi="Calibri"/>
                <w:color w:val="000000"/>
                <w:sz w:val="22"/>
                <w:szCs w:val="22"/>
              </w:rPr>
              <w:t>Axxion S.A. on</w:t>
            </w:r>
            <w:r>
              <w:rPr>
                <w:rFonts w:ascii="Calibri" w:hAnsi="Calibri"/>
                <w:color w:val="000000"/>
                <w:sz w:val="22"/>
                <w:szCs w:val="22"/>
              </w:rPr>
              <w:t xml:space="preserve"> behalf of Frankfurter- Value Focus Funds</w:t>
            </w:r>
          </w:p>
          <w:p w14:paraId="2878E8DF" w14:textId="77777777" w:rsidR="00CF108A" w:rsidRDefault="009F392E" w:rsidP="001B658F">
            <w:pPr>
              <w:rPr>
                <w:rFonts w:ascii="Calibri" w:hAnsi="Calibri"/>
                <w:color w:val="000000"/>
                <w:sz w:val="22"/>
                <w:szCs w:val="22"/>
              </w:rPr>
            </w:pPr>
            <w:r>
              <w:rPr>
                <w:rFonts w:ascii="Calibri" w:hAnsi="Calibri"/>
                <w:color w:val="000000"/>
                <w:sz w:val="22"/>
                <w:szCs w:val="22"/>
              </w:rPr>
              <w:t xml:space="preserve">Grevenmacher, Luxembourg </w:t>
            </w:r>
          </w:p>
        </w:tc>
        <w:tc>
          <w:tcPr>
            <w:tcW w:w="1710" w:type="dxa"/>
            <w:tcBorders>
              <w:top w:val="single" w:sz="4" w:space="0" w:color="auto"/>
              <w:left w:val="single" w:sz="4" w:space="0" w:color="auto"/>
              <w:bottom w:val="single" w:sz="4" w:space="0" w:color="auto"/>
              <w:right w:val="single" w:sz="4" w:space="0" w:color="auto"/>
            </w:tcBorders>
          </w:tcPr>
          <w:p w14:paraId="2878E8E0" w14:textId="77777777" w:rsidR="00CF108A" w:rsidRPr="001B658F" w:rsidRDefault="009F392E" w:rsidP="001B658F">
            <w:pPr>
              <w:jc w:val="center"/>
              <w:rPr>
                <w:rFonts w:ascii="Calibri" w:hAnsi="Calibri"/>
                <w:color w:val="000000"/>
                <w:sz w:val="22"/>
                <w:szCs w:val="22"/>
              </w:rPr>
            </w:pPr>
            <w:r w:rsidRPr="001B658F">
              <w:rPr>
                <w:rFonts w:ascii="Calibri" w:hAnsi="Calibri"/>
                <w:color w:val="000000"/>
                <w:sz w:val="22"/>
                <w:szCs w:val="22"/>
              </w:rPr>
              <w:t>2,041,667</w:t>
            </w:r>
          </w:p>
        </w:tc>
        <w:tc>
          <w:tcPr>
            <w:tcW w:w="1260" w:type="dxa"/>
            <w:tcBorders>
              <w:top w:val="single" w:sz="4" w:space="0" w:color="auto"/>
              <w:left w:val="single" w:sz="4" w:space="0" w:color="auto"/>
              <w:bottom w:val="single" w:sz="4" w:space="0" w:color="auto"/>
              <w:right w:val="single" w:sz="4" w:space="0" w:color="auto"/>
            </w:tcBorders>
          </w:tcPr>
          <w:p w14:paraId="2878E8E1"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$1.50</w:t>
            </w:r>
          </w:p>
        </w:tc>
        <w:tc>
          <w:tcPr>
            <w:tcW w:w="1350" w:type="dxa"/>
            <w:tcBorders>
              <w:top w:val="single" w:sz="4" w:space="0" w:color="auto"/>
              <w:left w:val="single" w:sz="4" w:space="0" w:color="auto"/>
              <w:bottom w:val="single" w:sz="4" w:space="0" w:color="auto"/>
              <w:right w:val="single" w:sz="4" w:space="0" w:color="auto"/>
            </w:tcBorders>
          </w:tcPr>
          <w:p w14:paraId="2878E8E2"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$2.50</w:t>
            </w:r>
          </w:p>
        </w:tc>
        <w:tc>
          <w:tcPr>
            <w:tcW w:w="1800" w:type="dxa"/>
            <w:tcBorders>
              <w:top w:val="single" w:sz="4" w:space="0" w:color="auto"/>
              <w:left w:val="single" w:sz="4" w:space="0" w:color="auto"/>
              <w:bottom w:val="single" w:sz="4" w:space="0" w:color="auto"/>
              <w:right w:val="single" w:sz="4" w:space="0" w:color="auto"/>
            </w:tcBorders>
          </w:tcPr>
          <w:p w14:paraId="2878E8E3" w14:textId="77777777" w:rsidR="00CF108A" w:rsidRPr="001B658F" w:rsidRDefault="009F392E" w:rsidP="00F16009">
            <w:pPr>
              <w:pStyle w:val="BodyText"/>
              <w:spacing w:before="0" w:line="280" w:lineRule="exact"/>
              <w:jc w:val="center"/>
              <w:rPr>
                <w:rFonts w:ascii="Arial" w:hAnsi="Arial"/>
                <w:sz w:val="20"/>
                <w:lang w:val="en-CA"/>
              </w:rPr>
            </w:pPr>
            <w:r>
              <w:rPr>
                <w:rFonts w:ascii="Arial" w:hAnsi="Arial"/>
                <w:sz w:val="20"/>
                <w:lang w:val="en-CA"/>
              </w:rPr>
              <w:t>Section 2.10 of NI 45-106</w:t>
            </w:r>
          </w:p>
        </w:tc>
        <w:tc>
          <w:tcPr>
            <w:tcW w:w="1890" w:type="dxa"/>
            <w:tcBorders>
              <w:top w:val="single" w:sz="4" w:space="0" w:color="auto"/>
              <w:left w:val="single" w:sz="4" w:space="0" w:color="auto"/>
              <w:bottom w:val="single" w:sz="4" w:space="0" w:color="auto"/>
              <w:right w:val="single" w:sz="4" w:space="0" w:color="auto"/>
            </w:tcBorders>
          </w:tcPr>
          <w:p w14:paraId="2878E8E4" w14:textId="77777777" w:rsidR="00CF108A" w:rsidRPr="001B658F" w:rsidRDefault="009F392E" w:rsidP="001B658F">
            <w:pPr>
              <w:pStyle w:val="BodyText"/>
              <w:spacing w:before="0" w:line="280" w:lineRule="exact"/>
              <w:jc w:val="center"/>
              <w:rPr>
                <w:rFonts w:ascii="Arial" w:hAnsi="Arial"/>
                <w:sz w:val="20"/>
              </w:rPr>
            </w:pPr>
            <w:r w:rsidRPr="001B658F">
              <w:rPr>
                <w:rFonts w:ascii="Arial" w:hAnsi="Arial"/>
                <w:sz w:val="20"/>
              </w:rPr>
              <w:t>0</w:t>
            </w:r>
          </w:p>
        </w:tc>
        <w:tc>
          <w:tcPr>
            <w:tcW w:w="1620" w:type="dxa"/>
            <w:tcBorders>
              <w:top w:val="single" w:sz="4" w:space="0" w:color="auto"/>
              <w:left w:val="single" w:sz="4" w:space="0" w:color="auto"/>
              <w:bottom w:val="single" w:sz="4" w:space="0" w:color="auto"/>
              <w:right w:val="single" w:sz="4" w:space="0" w:color="auto"/>
            </w:tcBorders>
          </w:tcPr>
          <w:p w14:paraId="2878E8E5" w14:textId="77777777" w:rsidR="00CF108A" w:rsidRPr="001B658F" w:rsidRDefault="009F392E" w:rsidP="001B658F">
            <w:pPr>
              <w:pStyle w:val="BodyText"/>
              <w:spacing w:before="0" w:line="280" w:lineRule="exact"/>
              <w:jc w:val="center"/>
              <w:rPr>
                <w:rFonts w:ascii="Arial" w:hAnsi="Arial"/>
                <w:sz w:val="20"/>
                <w:lang w:val="en-CA"/>
              </w:rPr>
            </w:pPr>
            <w:r w:rsidRPr="001B658F">
              <w:rPr>
                <w:rFonts w:ascii="Arial" w:hAnsi="Arial"/>
                <w:sz w:val="20"/>
                <w:lang w:val="en-CA"/>
              </w:rPr>
              <w:t>March 1, 2018</w:t>
            </w:r>
          </w:p>
        </w:tc>
        <w:tc>
          <w:tcPr>
            <w:tcW w:w="2070" w:type="dxa"/>
            <w:tcBorders>
              <w:top w:val="single" w:sz="4" w:space="0" w:color="auto"/>
              <w:left w:val="single" w:sz="4" w:space="0" w:color="auto"/>
              <w:bottom w:val="single" w:sz="4" w:space="0" w:color="auto"/>
              <w:right w:val="double" w:sz="4" w:space="0" w:color="auto"/>
            </w:tcBorders>
          </w:tcPr>
          <w:p w14:paraId="2878E8E6" w14:textId="77777777" w:rsidR="00CF108A" w:rsidRPr="001B658F" w:rsidRDefault="009F392E" w:rsidP="001B658F">
            <w:pPr>
              <w:pStyle w:val="BodyText"/>
              <w:spacing w:before="0" w:line="280" w:lineRule="exact"/>
              <w:jc w:val="center"/>
              <w:rPr>
                <w:rFonts w:ascii="Arial" w:hAnsi="Arial"/>
                <w:color w:val="000000"/>
                <w:sz w:val="20"/>
                <w:lang w:val="en-CA"/>
              </w:rPr>
            </w:pPr>
            <w:r w:rsidRPr="001B658F">
              <w:rPr>
                <w:rFonts w:ascii="Arial" w:hAnsi="Arial"/>
                <w:color w:val="000000"/>
                <w:sz w:val="20"/>
                <w:lang w:val="en-CA"/>
              </w:rPr>
              <w:t>N/A</w:t>
            </w:r>
          </w:p>
        </w:tc>
      </w:tr>
      <w:tr w:rsidR="00357EAF" w14:paraId="2878E8F0" w14:textId="77777777" w:rsidTr="001B658F">
        <w:trPr>
          <w:trHeight w:val="20"/>
        </w:trPr>
        <w:tc>
          <w:tcPr>
            <w:tcW w:w="2088" w:type="dxa"/>
            <w:tcBorders>
              <w:top w:val="single" w:sz="4" w:space="0" w:color="auto"/>
              <w:left w:val="double" w:sz="4" w:space="0" w:color="auto"/>
              <w:bottom w:val="double" w:sz="4" w:space="0" w:color="auto"/>
              <w:right w:val="single" w:sz="4" w:space="0" w:color="auto"/>
            </w:tcBorders>
          </w:tcPr>
          <w:p w14:paraId="2878E8E8" w14:textId="77777777" w:rsidR="00CF108A" w:rsidRDefault="009F392E" w:rsidP="001B658F">
            <w:pPr>
              <w:pStyle w:val="BodyText"/>
              <w:spacing w:before="0" w:line="280" w:lineRule="exact"/>
              <w:rPr>
                <w:rFonts w:ascii="Arial" w:hAnsi="Arial"/>
                <w:b/>
                <w:sz w:val="20"/>
                <w:lang w:val="en-CA"/>
              </w:rPr>
            </w:pPr>
            <w:r>
              <w:rPr>
                <w:rFonts w:ascii="Arial" w:hAnsi="Arial"/>
                <w:b/>
                <w:sz w:val="20"/>
                <w:lang w:val="en-CA"/>
              </w:rPr>
              <w:t>Total:</w:t>
            </w:r>
          </w:p>
        </w:tc>
        <w:tc>
          <w:tcPr>
            <w:tcW w:w="1710" w:type="dxa"/>
            <w:tcBorders>
              <w:top w:val="single" w:sz="4" w:space="0" w:color="auto"/>
              <w:left w:val="single" w:sz="4" w:space="0" w:color="auto"/>
              <w:bottom w:val="double" w:sz="4" w:space="0" w:color="auto"/>
              <w:right w:val="single" w:sz="4" w:space="0" w:color="auto"/>
            </w:tcBorders>
          </w:tcPr>
          <w:p w14:paraId="2878E8E9" w14:textId="77777777" w:rsidR="00CF108A" w:rsidRDefault="009F392E" w:rsidP="008F484F">
            <w:pPr>
              <w:pStyle w:val="BodyText"/>
              <w:spacing w:before="0" w:line="280" w:lineRule="exact"/>
              <w:jc w:val="center"/>
              <w:rPr>
                <w:rFonts w:ascii="Arial" w:hAnsi="Arial"/>
                <w:b/>
                <w:sz w:val="20"/>
                <w:lang w:val="en-CA"/>
              </w:rPr>
            </w:pPr>
            <w:r>
              <w:rPr>
                <w:rFonts w:ascii="Arial" w:hAnsi="Arial"/>
                <w:b/>
                <w:sz w:val="20"/>
                <w:lang w:val="en-CA"/>
              </w:rPr>
              <w:fldChar w:fldCharType="begin"/>
            </w:r>
            <w:r>
              <w:rPr>
                <w:rFonts w:ascii="Arial" w:hAnsi="Arial"/>
                <w:b/>
                <w:sz w:val="20"/>
                <w:lang w:val="en-CA"/>
              </w:rPr>
              <w:instrText xml:space="preserve"> =SUM(ABOVE) </w:instrText>
            </w:r>
            <w:r>
              <w:rPr>
                <w:rFonts w:ascii="Arial" w:hAnsi="Arial"/>
                <w:b/>
                <w:sz w:val="20"/>
                <w:lang w:val="en-CA"/>
              </w:rPr>
              <w:fldChar w:fldCharType="separate"/>
            </w:r>
            <w:r>
              <w:rPr>
                <w:rFonts w:ascii="Arial" w:hAnsi="Arial"/>
                <w:b/>
                <w:noProof/>
                <w:sz w:val="20"/>
                <w:lang w:val="en-CA"/>
              </w:rPr>
              <w:t>6,700,000</w:t>
            </w:r>
            <w:r>
              <w:rPr>
                <w:rFonts w:ascii="Arial" w:hAnsi="Arial"/>
                <w:b/>
                <w:sz w:val="20"/>
                <w:lang w:val="en-CA"/>
              </w:rPr>
              <w:fldChar w:fldCharType="end"/>
            </w:r>
          </w:p>
        </w:tc>
        <w:tc>
          <w:tcPr>
            <w:tcW w:w="1260" w:type="dxa"/>
            <w:tcBorders>
              <w:top w:val="single" w:sz="4" w:space="0" w:color="auto"/>
              <w:left w:val="single" w:sz="4" w:space="0" w:color="auto"/>
              <w:bottom w:val="double" w:sz="4" w:space="0" w:color="auto"/>
              <w:right w:val="single" w:sz="4" w:space="0" w:color="auto"/>
            </w:tcBorders>
          </w:tcPr>
          <w:p w14:paraId="2878E8EA" w14:textId="77777777" w:rsidR="00CF108A" w:rsidRDefault="009F392E" w:rsidP="001B658F">
            <w:pPr>
              <w:pStyle w:val="BodyText"/>
              <w:spacing w:before="0" w:line="280" w:lineRule="exact"/>
              <w:rPr>
                <w:rFonts w:ascii="Arial" w:hAnsi="Arial"/>
                <w:b/>
                <w:sz w:val="20"/>
                <w:lang w:val="en-CA"/>
              </w:rPr>
            </w:pPr>
          </w:p>
        </w:tc>
        <w:tc>
          <w:tcPr>
            <w:tcW w:w="1350" w:type="dxa"/>
            <w:tcBorders>
              <w:top w:val="single" w:sz="4" w:space="0" w:color="auto"/>
              <w:left w:val="single" w:sz="4" w:space="0" w:color="auto"/>
              <w:bottom w:val="double" w:sz="4" w:space="0" w:color="auto"/>
              <w:right w:val="single" w:sz="4" w:space="0" w:color="auto"/>
            </w:tcBorders>
          </w:tcPr>
          <w:p w14:paraId="2878E8EB" w14:textId="77777777" w:rsidR="00CF108A" w:rsidRDefault="009F392E" w:rsidP="001B658F">
            <w:pPr>
              <w:pStyle w:val="BodyText"/>
              <w:spacing w:before="0" w:line="280" w:lineRule="exact"/>
              <w:rPr>
                <w:rFonts w:ascii="Arial" w:hAnsi="Arial"/>
                <w:b/>
                <w:sz w:val="20"/>
                <w:lang w:val="en-CA"/>
              </w:rPr>
            </w:pPr>
          </w:p>
        </w:tc>
        <w:tc>
          <w:tcPr>
            <w:tcW w:w="1800" w:type="dxa"/>
            <w:tcBorders>
              <w:top w:val="single" w:sz="4" w:space="0" w:color="auto"/>
              <w:left w:val="single" w:sz="4" w:space="0" w:color="auto"/>
              <w:bottom w:val="double" w:sz="4" w:space="0" w:color="auto"/>
              <w:right w:val="single" w:sz="4" w:space="0" w:color="auto"/>
            </w:tcBorders>
          </w:tcPr>
          <w:p w14:paraId="2878E8EC" w14:textId="77777777" w:rsidR="00CF108A" w:rsidRDefault="009F392E" w:rsidP="001B658F">
            <w:pPr>
              <w:pStyle w:val="BodyText"/>
              <w:spacing w:before="0" w:line="280" w:lineRule="exact"/>
              <w:rPr>
                <w:rFonts w:ascii="Arial" w:hAnsi="Arial"/>
                <w:b/>
                <w:sz w:val="20"/>
                <w:lang w:val="en-CA"/>
              </w:rPr>
            </w:pPr>
          </w:p>
        </w:tc>
        <w:tc>
          <w:tcPr>
            <w:tcW w:w="1890" w:type="dxa"/>
            <w:tcBorders>
              <w:top w:val="single" w:sz="4" w:space="0" w:color="auto"/>
              <w:left w:val="single" w:sz="4" w:space="0" w:color="auto"/>
              <w:bottom w:val="double" w:sz="4" w:space="0" w:color="auto"/>
              <w:right w:val="single" w:sz="4" w:space="0" w:color="auto"/>
            </w:tcBorders>
          </w:tcPr>
          <w:p w14:paraId="2878E8ED" w14:textId="77777777" w:rsidR="00CF108A" w:rsidRDefault="009F392E" w:rsidP="001B658F">
            <w:pPr>
              <w:pStyle w:val="BodyText"/>
              <w:spacing w:before="0" w:line="280" w:lineRule="exact"/>
              <w:rPr>
                <w:rFonts w:ascii="Arial" w:hAnsi="Arial"/>
                <w:b/>
                <w:sz w:val="20"/>
              </w:rPr>
            </w:pPr>
          </w:p>
        </w:tc>
        <w:tc>
          <w:tcPr>
            <w:tcW w:w="1620" w:type="dxa"/>
            <w:tcBorders>
              <w:top w:val="single" w:sz="4" w:space="0" w:color="auto"/>
              <w:left w:val="single" w:sz="4" w:space="0" w:color="auto"/>
              <w:bottom w:val="double" w:sz="4" w:space="0" w:color="auto"/>
              <w:right w:val="single" w:sz="4" w:space="0" w:color="auto"/>
            </w:tcBorders>
          </w:tcPr>
          <w:p w14:paraId="2878E8EE" w14:textId="77777777" w:rsidR="00CF108A" w:rsidRDefault="009F392E" w:rsidP="001B658F">
            <w:pPr>
              <w:pStyle w:val="BodyText"/>
              <w:spacing w:before="0" w:line="280" w:lineRule="exact"/>
              <w:rPr>
                <w:rFonts w:ascii="Arial" w:hAnsi="Arial"/>
                <w:b/>
                <w:sz w:val="20"/>
                <w:lang w:val="en-CA"/>
              </w:rPr>
            </w:pPr>
          </w:p>
        </w:tc>
        <w:tc>
          <w:tcPr>
            <w:tcW w:w="2070" w:type="dxa"/>
            <w:tcBorders>
              <w:top w:val="single" w:sz="4" w:space="0" w:color="auto"/>
              <w:left w:val="single" w:sz="4" w:space="0" w:color="auto"/>
              <w:bottom w:val="double" w:sz="4" w:space="0" w:color="auto"/>
              <w:right w:val="double" w:sz="4" w:space="0" w:color="auto"/>
            </w:tcBorders>
          </w:tcPr>
          <w:p w14:paraId="2878E8EF" w14:textId="77777777" w:rsidR="00CF108A" w:rsidRDefault="009F392E" w:rsidP="001B658F">
            <w:pPr>
              <w:pStyle w:val="BodyText"/>
              <w:spacing w:before="0" w:line="280" w:lineRule="exact"/>
              <w:rPr>
                <w:rFonts w:ascii="Arial" w:hAnsi="Arial"/>
                <w:b/>
                <w:sz w:val="20"/>
                <w:lang w:val="en-CA"/>
              </w:rPr>
            </w:pPr>
          </w:p>
        </w:tc>
      </w:tr>
    </w:tbl>
    <w:p w14:paraId="2878E8F1" w14:textId="77777777" w:rsidR="00126EAC" w:rsidRDefault="009F392E" w:rsidP="008F484F">
      <w:pPr>
        <w:pStyle w:val="List"/>
        <w:tabs>
          <w:tab w:val="left" w:pos="9180"/>
          <w:tab w:val="left" w:pos="9360"/>
        </w:tabs>
        <w:ind w:left="0" w:firstLine="0"/>
        <w:rPr>
          <w:rFonts w:ascii="Arial" w:hAnsi="Arial"/>
        </w:rPr>
      </w:pPr>
    </w:p>
    <w:sectPr w:rsidR="00126EAC" w:rsidSect="008F484F">
      <w:footerReference w:type="default" r:id="rId13"/>
      <w:pgSz w:w="15840" w:h="12240" w:orient="landscape" w:code="1"/>
      <w:pgMar w:top="1440" w:right="1152" w:bottom="990" w:left="1152"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E901" w14:textId="77777777" w:rsidR="00000000" w:rsidRDefault="009F392E">
      <w:r>
        <w:separator/>
      </w:r>
    </w:p>
  </w:endnote>
  <w:endnote w:type="continuationSeparator" w:id="0">
    <w:p w14:paraId="2878E903" w14:textId="77777777" w:rsidR="00000000" w:rsidRDefault="009F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E8F4" w14:textId="77777777" w:rsidR="00C45E8D" w:rsidRDefault="009F3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E8F5" w14:textId="77777777" w:rsidR="001B658F" w:rsidRDefault="009F392E" w:rsidP="008003B9">
    <w:pPr>
      <w:tabs>
        <w:tab w:val="center" w:pos="4674"/>
        <w:tab w:val="left" w:pos="8460"/>
      </w:tabs>
      <w:jc w:val="center"/>
      <w:rPr>
        <w:rStyle w:val="PageNumber"/>
        <w:rFonts w:ascii="Arial" w:hAnsi="Arial" w:cs="Arial"/>
        <w:b/>
      </w:rPr>
    </w:pPr>
    <w:r>
      <w:rPr>
        <w:b/>
        <w:noProof/>
        <w:lang w:val="en-CA" w:eastAsia="en-CA"/>
      </w:rPr>
      <w:pict w14:anchorId="2878E8FD">
        <v:line id="Line 3" o:spid="_x0000_s2049" style="position:absolute;left:0;text-align:left;flip:x;z-index:251658240;visibility:visible;mso-wrap-style:square;mso-width-percent:0;mso-height-percent:0;mso-wrap-distance-left:9pt;mso-wrap-distance-top:0;mso-wrap-distance-right:9pt;mso-wrap-distance-bottom:0;mso-width-percent:0;mso-height-percent:0;mso-width-relative:page;mso-height-relative:page" from="4.05pt,-1.6pt" to="465.75pt,-1.6pt"/>
      </w:pict>
    </w:r>
    <w:r>
      <w:rPr>
        <w:rFonts w:ascii="Arial" w:hAnsi="Arial" w:cs="Arial"/>
        <w:b/>
      </w:rPr>
      <w:t>FORM 9 – NOTICE OF PROPOSED ISSUANCE OF</w:t>
    </w:r>
  </w:p>
  <w:p w14:paraId="2878E8F6" w14:textId="77777777" w:rsidR="001B658F" w:rsidRDefault="009F392E" w:rsidP="008003B9">
    <w:pPr>
      <w:tabs>
        <w:tab w:val="center" w:pos="4674"/>
        <w:tab w:val="left" w:pos="8460"/>
      </w:tabs>
      <w:jc w:val="center"/>
      <w:rPr>
        <w:rStyle w:val="PageNumber"/>
        <w:rFonts w:ascii="Arial" w:hAnsi="Arial" w:cs="Arial"/>
        <w:b/>
      </w:rPr>
    </w:pPr>
    <w:r>
      <w:rPr>
        <w:rFonts w:ascii="Arial" w:hAnsi="Arial" w:cs="Arial"/>
        <w:b/>
      </w:rPr>
      <w:t>LISTED SECURITIES</w:t>
    </w:r>
  </w:p>
  <w:p w14:paraId="2878E8F7" w14:textId="77777777" w:rsidR="001B658F" w:rsidRDefault="009F392E"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878E8F8" w14:textId="00B3B9C1" w:rsidR="00CF108A" w:rsidRDefault="009F392E"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7</w:t>
    </w:r>
    <w:r w:rsidRPr="002557FD">
      <w:rPr>
        <w:rStyle w:val="PageNumber"/>
        <w:rFonts w:ascii="Arial" w:hAnsi="Arial" w:cs="Arial"/>
        <w:sz w:val="16"/>
        <w:szCs w:val="16"/>
      </w:rPr>
      <w:fldChar w:fldCharType="end"/>
    </w:r>
  </w:p>
  <w:p w14:paraId="2878E8F9" w14:textId="77777777" w:rsidR="00CF108A" w:rsidRDefault="009F392E" w:rsidP="00CF108A">
    <w:pPr>
      <w:pStyle w:val="Footer"/>
      <w:rPr>
        <w:rStyle w:val="PageNumbe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E8FB" w14:textId="77777777" w:rsidR="001B658F" w:rsidRDefault="009F392E">
    <w:pPr>
      <w:pStyle w:val="Footer"/>
    </w:pPr>
    <w:r>
      <w:fldChar w:fldCharType="begin"/>
    </w:r>
    <w:r>
      <w:instrText xml:space="preserve"> DOCPROPERTY FOOTERPATH \* MERGEFORMAT </w:instrText>
    </w:r>
    <w:r>
      <w:fldChar w:fldCharType="separate"/>
    </w:r>
    <w:r>
      <w:t>3214.001\0180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E8FC" w14:textId="77777777" w:rsidR="001B658F" w:rsidRPr="002557FD" w:rsidRDefault="009F392E" w:rsidP="008003B9">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E8FD" w14:textId="77777777" w:rsidR="00000000" w:rsidRDefault="009F392E">
      <w:r>
        <w:separator/>
      </w:r>
    </w:p>
  </w:footnote>
  <w:footnote w:type="continuationSeparator" w:id="0">
    <w:p w14:paraId="2878E8FF" w14:textId="77777777" w:rsidR="00000000" w:rsidRDefault="009F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E8F2" w14:textId="77777777" w:rsidR="00C45E8D" w:rsidRDefault="009F3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E8F3" w14:textId="77777777" w:rsidR="00C45E8D" w:rsidRDefault="009F3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E8FA" w14:textId="77777777" w:rsidR="00C45E8D" w:rsidRDefault="009F3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C587526">
      <w:start w:val="1"/>
      <w:numFmt w:val="decimal"/>
      <w:lvlText w:val="(%1)"/>
      <w:lvlJc w:val="left"/>
      <w:pPr>
        <w:tabs>
          <w:tab w:val="num" w:pos="720"/>
        </w:tabs>
        <w:ind w:left="720" w:hanging="360"/>
      </w:pPr>
      <w:rPr>
        <w:rFonts w:hint="default"/>
      </w:rPr>
    </w:lvl>
    <w:lvl w:ilvl="1" w:tplc="BF64F9C6" w:tentative="1">
      <w:start w:val="1"/>
      <w:numFmt w:val="lowerLetter"/>
      <w:lvlText w:val="%2."/>
      <w:lvlJc w:val="left"/>
      <w:pPr>
        <w:tabs>
          <w:tab w:val="num" w:pos="1440"/>
        </w:tabs>
        <w:ind w:left="1440" w:hanging="360"/>
      </w:pPr>
    </w:lvl>
    <w:lvl w:ilvl="2" w:tplc="D0CCE36C" w:tentative="1">
      <w:start w:val="1"/>
      <w:numFmt w:val="lowerRoman"/>
      <w:lvlText w:val="%3."/>
      <w:lvlJc w:val="right"/>
      <w:pPr>
        <w:tabs>
          <w:tab w:val="num" w:pos="2160"/>
        </w:tabs>
        <w:ind w:left="2160" w:hanging="180"/>
      </w:pPr>
    </w:lvl>
    <w:lvl w:ilvl="3" w:tplc="6BAC321C" w:tentative="1">
      <w:start w:val="1"/>
      <w:numFmt w:val="decimal"/>
      <w:lvlText w:val="%4."/>
      <w:lvlJc w:val="left"/>
      <w:pPr>
        <w:tabs>
          <w:tab w:val="num" w:pos="2880"/>
        </w:tabs>
        <w:ind w:left="2880" w:hanging="360"/>
      </w:pPr>
    </w:lvl>
    <w:lvl w:ilvl="4" w:tplc="C862DA38" w:tentative="1">
      <w:start w:val="1"/>
      <w:numFmt w:val="lowerLetter"/>
      <w:lvlText w:val="%5."/>
      <w:lvlJc w:val="left"/>
      <w:pPr>
        <w:tabs>
          <w:tab w:val="num" w:pos="3600"/>
        </w:tabs>
        <w:ind w:left="3600" w:hanging="360"/>
      </w:pPr>
    </w:lvl>
    <w:lvl w:ilvl="5" w:tplc="2E1A0C74" w:tentative="1">
      <w:start w:val="1"/>
      <w:numFmt w:val="lowerRoman"/>
      <w:lvlText w:val="%6."/>
      <w:lvlJc w:val="right"/>
      <w:pPr>
        <w:tabs>
          <w:tab w:val="num" w:pos="4320"/>
        </w:tabs>
        <w:ind w:left="4320" w:hanging="180"/>
      </w:pPr>
    </w:lvl>
    <w:lvl w:ilvl="6" w:tplc="2B92F860" w:tentative="1">
      <w:start w:val="1"/>
      <w:numFmt w:val="decimal"/>
      <w:lvlText w:val="%7."/>
      <w:lvlJc w:val="left"/>
      <w:pPr>
        <w:tabs>
          <w:tab w:val="num" w:pos="5040"/>
        </w:tabs>
        <w:ind w:left="5040" w:hanging="360"/>
      </w:pPr>
    </w:lvl>
    <w:lvl w:ilvl="7" w:tplc="37262498" w:tentative="1">
      <w:start w:val="1"/>
      <w:numFmt w:val="lowerLetter"/>
      <w:lvlText w:val="%8."/>
      <w:lvlJc w:val="left"/>
      <w:pPr>
        <w:tabs>
          <w:tab w:val="num" w:pos="5760"/>
        </w:tabs>
        <w:ind w:left="5760" w:hanging="360"/>
      </w:pPr>
    </w:lvl>
    <w:lvl w:ilvl="8" w:tplc="4C20F3BE"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FB6A94D2">
      <w:start w:val="3"/>
      <w:numFmt w:val="decimal"/>
      <w:lvlText w:val="%1."/>
      <w:lvlJc w:val="left"/>
      <w:pPr>
        <w:tabs>
          <w:tab w:val="num" w:pos="1080"/>
        </w:tabs>
        <w:ind w:left="1080" w:hanging="1080"/>
      </w:pPr>
      <w:rPr>
        <w:rFonts w:hint="default"/>
        <w:u w:val="none"/>
      </w:rPr>
    </w:lvl>
    <w:lvl w:ilvl="1" w:tplc="C3E472D8" w:tentative="1">
      <w:start w:val="1"/>
      <w:numFmt w:val="lowerLetter"/>
      <w:lvlText w:val="%2."/>
      <w:lvlJc w:val="left"/>
      <w:pPr>
        <w:tabs>
          <w:tab w:val="num" w:pos="2520"/>
        </w:tabs>
        <w:ind w:left="2520" w:hanging="360"/>
      </w:pPr>
    </w:lvl>
    <w:lvl w:ilvl="2" w:tplc="5AF60CB8" w:tentative="1">
      <w:start w:val="1"/>
      <w:numFmt w:val="lowerRoman"/>
      <w:lvlText w:val="%3."/>
      <w:lvlJc w:val="right"/>
      <w:pPr>
        <w:tabs>
          <w:tab w:val="num" w:pos="3240"/>
        </w:tabs>
        <w:ind w:left="3240" w:hanging="180"/>
      </w:pPr>
    </w:lvl>
    <w:lvl w:ilvl="3" w:tplc="55FE8BA8" w:tentative="1">
      <w:start w:val="1"/>
      <w:numFmt w:val="decimal"/>
      <w:lvlText w:val="%4."/>
      <w:lvlJc w:val="left"/>
      <w:pPr>
        <w:tabs>
          <w:tab w:val="num" w:pos="3960"/>
        </w:tabs>
        <w:ind w:left="3960" w:hanging="360"/>
      </w:pPr>
    </w:lvl>
    <w:lvl w:ilvl="4" w:tplc="0CF8DAC0" w:tentative="1">
      <w:start w:val="1"/>
      <w:numFmt w:val="lowerLetter"/>
      <w:lvlText w:val="%5."/>
      <w:lvlJc w:val="left"/>
      <w:pPr>
        <w:tabs>
          <w:tab w:val="num" w:pos="4680"/>
        </w:tabs>
        <w:ind w:left="4680" w:hanging="360"/>
      </w:pPr>
    </w:lvl>
    <w:lvl w:ilvl="5" w:tplc="7DE06F60" w:tentative="1">
      <w:start w:val="1"/>
      <w:numFmt w:val="lowerRoman"/>
      <w:lvlText w:val="%6."/>
      <w:lvlJc w:val="right"/>
      <w:pPr>
        <w:tabs>
          <w:tab w:val="num" w:pos="5400"/>
        </w:tabs>
        <w:ind w:left="5400" w:hanging="180"/>
      </w:pPr>
    </w:lvl>
    <w:lvl w:ilvl="6" w:tplc="51DE0142" w:tentative="1">
      <w:start w:val="1"/>
      <w:numFmt w:val="decimal"/>
      <w:lvlText w:val="%7."/>
      <w:lvlJc w:val="left"/>
      <w:pPr>
        <w:tabs>
          <w:tab w:val="num" w:pos="6120"/>
        </w:tabs>
        <w:ind w:left="6120" w:hanging="360"/>
      </w:pPr>
    </w:lvl>
    <w:lvl w:ilvl="7" w:tplc="88F6A868" w:tentative="1">
      <w:start w:val="1"/>
      <w:numFmt w:val="lowerLetter"/>
      <w:lvlText w:val="%8."/>
      <w:lvlJc w:val="left"/>
      <w:pPr>
        <w:tabs>
          <w:tab w:val="num" w:pos="6840"/>
        </w:tabs>
        <w:ind w:left="6840" w:hanging="360"/>
      </w:pPr>
    </w:lvl>
    <w:lvl w:ilvl="8" w:tplc="2DECFCB8"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EAF"/>
    <w:rsid w:val="00357EAF"/>
    <w:rsid w:val="009F392E"/>
    <w:rsid w:val="00ED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oNotEmbedSmartTags/>
  <w:decimalSymbol w:val="."/>
  <w:listSeparator w:val=","/>
  <w14:docId w14:val="2878E724"/>
  <w15:docId w15:val="{814B2B59-2BF8-4645-9EC9-DDDD94D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51E"/>
  </w:style>
  <w:style w:type="paragraph" w:styleId="Heading1">
    <w:name w:val="heading 1"/>
    <w:basedOn w:val="Normal"/>
    <w:next w:val="Normal"/>
    <w:link w:val="Heading1Char"/>
    <w:uiPriority w:val="9"/>
    <w:qFormat/>
    <w:rsid w:val="00E64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75651E"/>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651E"/>
    <w:pPr>
      <w:spacing w:before="240"/>
    </w:pPr>
    <w:rPr>
      <w:sz w:val="24"/>
      <w:lang w:val="en-GB"/>
    </w:rPr>
  </w:style>
  <w:style w:type="paragraph" w:styleId="List">
    <w:name w:val="List"/>
    <w:basedOn w:val="BodyText"/>
    <w:rsid w:val="0075651E"/>
    <w:pPr>
      <w:ind w:left="1080" w:hanging="1080"/>
    </w:pPr>
  </w:style>
  <w:style w:type="paragraph" w:styleId="List2">
    <w:name w:val="List 2"/>
    <w:basedOn w:val="List"/>
    <w:rsid w:val="0075651E"/>
    <w:pPr>
      <w:ind w:left="1800" w:hanging="720"/>
    </w:pPr>
  </w:style>
  <w:style w:type="paragraph" w:styleId="Title">
    <w:name w:val="Title"/>
    <w:basedOn w:val="BodyText"/>
    <w:qFormat/>
    <w:rsid w:val="0075651E"/>
    <w:pPr>
      <w:spacing w:after="240"/>
      <w:jc w:val="center"/>
    </w:pPr>
    <w:rPr>
      <w:rFonts w:ascii="Arial" w:hAnsi="Arial"/>
      <w:b/>
      <w:sz w:val="40"/>
    </w:rPr>
  </w:style>
  <w:style w:type="paragraph" w:customStyle="1" w:styleId="amend">
    <w:name w:val="amend"/>
    <w:basedOn w:val="Normal"/>
    <w:rsid w:val="0075651E"/>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5651E"/>
    <w:pPr>
      <w:tabs>
        <w:tab w:val="center" w:pos="4320"/>
        <w:tab w:val="right" w:pos="8640"/>
      </w:tabs>
    </w:pPr>
  </w:style>
  <w:style w:type="paragraph" w:styleId="Footer">
    <w:name w:val="footer"/>
    <w:basedOn w:val="Normal"/>
    <w:rsid w:val="0075651E"/>
    <w:pPr>
      <w:tabs>
        <w:tab w:val="center" w:pos="4320"/>
        <w:tab w:val="right" w:pos="8640"/>
      </w:tabs>
    </w:pPr>
  </w:style>
  <w:style w:type="character" w:styleId="PageNumber">
    <w:name w:val="page number"/>
    <w:basedOn w:val="DefaultParagraphFont"/>
    <w:rsid w:val="0075651E"/>
  </w:style>
  <w:style w:type="paragraph" w:styleId="EndnoteText">
    <w:name w:val="endnote text"/>
    <w:basedOn w:val="Normal"/>
    <w:semiHidden/>
    <w:rsid w:val="0075651E"/>
    <w:pPr>
      <w:widowControl w:val="0"/>
    </w:pPr>
    <w:rPr>
      <w:rFonts w:ascii="Helv 12pt" w:hAnsi="Helv 12pt"/>
      <w:sz w:val="24"/>
    </w:rPr>
  </w:style>
  <w:style w:type="paragraph" w:styleId="BalloonText">
    <w:name w:val="Balloon Text"/>
    <w:basedOn w:val="Normal"/>
    <w:semiHidden/>
    <w:rsid w:val="0075651E"/>
    <w:rPr>
      <w:rFonts w:ascii="Tahoma" w:hAnsi="Tahoma" w:cs="Tahoma"/>
      <w:sz w:val="16"/>
      <w:szCs w:val="16"/>
    </w:rPr>
  </w:style>
  <w:style w:type="paragraph" w:styleId="FootnoteText">
    <w:name w:val="footnote text"/>
    <w:basedOn w:val="Normal"/>
    <w:semiHidden/>
    <w:rsid w:val="0075651E"/>
  </w:style>
  <w:style w:type="character" w:styleId="FootnoteReference">
    <w:name w:val="footnote reference"/>
    <w:semiHidden/>
    <w:rsid w:val="0075651E"/>
    <w:rPr>
      <w:vertAlign w:val="superscript"/>
    </w:rPr>
  </w:style>
  <w:style w:type="character" w:customStyle="1" w:styleId="Heading1Char">
    <w:name w:val="Heading 1 Char"/>
    <w:basedOn w:val="DefaultParagraphFont"/>
    <w:link w:val="Heading1"/>
    <w:uiPriority w:val="9"/>
    <w:rsid w:val="00E64EF0"/>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CF108A"/>
    <w:rPr>
      <w:rFonts w:ascii="Verdana" w:hAnsi="Verdana"/>
      <w:sz w:val="1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Weatherbee</cp:lastModifiedBy>
  <cp:revision>2</cp:revision>
  <dcterms:created xsi:type="dcterms:W3CDTF">2018-03-03T00:33:00Z</dcterms:created>
  <dcterms:modified xsi:type="dcterms:W3CDTF">2018-03-03T00:34:00Z</dcterms:modified>
</cp:coreProperties>
</file>