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373D" w14:textId="77777777" w:rsidR="00A93EA9" w:rsidRDefault="00A93EA9"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043CFE2C" w14:textId="77777777" w:rsidR="00007ADF" w:rsidRPr="00C90A0A" w:rsidRDefault="00A93EA9" w:rsidP="003F6F1A">
      <w:pPr>
        <w:pStyle w:val="NormalWeb"/>
        <w:spacing w:before="240" w:beforeAutospacing="0" w:after="0" w:afterAutospacing="0"/>
        <w:jc w:val="center"/>
        <w:rPr>
          <w:rFonts w:ascii="Arial" w:hAnsi="Arial" w:cs="Arial"/>
          <w:b/>
          <w:bCs/>
          <w:color w:val="000000"/>
          <w:sz w:val="20"/>
          <w:szCs w:val="20"/>
        </w:rPr>
      </w:pPr>
      <w:r>
        <w:rPr>
          <w:rFonts w:ascii="Arial" w:hAnsi="Arial" w:cs="Arial"/>
          <w:b/>
          <w:bCs/>
          <w:color w:val="000000"/>
          <w:sz w:val="20"/>
          <w:szCs w:val="20"/>
        </w:rPr>
        <w:t>MANAGEMENT DISCUSSIONS AND ANALYSIS</w:t>
      </w:r>
    </w:p>
    <w:p w14:paraId="32EF9DC0" w14:textId="77777777" w:rsidR="00007ADF" w:rsidRPr="00C90A0A" w:rsidRDefault="00007ADF" w:rsidP="003F6F1A">
      <w:pPr>
        <w:pStyle w:val="NormalWeb"/>
        <w:spacing w:before="0" w:beforeAutospacing="0" w:after="0" w:afterAutospacing="0"/>
        <w:jc w:val="center"/>
        <w:rPr>
          <w:rFonts w:ascii="Arial" w:hAnsi="Arial" w:cs="Arial"/>
          <w:b/>
          <w:bCs/>
          <w:color w:val="000000"/>
          <w:sz w:val="20"/>
          <w:szCs w:val="20"/>
        </w:rPr>
      </w:pPr>
    </w:p>
    <w:p w14:paraId="2D839855" w14:textId="0457DC15" w:rsidR="00007ADF" w:rsidRPr="00A93EA9" w:rsidRDefault="00A93EA9" w:rsidP="003F6F1A">
      <w:pPr>
        <w:pBdr>
          <w:bottom w:val="single" w:sz="12" w:space="1" w:color="auto"/>
        </w:pBdr>
        <w:spacing w:after="0"/>
        <w:jc w:val="center"/>
        <w:rPr>
          <w:rFonts w:ascii="Arial" w:hAnsi="Arial" w:cs="Arial"/>
          <w:b/>
          <w:sz w:val="20"/>
          <w:szCs w:val="20"/>
        </w:rPr>
      </w:pPr>
      <w:r>
        <w:rPr>
          <w:b/>
        </w:rPr>
        <w:t xml:space="preserve">For the </w:t>
      </w:r>
      <w:r w:rsidR="00E27B44">
        <w:rPr>
          <w:b/>
        </w:rPr>
        <w:t xml:space="preserve">three </w:t>
      </w:r>
      <w:r w:rsidR="00291101">
        <w:rPr>
          <w:b/>
        </w:rPr>
        <w:t xml:space="preserve">and </w:t>
      </w:r>
      <w:r w:rsidR="00781C2B">
        <w:rPr>
          <w:b/>
        </w:rPr>
        <w:t>nine</w:t>
      </w:r>
      <w:r w:rsidR="00291101">
        <w:rPr>
          <w:b/>
        </w:rPr>
        <w:t xml:space="preserve"> </w:t>
      </w:r>
      <w:r w:rsidR="00E27B44">
        <w:rPr>
          <w:b/>
        </w:rPr>
        <w:t xml:space="preserve">months </w:t>
      </w:r>
      <w:r>
        <w:rPr>
          <w:b/>
        </w:rPr>
        <w:t xml:space="preserve">ended </w:t>
      </w:r>
      <w:r w:rsidR="00781C2B">
        <w:rPr>
          <w:b/>
        </w:rPr>
        <w:t>September</w:t>
      </w:r>
      <w:r w:rsidR="00291101">
        <w:rPr>
          <w:b/>
        </w:rPr>
        <w:t xml:space="preserve"> 30</w:t>
      </w:r>
      <w:r>
        <w:rPr>
          <w:b/>
        </w:rPr>
        <w:t>, 201</w:t>
      </w:r>
      <w:r w:rsidR="00E27B44">
        <w:rPr>
          <w:b/>
        </w:rPr>
        <w:t>9</w:t>
      </w:r>
      <w:r>
        <w:rPr>
          <w:b/>
        </w:rPr>
        <w:t xml:space="preserve"> and 201</w:t>
      </w:r>
      <w:r w:rsidR="00E27B44">
        <w:rPr>
          <w:b/>
        </w:rPr>
        <w:t>8</w:t>
      </w:r>
    </w:p>
    <w:p w14:paraId="2C77B698" w14:textId="77777777" w:rsidR="00A93EA9" w:rsidRPr="00C90A0A" w:rsidRDefault="00A93EA9" w:rsidP="003F6F1A">
      <w:pPr>
        <w:spacing w:after="0"/>
        <w:rPr>
          <w:rFonts w:ascii="Arial" w:hAnsi="Arial" w:cs="Arial"/>
          <w:sz w:val="20"/>
          <w:szCs w:val="20"/>
        </w:rPr>
      </w:pPr>
    </w:p>
    <w:p w14:paraId="07A4A42A" w14:textId="38B8EEDD" w:rsidR="00A93EA9" w:rsidRDefault="00A93EA9" w:rsidP="003F6F1A">
      <w:pPr>
        <w:spacing w:after="0"/>
        <w:jc w:val="both"/>
        <w:rPr>
          <w:rFonts w:ascii="Arial" w:hAnsi="Arial" w:cs="Arial"/>
          <w:sz w:val="20"/>
          <w:szCs w:val="20"/>
        </w:rPr>
      </w:pPr>
      <w:r w:rsidRPr="00A93EA9">
        <w:rPr>
          <w:rFonts w:ascii="Arial" w:hAnsi="Arial" w:cs="Arial"/>
          <w:sz w:val="20"/>
          <w:szCs w:val="20"/>
        </w:rPr>
        <w:t xml:space="preserve">The following Management’s Discussion and Analysis (“MD&amp;A”) for </w:t>
      </w:r>
      <w:r w:rsidRPr="00C90A0A">
        <w:rPr>
          <w:rFonts w:ascii="Arial" w:hAnsi="Arial" w:cs="Arial"/>
          <w:sz w:val="20"/>
          <w:szCs w:val="20"/>
        </w:rPr>
        <w:t>Empower Clinics Inc</w:t>
      </w:r>
      <w:r w:rsidRPr="00CE6D81">
        <w:rPr>
          <w:rFonts w:ascii="Arial" w:hAnsi="Arial" w:cs="Arial"/>
          <w:sz w:val="20"/>
          <w:szCs w:val="20"/>
        </w:rPr>
        <w:t>., together with its wholly owned subsidiaries (“Empower” or “the Company”) is prepared as</w:t>
      </w:r>
      <w:r w:rsidR="006E3636" w:rsidRPr="00CE6D81">
        <w:rPr>
          <w:rFonts w:ascii="Arial" w:hAnsi="Arial" w:cs="Arial"/>
          <w:sz w:val="20"/>
          <w:szCs w:val="20"/>
        </w:rPr>
        <w:t xml:space="preserve"> of </w:t>
      </w:r>
      <w:r w:rsidR="00CE6D81" w:rsidRPr="00CE6D81">
        <w:rPr>
          <w:rFonts w:ascii="Arial" w:hAnsi="Arial" w:cs="Arial"/>
          <w:sz w:val="20"/>
          <w:szCs w:val="20"/>
        </w:rPr>
        <w:t>November</w:t>
      </w:r>
      <w:r w:rsidR="00291101" w:rsidRPr="00CE6D81">
        <w:rPr>
          <w:rFonts w:ascii="Arial" w:hAnsi="Arial" w:cs="Arial"/>
          <w:sz w:val="20"/>
          <w:szCs w:val="20"/>
        </w:rPr>
        <w:t xml:space="preserve"> </w:t>
      </w:r>
      <w:r w:rsidR="006653F4" w:rsidRPr="00CE6D81">
        <w:rPr>
          <w:rFonts w:ascii="Arial" w:hAnsi="Arial" w:cs="Arial"/>
          <w:sz w:val="20"/>
          <w:szCs w:val="20"/>
        </w:rPr>
        <w:t>1</w:t>
      </w:r>
      <w:r w:rsidR="00787515">
        <w:rPr>
          <w:rFonts w:ascii="Arial" w:hAnsi="Arial" w:cs="Arial"/>
          <w:sz w:val="20"/>
          <w:szCs w:val="20"/>
        </w:rPr>
        <w:t>4</w:t>
      </w:r>
      <w:r w:rsidRPr="00CE6D81">
        <w:rPr>
          <w:rFonts w:ascii="Arial" w:hAnsi="Arial" w:cs="Arial"/>
          <w:sz w:val="20"/>
          <w:szCs w:val="20"/>
        </w:rPr>
        <w:t>,</w:t>
      </w:r>
      <w:r w:rsidRPr="00A93EA9">
        <w:rPr>
          <w:rFonts w:ascii="Arial" w:hAnsi="Arial" w:cs="Arial"/>
          <w:sz w:val="20"/>
          <w:szCs w:val="20"/>
        </w:rPr>
        <w:t xml:space="preserve"> 2019, and relates to the financial condition and results of operations for the </w:t>
      </w:r>
      <w:r w:rsidR="008F357A">
        <w:rPr>
          <w:rFonts w:ascii="Arial" w:hAnsi="Arial" w:cs="Arial"/>
          <w:sz w:val="20"/>
          <w:szCs w:val="20"/>
        </w:rPr>
        <w:t>three</w:t>
      </w:r>
      <w:r w:rsidR="00291101">
        <w:rPr>
          <w:rFonts w:ascii="Arial" w:hAnsi="Arial" w:cs="Arial"/>
          <w:sz w:val="20"/>
          <w:szCs w:val="20"/>
        </w:rPr>
        <w:t xml:space="preserve"> and </w:t>
      </w:r>
      <w:r w:rsidR="00781C2B">
        <w:rPr>
          <w:rFonts w:ascii="Arial" w:hAnsi="Arial" w:cs="Arial"/>
          <w:sz w:val="20"/>
          <w:szCs w:val="20"/>
        </w:rPr>
        <w:t>nine</w:t>
      </w:r>
      <w:r w:rsidR="00291101">
        <w:rPr>
          <w:rFonts w:ascii="Arial" w:hAnsi="Arial" w:cs="Arial"/>
          <w:sz w:val="20"/>
          <w:szCs w:val="20"/>
        </w:rPr>
        <w:t xml:space="preserve"> </w:t>
      </w:r>
      <w:r w:rsidR="008F357A">
        <w:rPr>
          <w:rFonts w:ascii="Arial" w:hAnsi="Arial" w:cs="Arial"/>
          <w:sz w:val="20"/>
          <w:szCs w:val="20"/>
        </w:rPr>
        <w:t xml:space="preserve">months </w:t>
      </w:r>
      <w:r w:rsidRPr="00A93EA9">
        <w:rPr>
          <w:rFonts w:ascii="Arial" w:hAnsi="Arial" w:cs="Arial"/>
          <w:sz w:val="20"/>
          <w:szCs w:val="20"/>
        </w:rPr>
        <w:t xml:space="preserve">ended </w:t>
      </w:r>
      <w:r w:rsidR="00781C2B">
        <w:rPr>
          <w:rFonts w:ascii="Arial" w:hAnsi="Arial" w:cs="Arial"/>
          <w:sz w:val="20"/>
          <w:szCs w:val="20"/>
        </w:rPr>
        <w:t>September</w:t>
      </w:r>
      <w:r w:rsidR="00291101">
        <w:rPr>
          <w:rFonts w:ascii="Arial" w:hAnsi="Arial" w:cs="Arial"/>
          <w:sz w:val="20"/>
          <w:szCs w:val="20"/>
        </w:rPr>
        <w:t xml:space="preserve"> 30</w:t>
      </w:r>
      <w:r w:rsidRPr="00A93EA9">
        <w:rPr>
          <w:rFonts w:ascii="Arial" w:hAnsi="Arial" w:cs="Arial"/>
          <w:sz w:val="20"/>
          <w:szCs w:val="20"/>
        </w:rPr>
        <w:t>, 201</w:t>
      </w:r>
      <w:r w:rsidR="008F357A">
        <w:rPr>
          <w:rFonts w:ascii="Arial" w:hAnsi="Arial" w:cs="Arial"/>
          <w:sz w:val="20"/>
          <w:szCs w:val="20"/>
        </w:rPr>
        <w:t>9</w:t>
      </w:r>
      <w:r w:rsidRPr="00A93EA9">
        <w:rPr>
          <w:rFonts w:ascii="Arial" w:hAnsi="Arial" w:cs="Arial"/>
          <w:sz w:val="20"/>
          <w:szCs w:val="20"/>
        </w:rPr>
        <w:t xml:space="preserve"> and 201</w:t>
      </w:r>
      <w:r w:rsidR="008F357A">
        <w:rPr>
          <w:rFonts w:ascii="Arial" w:hAnsi="Arial" w:cs="Arial"/>
          <w:sz w:val="20"/>
          <w:szCs w:val="20"/>
        </w:rPr>
        <w:t>8</w:t>
      </w:r>
      <w:r w:rsidRPr="00A93EA9">
        <w:rPr>
          <w:rFonts w:ascii="Arial" w:hAnsi="Arial" w:cs="Arial"/>
          <w:sz w:val="20"/>
          <w:szCs w:val="20"/>
        </w:rPr>
        <w:t xml:space="preserve">. Past performance may not be indicative of future performance. This MD&amp;A should be read in conjunction with the </w:t>
      </w:r>
      <w:r w:rsidR="00E27B44">
        <w:rPr>
          <w:rFonts w:ascii="Arial" w:hAnsi="Arial" w:cs="Arial"/>
          <w:sz w:val="20"/>
          <w:szCs w:val="20"/>
        </w:rPr>
        <w:t>una</w:t>
      </w:r>
      <w:r w:rsidRPr="00A93EA9">
        <w:rPr>
          <w:rFonts w:ascii="Arial" w:hAnsi="Arial" w:cs="Arial"/>
          <w:sz w:val="20"/>
          <w:szCs w:val="20"/>
        </w:rPr>
        <w:t xml:space="preserve">udited </w:t>
      </w:r>
      <w:r w:rsidR="00E27B44">
        <w:rPr>
          <w:rFonts w:ascii="Arial" w:hAnsi="Arial" w:cs="Arial"/>
          <w:sz w:val="20"/>
          <w:szCs w:val="20"/>
        </w:rPr>
        <w:t xml:space="preserve">condensed interim </w:t>
      </w:r>
      <w:r w:rsidRPr="00A93EA9">
        <w:rPr>
          <w:rFonts w:ascii="Arial" w:hAnsi="Arial" w:cs="Arial"/>
          <w:sz w:val="20"/>
          <w:szCs w:val="20"/>
        </w:rPr>
        <w:t xml:space="preserve">consolidated financial statements (“consolidated financial statements”) and related notes for the </w:t>
      </w:r>
      <w:r w:rsidR="008F357A">
        <w:rPr>
          <w:rFonts w:ascii="Arial" w:hAnsi="Arial" w:cs="Arial"/>
          <w:sz w:val="20"/>
          <w:szCs w:val="20"/>
        </w:rPr>
        <w:t xml:space="preserve">three </w:t>
      </w:r>
      <w:r w:rsidR="00291101">
        <w:rPr>
          <w:rFonts w:ascii="Arial" w:hAnsi="Arial" w:cs="Arial"/>
          <w:sz w:val="20"/>
          <w:szCs w:val="20"/>
        </w:rPr>
        <w:t xml:space="preserve">and </w:t>
      </w:r>
      <w:r w:rsidR="00781C2B">
        <w:rPr>
          <w:rFonts w:ascii="Arial" w:hAnsi="Arial" w:cs="Arial"/>
          <w:sz w:val="20"/>
          <w:szCs w:val="20"/>
        </w:rPr>
        <w:t>nine</w:t>
      </w:r>
      <w:r w:rsidR="00291101">
        <w:rPr>
          <w:rFonts w:ascii="Arial" w:hAnsi="Arial" w:cs="Arial"/>
          <w:sz w:val="20"/>
          <w:szCs w:val="20"/>
        </w:rPr>
        <w:t xml:space="preserve"> </w:t>
      </w:r>
      <w:r w:rsidR="008F357A">
        <w:rPr>
          <w:rFonts w:ascii="Arial" w:hAnsi="Arial" w:cs="Arial"/>
          <w:sz w:val="20"/>
          <w:szCs w:val="20"/>
        </w:rPr>
        <w:t xml:space="preserve">months ended </w:t>
      </w:r>
      <w:r w:rsidR="00781C2B">
        <w:rPr>
          <w:rFonts w:ascii="Arial" w:hAnsi="Arial" w:cs="Arial"/>
          <w:sz w:val="20"/>
          <w:szCs w:val="20"/>
        </w:rPr>
        <w:t>September</w:t>
      </w:r>
      <w:r w:rsidR="00291101">
        <w:rPr>
          <w:rFonts w:ascii="Arial" w:hAnsi="Arial" w:cs="Arial"/>
          <w:sz w:val="20"/>
          <w:szCs w:val="20"/>
        </w:rPr>
        <w:t xml:space="preserve"> 30</w:t>
      </w:r>
      <w:r w:rsidR="008F357A">
        <w:rPr>
          <w:rFonts w:ascii="Arial" w:hAnsi="Arial" w:cs="Arial"/>
          <w:sz w:val="20"/>
          <w:szCs w:val="20"/>
        </w:rPr>
        <w:t>, 2019 and 2018</w:t>
      </w:r>
      <w:r w:rsidRPr="00A93EA9">
        <w:rPr>
          <w:rFonts w:ascii="Arial" w:hAnsi="Arial" w:cs="Arial"/>
          <w:sz w:val="20"/>
          <w:szCs w:val="20"/>
        </w:rPr>
        <w:t>, which have been prepared using accounting policies consistent with International Financial Reporting Standards as issued by the International Accounting Standards Board (“IFRS” or “GAAP”).</w:t>
      </w:r>
      <w:r w:rsidR="00E27B44">
        <w:rPr>
          <w:rFonts w:ascii="Arial" w:hAnsi="Arial" w:cs="Arial"/>
          <w:sz w:val="20"/>
          <w:szCs w:val="20"/>
        </w:rPr>
        <w:t xml:space="preserve"> </w:t>
      </w:r>
    </w:p>
    <w:p w14:paraId="523A828C" w14:textId="77777777" w:rsidR="00291101" w:rsidRDefault="00291101" w:rsidP="003F6F1A">
      <w:pPr>
        <w:spacing w:after="0"/>
        <w:jc w:val="both"/>
        <w:rPr>
          <w:rFonts w:ascii="Arial" w:hAnsi="Arial" w:cs="Arial"/>
          <w:spacing w:val="-2"/>
          <w:sz w:val="20"/>
          <w:szCs w:val="20"/>
        </w:rPr>
      </w:pPr>
    </w:p>
    <w:p w14:paraId="29AF23E8" w14:textId="73B3B3E9" w:rsidR="00A93EA9" w:rsidRPr="00105B24" w:rsidRDefault="00A93EA9" w:rsidP="003F6F1A">
      <w:pPr>
        <w:spacing w:after="0"/>
        <w:jc w:val="both"/>
        <w:rPr>
          <w:rFonts w:ascii="Arial" w:hAnsi="Arial" w:cs="Arial"/>
          <w:spacing w:val="-2"/>
          <w:sz w:val="20"/>
          <w:szCs w:val="20"/>
        </w:rPr>
      </w:pPr>
      <w:r w:rsidRPr="00105B24">
        <w:rPr>
          <w:rFonts w:ascii="Arial" w:hAnsi="Arial" w:cs="Arial"/>
          <w:spacing w:val="-2"/>
          <w:sz w:val="20"/>
          <w:szCs w:val="20"/>
        </w:rPr>
        <w:t xml:space="preserve">The first, second, third and fourth quarters of the Company’s fiscal years are referred to as “Q1”, “Q2”, “Q3” and “Q4”, respectively. </w:t>
      </w:r>
      <w:r w:rsidR="00AB647D">
        <w:rPr>
          <w:rFonts w:ascii="Arial" w:hAnsi="Arial" w:cs="Arial"/>
          <w:spacing w:val="-2"/>
          <w:sz w:val="20"/>
          <w:szCs w:val="20"/>
        </w:rPr>
        <w:t xml:space="preserve">The </w:t>
      </w:r>
      <w:r w:rsidR="00781C2B">
        <w:rPr>
          <w:rFonts w:ascii="Arial" w:hAnsi="Arial" w:cs="Arial"/>
          <w:spacing w:val="-2"/>
          <w:sz w:val="20"/>
          <w:szCs w:val="20"/>
        </w:rPr>
        <w:t>nine</w:t>
      </w:r>
      <w:r w:rsidR="00AB647D">
        <w:rPr>
          <w:rFonts w:ascii="Arial" w:hAnsi="Arial" w:cs="Arial"/>
          <w:spacing w:val="-2"/>
          <w:sz w:val="20"/>
          <w:szCs w:val="20"/>
        </w:rPr>
        <w:t xml:space="preserve"> months ended </w:t>
      </w:r>
      <w:r w:rsidR="00781C2B">
        <w:rPr>
          <w:rFonts w:ascii="Arial" w:hAnsi="Arial" w:cs="Arial"/>
          <w:spacing w:val="-2"/>
          <w:sz w:val="20"/>
          <w:szCs w:val="20"/>
        </w:rPr>
        <w:t>September</w:t>
      </w:r>
      <w:r w:rsidR="00AB647D">
        <w:rPr>
          <w:rFonts w:ascii="Arial" w:hAnsi="Arial" w:cs="Arial"/>
          <w:spacing w:val="-2"/>
          <w:sz w:val="20"/>
          <w:szCs w:val="20"/>
        </w:rPr>
        <w:t xml:space="preserve"> 30, 2019 and 2018 are referred to as “YTD 2019” and “YTD 2018”, respectively. </w:t>
      </w:r>
      <w:r w:rsidRPr="00105B24">
        <w:rPr>
          <w:rFonts w:ascii="Arial" w:hAnsi="Arial" w:cs="Arial"/>
          <w:spacing w:val="-2"/>
          <w:sz w:val="20"/>
          <w:szCs w:val="20"/>
        </w:rPr>
        <w:t>The years ended December 31, 2018 and 2017, are also referred to as “fiscal 2018” and “fiscal 2017”, respectively. All amounts are presented in United States dollars, the Company’s presentation currency, unless otherwise stated. References to “C$” are to Canadian dollars.</w:t>
      </w:r>
    </w:p>
    <w:p w14:paraId="3F01361A" w14:textId="77777777" w:rsidR="001F1660" w:rsidRPr="00105B24" w:rsidRDefault="001F1660" w:rsidP="003F6F1A">
      <w:pPr>
        <w:spacing w:after="0"/>
        <w:jc w:val="both"/>
        <w:rPr>
          <w:rFonts w:ascii="Arial" w:hAnsi="Arial" w:cs="Arial"/>
          <w:spacing w:val="-2"/>
          <w:sz w:val="20"/>
          <w:szCs w:val="20"/>
        </w:rPr>
      </w:pPr>
    </w:p>
    <w:p w14:paraId="2C854D7A" w14:textId="77777777" w:rsidR="00007ADF" w:rsidRPr="00105B24" w:rsidRDefault="001F1660" w:rsidP="003F6F1A">
      <w:pPr>
        <w:spacing w:after="0"/>
        <w:jc w:val="both"/>
        <w:rPr>
          <w:rFonts w:ascii="Arial" w:hAnsi="Arial" w:cs="Arial"/>
          <w:spacing w:val="-2"/>
          <w:sz w:val="20"/>
          <w:szCs w:val="20"/>
        </w:rPr>
      </w:pPr>
      <w:r w:rsidRPr="00105B24">
        <w:rPr>
          <w:rFonts w:ascii="Arial" w:hAnsi="Arial" w:cs="Arial"/>
          <w:spacing w:val="-2"/>
          <w:sz w:val="20"/>
          <w:szCs w:val="20"/>
        </w:rPr>
        <w:t>Statements are subject to the risks and uncertainties identified in the “Risks and Uncertainties”, and “Cautionary Note Regarding Forward-Looking Statements” sections of this document.</w:t>
      </w:r>
    </w:p>
    <w:p w14:paraId="10FA067B" w14:textId="77777777" w:rsidR="004052CA" w:rsidRPr="00105B24" w:rsidRDefault="004052CA" w:rsidP="003F6F1A">
      <w:pPr>
        <w:spacing w:after="0"/>
        <w:jc w:val="both"/>
        <w:rPr>
          <w:rFonts w:ascii="Arial" w:hAnsi="Arial" w:cs="Arial"/>
          <w:spacing w:val="-2"/>
          <w:sz w:val="20"/>
          <w:szCs w:val="20"/>
        </w:rPr>
      </w:pPr>
    </w:p>
    <w:p w14:paraId="62D76942" w14:textId="7429A166" w:rsidR="001F1660" w:rsidRPr="00105B24" w:rsidRDefault="001F1660" w:rsidP="003F6F1A">
      <w:pPr>
        <w:spacing w:after="0"/>
        <w:jc w:val="both"/>
        <w:rPr>
          <w:rFonts w:ascii="Arial" w:hAnsi="Arial" w:cs="Arial"/>
          <w:spacing w:val="-2"/>
          <w:sz w:val="20"/>
          <w:szCs w:val="20"/>
        </w:rPr>
      </w:pPr>
      <w:r w:rsidRPr="00105B24">
        <w:rPr>
          <w:rFonts w:ascii="Arial" w:hAnsi="Arial" w:cs="Arial"/>
          <w:spacing w:val="-2"/>
          <w:sz w:val="20"/>
          <w:szCs w:val="20"/>
        </w:rPr>
        <w:t xml:space="preserve">We are publicly traded on the Canadian </w:t>
      </w:r>
      <w:r w:rsidR="006E2D4B" w:rsidRPr="00105B24">
        <w:rPr>
          <w:rFonts w:ascii="Arial" w:hAnsi="Arial" w:cs="Arial"/>
          <w:spacing w:val="-2"/>
          <w:sz w:val="20"/>
          <w:szCs w:val="20"/>
        </w:rPr>
        <w:t>Securities</w:t>
      </w:r>
      <w:r w:rsidRPr="00105B24">
        <w:rPr>
          <w:rFonts w:ascii="Arial" w:hAnsi="Arial" w:cs="Arial"/>
          <w:spacing w:val="-2"/>
          <w:sz w:val="20"/>
          <w:szCs w:val="20"/>
        </w:rPr>
        <w:t xml:space="preserve"> Exchange (“Exchange”) under the symbol </w:t>
      </w:r>
      <w:r w:rsidR="00374039">
        <w:rPr>
          <w:rFonts w:ascii="Arial" w:hAnsi="Arial" w:cs="Arial"/>
          <w:spacing w:val="-2"/>
          <w:sz w:val="20"/>
          <w:szCs w:val="20"/>
        </w:rPr>
        <w:t>“</w:t>
      </w:r>
      <w:r w:rsidR="005811F3" w:rsidRPr="00105B24">
        <w:rPr>
          <w:rFonts w:ascii="Arial" w:hAnsi="Arial" w:cs="Arial"/>
          <w:spacing w:val="-2"/>
          <w:sz w:val="20"/>
          <w:szCs w:val="20"/>
        </w:rPr>
        <w:t>CBDT</w:t>
      </w:r>
      <w:r w:rsidR="00374039">
        <w:rPr>
          <w:rFonts w:ascii="Arial" w:hAnsi="Arial" w:cs="Arial"/>
          <w:spacing w:val="-2"/>
          <w:sz w:val="20"/>
          <w:szCs w:val="20"/>
        </w:rPr>
        <w:t>”</w:t>
      </w:r>
      <w:r w:rsidR="00C00F4C" w:rsidRPr="00105B24">
        <w:rPr>
          <w:rFonts w:ascii="Arial" w:hAnsi="Arial" w:cs="Arial"/>
          <w:spacing w:val="-2"/>
          <w:sz w:val="20"/>
          <w:szCs w:val="20"/>
        </w:rPr>
        <w:t>, quoted on the OTCQX under the symbol “EPWCF” and quoted on the Frankfurt Stock Exchange under the symbol “8EC.F 8EC.MU, 8EC.SG”</w:t>
      </w:r>
      <w:r w:rsidRPr="00105B24">
        <w:rPr>
          <w:rFonts w:ascii="Arial" w:hAnsi="Arial" w:cs="Arial"/>
          <w:spacing w:val="-2"/>
          <w:sz w:val="20"/>
          <w:szCs w:val="20"/>
        </w:rPr>
        <w:t>. Continuous disclosure materials are available on our website at www.</w:t>
      </w:r>
      <w:r w:rsidR="005811F3" w:rsidRPr="00105B24">
        <w:rPr>
          <w:rFonts w:ascii="Arial" w:hAnsi="Arial" w:cs="Arial"/>
          <w:spacing w:val="-2"/>
          <w:sz w:val="20"/>
          <w:szCs w:val="20"/>
        </w:rPr>
        <w:t>empowerclinics</w:t>
      </w:r>
      <w:r w:rsidRPr="00105B24">
        <w:rPr>
          <w:rFonts w:ascii="Arial" w:hAnsi="Arial" w:cs="Arial"/>
          <w:spacing w:val="-2"/>
          <w:sz w:val="20"/>
          <w:szCs w:val="20"/>
        </w:rPr>
        <w:t xml:space="preserve">.com, and on SEDAR at </w:t>
      </w:r>
      <w:r w:rsidR="005811F3" w:rsidRPr="00105B24">
        <w:rPr>
          <w:rFonts w:ascii="Arial" w:hAnsi="Arial" w:cs="Arial"/>
          <w:spacing w:val="-2"/>
          <w:sz w:val="20"/>
          <w:szCs w:val="20"/>
        </w:rPr>
        <w:t>www.sedar.com</w:t>
      </w:r>
      <w:r w:rsidRPr="00105B24">
        <w:rPr>
          <w:rFonts w:ascii="Arial" w:hAnsi="Arial" w:cs="Arial"/>
          <w:spacing w:val="-2"/>
          <w:sz w:val="20"/>
          <w:szCs w:val="20"/>
        </w:rPr>
        <w:t>.</w:t>
      </w:r>
    </w:p>
    <w:p w14:paraId="7CEDFB3D" w14:textId="77777777" w:rsidR="00C00F4C" w:rsidRDefault="00C00F4C" w:rsidP="003F6F1A">
      <w:pPr>
        <w:spacing w:after="0"/>
        <w:jc w:val="both"/>
        <w:rPr>
          <w:rFonts w:ascii="Arial" w:hAnsi="Arial" w:cs="Arial"/>
          <w:sz w:val="20"/>
          <w:szCs w:val="20"/>
        </w:rPr>
      </w:pPr>
    </w:p>
    <w:p w14:paraId="50CC5370" w14:textId="77777777" w:rsidR="006C64D9" w:rsidRPr="006C64D9" w:rsidRDefault="006C64D9" w:rsidP="003F6F1A">
      <w:pPr>
        <w:rPr>
          <w:rFonts w:ascii="Arial" w:hAnsi="Arial" w:cs="Arial"/>
          <w:b/>
          <w:sz w:val="20"/>
          <w:szCs w:val="20"/>
        </w:rPr>
      </w:pPr>
      <w:r w:rsidRPr="006C64D9">
        <w:rPr>
          <w:rFonts w:ascii="Arial" w:hAnsi="Arial" w:cs="Arial"/>
          <w:b/>
          <w:sz w:val="20"/>
          <w:szCs w:val="20"/>
        </w:rPr>
        <w:t>Nature of Operations and Going Concern</w:t>
      </w:r>
    </w:p>
    <w:p w14:paraId="49A9C854" w14:textId="5CFD08D1" w:rsidR="000A57E7" w:rsidRDefault="006C64D9" w:rsidP="003F6F1A">
      <w:pPr>
        <w:spacing w:after="0"/>
        <w:jc w:val="both"/>
        <w:rPr>
          <w:rFonts w:ascii="Arial" w:hAnsi="Arial" w:cs="Arial"/>
          <w:spacing w:val="-2"/>
          <w:sz w:val="20"/>
          <w:szCs w:val="20"/>
        </w:rPr>
      </w:pPr>
      <w:r w:rsidRPr="00C90A0A">
        <w:rPr>
          <w:rFonts w:ascii="Arial" w:hAnsi="Arial" w:cs="Arial"/>
          <w:spacing w:val="-2"/>
          <w:sz w:val="20"/>
          <w:szCs w:val="20"/>
        </w:rPr>
        <w:t xml:space="preserve">As at </w:t>
      </w:r>
      <w:r w:rsidR="00781C2B">
        <w:rPr>
          <w:rFonts w:ascii="Arial" w:hAnsi="Arial" w:cs="Arial"/>
          <w:spacing w:val="-2"/>
          <w:sz w:val="20"/>
          <w:szCs w:val="20"/>
        </w:rPr>
        <w:t>September</w:t>
      </w:r>
      <w:r w:rsidR="00291101">
        <w:rPr>
          <w:rFonts w:ascii="Arial" w:hAnsi="Arial" w:cs="Arial"/>
          <w:spacing w:val="-2"/>
          <w:sz w:val="20"/>
          <w:szCs w:val="20"/>
        </w:rPr>
        <w:t xml:space="preserve"> 30</w:t>
      </w:r>
      <w:r w:rsidR="00DE205C">
        <w:rPr>
          <w:rFonts w:ascii="Arial" w:hAnsi="Arial" w:cs="Arial"/>
          <w:spacing w:val="-2"/>
          <w:sz w:val="20"/>
          <w:szCs w:val="20"/>
        </w:rPr>
        <w:t>, 201</w:t>
      </w:r>
      <w:r w:rsidR="008F357A">
        <w:rPr>
          <w:rFonts w:ascii="Arial" w:hAnsi="Arial" w:cs="Arial"/>
          <w:spacing w:val="-2"/>
          <w:sz w:val="20"/>
          <w:szCs w:val="20"/>
        </w:rPr>
        <w:t>9</w:t>
      </w:r>
      <w:r w:rsidRPr="00C90A0A">
        <w:rPr>
          <w:rFonts w:ascii="Arial" w:hAnsi="Arial" w:cs="Arial"/>
          <w:spacing w:val="-2"/>
          <w:sz w:val="20"/>
          <w:szCs w:val="20"/>
        </w:rPr>
        <w:t xml:space="preserve">, the Company has an accumulated deficit </w:t>
      </w:r>
      <w:r w:rsidRPr="00B52C92">
        <w:rPr>
          <w:rFonts w:ascii="Arial" w:hAnsi="Arial" w:cs="Arial"/>
          <w:spacing w:val="-2"/>
          <w:sz w:val="20"/>
          <w:szCs w:val="20"/>
        </w:rPr>
        <w:t>of $</w:t>
      </w:r>
      <w:r w:rsidR="00AE34D5">
        <w:rPr>
          <w:rFonts w:ascii="Arial" w:hAnsi="Arial" w:cs="Arial"/>
          <w:spacing w:val="-2"/>
          <w:sz w:val="20"/>
          <w:szCs w:val="20"/>
        </w:rPr>
        <w:t>10,801,288</w:t>
      </w:r>
      <w:r w:rsidR="001A480E" w:rsidRPr="001A480E">
        <w:rPr>
          <w:rFonts w:ascii="Arial" w:hAnsi="Arial" w:cs="Arial"/>
          <w:sz w:val="20"/>
          <w:szCs w:val="20"/>
        </w:rPr>
        <w:t xml:space="preserve"> </w:t>
      </w:r>
      <w:r w:rsidRPr="00C90A0A">
        <w:rPr>
          <w:rFonts w:ascii="Arial" w:hAnsi="Arial" w:cs="Arial"/>
          <w:spacing w:val="-2"/>
          <w:sz w:val="20"/>
          <w:szCs w:val="20"/>
        </w:rPr>
        <w:t xml:space="preserve">(December 31, </w:t>
      </w:r>
      <w:r w:rsidR="00DE205C" w:rsidRPr="00C90A0A">
        <w:rPr>
          <w:rFonts w:ascii="Arial" w:hAnsi="Arial" w:cs="Arial"/>
          <w:spacing w:val="-2"/>
          <w:sz w:val="20"/>
          <w:szCs w:val="20"/>
        </w:rPr>
        <w:t>201</w:t>
      </w:r>
      <w:r w:rsidR="008F357A">
        <w:rPr>
          <w:rFonts w:ascii="Arial" w:hAnsi="Arial" w:cs="Arial"/>
          <w:spacing w:val="-2"/>
          <w:sz w:val="20"/>
          <w:szCs w:val="20"/>
        </w:rPr>
        <w:t>8</w:t>
      </w:r>
      <w:r w:rsidR="00DE205C" w:rsidRPr="00C90A0A">
        <w:rPr>
          <w:rFonts w:ascii="Arial" w:hAnsi="Arial" w:cs="Arial"/>
          <w:spacing w:val="-2"/>
          <w:sz w:val="20"/>
          <w:szCs w:val="20"/>
        </w:rPr>
        <w:t xml:space="preserve"> </w:t>
      </w:r>
      <w:r w:rsidRPr="00C90A0A">
        <w:rPr>
          <w:rFonts w:ascii="Arial" w:hAnsi="Arial" w:cs="Arial"/>
          <w:spacing w:val="-2"/>
          <w:sz w:val="20"/>
          <w:szCs w:val="20"/>
        </w:rPr>
        <w:t xml:space="preserve">- </w:t>
      </w:r>
      <w:r w:rsidRPr="00B52C92">
        <w:rPr>
          <w:rFonts w:ascii="Arial" w:hAnsi="Arial" w:cs="Arial"/>
          <w:spacing w:val="-2"/>
          <w:sz w:val="20"/>
          <w:szCs w:val="20"/>
        </w:rPr>
        <w:t>$</w:t>
      </w:r>
      <w:r w:rsidR="009C2644">
        <w:rPr>
          <w:rFonts w:ascii="Arial" w:hAnsi="Arial" w:cs="Arial"/>
          <w:spacing w:val="-2"/>
          <w:sz w:val="20"/>
          <w:szCs w:val="20"/>
        </w:rPr>
        <w:t>9,</w:t>
      </w:r>
      <w:r w:rsidR="00BC0961">
        <w:rPr>
          <w:rFonts w:ascii="Arial" w:hAnsi="Arial" w:cs="Arial"/>
          <w:spacing w:val="-2"/>
          <w:sz w:val="20"/>
          <w:szCs w:val="20"/>
        </w:rPr>
        <w:t>369,941</w:t>
      </w:r>
      <w:r w:rsidRPr="00B52C92">
        <w:rPr>
          <w:rFonts w:ascii="Arial" w:hAnsi="Arial" w:cs="Arial"/>
          <w:spacing w:val="-2"/>
          <w:sz w:val="20"/>
          <w:szCs w:val="20"/>
        </w:rPr>
        <w:t>).</w:t>
      </w:r>
      <w:r w:rsidRPr="00C90A0A">
        <w:rPr>
          <w:rFonts w:ascii="Arial" w:hAnsi="Arial" w:cs="Arial"/>
          <w:spacing w:val="-2"/>
          <w:sz w:val="20"/>
          <w:szCs w:val="20"/>
        </w:rPr>
        <w:t xml:space="preserve"> The Company’s operations are mainly funded with </w:t>
      </w:r>
      <w:r w:rsidR="00374039">
        <w:rPr>
          <w:rFonts w:ascii="Arial" w:hAnsi="Arial" w:cs="Arial"/>
          <w:spacing w:val="-2"/>
          <w:sz w:val="20"/>
          <w:szCs w:val="20"/>
        </w:rPr>
        <w:t xml:space="preserve">debt </w:t>
      </w:r>
      <w:r w:rsidRPr="00C90A0A">
        <w:rPr>
          <w:rFonts w:ascii="Arial" w:hAnsi="Arial" w:cs="Arial"/>
          <w:spacing w:val="-2"/>
          <w:sz w:val="20"/>
          <w:szCs w:val="20"/>
        </w:rPr>
        <w:t xml:space="preserve">and </w:t>
      </w:r>
      <w:r w:rsidR="00374039">
        <w:rPr>
          <w:rFonts w:ascii="Arial" w:hAnsi="Arial" w:cs="Arial"/>
          <w:spacing w:val="-2"/>
          <w:sz w:val="20"/>
          <w:szCs w:val="20"/>
        </w:rPr>
        <w:t>equity</w:t>
      </w:r>
      <w:r w:rsidRPr="00C90A0A">
        <w:rPr>
          <w:rFonts w:ascii="Arial" w:hAnsi="Arial" w:cs="Arial"/>
          <w:spacing w:val="-2"/>
          <w:sz w:val="20"/>
          <w:szCs w:val="20"/>
        </w:rPr>
        <w:t xml:space="preserve"> financing, which is dependent upon many external factors, and thus funds may be difficult to raise when required. Management continues to evaluate the need for additional financing and is of the opinion that additional financing will be available to continue its planned activities in the normal course. Nonetheless, there is no assurance that the Company will be able to raise sufficient funds in the future to complete its planned activities.  </w:t>
      </w:r>
    </w:p>
    <w:p w14:paraId="117713CA" w14:textId="77777777" w:rsidR="000A57E7" w:rsidRDefault="000A57E7" w:rsidP="003F6F1A">
      <w:pPr>
        <w:spacing w:after="0"/>
        <w:jc w:val="both"/>
        <w:rPr>
          <w:rFonts w:ascii="Arial" w:hAnsi="Arial" w:cs="Arial"/>
          <w:sz w:val="20"/>
          <w:szCs w:val="20"/>
        </w:rPr>
      </w:pPr>
    </w:p>
    <w:p w14:paraId="203ED49F" w14:textId="77777777" w:rsidR="006C64D9" w:rsidRDefault="006C64D9" w:rsidP="003F6F1A">
      <w:pPr>
        <w:spacing w:after="0"/>
        <w:jc w:val="both"/>
        <w:rPr>
          <w:rFonts w:ascii="Arial" w:hAnsi="Arial" w:cs="Arial"/>
          <w:sz w:val="20"/>
          <w:szCs w:val="20"/>
        </w:rPr>
      </w:pPr>
      <w:r w:rsidRPr="00C90A0A">
        <w:rPr>
          <w:rFonts w:ascii="Arial" w:hAnsi="Arial" w:cs="Arial"/>
          <w:sz w:val="20"/>
          <w:szCs w:val="20"/>
        </w:rPr>
        <w:t>The foregoing indicates the existence of a material uncertainty that may cast substantial doubt as to whether the Company would continue as a going concern and realize its assets and settle its liabilities and commitments in the normal course of business.</w:t>
      </w:r>
    </w:p>
    <w:p w14:paraId="256F9FFF" w14:textId="77777777" w:rsidR="006C64D9" w:rsidRPr="006C64D9" w:rsidRDefault="006C64D9" w:rsidP="003F6F1A">
      <w:pPr>
        <w:spacing w:after="0"/>
        <w:jc w:val="both"/>
        <w:rPr>
          <w:rFonts w:ascii="Arial" w:hAnsi="Arial" w:cs="Arial"/>
          <w:spacing w:val="-2"/>
          <w:sz w:val="20"/>
          <w:szCs w:val="20"/>
        </w:rPr>
      </w:pPr>
    </w:p>
    <w:p w14:paraId="4659B102" w14:textId="77777777" w:rsidR="00DF0D70" w:rsidRDefault="006C64D9" w:rsidP="003F6F1A">
      <w:pPr>
        <w:spacing w:after="0"/>
        <w:jc w:val="both"/>
        <w:rPr>
          <w:rFonts w:ascii="Arial" w:hAnsi="Arial" w:cs="Arial"/>
          <w:spacing w:val="-2"/>
          <w:sz w:val="20"/>
          <w:szCs w:val="20"/>
        </w:rPr>
      </w:pPr>
      <w:r w:rsidRPr="006C64D9">
        <w:rPr>
          <w:rFonts w:ascii="Arial" w:hAnsi="Arial" w:cs="Arial"/>
          <w:spacing w:val="-2"/>
          <w:sz w:val="20"/>
          <w:szCs w:val="20"/>
        </w:rPr>
        <w:t xml:space="preserve">The Company’s consolidated financial statements have been prepared on the basis of accounting principles applicable to a going concern, which assume the realization of assets and discharge of liabilities in the normal course of business.  </w:t>
      </w:r>
      <w:r>
        <w:rPr>
          <w:rFonts w:ascii="Arial" w:hAnsi="Arial" w:cs="Arial"/>
          <w:spacing w:val="-2"/>
          <w:sz w:val="20"/>
          <w:szCs w:val="20"/>
        </w:rPr>
        <w:t>The</w:t>
      </w:r>
      <w:r w:rsidRPr="006C64D9">
        <w:rPr>
          <w:rFonts w:ascii="Arial" w:hAnsi="Arial" w:cs="Arial"/>
          <w:spacing w:val="-2"/>
          <w:sz w:val="20"/>
          <w:szCs w:val="20"/>
        </w:rPr>
        <w:t xml:space="preserve"> consolidated financial statements do not give effect to any adjustments that would be necessary should the Company not be able to continue as a going concern. Such adjustments could be material.</w:t>
      </w:r>
    </w:p>
    <w:p w14:paraId="79E87C7B" w14:textId="77777777" w:rsidR="000A57E7" w:rsidRDefault="000A57E7" w:rsidP="003F6F1A">
      <w:pPr>
        <w:spacing w:after="0"/>
        <w:jc w:val="both"/>
        <w:rPr>
          <w:rFonts w:ascii="Arial" w:hAnsi="Arial" w:cs="Arial"/>
          <w:sz w:val="20"/>
          <w:szCs w:val="20"/>
        </w:rPr>
      </w:pPr>
    </w:p>
    <w:p w14:paraId="66FC63F5" w14:textId="77777777" w:rsidR="00291101" w:rsidRDefault="00291101" w:rsidP="003F6F1A">
      <w:pPr>
        <w:spacing w:after="0"/>
        <w:jc w:val="both"/>
        <w:rPr>
          <w:rFonts w:ascii="Arial" w:hAnsi="Arial" w:cs="Arial"/>
          <w:sz w:val="20"/>
          <w:szCs w:val="20"/>
        </w:rPr>
      </w:pPr>
    </w:p>
    <w:p w14:paraId="7B938FC8" w14:textId="77777777" w:rsidR="00291101" w:rsidRDefault="00291101" w:rsidP="003F6F1A">
      <w:pPr>
        <w:spacing w:after="0"/>
        <w:jc w:val="both"/>
        <w:rPr>
          <w:rFonts w:ascii="Arial" w:hAnsi="Arial" w:cs="Arial"/>
          <w:sz w:val="20"/>
          <w:szCs w:val="20"/>
        </w:rPr>
      </w:pPr>
    </w:p>
    <w:p w14:paraId="66FFED6E" w14:textId="77777777" w:rsidR="00291101" w:rsidRDefault="00291101" w:rsidP="003F6F1A">
      <w:pPr>
        <w:spacing w:after="0"/>
        <w:jc w:val="both"/>
        <w:rPr>
          <w:rFonts w:ascii="Arial" w:hAnsi="Arial" w:cs="Arial"/>
          <w:sz w:val="20"/>
          <w:szCs w:val="20"/>
        </w:rPr>
      </w:pPr>
    </w:p>
    <w:p w14:paraId="034485E2" w14:textId="77777777" w:rsidR="004164C5" w:rsidRDefault="004164C5" w:rsidP="003F6F1A">
      <w:pPr>
        <w:spacing w:after="0"/>
        <w:jc w:val="both"/>
        <w:rPr>
          <w:rFonts w:ascii="Arial" w:hAnsi="Arial" w:cs="Arial"/>
          <w:sz w:val="20"/>
          <w:szCs w:val="20"/>
        </w:rPr>
      </w:pPr>
    </w:p>
    <w:p w14:paraId="76D0D84F" w14:textId="4EE11796" w:rsidR="001F1660" w:rsidRDefault="008F357A"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Q</w:t>
      </w:r>
      <w:r w:rsidR="00781C2B">
        <w:rPr>
          <w:rFonts w:ascii="Arial" w:hAnsi="Arial" w:cs="Arial"/>
          <w:b/>
          <w:sz w:val="20"/>
          <w:szCs w:val="20"/>
        </w:rPr>
        <w:t>3</w:t>
      </w:r>
      <w:r>
        <w:rPr>
          <w:rFonts w:ascii="Arial" w:hAnsi="Arial" w:cs="Arial"/>
          <w:b/>
          <w:sz w:val="20"/>
          <w:szCs w:val="20"/>
        </w:rPr>
        <w:t xml:space="preserve"> </w:t>
      </w:r>
      <w:r w:rsidR="005811F3">
        <w:rPr>
          <w:rFonts w:ascii="Arial" w:hAnsi="Arial" w:cs="Arial"/>
          <w:b/>
          <w:sz w:val="20"/>
          <w:szCs w:val="20"/>
        </w:rPr>
        <w:t>201</w:t>
      </w:r>
      <w:r>
        <w:rPr>
          <w:rFonts w:ascii="Arial" w:hAnsi="Arial" w:cs="Arial"/>
          <w:b/>
          <w:sz w:val="20"/>
          <w:szCs w:val="20"/>
        </w:rPr>
        <w:t>9</w:t>
      </w:r>
      <w:r w:rsidR="005811F3">
        <w:rPr>
          <w:rFonts w:ascii="Arial" w:hAnsi="Arial" w:cs="Arial"/>
          <w:b/>
          <w:sz w:val="20"/>
          <w:szCs w:val="20"/>
        </w:rPr>
        <w:t xml:space="preserve"> CONSOLIDATED FINANCIAL HIGHLIGHTS</w:t>
      </w:r>
    </w:p>
    <w:p w14:paraId="45074B28" w14:textId="77777777" w:rsidR="005811F3" w:rsidRDefault="005811F3" w:rsidP="003F6F1A">
      <w:pPr>
        <w:pStyle w:val="NormalWeb"/>
        <w:spacing w:before="0" w:beforeAutospacing="0" w:after="0" w:afterAutospacing="0"/>
        <w:rPr>
          <w:rFonts w:ascii="Arial" w:hAnsi="Arial" w:cs="Arial"/>
          <w:b/>
          <w:sz w:val="20"/>
          <w:szCs w:val="20"/>
        </w:rPr>
      </w:pPr>
    </w:p>
    <w:p w14:paraId="43DB230F" w14:textId="3F92755A" w:rsidR="00C00F4C" w:rsidRPr="00D764D9" w:rsidRDefault="00782D33" w:rsidP="003F6F1A">
      <w:pPr>
        <w:pStyle w:val="NormalWeb"/>
        <w:numPr>
          <w:ilvl w:val="0"/>
          <w:numId w:val="35"/>
        </w:numPr>
        <w:spacing w:before="0" w:beforeAutospacing="0" w:after="0" w:afterAutospacing="0" w:line="259" w:lineRule="auto"/>
        <w:ind w:left="360"/>
        <w:jc w:val="both"/>
        <w:rPr>
          <w:rFonts w:ascii="Arial" w:hAnsi="Arial" w:cs="Arial"/>
          <w:sz w:val="20"/>
          <w:szCs w:val="20"/>
        </w:rPr>
      </w:pPr>
      <w:bookmarkStart w:id="0" w:name="_Hlk10041256"/>
      <w:r>
        <w:rPr>
          <w:rFonts w:ascii="Arial" w:hAnsi="Arial" w:cs="Arial"/>
          <w:sz w:val="20"/>
          <w:szCs w:val="20"/>
        </w:rPr>
        <w:t>5,807</w:t>
      </w:r>
      <w:r w:rsidR="00441C2D" w:rsidRPr="009E7418">
        <w:rPr>
          <w:rFonts w:ascii="Arial" w:hAnsi="Arial" w:cs="Arial"/>
          <w:sz w:val="20"/>
          <w:szCs w:val="20"/>
        </w:rPr>
        <w:t xml:space="preserve"> </w:t>
      </w:r>
      <w:r w:rsidR="00C00F4C" w:rsidRPr="006C64D9">
        <w:rPr>
          <w:rFonts w:ascii="Arial" w:hAnsi="Arial" w:cs="Arial"/>
          <w:sz w:val="20"/>
          <w:szCs w:val="20"/>
        </w:rPr>
        <w:t>patient visits</w:t>
      </w:r>
      <w:r w:rsidR="006C64D9" w:rsidRPr="006C64D9">
        <w:rPr>
          <w:rFonts w:ascii="Arial" w:hAnsi="Arial" w:cs="Arial"/>
          <w:sz w:val="20"/>
          <w:szCs w:val="20"/>
        </w:rPr>
        <w:t xml:space="preserve"> generating revenue of </w:t>
      </w:r>
      <w:r w:rsidR="00E27B44">
        <w:rPr>
          <w:rFonts w:ascii="Arial" w:hAnsi="Arial" w:cs="Arial"/>
          <w:sz w:val="20"/>
          <w:szCs w:val="20"/>
        </w:rPr>
        <w:t>$</w:t>
      </w:r>
      <w:r w:rsidR="00AE34D5">
        <w:rPr>
          <w:rFonts w:ascii="Arial" w:hAnsi="Arial" w:cs="Arial"/>
          <w:sz w:val="20"/>
          <w:szCs w:val="20"/>
        </w:rPr>
        <w:t>663,003</w:t>
      </w:r>
      <w:r w:rsidR="006C64D9" w:rsidRPr="006C64D9">
        <w:rPr>
          <w:rFonts w:ascii="Arial" w:hAnsi="Arial" w:cs="Arial"/>
          <w:sz w:val="20"/>
          <w:szCs w:val="20"/>
        </w:rPr>
        <w:t xml:space="preserve">, compared to </w:t>
      </w:r>
      <w:r w:rsidR="00AE34D5">
        <w:rPr>
          <w:rFonts w:ascii="Arial" w:hAnsi="Arial" w:cs="Arial"/>
          <w:sz w:val="20"/>
          <w:szCs w:val="20"/>
        </w:rPr>
        <w:t>1,864</w:t>
      </w:r>
      <w:r w:rsidR="00441C2D" w:rsidRPr="009E7418">
        <w:rPr>
          <w:rFonts w:ascii="Arial" w:hAnsi="Arial" w:cs="Arial"/>
          <w:sz w:val="20"/>
          <w:szCs w:val="20"/>
        </w:rPr>
        <w:t xml:space="preserve"> </w:t>
      </w:r>
      <w:r w:rsidR="006C64D9" w:rsidRPr="006C64D9">
        <w:rPr>
          <w:rFonts w:ascii="Arial" w:hAnsi="Arial" w:cs="Arial"/>
          <w:sz w:val="20"/>
          <w:szCs w:val="20"/>
        </w:rPr>
        <w:t>patient visits generating $</w:t>
      </w:r>
      <w:r w:rsidR="00AE34D5">
        <w:rPr>
          <w:rFonts w:ascii="Arial" w:hAnsi="Arial" w:cs="Arial"/>
          <w:sz w:val="20"/>
          <w:szCs w:val="20"/>
        </w:rPr>
        <w:t>279,850</w:t>
      </w:r>
      <w:r w:rsidR="006C64D9" w:rsidRPr="006C64D9">
        <w:rPr>
          <w:rFonts w:ascii="Arial" w:hAnsi="Arial" w:cs="Arial"/>
          <w:sz w:val="20"/>
          <w:szCs w:val="20"/>
        </w:rPr>
        <w:t xml:space="preserve"> </w:t>
      </w:r>
      <w:r w:rsidR="006C64D9" w:rsidRPr="00D764D9">
        <w:rPr>
          <w:rFonts w:ascii="Arial" w:hAnsi="Arial" w:cs="Arial"/>
          <w:sz w:val="20"/>
          <w:szCs w:val="20"/>
        </w:rPr>
        <w:t xml:space="preserve">for </w:t>
      </w:r>
      <w:r w:rsidR="008F357A">
        <w:rPr>
          <w:rFonts w:ascii="Arial" w:hAnsi="Arial" w:cs="Arial"/>
          <w:sz w:val="20"/>
          <w:szCs w:val="20"/>
        </w:rPr>
        <w:t>Q</w:t>
      </w:r>
      <w:r w:rsidR="00781C2B">
        <w:rPr>
          <w:rFonts w:ascii="Arial" w:hAnsi="Arial" w:cs="Arial"/>
          <w:sz w:val="20"/>
          <w:szCs w:val="20"/>
        </w:rPr>
        <w:t>3</w:t>
      </w:r>
      <w:r w:rsidR="008F357A">
        <w:rPr>
          <w:rFonts w:ascii="Arial" w:hAnsi="Arial" w:cs="Arial"/>
          <w:sz w:val="20"/>
          <w:szCs w:val="20"/>
        </w:rPr>
        <w:t xml:space="preserve"> 2018</w:t>
      </w:r>
      <w:r w:rsidR="005973DB">
        <w:rPr>
          <w:rFonts w:ascii="Arial" w:hAnsi="Arial" w:cs="Arial"/>
          <w:sz w:val="20"/>
          <w:szCs w:val="20"/>
        </w:rPr>
        <w:t>.</w:t>
      </w:r>
    </w:p>
    <w:p w14:paraId="48DCD502" w14:textId="77777777" w:rsidR="006C64D9" w:rsidRPr="00D764D9" w:rsidRDefault="006C64D9" w:rsidP="003F6F1A">
      <w:pPr>
        <w:pStyle w:val="NormalWeb"/>
        <w:spacing w:before="0" w:beforeAutospacing="0" w:after="0" w:afterAutospacing="0" w:line="259" w:lineRule="auto"/>
        <w:ind w:left="360"/>
        <w:jc w:val="both"/>
        <w:rPr>
          <w:rFonts w:ascii="Arial" w:hAnsi="Arial" w:cs="Arial"/>
          <w:sz w:val="20"/>
          <w:szCs w:val="20"/>
        </w:rPr>
      </w:pPr>
    </w:p>
    <w:p w14:paraId="5AE49068" w14:textId="22D1D32E" w:rsidR="005811F3" w:rsidRDefault="00C00F4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6C64D9">
        <w:rPr>
          <w:rFonts w:ascii="Arial" w:hAnsi="Arial" w:cs="Arial"/>
          <w:sz w:val="20"/>
          <w:szCs w:val="20"/>
        </w:rPr>
        <w:t>Net loss of $</w:t>
      </w:r>
      <w:r w:rsidR="00AE34D5">
        <w:rPr>
          <w:rFonts w:ascii="Arial" w:hAnsi="Arial" w:cs="Arial"/>
          <w:sz w:val="20"/>
          <w:szCs w:val="20"/>
        </w:rPr>
        <w:t>504,531</w:t>
      </w:r>
      <w:r w:rsidRPr="006C64D9">
        <w:rPr>
          <w:rFonts w:ascii="Arial" w:hAnsi="Arial" w:cs="Arial"/>
          <w:sz w:val="20"/>
          <w:szCs w:val="20"/>
        </w:rPr>
        <w:t xml:space="preserve"> or $</w:t>
      </w:r>
      <w:r w:rsidR="00AE34D5">
        <w:rPr>
          <w:rFonts w:ascii="Arial" w:hAnsi="Arial" w:cs="Arial"/>
          <w:sz w:val="20"/>
          <w:szCs w:val="20"/>
        </w:rPr>
        <w:t>0.00</w:t>
      </w:r>
      <w:r w:rsidRPr="006C64D9">
        <w:rPr>
          <w:rFonts w:ascii="Arial" w:hAnsi="Arial" w:cs="Arial"/>
          <w:sz w:val="20"/>
          <w:szCs w:val="20"/>
        </w:rPr>
        <w:t xml:space="preserve"> per share, compared to </w:t>
      </w:r>
      <w:r w:rsidR="00AE34D5">
        <w:rPr>
          <w:rFonts w:ascii="Arial" w:hAnsi="Arial" w:cs="Arial"/>
          <w:sz w:val="20"/>
          <w:szCs w:val="20"/>
        </w:rPr>
        <w:t>$378,657</w:t>
      </w:r>
      <w:r w:rsidRPr="006C64D9">
        <w:rPr>
          <w:rFonts w:ascii="Arial" w:hAnsi="Arial" w:cs="Arial"/>
          <w:sz w:val="20"/>
          <w:szCs w:val="20"/>
        </w:rPr>
        <w:t xml:space="preserve"> or $</w:t>
      </w:r>
      <w:r w:rsidR="00AE34D5">
        <w:rPr>
          <w:rFonts w:ascii="Arial" w:hAnsi="Arial" w:cs="Arial"/>
          <w:sz w:val="20"/>
          <w:szCs w:val="20"/>
        </w:rPr>
        <w:t>0.01</w:t>
      </w:r>
      <w:r w:rsidRPr="006C64D9">
        <w:rPr>
          <w:rFonts w:ascii="Arial" w:hAnsi="Arial" w:cs="Arial"/>
          <w:sz w:val="20"/>
          <w:szCs w:val="20"/>
        </w:rPr>
        <w:t xml:space="preserve"> per share for </w:t>
      </w:r>
      <w:r w:rsidR="008F357A">
        <w:rPr>
          <w:rFonts w:ascii="Arial" w:hAnsi="Arial" w:cs="Arial"/>
          <w:sz w:val="20"/>
          <w:szCs w:val="20"/>
        </w:rPr>
        <w:t>Q</w:t>
      </w:r>
      <w:r w:rsidR="00781C2B">
        <w:rPr>
          <w:rFonts w:ascii="Arial" w:hAnsi="Arial" w:cs="Arial"/>
          <w:sz w:val="20"/>
          <w:szCs w:val="20"/>
        </w:rPr>
        <w:t>3</w:t>
      </w:r>
      <w:r w:rsidR="008F357A">
        <w:rPr>
          <w:rFonts w:ascii="Arial" w:hAnsi="Arial" w:cs="Arial"/>
          <w:sz w:val="20"/>
          <w:szCs w:val="20"/>
        </w:rPr>
        <w:t xml:space="preserve"> 2018</w:t>
      </w:r>
      <w:r w:rsidR="005973DB">
        <w:rPr>
          <w:rFonts w:ascii="Arial" w:hAnsi="Arial" w:cs="Arial"/>
          <w:sz w:val="20"/>
          <w:szCs w:val="20"/>
        </w:rPr>
        <w:t>.</w:t>
      </w:r>
    </w:p>
    <w:p w14:paraId="0D84C817" w14:textId="77777777" w:rsidR="00CD59DC" w:rsidRDefault="00CD59DC" w:rsidP="003F6F1A">
      <w:pPr>
        <w:pStyle w:val="ColorfulList-Accent11"/>
        <w:spacing w:line="259" w:lineRule="auto"/>
        <w:jc w:val="both"/>
        <w:rPr>
          <w:rFonts w:ascii="Arial" w:hAnsi="Arial" w:cs="Arial"/>
          <w:sz w:val="20"/>
          <w:szCs w:val="20"/>
        </w:rPr>
      </w:pPr>
    </w:p>
    <w:p w14:paraId="39FCD9D2" w14:textId="7BCE1FC6" w:rsidR="00CD59DC" w:rsidRDefault="00CD59D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AE34D5">
        <w:rPr>
          <w:rFonts w:ascii="Arial" w:hAnsi="Arial" w:cs="Arial"/>
          <w:sz w:val="20"/>
          <w:szCs w:val="20"/>
        </w:rPr>
        <w:t xml:space="preserve">Despite the addition of 6 </w:t>
      </w:r>
      <w:r w:rsidR="00FD4F52" w:rsidRPr="00AE34D5">
        <w:rPr>
          <w:rFonts w:ascii="Arial" w:hAnsi="Arial" w:cs="Arial"/>
          <w:sz w:val="20"/>
          <w:szCs w:val="20"/>
        </w:rPr>
        <w:t>c</w:t>
      </w:r>
      <w:r w:rsidRPr="00AE34D5">
        <w:rPr>
          <w:rFonts w:ascii="Arial" w:hAnsi="Arial" w:cs="Arial"/>
          <w:sz w:val="20"/>
          <w:szCs w:val="20"/>
        </w:rPr>
        <w:t>linics with the</w:t>
      </w:r>
      <w:r>
        <w:rPr>
          <w:rFonts w:ascii="Arial" w:hAnsi="Arial" w:cs="Arial"/>
          <w:sz w:val="20"/>
          <w:szCs w:val="20"/>
        </w:rPr>
        <w:t xml:space="preserve"> acquisition of Sun Valley, operating expenses declined to $</w:t>
      </w:r>
      <w:r w:rsidR="00AE34D5">
        <w:rPr>
          <w:rFonts w:ascii="Arial" w:hAnsi="Arial" w:cs="Arial"/>
          <w:sz w:val="20"/>
          <w:szCs w:val="20"/>
        </w:rPr>
        <w:t>2,343,660</w:t>
      </w:r>
      <w:r w:rsidR="000A24FE">
        <w:rPr>
          <w:rFonts w:ascii="Arial" w:hAnsi="Arial" w:cs="Arial"/>
          <w:sz w:val="20"/>
          <w:szCs w:val="20"/>
        </w:rPr>
        <w:t>,</w:t>
      </w:r>
      <w:r>
        <w:rPr>
          <w:rFonts w:ascii="Arial" w:hAnsi="Arial" w:cs="Arial"/>
          <w:sz w:val="20"/>
          <w:szCs w:val="20"/>
        </w:rPr>
        <w:t xml:space="preserve"> compared to $</w:t>
      </w:r>
      <w:r w:rsidR="00AE34D5">
        <w:rPr>
          <w:rFonts w:ascii="Arial" w:hAnsi="Arial" w:cs="Arial"/>
          <w:sz w:val="20"/>
          <w:szCs w:val="20"/>
        </w:rPr>
        <w:t>2,523,318</w:t>
      </w:r>
      <w:r>
        <w:rPr>
          <w:rFonts w:ascii="Arial" w:hAnsi="Arial" w:cs="Arial"/>
          <w:sz w:val="20"/>
          <w:szCs w:val="20"/>
        </w:rPr>
        <w:t xml:space="preserve"> for </w:t>
      </w:r>
      <w:r w:rsidR="00AE34D5">
        <w:rPr>
          <w:rFonts w:ascii="Arial" w:hAnsi="Arial" w:cs="Arial"/>
          <w:sz w:val="20"/>
          <w:szCs w:val="20"/>
        </w:rPr>
        <w:t>the nine months ended September 30,</w:t>
      </w:r>
      <w:r>
        <w:rPr>
          <w:rFonts w:ascii="Arial" w:hAnsi="Arial" w:cs="Arial"/>
          <w:sz w:val="20"/>
          <w:szCs w:val="20"/>
        </w:rPr>
        <w:t xml:space="preserve"> 2018 due to aggressive headcount cuts and facility changes.</w:t>
      </w:r>
    </w:p>
    <w:p w14:paraId="343D215C" w14:textId="77777777" w:rsidR="006C64D9" w:rsidRPr="006C64D9" w:rsidRDefault="006C64D9" w:rsidP="003F6F1A">
      <w:pPr>
        <w:pStyle w:val="NormalWeb"/>
        <w:spacing w:before="0" w:beforeAutospacing="0" w:after="0" w:afterAutospacing="0" w:line="259" w:lineRule="auto"/>
        <w:jc w:val="both"/>
        <w:rPr>
          <w:rFonts w:ascii="Arial" w:hAnsi="Arial" w:cs="Arial"/>
          <w:sz w:val="20"/>
          <w:szCs w:val="20"/>
        </w:rPr>
      </w:pPr>
    </w:p>
    <w:p w14:paraId="2835989F" w14:textId="6BBF2352" w:rsidR="00C00F4C" w:rsidRPr="00731EA5" w:rsidRDefault="00C00F4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6C64D9">
        <w:rPr>
          <w:rFonts w:ascii="Arial" w:hAnsi="Arial" w:cs="Arial"/>
          <w:sz w:val="20"/>
          <w:szCs w:val="20"/>
        </w:rPr>
        <w:t xml:space="preserve">Cash used in operating activities </w:t>
      </w:r>
      <w:r w:rsidR="00343C9F">
        <w:rPr>
          <w:rFonts w:ascii="Arial" w:hAnsi="Arial" w:cs="Arial"/>
          <w:sz w:val="20"/>
          <w:szCs w:val="20"/>
        </w:rPr>
        <w:t xml:space="preserve">for the </w:t>
      </w:r>
      <w:r w:rsidR="00781C2B">
        <w:rPr>
          <w:rFonts w:ascii="Arial" w:hAnsi="Arial" w:cs="Arial"/>
          <w:sz w:val="20"/>
          <w:szCs w:val="20"/>
        </w:rPr>
        <w:t>nine</w:t>
      </w:r>
      <w:r w:rsidR="00343C9F">
        <w:rPr>
          <w:rFonts w:ascii="Arial" w:hAnsi="Arial" w:cs="Arial"/>
          <w:sz w:val="20"/>
          <w:szCs w:val="20"/>
        </w:rPr>
        <w:t xml:space="preserve"> months ended </w:t>
      </w:r>
      <w:r w:rsidR="00781C2B">
        <w:rPr>
          <w:rFonts w:ascii="Arial" w:hAnsi="Arial" w:cs="Arial"/>
          <w:sz w:val="20"/>
          <w:szCs w:val="20"/>
        </w:rPr>
        <w:t>September</w:t>
      </w:r>
      <w:r w:rsidR="00343C9F">
        <w:rPr>
          <w:rFonts w:ascii="Arial" w:hAnsi="Arial" w:cs="Arial"/>
          <w:sz w:val="20"/>
          <w:szCs w:val="20"/>
        </w:rPr>
        <w:t xml:space="preserve"> 30, 2019 </w:t>
      </w:r>
      <w:r w:rsidRPr="006C64D9">
        <w:rPr>
          <w:rFonts w:ascii="Arial" w:hAnsi="Arial" w:cs="Arial"/>
          <w:sz w:val="20"/>
          <w:szCs w:val="20"/>
        </w:rPr>
        <w:t>was $</w:t>
      </w:r>
      <w:r w:rsidR="00AE34D5">
        <w:rPr>
          <w:rFonts w:ascii="Arial" w:hAnsi="Arial" w:cs="Arial"/>
          <w:sz w:val="20"/>
          <w:szCs w:val="20"/>
        </w:rPr>
        <w:t>1,</w:t>
      </w:r>
      <w:r w:rsidR="001A0D67">
        <w:rPr>
          <w:rFonts w:ascii="Arial" w:hAnsi="Arial" w:cs="Arial"/>
          <w:sz w:val="20"/>
          <w:szCs w:val="20"/>
        </w:rPr>
        <w:t>819</w:t>
      </w:r>
      <w:r w:rsidR="00AE34D5">
        <w:rPr>
          <w:rFonts w:ascii="Arial" w:hAnsi="Arial" w:cs="Arial"/>
          <w:sz w:val="20"/>
          <w:szCs w:val="20"/>
        </w:rPr>
        <w:t>,</w:t>
      </w:r>
      <w:r w:rsidR="001A0D67">
        <w:rPr>
          <w:rFonts w:ascii="Arial" w:hAnsi="Arial" w:cs="Arial"/>
          <w:sz w:val="20"/>
          <w:szCs w:val="20"/>
        </w:rPr>
        <w:t>670</w:t>
      </w:r>
      <w:r w:rsidRPr="006C64D9">
        <w:rPr>
          <w:rFonts w:ascii="Arial" w:hAnsi="Arial" w:cs="Arial"/>
          <w:sz w:val="20"/>
          <w:szCs w:val="20"/>
        </w:rPr>
        <w:t xml:space="preserve"> or </w:t>
      </w:r>
      <w:r w:rsidRPr="00731EA5">
        <w:rPr>
          <w:rFonts w:ascii="Arial" w:hAnsi="Arial" w:cs="Arial"/>
          <w:sz w:val="20"/>
          <w:szCs w:val="20"/>
        </w:rPr>
        <w:t>$</w:t>
      </w:r>
      <w:r w:rsidR="00AE34D5">
        <w:rPr>
          <w:rFonts w:ascii="Arial" w:hAnsi="Arial" w:cs="Arial"/>
          <w:sz w:val="20"/>
          <w:szCs w:val="20"/>
        </w:rPr>
        <w:t>0.02</w:t>
      </w:r>
      <w:r w:rsidR="008F357A">
        <w:rPr>
          <w:rFonts w:ascii="Arial" w:hAnsi="Arial" w:cs="Arial"/>
          <w:sz w:val="20"/>
          <w:szCs w:val="20"/>
        </w:rPr>
        <w:t xml:space="preserve"> </w:t>
      </w:r>
      <w:r w:rsidRPr="00731EA5">
        <w:rPr>
          <w:rFonts w:ascii="Arial" w:hAnsi="Arial" w:cs="Arial"/>
          <w:sz w:val="20"/>
          <w:szCs w:val="20"/>
        </w:rPr>
        <w:t>per share, compared to $</w:t>
      </w:r>
      <w:r w:rsidR="001A0D67">
        <w:rPr>
          <w:rFonts w:ascii="Arial" w:hAnsi="Arial" w:cs="Arial"/>
          <w:sz w:val="20"/>
          <w:szCs w:val="20"/>
        </w:rPr>
        <w:t>3,129,583</w:t>
      </w:r>
      <w:r w:rsidRPr="00731EA5">
        <w:rPr>
          <w:rFonts w:ascii="Arial" w:hAnsi="Arial" w:cs="Arial"/>
          <w:sz w:val="20"/>
          <w:szCs w:val="20"/>
        </w:rPr>
        <w:t xml:space="preserve"> or $</w:t>
      </w:r>
      <w:r w:rsidR="00AE34D5">
        <w:rPr>
          <w:rFonts w:ascii="Arial" w:hAnsi="Arial" w:cs="Arial"/>
          <w:sz w:val="20"/>
          <w:szCs w:val="20"/>
        </w:rPr>
        <w:t>0.06</w:t>
      </w:r>
      <w:r w:rsidRPr="00731EA5">
        <w:rPr>
          <w:rFonts w:ascii="Arial" w:hAnsi="Arial" w:cs="Arial"/>
          <w:sz w:val="20"/>
          <w:szCs w:val="20"/>
        </w:rPr>
        <w:t xml:space="preserve"> per share for </w:t>
      </w:r>
      <w:r w:rsidR="00343C9F">
        <w:rPr>
          <w:rFonts w:ascii="Arial" w:hAnsi="Arial" w:cs="Arial"/>
          <w:sz w:val="20"/>
          <w:szCs w:val="20"/>
        </w:rPr>
        <w:t xml:space="preserve">the </w:t>
      </w:r>
      <w:r w:rsidR="00781C2B">
        <w:rPr>
          <w:rFonts w:ascii="Arial" w:hAnsi="Arial" w:cs="Arial"/>
          <w:sz w:val="20"/>
          <w:szCs w:val="20"/>
        </w:rPr>
        <w:t>nine</w:t>
      </w:r>
      <w:r w:rsidR="00343C9F">
        <w:rPr>
          <w:rFonts w:ascii="Arial" w:hAnsi="Arial" w:cs="Arial"/>
          <w:sz w:val="20"/>
          <w:szCs w:val="20"/>
        </w:rPr>
        <w:t xml:space="preserve"> months ended </w:t>
      </w:r>
      <w:r w:rsidR="00781C2B">
        <w:rPr>
          <w:rFonts w:ascii="Arial" w:hAnsi="Arial" w:cs="Arial"/>
          <w:sz w:val="20"/>
          <w:szCs w:val="20"/>
        </w:rPr>
        <w:t>September</w:t>
      </w:r>
      <w:r w:rsidR="00343C9F">
        <w:rPr>
          <w:rFonts w:ascii="Arial" w:hAnsi="Arial" w:cs="Arial"/>
          <w:sz w:val="20"/>
          <w:szCs w:val="20"/>
        </w:rPr>
        <w:t xml:space="preserve"> 30,</w:t>
      </w:r>
      <w:r w:rsidR="00296F04">
        <w:rPr>
          <w:rFonts w:ascii="Arial" w:hAnsi="Arial" w:cs="Arial"/>
          <w:sz w:val="20"/>
          <w:szCs w:val="20"/>
        </w:rPr>
        <w:t xml:space="preserve"> </w:t>
      </w:r>
      <w:r w:rsidR="008F357A">
        <w:rPr>
          <w:rFonts w:ascii="Arial" w:hAnsi="Arial" w:cs="Arial"/>
          <w:sz w:val="20"/>
          <w:szCs w:val="20"/>
        </w:rPr>
        <w:t>2018</w:t>
      </w:r>
      <w:r w:rsidR="005973DB">
        <w:rPr>
          <w:rFonts w:ascii="Arial" w:hAnsi="Arial" w:cs="Arial"/>
          <w:sz w:val="20"/>
          <w:szCs w:val="20"/>
        </w:rPr>
        <w:t>.</w:t>
      </w:r>
    </w:p>
    <w:bookmarkEnd w:id="0"/>
    <w:p w14:paraId="2B2CC934" w14:textId="77777777" w:rsidR="006C64D9" w:rsidRPr="006C64D9" w:rsidRDefault="006C64D9" w:rsidP="003F6F1A">
      <w:pPr>
        <w:pStyle w:val="NormalWeb"/>
        <w:spacing w:before="0" w:beforeAutospacing="0" w:after="0" w:afterAutospacing="0" w:line="259" w:lineRule="auto"/>
        <w:jc w:val="both"/>
        <w:rPr>
          <w:rFonts w:ascii="Arial" w:hAnsi="Arial" w:cs="Arial"/>
          <w:sz w:val="20"/>
          <w:szCs w:val="20"/>
        </w:rPr>
      </w:pPr>
    </w:p>
    <w:p w14:paraId="702FA7A1" w14:textId="55509315" w:rsidR="00C00F4C" w:rsidRPr="00B52C92" w:rsidRDefault="00C00F4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6C64D9">
        <w:rPr>
          <w:rFonts w:ascii="Arial" w:hAnsi="Arial" w:cs="Arial"/>
          <w:sz w:val="20"/>
          <w:szCs w:val="20"/>
        </w:rPr>
        <w:t xml:space="preserve">Cash at </w:t>
      </w:r>
      <w:r w:rsidR="00781C2B">
        <w:rPr>
          <w:rFonts w:ascii="Arial" w:hAnsi="Arial" w:cs="Arial"/>
          <w:sz w:val="20"/>
          <w:szCs w:val="20"/>
        </w:rPr>
        <w:t>September</w:t>
      </w:r>
      <w:r w:rsidR="00291101">
        <w:rPr>
          <w:rFonts w:ascii="Arial" w:hAnsi="Arial" w:cs="Arial"/>
          <w:sz w:val="20"/>
          <w:szCs w:val="20"/>
        </w:rPr>
        <w:t xml:space="preserve"> 30</w:t>
      </w:r>
      <w:r w:rsidRPr="006C64D9">
        <w:rPr>
          <w:rFonts w:ascii="Arial" w:hAnsi="Arial" w:cs="Arial"/>
          <w:sz w:val="20"/>
          <w:szCs w:val="20"/>
        </w:rPr>
        <w:t>, 201</w:t>
      </w:r>
      <w:r w:rsidR="008F357A">
        <w:rPr>
          <w:rFonts w:ascii="Arial" w:hAnsi="Arial" w:cs="Arial"/>
          <w:sz w:val="20"/>
          <w:szCs w:val="20"/>
        </w:rPr>
        <w:t>9</w:t>
      </w:r>
      <w:r w:rsidRPr="006C64D9">
        <w:rPr>
          <w:rFonts w:ascii="Arial" w:hAnsi="Arial" w:cs="Arial"/>
          <w:sz w:val="20"/>
          <w:szCs w:val="20"/>
        </w:rPr>
        <w:t xml:space="preserve"> of </w:t>
      </w:r>
      <w:r w:rsidRPr="00B52C92">
        <w:rPr>
          <w:rFonts w:ascii="Arial" w:hAnsi="Arial" w:cs="Arial"/>
          <w:sz w:val="20"/>
          <w:szCs w:val="20"/>
        </w:rPr>
        <w:t>$</w:t>
      </w:r>
      <w:r w:rsidR="00AE34D5">
        <w:rPr>
          <w:rFonts w:ascii="Arial" w:hAnsi="Arial" w:cs="Arial"/>
          <w:sz w:val="20"/>
          <w:szCs w:val="20"/>
        </w:rPr>
        <w:t>178,578</w:t>
      </w:r>
      <w:r w:rsidR="00800DF4" w:rsidRPr="00B52C92">
        <w:rPr>
          <w:rFonts w:ascii="Arial" w:hAnsi="Arial" w:cs="Arial"/>
          <w:sz w:val="20"/>
          <w:szCs w:val="20"/>
        </w:rPr>
        <w:t>.</w:t>
      </w:r>
    </w:p>
    <w:p w14:paraId="6F3EC039" w14:textId="77777777" w:rsidR="006C64D9" w:rsidRPr="00B52C92" w:rsidRDefault="006C64D9" w:rsidP="003F6F1A">
      <w:pPr>
        <w:pStyle w:val="NormalWeb"/>
        <w:spacing w:before="0" w:beforeAutospacing="0" w:after="0" w:afterAutospacing="0" w:line="259" w:lineRule="auto"/>
        <w:jc w:val="both"/>
        <w:rPr>
          <w:rFonts w:ascii="Arial" w:hAnsi="Arial" w:cs="Arial"/>
          <w:sz w:val="20"/>
          <w:szCs w:val="20"/>
        </w:rPr>
      </w:pPr>
    </w:p>
    <w:p w14:paraId="55614AE9" w14:textId="03A5F3DB" w:rsidR="00C00F4C" w:rsidRPr="00B52C92" w:rsidRDefault="00C00F4C" w:rsidP="003F6F1A">
      <w:pPr>
        <w:pStyle w:val="NormalWeb"/>
        <w:numPr>
          <w:ilvl w:val="0"/>
          <w:numId w:val="35"/>
        </w:numPr>
        <w:spacing w:before="0" w:beforeAutospacing="0" w:after="120" w:afterAutospacing="0" w:line="259" w:lineRule="auto"/>
        <w:ind w:left="357" w:hanging="357"/>
        <w:jc w:val="both"/>
        <w:rPr>
          <w:rFonts w:ascii="Arial" w:hAnsi="Arial" w:cs="Arial"/>
          <w:sz w:val="20"/>
          <w:szCs w:val="20"/>
        </w:rPr>
      </w:pPr>
      <w:r w:rsidRPr="00B52C92">
        <w:rPr>
          <w:rFonts w:ascii="Arial" w:hAnsi="Arial" w:cs="Arial"/>
          <w:sz w:val="20"/>
          <w:szCs w:val="20"/>
        </w:rPr>
        <w:t xml:space="preserve">Working capital </w:t>
      </w:r>
      <w:r w:rsidR="00800DF4" w:rsidRPr="00B52C92">
        <w:rPr>
          <w:rFonts w:ascii="Arial" w:hAnsi="Arial" w:cs="Arial"/>
          <w:sz w:val="20"/>
          <w:szCs w:val="20"/>
        </w:rPr>
        <w:t xml:space="preserve">deficit </w:t>
      </w:r>
      <w:r w:rsidRPr="00B52C92">
        <w:rPr>
          <w:rFonts w:ascii="Arial" w:hAnsi="Arial" w:cs="Arial"/>
          <w:sz w:val="20"/>
          <w:szCs w:val="20"/>
        </w:rPr>
        <w:t xml:space="preserve">at </w:t>
      </w:r>
      <w:r w:rsidR="00781C2B">
        <w:rPr>
          <w:rFonts w:ascii="Arial" w:hAnsi="Arial" w:cs="Arial"/>
          <w:sz w:val="20"/>
          <w:szCs w:val="20"/>
        </w:rPr>
        <w:t>September</w:t>
      </w:r>
      <w:r w:rsidR="008F357A">
        <w:rPr>
          <w:rFonts w:ascii="Arial" w:hAnsi="Arial" w:cs="Arial"/>
          <w:sz w:val="20"/>
          <w:szCs w:val="20"/>
        </w:rPr>
        <w:t xml:space="preserve"> 3</w:t>
      </w:r>
      <w:r w:rsidR="00A95100">
        <w:rPr>
          <w:rFonts w:ascii="Arial" w:hAnsi="Arial" w:cs="Arial"/>
          <w:sz w:val="20"/>
          <w:szCs w:val="20"/>
        </w:rPr>
        <w:t>0</w:t>
      </w:r>
      <w:r w:rsidR="008F357A">
        <w:rPr>
          <w:rFonts w:ascii="Arial" w:hAnsi="Arial" w:cs="Arial"/>
          <w:sz w:val="20"/>
          <w:szCs w:val="20"/>
        </w:rPr>
        <w:t xml:space="preserve">, 2019 </w:t>
      </w:r>
      <w:r w:rsidRPr="00B52C92">
        <w:rPr>
          <w:rFonts w:ascii="Arial" w:hAnsi="Arial" w:cs="Arial"/>
          <w:sz w:val="20"/>
          <w:szCs w:val="20"/>
        </w:rPr>
        <w:t>of $</w:t>
      </w:r>
      <w:r w:rsidR="00AE34D5">
        <w:rPr>
          <w:rFonts w:ascii="Arial" w:hAnsi="Arial" w:cs="Arial"/>
          <w:sz w:val="20"/>
          <w:szCs w:val="20"/>
        </w:rPr>
        <w:t>3,396,730</w:t>
      </w:r>
      <w:r w:rsidR="00800DF4" w:rsidRPr="00B52C92">
        <w:rPr>
          <w:rFonts w:ascii="Arial" w:hAnsi="Arial" w:cs="Arial"/>
          <w:sz w:val="20"/>
          <w:szCs w:val="20"/>
        </w:rPr>
        <w:t>.</w:t>
      </w:r>
    </w:p>
    <w:p w14:paraId="10839E65" w14:textId="77777777" w:rsidR="005811F3" w:rsidRDefault="005811F3" w:rsidP="003F6F1A">
      <w:pPr>
        <w:pStyle w:val="NormalWeb"/>
        <w:spacing w:before="0" w:beforeAutospacing="0" w:after="0" w:afterAutospacing="0"/>
        <w:rPr>
          <w:rFonts w:ascii="Arial" w:hAnsi="Arial" w:cs="Arial"/>
          <w:b/>
          <w:sz w:val="20"/>
          <w:szCs w:val="20"/>
        </w:rPr>
      </w:pPr>
    </w:p>
    <w:p w14:paraId="246042B0" w14:textId="17810250" w:rsidR="00DF5EEB" w:rsidRDefault="00DF5EEB"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Q</w:t>
      </w:r>
      <w:r w:rsidR="00781C2B">
        <w:rPr>
          <w:rFonts w:ascii="Arial" w:hAnsi="Arial" w:cs="Arial"/>
          <w:b/>
          <w:sz w:val="20"/>
          <w:szCs w:val="20"/>
        </w:rPr>
        <w:t>3</w:t>
      </w:r>
      <w:r>
        <w:rPr>
          <w:rFonts w:ascii="Arial" w:hAnsi="Arial" w:cs="Arial"/>
          <w:b/>
          <w:sz w:val="20"/>
          <w:szCs w:val="20"/>
        </w:rPr>
        <w:t xml:space="preserve"> 2019 KEY DEVELOPMENTS</w:t>
      </w:r>
    </w:p>
    <w:p w14:paraId="1BEB240B" w14:textId="77777777" w:rsidR="00DF5EEB" w:rsidRDefault="00DF5EEB" w:rsidP="003F6F1A">
      <w:pPr>
        <w:spacing w:after="0"/>
        <w:jc w:val="both"/>
        <w:rPr>
          <w:rFonts w:ascii="Arial" w:hAnsi="Arial" w:cs="Arial"/>
          <w:b/>
          <w:i/>
          <w:sz w:val="20"/>
          <w:szCs w:val="20"/>
          <w:u w:val="single"/>
        </w:rPr>
      </w:pPr>
    </w:p>
    <w:p w14:paraId="26D28620" w14:textId="77777777" w:rsidR="00DF5EEB" w:rsidRDefault="00DF5EEB" w:rsidP="003F6F1A">
      <w:pPr>
        <w:spacing w:after="0"/>
        <w:jc w:val="both"/>
        <w:rPr>
          <w:rFonts w:ascii="Arial" w:hAnsi="Arial" w:cs="Arial"/>
          <w:spacing w:val="-2"/>
          <w:sz w:val="20"/>
          <w:szCs w:val="20"/>
        </w:rPr>
      </w:pPr>
      <w:r w:rsidRPr="00731EA5">
        <w:rPr>
          <w:rFonts w:ascii="Arial" w:hAnsi="Arial" w:cs="Arial"/>
          <w:b/>
          <w:i/>
          <w:sz w:val="20"/>
          <w:szCs w:val="20"/>
          <w:u w:val="single"/>
        </w:rPr>
        <w:t>Focus on CBD Product Sales</w:t>
      </w:r>
      <w:r w:rsidRPr="00731EA5">
        <w:rPr>
          <w:rFonts w:ascii="Arial" w:hAnsi="Arial" w:cs="Arial"/>
          <w:spacing w:val="-2"/>
          <w:sz w:val="20"/>
          <w:szCs w:val="20"/>
        </w:rPr>
        <w:t xml:space="preserve"> </w:t>
      </w:r>
    </w:p>
    <w:p w14:paraId="75704214" w14:textId="77777777" w:rsidR="00DF5EEB" w:rsidRDefault="00DF5EEB" w:rsidP="003F6F1A">
      <w:pPr>
        <w:spacing w:after="0"/>
        <w:jc w:val="both"/>
        <w:rPr>
          <w:rFonts w:ascii="Arial" w:hAnsi="Arial" w:cs="Arial"/>
          <w:spacing w:val="-2"/>
          <w:sz w:val="20"/>
          <w:szCs w:val="20"/>
        </w:rPr>
      </w:pPr>
    </w:p>
    <w:p w14:paraId="6EA3EBE7" w14:textId="42B9AAB3" w:rsidR="00DF5EEB" w:rsidRPr="00731EA5" w:rsidRDefault="00DF5EEB" w:rsidP="003F6F1A">
      <w:pPr>
        <w:spacing w:after="0"/>
        <w:jc w:val="both"/>
        <w:rPr>
          <w:rFonts w:ascii="Arial" w:hAnsi="Arial" w:cs="Arial"/>
          <w:spacing w:val="-2"/>
          <w:sz w:val="20"/>
          <w:szCs w:val="20"/>
        </w:rPr>
      </w:pPr>
      <w:r w:rsidRPr="00691C16">
        <w:rPr>
          <w:rFonts w:ascii="Arial" w:hAnsi="Arial" w:cs="Arial"/>
          <w:spacing w:val="-2"/>
          <w:sz w:val="20"/>
          <w:szCs w:val="20"/>
        </w:rPr>
        <w:t xml:space="preserve">Empower has commenced selling </w:t>
      </w:r>
      <w:r w:rsidRPr="00731EA5">
        <w:rPr>
          <w:rFonts w:ascii="Arial" w:hAnsi="Arial" w:cs="Arial"/>
          <w:spacing w:val="-2"/>
          <w:sz w:val="20"/>
          <w:szCs w:val="20"/>
        </w:rPr>
        <w:t xml:space="preserve">its proprietary line of </w:t>
      </w:r>
      <w:r w:rsidR="00B05C79" w:rsidRPr="007703A7">
        <w:rPr>
          <w:rFonts w:ascii="Arial" w:hAnsi="Arial" w:cs="Arial"/>
          <w:sz w:val="20"/>
          <w:szCs w:val="20"/>
        </w:rPr>
        <w:t>cannabidiol</w:t>
      </w:r>
      <w:r w:rsidR="00B05C79">
        <w:rPr>
          <w:rFonts w:ascii="Arial" w:hAnsi="Arial" w:cs="Arial"/>
          <w:spacing w:val="-2"/>
          <w:sz w:val="20"/>
          <w:szCs w:val="20"/>
        </w:rPr>
        <w:t xml:space="preserve"> (“CBD”) </w:t>
      </w:r>
      <w:r w:rsidRPr="00731EA5">
        <w:rPr>
          <w:rFonts w:ascii="Arial" w:hAnsi="Arial" w:cs="Arial"/>
          <w:spacing w:val="-2"/>
          <w:sz w:val="20"/>
          <w:szCs w:val="20"/>
        </w:rPr>
        <w:t>based products called SOLLIEVO</w:t>
      </w:r>
      <w:r>
        <w:rPr>
          <w:rFonts w:ascii="Arial" w:hAnsi="Arial" w:cs="Arial"/>
          <w:spacing w:val="-2"/>
          <w:sz w:val="20"/>
          <w:szCs w:val="20"/>
        </w:rPr>
        <w:t xml:space="preserve">, </w:t>
      </w:r>
      <w:r w:rsidRPr="005E2002">
        <w:rPr>
          <w:rFonts w:ascii="Arial" w:hAnsi="Arial" w:cs="Arial"/>
          <w:i/>
          <w:spacing w:val="-2"/>
          <w:sz w:val="20"/>
          <w:szCs w:val="20"/>
        </w:rPr>
        <w:t>Italian for Relief</w:t>
      </w:r>
      <w:r w:rsidRPr="00731EA5">
        <w:rPr>
          <w:rFonts w:ascii="Arial" w:hAnsi="Arial" w:cs="Arial"/>
          <w:spacing w:val="-2"/>
          <w:sz w:val="20"/>
          <w:szCs w:val="20"/>
        </w:rPr>
        <w:t xml:space="preserve">, </w:t>
      </w:r>
      <w:r w:rsidR="006653F4">
        <w:rPr>
          <w:rFonts w:ascii="Arial" w:hAnsi="Arial" w:cs="Arial"/>
          <w:spacing w:val="-2"/>
          <w:sz w:val="20"/>
          <w:szCs w:val="20"/>
        </w:rPr>
        <w:t xml:space="preserve">and the Sun Valley Science brand </w:t>
      </w:r>
      <w:r w:rsidRPr="00731EA5">
        <w:rPr>
          <w:rFonts w:ascii="Arial" w:hAnsi="Arial" w:cs="Arial"/>
          <w:spacing w:val="-2"/>
          <w:sz w:val="20"/>
          <w:szCs w:val="20"/>
        </w:rPr>
        <w:t xml:space="preserve">through its network of company-owned clinics in the United States.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patient base and customers </w:t>
      </w:r>
      <w:r w:rsidR="006653F4">
        <w:rPr>
          <w:rFonts w:ascii="Arial" w:hAnsi="Arial" w:cs="Arial"/>
          <w:spacing w:val="-2"/>
          <w:sz w:val="20"/>
          <w:szCs w:val="20"/>
        </w:rPr>
        <w:t>will be able to purchase</w:t>
      </w:r>
      <w:r w:rsidRPr="00731EA5">
        <w:rPr>
          <w:rFonts w:ascii="Arial" w:hAnsi="Arial" w:cs="Arial"/>
          <w:spacing w:val="-2"/>
          <w:sz w:val="20"/>
          <w:szCs w:val="20"/>
        </w:rPr>
        <w:t xml:space="preserve">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home delivery and e-commerce platform</w:t>
      </w:r>
      <w:r w:rsidR="006653F4">
        <w:rPr>
          <w:rFonts w:ascii="Arial" w:hAnsi="Arial" w:cs="Arial"/>
          <w:spacing w:val="-2"/>
          <w:sz w:val="20"/>
          <w:szCs w:val="20"/>
        </w:rPr>
        <w:t xml:space="preserve"> through its e-commerce store at </w:t>
      </w:r>
      <w:hyperlink r:id="rId11" w:history="1">
        <w:r w:rsidR="006653F4" w:rsidRPr="00F95CBF">
          <w:rPr>
            <w:rStyle w:val="Hyperlink"/>
            <w:rFonts w:ascii="Arial" w:hAnsi="Arial" w:cs="Arial"/>
            <w:spacing w:val="-2"/>
            <w:sz w:val="20"/>
            <w:szCs w:val="20"/>
          </w:rPr>
          <w:t>https://www.sunvalleyhealth.com/shop/</w:t>
        </w:r>
      </w:hyperlink>
      <w:r w:rsidR="006653F4">
        <w:rPr>
          <w:rFonts w:ascii="Arial" w:hAnsi="Arial" w:cs="Arial"/>
          <w:spacing w:val="-2"/>
          <w:sz w:val="20"/>
          <w:szCs w:val="20"/>
        </w:rPr>
        <w:t xml:space="preserve"> </w:t>
      </w:r>
    </w:p>
    <w:p w14:paraId="219DF9D3" w14:textId="77777777" w:rsidR="00343C9F" w:rsidRDefault="00343C9F" w:rsidP="003F6F1A">
      <w:pPr>
        <w:spacing w:after="0"/>
        <w:jc w:val="both"/>
        <w:rPr>
          <w:rFonts w:ascii="Arial" w:hAnsi="Arial" w:cs="Arial"/>
          <w:b/>
          <w:i/>
          <w:sz w:val="20"/>
          <w:szCs w:val="20"/>
          <w:u w:val="single"/>
        </w:rPr>
      </w:pPr>
    </w:p>
    <w:p w14:paraId="4485E5B3"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Intention to Launch CBD Extraction Facility</w:t>
      </w:r>
      <w:r w:rsidRPr="00731EA5">
        <w:rPr>
          <w:rFonts w:ascii="Arial" w:hAnsi="Arial" w:cs="Arial"/>
          <w:spacing w:val="-2"/>
          <w:sz w:val="20"/>
          <w:szCs w:val="20"/>
        </w:rPr>
        <w:t xml:space="preserve"> </w:t>
      </w:r>
    </w:p>
    <w:p w14:paraId="5FC9D9E5" w14:textId="77777777" w:rsidR="00E27B44" w:rsidRDefault="00E27B44" w:rsidP="003F6F1A">
      <w:pPr>
        <w:spacing w:after="0"/>
        <w:jc w:val="both"/>
        <w:rPr>
          <w:rFonts w:ascii="Arial" w:hAnsi="Arial" w:cs="Arial"/>
          <w:spacing w:val="-2"/>
          <w:sz w:val="20"/>
          <w:szCs w:val="20"/>
        </w:rPr>
      </w:pPr>
    </w:p>
    <w:p w14:paraId="5DB9062C" w14:textId="32097897" w:rsidR="00E27B44"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The Company intends to open a fully functioning hemp-based CBD extraction facility in greater Portland, Oregon in 2019, with the first extraction system expected to have the capacity to produce 6,000 kilograms of extracted product per year. The 5,000 sq. ft. facility in Sandy,</w:t>
      </w:r>
      <w:r>
        <w:rPr>
          <w:rFonts w:ascii="Arial" w:hAnsi="Arial" w:cs="Arial"/>
          <w:spacing w:val="-2"/>
          <w:sz w:val="20"/>
          <w:szCs w:val="20"/>
        </w:rPr>
        <w:t xml:space="preserve"> Oregon</w:t>
      </w:r>
      <w:r w:rsidRPr="00731EA5">
        <w:rPr>
          <w:rFonts w:ascii="Arial" w:hAnsi="Arial" w:cs="Arial"/>
          <w:spacing w:val="-2"/>
          <w:sz w:val="20"/>
          <w:szCs w:val="20"/>
        </w:rPr>
        <w:t xml:space="preserve"> has now been secured through a </w:t>
      </w:r>
      <w:r w:rsidRPr="000317FF">
        <w:rPr>
          <w:rFonts w:ascii="Arial" w:hAnsi="Arial"/>
          <w:spacing w:val="-2"/>
          <w:sz w:val="20"/>
        </w:rPr>
        <w:t>5-year</w:t>
      </w:r>
      <w:r w:rsidRPr="00731EA5">
        <w:rPr>
          <w:rFonts w:ascii="Arial" w:hAnsi="Arial" w:cs="Arial"/>
          <w:spacing w:val="-2"/>
          <w:sz w:val="20"/>
          <w:szCs w:val="20"/>
        </w:rPr>
        <w:t xml:space="preserve"> lease agreement and preparations are underway to begin licensing and permit requirements to commence operations in 2019.</w:t>
      </w:r>
      <w:r w:rsidR="006653F4">
        <w:rPr>
          <w:rFonts w:ascii="Arial" w:hAnsi="Arial" w:cs="Arial"/>
          <w:spacing w:val="-2"/>
          <w:sz w:val="20"/>
          <w:szCs w:val="20"/>
        </w:rPr>
        <w:t xml:space="preserve"> The Company received its hemp-handlers license from the Oregon Department of Agriculture on August </w:t>
      </w:r>
      <w:r w:rsidR="00FC70F1">
        <w:rPr>
          <w:rFonts w:ascii="Arial" w:hAnsi="Arial" w:cs="Arial"/>
          <w:spacing w:val="-2"/>
          <w:sz w:val="20"/>
          <w:szCs w:val="20"/>
        </w:rPr>
        <w:t>6</w:t>
      </w:r>
      <w:r w:rsidR="006653F4">
        <w:rPr>
          <w:rFonts w:ascii="Arial" w:hAnsi="Arial" w:cs="Arial"/>
          <w:spacing w:val="-2"/>
          <w:sz w:val="20"/>
          <w:szCs w:val="20"/>
        </w:rPr>
        <w:t>, 2019 allowing the new next phase of build-out, architectural design and building permit applications to commence.</w:t>
      </w:r>
    </w:p>
    <w:p w14:paraId="67178F1E" w14:textId="0DDA6810" w:rsidR="00AE34D5" w:rsidRDefault="00AE34D5" w:rsidP="003F6F1A">
      <w:pPr>
        <w:spacing w:after="0"/>
        <w:jc w:val="both"/>
        <w:rPr>
          <w:rFonts w:ascii="Arial" w:hAnsi="Arial" w:cs="Arial"/>
          <w:spacing w:val="-2"/>
          <w:sz w:val="20"/>
          <w:szCs w:val="20"/>
        </w:rPr>
      </w:pPr>
    </w:p>
    <w:p w14:paraId="5CD43EB3" w14:textId="18C19880" w:rsidR="00AE34D5" w:rsidRDefault="00EC5AB8" w:rsidP="00AE34D5">
      <w:pPr>
        <w:shd w:val="clear" w:color="auto" w:fill="FFFFFF"/>
        <w:spacing w:after="0" w:line="240" w:lineRule="auto"/>
        <w:jc w:val="both"/>
        <w:textAlignment w:val="baseline"/>
        <w:rPr>
          <w:rFonts w:ascii="Arial" w:hAnsi="Arial" w:cs="Arial"/>
          <w:spacing w:val="-2"/>
          <w:sz w:val="20"/>
          <w:szCs w:val="20"/>
        </w:rPr>
      </w:pPr>
      <w:r>
        <w:rPr>
          <w:rFonts w:ascii="Arial" w:hAnsi="Arial" w:cs="Arial"/>
          <w:spacing w:val="-2"/>
          <w:sz w:val="20"/>
          <w:szCs w:val="20"/>
        </w:rPr>
        <w:t>T</w:t>
      </w:r>
      <w:r w:rsidR="00AE34D5">
        <w:rPr>
          <w:rFonts w:ascii="Arial" w:hAnsi="Arial" w:cs="Arial"/>
          <w:spacing w:val="-2"/>
          <w:sz w:val="20"/>
          <w:szCs w:val="20"/>
        </w:rPr>
        <w:t xml:space="preserve">he Company </w:t>
      </w:r>
      <w:r w:rsidR="00AE34D5" w:rsidRPr="00AE34D5">
        <w:rPr>
          <w:rFonts w:ascii="Arial" w:hAnsi="Arial" w:cs="Arial"/>
          <w:spacing w:val="-2"/>
          <w:sz w:val="20"/>
          <w:szCs w:val="20"/>
        </w:rPr>
        <w:t>has entered into a Letter of Intent (“LOI”) to form a Joint Venture Partnership (“JV”) with H</w:t>
      </w:r>
      <w:r w:rsidR="00AE34D5">
        <w:rPr>
          <w:rFonts w:ascii="Arial" w:hAnsi="Arial" w:cs="Arial"/>
          <w:spacing w:val="-2"/>
          <w:sz w:val="20"/>
          <w:szCs w:val="20"/>
        </w:rPr>
        <w:t xml:space="preserve">eritage </w:t>
      </w:r>
      <w:r w:rsidR="00AE34D5" w:rsidRPr="00AE34D5">
        <w:rPr>
          <w:rFonts w:ascii="Arial" w:hAnsi="Arial" w:cs="Arial"/>
          <w:spacing w:val="-2"/>
          <w:sz w:val="20"/>
          <w:szCs w:val="20"/>
        </w:rPr>
        <w:t>C</w:t>
      </w:r>
      <w:r w:rsidR="00AE34D5">
        <w:rPr>
          <w:rFonts w:ascii="Arial" w:hAnsi="Arial" w:cs="Arial"/>
          <w:spacing w:val="-2"/>
          <w:sz w:val="20"/>
          <w:szCs w:val="20"/>
        </w:rPr>
        <w:t>annabis</w:t>
      </w:r>
      <w:r w:rsidR="00AE34D5" w:rsidRPr="00AE34D5">
        <w:rPr>
          <w:rFonts w:ascii="Arial" w:hAnsi="Arial" w:cs="Arial"/>
          <w:spacing w:val="-2"/>
          <w:sz w:val="20"/>
          <w:szCs w:val="20"/>
        </w:rPr>
        <w:t xml:space="preserve"> </w:t>
      </w:r>
      <w:r w:rsidR="00AE34D5">
        <w:rPr>
          <w:rFonts w:ascii="Arial" w:hAnsi="Arial" w:cs="Arial"/>
          <w:spacing w:val="-2"/>
          <w:sz w:val="20"/>
          <w:szCs w:val="20"/>
        </w:rPr>
        <w:t>Holdings</w:t>
      </w:r>
      <w:r w:rsidR="00AE34D5" w:rsidRPr="00AE34D5">
        <w:rPr>
          <w:rFonts w:ascii="Arial" w:hAnsi="Arial" w:cs="Arial"/>
          <w:spacing w:val="-2"/>
          <w:sz w:val="20"/>
          <w:szCs w:val="20"/>
        </w:rPr>
        <w:t xml:space="preserve"> C</w:t>
      </w:r>
      <w:r w:rsidR="00AE34D5">
        <w:rPr>
          <w:rFonts w:ascii="Arial" w:hAnsi="Arial" w:cs="Arial"/>
          <w:spacing w:val="-2"/>
          <w:sz w:val="20"/>
          <w:szCs w:val="20"/>
        </w:rPr>
        <w:t>orp</w:t>
      </w:r>
      <w:r w:rsidR="00AE34D5" w:rsidRPr="00AE34D5">
        <w:rPr>
          <w:rFonts w:ascii="Arial" w:hAnsi="Arial" w:cs="Arial"/>
          <w:spacing w:val="-2"/>
          <w:sz w:val="20"/>
          <w:szCs w:val="20"/>
        </w:rPr>
        <w:t xml:space="preserve"> (CSE: CANN) (“Heritage”)</w:t>
      </w:r>
      <w:r>
        <w:rPr>
          <w:rFonts w:ascii="Arial" w:hAnsi="Arial" w:cs="Arial"/>
          <w:spacing w:val="-2"/>
          <w:sz w:val="20"/>
          <w:szCs w:val="20"/>
        </w:rPr>
        <w:t xml:space="preserve">. </w:t>
      </w:r>
      <w:r w:rsidR="00AE34D5" w:rsidRPr="00AE34D5">
        <w:rPr>
          <w:rFonts w:ascii="Arial" w:hAnsi="Arial" w:cs="Arial"/>
          <w:spacing w:val="-2"/>
          <w:sz w:val="20"/>
          <w:szCs w:val="20"/>
        </w:rPr>
        <w:t>Terms of the LOI have Empower and Heritage each with a 50% ownership of the JV. Heritage</w:t>
      </w:r>
      <w:r>
        <w:rPr>
          <w:rFonts w:ascii="Arial" w:hAnsi="Arial" w:cs="Arial"/>
          <w:spacing w:val="-2"/>
          <w:sz w:val="20"/>
          <w:szCs w:val="20"/>
        </w:rPr>
        <w:t xml:space="preserve"> </w:t>
      </w:r>
      <w:r w:rsidR="00AE34D5" w:rsidRPr="00AE34D5">
        <w:rPr>
          <w:rFonts w:ascii="Arial" w:hAnsi="Arial" w:cs="Arial"/>
          <w:spacing w:val="-2"/>
          <w:sz w:val="20"/>
          <w:szCs w:val="20"/>
        </w:rPr>
        <w:t xml:space="preserve">will install extraction units and related downstream extraction equipment inside </w:t>
      </w:r>
      <w:proofErr w:type="spellStart"/>
      <w:r w:rsidR="00AE34D5" w:rsidRPr="00AE34D5">
        <w:rPr>
          <w:rFonts w:ascii="Arial" w:hAnsi="Arial" w:cs="Arial"/>
          <w:spacing w:val="-2"/>
          <w:sz w:val="20"/>
          <w:szCs w:val="20"/>
        </w:rPr>
        <w:t>Empower’s</w:t>
      </w:r>
      <w:proofErr w:type="spellEnd"/>
      <w:r w:rsidR="00AE34D5" w:rsidRPr="00AE34D5">
        <w:rPr>
          <w:rFonts w:ascii="Arial" w:hAnsi="Arial" w:cs="Arial"/>
          <w:spacing w:val="-2"/>
          <w:sz w:val="20"/>
          <w:szCs w:val="20"/>
        </w:rPr>
        <w:t xml:space="preserve"> existing </w:t>
      </w:r>
      <w:r w:rsidR="00477CB6" w:rsidRPr="00AE34D5">
        <w:rPr>
          <w:rFonts w:ascii="Arial" w:hAnsi="Arial" w:cs="Arial"/>
          <w:spacing w:val="-2"/>
          <w:sz w:val="20"/>
          <w:szCs w:val="20"/>
        </w:rPr>
        <w:t>licensed</w:t>
      </w:r>
      <w:r w:rsidR="00AE34D5" w:rsidRPr="00AE34D5">
        <w:rPr>
          <w:rFonts w:ascii="Arial" w:hAnsi="Arial" w:cs="Arial"/>
          <w:spacing w:val="-2"/>
          <w:sz w:val="20"/>
          <w:szCs w:val="20"/>
        </w:rPr>
        <w:t xml:space="preserve"> hemp processing facility in Sandy, O</w:t>
      </w:r>
      <w:r w:rsidR="00AE34D5">
        <w:rPr>
          <w:rFonts w:ascii="Arial" w:hAnsi="Arial" w:cs="Arial"/>
          <w:spacing w:val="-2"/>
          <w:sz w:val="20"/>
          <w:szCs w:val="20"/>
        </w:rPr>
        <w:t>r</w:t>
      </w:r>
      <w:r>
        <w:rPr>
          <w:rFonts w:ascii="Arial" w:hAnsi="Arial" w:cs="Arial"/>
          <w:spacing w:val="-2"/>
          <w:sz w:val="20"/>
          <w:szCs w:val="20"/>
        </w:rPr>
        <w:t>eg</w:t>
      </w:r>
      <w:r w:rsidR="00AE34D5">
        <w:rPr>
          <w:rFonts w:ascii="Arial" w:hAnsi="Arial" w:cs="Arial"/>
          <w:spacing w:val="-2"/>
          <w:sz w:val="20"/>
          <w:szCs w:val="20"/>
        </w:rPr>
        <w:t>on</w:t>
      </w:r>
      <w:r w:rsidR="00AE34D5" w:rsidRPr="00AE34D5">
        <w:rPr>
          <w:rFonts w:ascii="Arial" w:hAnsi="Arial" w:cs="Arial"/>
          <w:spacing w:val="-2"/>
          <w:sz w:val="20"/>
          <w:szCs w:val="20"/>
        </w:rPr>
        <w:t xml:space="preserve">. In addition, </w:t>
      </w:r>
      <w:r>
        <w:rPr>
          <w:rFonts w:ascii="Arial" w:hAnsi="Arial" w:cs="Arial"/>
          <w:spacing w:val="-2"/>
          <w:sz w:val="20"/>
          <w:szCs w:val="20"/>
        </w:rPr>
        <w:t>Heritage</w:t>
      </w:r>
      <w:r w:rsidR="00AE34D5" w:rsidRPr="00AE34D5">
        <w:rPr>
          <w:rFonts w:ascii="Arial" w:hAnsi="Arial" w:cs="Arial"/>
          <w:spacing w:val="-2"/>
          <w:sz w:val="20"/>
          <w:szCs w:val="20"/>
        </w:rPr>
        <w:t xml:space="preserve"> will train and supervise the staff on the proprietary methods of extraction and oil production that it produces in Canada. The JV will be equally funded by both companies with Heritage investing an initial $500,000 for start-up funds, as the build out completes and the JV secures high quality hemp supply from local growers.</w:t>
      </w:r>
    </w:p>
    <w:p w14:paraId="7AF2C7C1" w14:textId="32BC4855" w:rsidR="00AE34D5" w:rsidRDefault="00AE34D5" w:rsidP="00AE34D5">
      <w:pPr>
        <w:shd w:val="clear" w:color="auto" w:fill="FFFFFF"/>
        <w:spacing w:after="0" w:line="240" w:lineRule="auto"/>
        <w:textAlignment w:val="baseline"/>
        <w:rPr>
          <w:rFonts w:ascii="Arial" w:hAnsi="Arial" w:cs="Arial"/>
          <w:spacing w:val="-2"/>
          <w:sz w:val="20"/>
          <w:szCs w:val="20"/>
        </w:rPr>
      </w:pPr>
    </w:p>
    <w:p w14:paraId="7C2FBD5E" w14:textId="77777777" w:rsidR="00962EE1" w:rsidRPr="00AE34D5" w:rsidRDefault="00962EE1" w:rsidP="00AE34D5">
      <w:pPr>
        <w:shd w:val="clear" w:color="auto" w:fill="FFFFFF"/>
        <w:spacing w:after="0" w:line="240" w:lineRule="auto"/>
        <w:textAlignment w:val="baseline"/>
        <w:rPr>
          <w:rFonts w:ascii="Arial" w:hAnsi="Arial" w:cs="Arial"/>
          <w:spacing w:val="-2"/>
          <w:sz w:val="20"/>
          <w:szCs w:val="20"/>
        </w:rPr>
      </w:pPr>
    </w:p>
    <w:p w14:paraId="55763EEE" w14:textId="7C34C75C" w:rsidR="00AE34D5" w:rsidRPr="00AE34D5" w:rsidRDefault="00AE34D5" w:rsidP="00AE34D5">
      <w:pPr>
        <w:shd w:val="clear" w:color="auto" w:fill="FFFFFF"/>
        <w:spacing w:after="0" w:line="240" w:lineRule="auto"/>
        <w:jc w:val="both"/>
        <w:textAlignment w:val="baseline"/>
        <w:rPr>
          <w:rFonts w:ascii="Arial" w:hAnsi="Arial" w:cs="Arial"/>
          <w:spacing w:val="-2"/>
          <w:sz w:val="20"/>
          <w:szCs w:val="20"/>
        </w:rPr>
      </w:pPr>
      <w:r w:rsidRPr="00AE34D5">
        <w:rPr>
          <w:rFonts w:ascii="Arial" w:hAnsi="Arial" w:cs="Arial"/>
          <w:spacing w:val="-2"/>
          <w:sz w:val="20"/>
          <w:szCs w:val="20"/>
        </w:rPr>
        <w:t xml:space="preserve">Once operational, the JV will begin producing proprietary branded products for </w:t>
      </w:r>
      <w:proofErr w:type="spellStart"/>
      <w:r w:rsidRPr="00AE34D5">
        <w:rPr>
          <w:rFonts w:ascii="Arial" w:hAnsi="Arial" w:cs="Arial"/>
          <w:spacing w:val="-2"/>
          <w:sz w:val="20"/>
          <w:szCs w:val="20"/>
        </w:rPr>
        <w:t>Empower’s</w:t>
      </w:r>
      <w:proofErr w:type="spellEnd"/>
      <w:r w:rsidRPr="00AE34D5">
        <w:rPr>
          <w:rFonts w:ascii="Arial" w:hAnsi="Arial" w:cs="Arial"/>
          <w:spacing w:val="-2"/>
          <w:sz w:val="20"/>
          <w:szCs w:val="20"/>
        </w:rPr>
        <w:t xml:space="preserve"> corporately owned physician staffed health clinics in Washington State, Oregon, and Arizona. These clinics include </w:t>
      </w:r>
      <w:r w:rsidR="00EC5AB8" w:rsidRPr="00731EA5">
        <w:rPr>
          <w:rFonts w:ascii="Arial" w:hAnsi="Arial" w:cs="Arial"/>
          <w:spacing w:val="-2"/>
          <w:sz w:val="20"/>
          <w:szCs w:val="20"/>
        </w:rPr>
        <w:t>Sun Valley Certification Clinics Holdings LLC</w:t>
      </w:r>
      <w:r w:rsidRPr="00AE34D5">
        <w:rPr>
          <w:rFonts w:ascii="Arial" w:hAnsi="Arial" w:cs="Arial"/>
          <w:spacing w:val="-2"/>
          <w:sz w:val="20"/>
          <w:szCs w:val="20"/>
        </w:rPr>
        <w:t xml:space="preserve"> (“Sun Valley”), a subsidiary of Empower, which has direct marketing access to over 165,000 patients and growing as Sun Valley expands its franchised network nationwide. The JV </w:t>
      </w:r>
      <w:r w:rsidR="00477CB6">
        <w:rPr>
          <w:rFonts w:ascii="Arial" w:hAnsi="Arial" w:cs="Arial"/>
          <w:spacing w:val="-2"/>
          <w:sz w:val="20"/>
          <w:szCs w:val="20"/>
        </w:rPr>
        <w:t xml:space="preserve">intends to promote and potentially produce products and formulations as a result of partnerships that Heritage brings. We intend to manufacture the propriety </w:t>
      </w:r>
      <w:proofErr w:type="spellStart"/>
      <w:r w:rsidR="00477CB6">
        <w:rPr>
          <w:rFonts w:ascii="Arial" w:hAnsi="Arial" w:cs="Arial"/>
          <w:spacing w:val="-2"/>
          <w:sz w:val="20"/>
          <w:szCs w:val="20"/>
        </w:rPr>
        <w:t>Sollievo</w:t>
      </w:r>
      <w:proofErr w:type="spellEnd"/>
      <w:r w:rsidR="00477CB6">
        <w:rPr>
          <w:rFonts w:ascii="Arial" w:hAnsi="Arial" w:cs="Arial"/>
          <w:spacing w:val="-2"/>
          <w:sz w:val="20"/>
          <w:szCs w:val="20"/>
        </w:rPr>
        <w:t xml:space="preserve"> branded products and any new formulations the Company creates in the Sandy, Oregon facility.</w:t>
      </w:r>
    </w:p>
    <w:p w14:paraId="1E2EB9FA" w14:textId="77777777" w:rsidR="00E27B44" w:rsidRPr="00AE34D5" w:rsidRDefault="00E27B44" w:rsidP="003F6F1A">
      <w:pPr>
        <w:spacing w:after="0"/>
        <w:jc w:val="both"/>
        <w:rPr>
          <w:rFonts w:ascii="Arial" w:hAnsi="Arial" w:cs="Arial"/>
          <w:spacing w:val="-2"/>
          <w:sz w:val="20"/>
          <w:szCs w:val="20"/>
        </w:rPr>
      </w:pPr>
    </w:p>
    <w:p w14:paraId="01A16632"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Acquisition of Sun Valley Clinics</w:t>
      </w:r>
      <w:r w:rsidRPr="00731EA5">
        <w:rPr>
          <w:rFonts w:ascii="Arial" w:hAnsi="Arial" w:cs="Arial"/>
          <w:spacing w:val="-2"/>
          <w:sz w:val="20"/>
          <w:szCs w:val="20"/>
        </w:rPr>
        <w:t xml:space="preserve"> </w:t>
      </w:r>
    </w:p>
    <w:p w14:paraId="27DA2C63" w14:textId="77777777" w:rsidR="00E27B44" w:rsidRPr="00C14FA4" w:rsidRDefault="00E27B44" w:rsidP="003F6F1A">
      <w:pPr>
        <w:spacing w:after="0"/>
        <w:jc w:val="both"/>
        <w:rPr>
          <w:rFonts w:ascii="Arial" w:hAnsi="Arial" w:cs="Arial"/>
          <w:spacing w:val="-2"/>
          <w:sz w:val="18"/>
          <w:szCs w:val="20"/>
        </w:rPr>
      </w:pPr>
    </w:p>
    <w:p w14:paraId="77E5897C" w14:textId="3826E671" w:rsidR="00CD59DC"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 xml:space="preserve">Empower has completed the acquisition of the business of Sun Valley, including its interests in certain affiliates, by way of a share acquisition. Sun Valley operates a network of professional medical cannabis and pain management practices, with five clinics in Arizona, one clinic in Las Vegas, a tele-medicine platform serving California, and a fully developed franchise business model for the domestic </w:t>
      </w:r>
      <w:r>
        <w:rPr>
          <w:rFonts w:ascii="Arial" w:hAnsi="Arial" w:cs="Arial"/>
          <w:spacing w:val="-2"/>
          <w:sz w:val="20"/>
          <w:szCs w:val="20"/>
        </w:rPr>
        <w:t xml:space="preserve">and international medical </w:t>
      </w:r>
      <w:r w:rsidRPr="00731EA5">
        <w:rPr>
          <w:rFonts w:ascii="Arial" w:hAnsi="Arial" w:cs="Arial"/>
          <w:spacing w:val="-2"/>
          <w:sz w:val="20"/>
          <w:szCs w:val="20"/>
        </w:rPr>
        <w:t xml:space="preserve">cannabis industry. </w:t>
      </w:r>
    </w:p>
    <w:p w14:paraId="718ACE38" w14:textId="77777777" w:rsidR="00AC41B8" w:rsidRDefault="00AC41B8" w:rsidP="003F6F1A">
      <w:pPr>
        <w:spacing w:after="0"/>
        <w:jc w:val="both"/>
        <w:rPr>
          <w:rFonts w:ascii="Arial" w:hAnsi="Arial" w:cs="Arial"/>
          <w:spacing w:val="-2"/>
          <w:sz w:val="20"/>
          <w:szCs w:val="20"/>
        </w:rPr>
      </w:pPr>
    </w:p>
    <w:p w14:paraId="71011DB2" w14:textId="348BC82A" w:rsidR="00E27B44"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The current Sun Valley clinic locations are:</w:t>
      </w:r>
    </w:p>
    <w:p w14:paraId="52DD3557" w14:textId="77777777" w:rsidR="00CD59DC" w:rsidRDefault="00CD59DC" w:rsidP="003F6F1A">
      <w:pPr>
        <w:spacing w:after="0"/>
        <w:jc w:val="both"/>
        <w:rPr>
          <w:rFonts w:ascii="Arial" w:hAnsi="Arial" w:cs="Arial"/>
          <w:spacing w:val="-2"/>
          <w:sz w:val="20"/>
          <w:szCs w:val="20"/>
        </w:rPr>
      </w:pPr>
    </w:p>
    <w:p w14:paraId="0B54383B"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 xml:space="preserve">4218 W Dunlap Ave, Phoenix, AZ </w:t>
      </w:r>
    </w:p>
    <w:p w14:paraId="38FDD8F2"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12801 W Bell Rd #145, Surprise, AZ</w:t>
      </w:r>
    </w:p>
    <w:p w14:paraId="7D788783"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4015 E Bell Rd #130, Phoenix, AZ</w:t>
      </w:r>
    </w:p>
    <w:p w14:paraId="13F3B75C"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2011 E University Dr, Mesa, AZ</w:t>
      </w:r>
    </w:p>
    <w:p w14:paraId="07CE0730"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7074 E Speedway Blvd, Tucson, AZ</w:t>
      </w:r>
    </w:p>
    <w:p w14:paraId="05F669D9" w14:textId="77777777" w:rsidR="00E27B44" w:rsidRPr="00CF76E9" w:rsidRDefault="00E27B44" w:rsidP="003F6F1A">
      <w:pPr>
        <w:pStyle w:val="ColorfulList-Accent11"/>
        <w:numPr>
          <w:ilvl w:val="0"/>
          <w:numId w:val="36"/>
        </w:numPr>
        <w:jc w:val="both"/>
        <w:rPr>
          <w:rFonts w:ascii="Arial" w:hAnsi="Arial" w:cs="Arial"/>
          <w:spacing w:val="-2"/>
          <w:sz w:val="20"/>
          <w:szCs w:val="20"/>
        </w:rPr>
      </w:pPr>
      <w:r w:rsidRPr="00CF76E9">
        <w:rPr>
          <w:rFonts w:ascii="Arial" w:hAnsi="Arial" w:cs="Arial"/>
          <w:spacing w:val="-2"/>
          <w:sz w:val="20"/>
          <w:szCs w:val="20"/>
        </w:rPr>
        <w:t>2550 S Rainbow Blvd, Las Vegas, NV</w:t>
      </w:r>
    </w:p>
    <w:p w14:paraId="59476027" w14:textId="77777777" w:rsidR="00CD59DC" w:rsidRDefault="00CD59DC" w:rsidP="003F6F1A">
      <w:pPr>
        <w:spacing w:after="0"/>
        <w:jc w:val="both"/>
        <w:rPr>
          <w:rFonts w:ascii="Arial" w:hAnsi="Arial" w:cs="Arial"/>
          <w:spacing w:val="-2"/>
          <w:sz w:val="20"/>
          <w:szCs w:val="20"/>
        </w:rPr>
      </w:pPr>
    </w:p>
    <w:p w14:paraId="2240AC75" w14:textId="4512B42A" w:rsidR="00343C9F" w:rsidRPr="00343C9F" w:rsidRDefault="00343C9F" w:rsidP="003F6F1A">
      <w:pPr>
        <w:spacing w:after="0"/>
        <w:jc w:val="both"/>
        <w:rPr>
          <w:rFonts w:ascii="Arial" w:hAnsi="Arial" w:cs="Arial"/>
          <w:spacing w:val="-2"/>
          <w:sz w:val="20"/>
          <w:szCs w:val="20"/>
        </w:rPr>
      </w:pPr>
      <w:r w:rsidRPr="00343C9F">
        <w:rPr>
          <w:rFonts w:ascii="Arial" w:hAnsi="Arial" w:cs="Arial"/>
          <w:spacing w:val="-2"/>
          <w:sz w:val="20"/>
          <w:szCs w:val="20"/>
        </w:rPr>
        <w:t>The Company is consolidating its clinic operations under one consistent brand</w:t>
      </w:r>
      <w:r>
        <w:rPr>
          <w:rFonts w:ascii="Arial" w:hAnsi="Arial" w:cs="Arial"/>
          <w:spacing w:val="-2"/>
          <w:sz w:val="20"/>
          <w:szCs w:val="20"/>
        </w:rPr>
        <w:t xml:space="preserve"> by </w:t>
      </w:r>
      <w:r w:rsidRPr="00343C9F">
        <w:rPr>
          <w:rFonts w:ascii="Arial" w:hAnsi="Arial" w:cs="Arial"/>
          <w:spacing w:val="-2"/>
          <w:sz w:val="20"/>
          <w:szCs w:val="20"/>
        </w:rPr>
        <w:t>merging the existing clinic operations of</w:t>
      </w:r>
      <w:r>
        <w:rPr>
          <w:rFonts w:ascii="Arial" w:hAnsi="Arial" w:cs="Arial"/>
          <w:spacing w:val="-2"/>
          <w:sz w:val="20"/>
          <w:szCs w:val="20"/>
        </w:rPr>
        <w:t xml:space="preserve"> </w:t>
      </w:r>
      <w:r w:rsidRPr="00343C9F">
        <w:rPr>
          <w:rFonts w:ascii="Arial" w:hAnsi="Arial" w:cs="Arial"/>
          <w:spacing w:val="-2"/>
          <w:sz w:val="20"/>
          <w:szCs w:val="20"/>
        </w:rPr>
        <w:t xml:space="preserve">Sun Valley in Arizona and Nevada </w:t>
      </w:r>
      <w:r>
        <w:rPr>
          <w:rFonts w:ascii="Arial" w:hAnsi="Arial" w:cs="Arial"/>
          <w:spacing w:val="-2"/>
          <w:sz w:val="20"/>
          <w:szCs w:val="20"/>
        </w:rPr>
        <w:t xml:space="preserve">with the </w:t>
      </w:r>
      <w:r w:rsidRPr="00343C9F">
        <w:rPr>
          <w:rFonts w:ascii="Arial" w:hAnsi="Arial" w:cs="Arial"/>
          <w:spacing w:val="-2"/>
          <w:sz w:val="20"/>
          <w:szCs w:val="20"/>
        </w:rPr>
        <w:t>existing physical and mobile clinic operations of Empower Clinics in Washington State and Oregon State</w:t>
      </w:r>
      <w:r w:rsidR="006653F4">
        <w:rPr>
          <w:rFonts w:ascii="Arial" w:hAnsi="Arial" w:cs="Arial"/>
          <w:spacing w:val="-2"/>
          <w:sz w:val="20"/>
          <w:szCs w:val="20"/>
        </w:rPr>
        <w:t xml:space="preserve"> under the brand of Sun Valley Health with the website </w:t>
      </w:r>
      <w:hyperlink r:id="rId12" w:history="1">
        <w:r w:rsidR="006653F4" w:rsidRPr="00F95CBF">
          <w:rPr>
            <w:rStyle w:val="Hyperlink"/>
            <w:rFonts w:ascii="Arial" w:hAnsi="Arial" w:cs="Arial"/>
            <w:spacing w:val="-2"/>
            <w:sz w:val="20"/>
            <w:szCs w:val="20"/>
          </w:rPr>
          <w:t>www.sunvalleyhealth.com</w:t>
        </w:r>
      </w:hyperlink>
      <w:r w:rsidR="00691C16">
        <w:rPr>
          <w:rFonts w:ascii="Arial" w:hAnsi="Arial" w:cs="Arial"/>
          <w:spacing w:val="-2"/>
          <w:sz w:val="20"/>
          <w:szCs w:val="20"/>
        </w:rPr>
        <w:t>.</w:t>
      </w:r>
      <w:r w:rsidR="006653F4">
        <w:rPr>
          <w:rFonts w:ascii="Arial" w:hAnsi="Arial" w:cs="Arial"/>
          <w:spacing w:val="-2"/>
          <w:sz w:val="20"/>
          <w:szCs w:val="20"/>
        </w:rPr>
        <w:t xml:space="preserve"> </w:t>
      </w:r>
    </w:p>
    <w:p w14:paraId="2624DAC0" w14:textId="77777777" w:rsidR="00343C9F" w:rsidRDefault="00343C9F" w:rsidP="003F6F1A">
      <w:pPr>
        <w:spacing w:after="0"/>
        <w:jc w:val="both"/>
        <w:rPr>
          <w:rFonts w:ascii="Arial" w:hAnsi="Arial" w:cs="Arial"/>
          <w:b/>
          <w:i/>
          <w:sz w:val="20"/>
          <w:szCs w:val="20"/>
          <w:u w:val="single"/>
        </w:rPr>
      </w:pPr>
    </w:p>
    <w:p w14:paraId="6EE8ADD8" w14:textId="77777777" w:rsidR="00343C9F" w:rsidRDefault="00343C9F" w:rsidP="003F6F1A">
      <w:pPr>
        <w:spacing w:after="0"/>
        <w:jc w:val="both"/>
        <w:rPr>
          <w:rFonts w:ascii="Arial" w:hAnsi="Arial" w:cs="Arial"/>
          <w:b/>
          <w:i/>
          <w:sz w:val="20"/>
          <w:szCs w:val="20"/>
          <w:u w:val="single"/>
        </w:rPr>
      </w:pPr>
      <w:r>
        <w:rPr>
          <w:rFonts w:ascii="Arial" w:hAnsi="Arial" w:cs="Arial"/>
          <w:b/>
          <w:i/>
          <w:sz w:val="20"/>
          <w:szCs w:val="20"/>
          <w:u w:val="single"/>
        </w:rPr>
        <w:t>Franchise Program</w:t>
      </w:r>
    </w:p>
    <w:p w14:paraId="6F623D37" w14:textId="77777777" w:rsidR="00343C9F" w:rsidRDefault="00343C9F" w:rsidP="003F6F1A">
      <w:pPr>
        <w:spacing w:after="0"/>
        <w:jc w:val="both"/>
        <w:rPr>
          <w:rFonts w:ascii="Arial" w:hAnsi="Arial" w:cs="Arial"/>
          <w:b/>
          <w:i/>
          <w:sz w:val="20"/>
          <w:szCs w:val="20"/>
          <w:u w:val="single"/>
        </w:rPr>
      </w:pPr>
    </w:p>
    <w:p w14:paraId="26D349AA" w14:textId="77777777" w:rsidR="00FD4F52" w:rsidRPr="00C8580E" w:rsidRDefault="00FD4F52" w:rsidP="003F6F1A">
      <w:pPr>
        <w:spacing w:after="0"/>
        <w:jc w:val="both"/>
        <w:rPr>
          <w:rFonts w:ascii="Arial" w:hAnsi="Arial" w:cs="Arial"/>
          <w:sz w:val="20"/>
          <w:szCs w:val="20"/>
          <w:lang w:val="en-CA"/>
        </w:rPr>
      </w:pPr>
      <w:r>
        <w:rPr>
          <w:rFonts w:ascii="Arial" w:hAnsi="Arial" w:cs="Arial"/>
          <w:sz w:val="20"/>
          <w:szCs w:val="20"/>
          <w:lang w:val="en-CA"/>
        </w:rPr>
        <w:t xml:space="preserve">As part of the Sun Valley acquisition, the Company is launching a nationwide Sun Valley Health franchise model allowing for easy and fast nationwide scalability that will increase the distribution of </w:t>
      </w:r>
      <w:proofErr w:type="spellStart"/>
      <w:r>
        <w:rPr>
          <w:rFonts w:ascii="Arial" w:hAnsi="Arial" w:cs="Arial"/>
          <w:sz w:val="20"/>
          <w:szCs w:val="20"/>
          <w:lang w:val="en-CA"/>
        </w:rPr>
        <w:t>Sollievo</w:t>
      </w:r>
      <w:proofErr w:type="spellEnd"/>
      <w:r>
        <w:rPr>
          <w:rFonts w:ascii="Arial" w:hAnsi="Arial" w:cs="Arial"/>
          <w:sz w:val="20"/>
          <w:szCs w:val="20"/>
          <w:lang w:val="en-CA"/>
        </w:rPr>
        <w:t xml:space="preserve"> and Sun Valley CBD products, to access many more patients and consumers in new and developing markets for the Company. </w:t>
      </w:r>
      <w:r w:rsidRPr="00C8580E">
        <w:rPr>
          <w:rFonts w:ascii="Arial" w:hAnsi="Arial" w:cs="Arial"/>
          <w:sz w:val="20"/>
          <w:szCs w:val="20"/>
          <w:lang w:val="en-CA"/>
        </w:rPr>
        <w:t xml:space="preserve">Franchisees </w:t>
      </w:r>
      <w:r>
        <w:rPr>
          <w:rFonts w:ascii="Arial" w:hAnsi="Arial" w:cs="Arial"/>
          <w:sz w:val="20"/>
          <w:szCs w:val="20"/>
          <w:lang w:val="en-CA"/>
        </w:rPr>
        <w:t xml:space="preserve">will </w:t>
      </w:r>
      <w:r w:rsidRPr="00C8580E">
        <w:rPr>
          <w:rFonts w:ascii="Arial" w:hAnsi="Arial" w:cs="Arial"/>
          <w:sz w:val="20"/>
          <w:szCs w:val="20"/>
          <w:lang w:val="en-CA"/>
        </w:rPr>
        <w:t xml:space="preserve">retain rights to specific territories to open and operate </w:t>
      </w:r>
      <w:r>
        <w:rPr>
          <w:rFonts w:ascii="Arial" w:hAnsi="Arial" w:cs="Arial"/>
          <w:sz w:val="20"/>
          <w:szCs w:val="20"/>
          <w:lang w:val="en-CA"/>
        </w:rPr>
        <w:t>Sun Valley Health</w:t>
      </w:r>
      <w:r w:rsidRPr="00C8580E">
        <w:rPr>
          <w:rFonts w:ascii="Arial" w:hAnsi="Arial" w:cs="Arial"/>
          <w:sz w:val="20"/>
          <w:szCs w:val="20"/>
          <w:lang w:val="en-CA"/>
        </w:rPr>
        <w:t xml:space="preserve"> clinics and sell CBD products in clinics and to local sales regions</w:t>
      </w:r>
      <w:r>
        <w:rPr>
          <w:rFonts w:ascii="Arial" w:hAnsi="Arial" w:cs="Arial"/>
          <w:sz w:val="20"/>
          <w:szCs w:val="20"/>
          <w:lang w:val="en-CA"/>
        </w:rPr>
        <w:t xml:space="preserve">. </w:t>
      </w:r>
      <w:r w:rsidRPr="00C8580E">
        <w:rPr>
          <w:rFonts w:ascii="Arial" w:hAnsi="Arial" w:cs="Arial"/>
          <w:sz w:val="20"/>
          <w:szCs w:val="20"/>
          <w:lang w:val="en-CA"/>
        </w:rPr>
        <w:t xml:space="preserve">Empower receives upfront franchise fees, ongoing clinic royalties, product royalties and ownership </w:t>
      </w:r>
      <w:r>
        <w:rPr>
          <w:rFonts w:ascii="Arial" w:hAnsi="Arial" w:cs="Arial"/>
          <w:sz w:val="20"/>
          <w:szCs w:val="20"/>
          <w:lang w:val="en-CA"/>
        </w:rPr>
        <w:t>of patient database information.</w:t>
      </w:r>
    </w:p>
    <w:p w14:paraId="12BDBAC7" w14:textId="77777777" w:rsidR="00FD4F52" w:rsidRDefault="00FD4F52" w:rsidP="003F6F1A">
      <w:pPr>
        <w:spacing w:after="0"/>
        <w:jc w:val="both"/>
        <w:rPr>
          <w:rFonts w:ascii="Arial" w:hAnsi="Arial" w:cs="Arial"/>
          <w:spacing w:val="-2"/>
          <w:sz w:val="20"/>
          <w:szCs w:val="20"/>
        </w:rPr>
      </w:pPr>
    </w:p>
    <w:p w14:paraId="13B32ABB" w14:textId="7DFFE04F" w:rsidR="00343C9F" w:rsidRPr="00343C9F" w:rsidRDefault="00FD4F52" w:rsidP="003F6F1A">
      <w:pPr>
        <w:spacing w:after="0"/>
        <w:jc w:val="both"/>
        <w:rPr>
          <w:rFonts w:ascii="Arial" w:hAnsi="Arial" w:cs="Arial"/>
          <w:spacing w:val="-2"/>
          <w:sz w:val="20"/>
          <w:szCs w:val="20"/>
        </w:rPr>
      </w:pPr>
      <w:r>
        <w:rPr>
          <w:rFonts w:ascii="Arial" w:hAnsi="Arial" w:cs="Arial"/>
          <w:spacing w:val="-2"/>
          <w:sz w:val="20"/>
          <w:szCs w:val="20"/>
        </w:rPr>
        <w:t>During Q</w:t>
      </w:r>
      <w:r w:rsidR="00781C2B">
        <w:rPr>
          <w:rFonts w:ascii="Arial" w:hAnsi="Arial" w:cs="Arial"/>
          <w:spacing w:val="-2"/>
          <w:sz w:val="20"/>
          <w:szCs w:val="20"/>
        </w:rPr>
        <w:t>3</w:t>
      </w:r>
      <w:r>
        <w:rPr>
          <w:rFonts w:ascii="Arial" w:hAnsi="Arial" w:cs="Arial"/>
          <w:spacing w:val="-2"/>
          <w:sz w:val="20"/>
          <w:szCs w:val="20"/>
        </w:rPr>
        <w:t xml:space="preserve"> 2019, t</w:t>
      </w:r>
      <w:r w:rsidR="00343C9F">
        <w:rPr>
          <w:rFonts w:ascii="Arial" w:hAnsi="Arial" w:cs="Arial"/>
          <w:spacing w:val="-2"/>
          <w:sz w:val="20"/>
          <w:szCs w:val="20"/>
        </w:rPr>
        <w:t xml:space="preserve">he Company </w:t>
      </w:r>
      <w:r w:rsidR="00343C9F" w:rsidRPr="00343C9F">
        <w:rPr>
          <w:rFonts w:ascii="Arial" w:hAnsi="Arial" w:cs="Arial"/>
          <w:spacing w:val="-2"/>
          <w:sz w:val="20"/>
          <w:szCs w:val="20"/>
        </w:rPr>
        <w:t>launch</w:t>
      </w:r>
      <w:r w:rsidR="00343C9F">
        <w:rPr>
          <w:rFonts w:ascii="Arial" w:hAnsi="Arial" w:cs="Arial"/>
          <w:spacing w:val="-2"/>
          <w:sz w:val="20"/>
          <w:szCs w:val="20"/>
        </w:rPr>
        <w:t>ed</w:t>
      </w:r>
      <w:r w:rsidR="00343C9F" w:rsidRPr="00343C9F">
        <w:rPr>
          <w:rFonts w:ascii="Arial" w:hAnsi="Arial" w:cs="Arial"/>
          <w:spacing w:val="-2"/>
          <w:sz w:val="20"/>
          <w:szCs w:val="20"/>
        </w:rPr>
        <w:t xml:space="preserve"> </w:t>
      </w:r>
      <w:r>
        <w:rPr>
          <w:rFonts w:ascii="Arial" w:hAnsi="Arial" w:cs="Arial"/>
          <w:spacing w:val="-2"/>
          <w:sz w:val="20"/>
          <w:szCs w:val="20"/>
        </w:rPr>
        <w:t xml:space="preserve">the </w:t>
      </w:r>
      <w:r w:rsidR="00343C9F" w:rsidRPr="00343C9F">
        <w:rPr>
          <w:rFonts w:ascii="Arial" w:hAnsi="Arial" w:cs="Arial"/>
          <w:spacing w:val="-2"/>
          <w:sz w:val="20"/>
          <w:szCs w:val="20"/>
        </w:rPr>
        <w:t>nationwide Sun Valley Health franchise program</w:t>
      </w:r>
      <w:r w:rsidR="00343C9F">
        <w:rPr>
          <w:rFonts w:ascii="Arial" w:hAnsi="Arial" w:cs="Arial"/>
          <w:spacing w:val="-2"/>
          <w:sz w:val="20"/>
          <w:szCs w:val="20"/>
        </w:rPr>
        <w:t xml:space="preserve"> and has received its first signed franchise application</w:t>
      </w:r>
      <w:r w:rsidR="006653F4">
        <w:rPr>
          <w:rFonts w:ascii="Arial" w:hAnsi="Arial" w:cs="Arial"/>
          <w:spacing w:val="-2"/>
          <w:sz w:val="20"/>
          <w:szCs w:val="20"/>
        </w:rPr>
        <w:t>s and has sent out preliminary Franchise Disclosure Documents (FDD) to perspective franchise applicants.</w:t>
      </w:r>
    </w:p>
    <w:p w14:paraId="5B7AF184" w14:textId="77777777" w:rsidR="00343C9F" w:rsidRPr="00731EA5" w:rsidRDefault="00343C9F" w:rsidP="003F6F1A">
      <w:pPr>
        <w:spacing w:after="0"/>
        <w:jc w:val="both"/>
        <w:rPr>
          <w:rFonts w:ascii="Arial" w:hAnsi="Arial" w:cs="Arial"/>
          <w:spacing w:val="-2"/>
          <w:sz w:val="20"/>
          <w:szCs w:val="20"/>
        </w:rPr>
      </w:pPr>
    </w:p>
    <w:p w14:paraId="16904DE4"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CBD Market Demand</w:t>
      </w:r>
      <w:r w:rsidRPr="00731EA5">
        <w:rPr>
          <w:rFonts w:ascii="Arial" w:hAnsi="Arial" w:cs="Arial"/>
          <w:spacing w:val="-2"/>
          <w:sz w:val="20"/>
          <w:szCs w:val="20"/>
        </w:rPr>
        <w:t xml:space="preserve"> </w:t>
      </w:r>
    </w:p>
    <w:p w14:paraId="3908DDC0" w14:textId="77777777" w:rsidR="00E27B44" w:rsidRDefault="00E27B44" w:rsidP="003F6F1A">
      <w:pPr>
        <w:spacing w:after="0"/>
        <w:jc w:val="both"/>
        <w:rPr>
          <w:rFonts w:ascii="Arial" w:hAnsi="Arial" w:cs="Arial"/>
          <w:spacing w:val="-2"/>
          <w:sz w:val="20"/>
          <w:szCs w:val="20"/>
        </w:rPr>
      </w:pPr>
    </w:p>
    <w:p w14:paraId="242FD1E3" w14:textId="3432F556" w:rsidR="00E27B44" w:rsidRPr="00731EA5"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The passing in the United States of the US$867 billion Agriculture Improvement Act (the “Farm Bill”) has legalized hemp and hemp-based products. Recent reports and studies</w:t>
      </w:r>
      <w:r w:rsidR="00F17EB0">
        <w:rPr>
          <w:rFonts w:ascii="Arial" w:hAnsi="Arial" w:cs="Arial"/>
          <w:spacing w:val="-2"/>
          <w:sz w:val="20"/>
          <w:szCs w:val="20"/>
        </w:rPr>
        <w:t xml:space="preserve"> from the Brightfield Group</w:t>
      </w:r>
      <w:r w:rsidRPr="00731EA5">
        <w:rPr>
          <w:rFonts w:ascii="Arial" w:hAnsi="Arial" w:cs="Arial"/>
          <w:spacing w:val="-2"/>
          <w:sz w:val="20"/>
          <w:szCs w:val="20"/>
        </w:rPr>
        <w:t xml:space="preserve"> indicate the approval of the Farm Bill could create a US$2</w:t>
      </w:r>
      <w:r w:rsidR="00F17EB0">
        <w:rPr>
          <w:rFonts w:ascii="Arial" w:hAnsi="Arial" w:cs="Arial"/>
          <w:spacing w:val="-2"/>
          <w:sz w:val="20"/>
          <w:szCs w:val="20"/>
        </w:rPr>
        <w:t>3.7</w:t>
      </w:r>
      <w:r w:rsidRPr="00731EA5">
        <w:rPr>
          <w:rFonts w:ascii="Arial" w:hAnsi="Arial" w:cs="Arial"/>
          <w:spacing w:val="-2"/>
          <w:sz w:val="20"/>
          <w:szCs w:val="20"/>
        </w:rPr>
        <w:t xml:space="preserve"> billion industry by 202</w:t>
      </w:r>
      <w:r w:rsidR="00F17EB0">
        <w:rPr>
          <w:rFonts w:ascii="Arial" w:hAnsi="Arial" w:cs="Arial"/>
          <w:spacing w:val="-2"/>
          <w:sz w:val="20"/>
          <w:szCs w:val="20"/>
        </w:rPr>
        <w:t>3</w:t>
      </w:r>
      <w:r w:rsidRPr="00731EA5">
        <w:rPr>
          <w:rFonts w:ascii="Arial" w:hAnsi="Arial" w:cs="Arial"/>
          <w:spacing w:val="-2"/>
          <w:sz w:val="20"/>
          <w:szCs w:val="20"/>
        </w:rPr>
        <w:t>.</w:t>
      </w:r>
    </w:p>
    <w:p w14:paraId="5993C1B6" w14:textId="178A64FF" w:rsidR="00E27B44" w:rsidRDefault="00E27B44" w:rsidP="003F6F1A">
      <w:pPr>
        <w:spacing w:after="0"/>
        <w:jc w:val="both"/>
        <w:rPr>
          <w:rFonts w:ascii="Arial" w:hAnsi="Arial" w:cs="Arial"/>
          <w:spacing w:val="-2"/>
          <w:sz w:val="20"/>
          <w:szCs w:val="20"/>
        </w:rPr>
      </w:pPr>
    </w:p>
    <w:p w14:paraId="33515A10" w14:textId="52F8DFF8" w:rsidR="00EC5AB8" w:rsidRDefault="00EC5AB8" w:rsidP="003F6F1A">
      <w:pPr>
        <w:spacing w:after="0"/>
        <w:jc w:val="both"/>
        <w:rPr>
          <w:rFonts w:ascii="Arial" w:hAnsi="Arial" w:cs="Arial"/>
          <w:spacing w:val="-2"/>
          <w:sz w:val="20"/>
          <w:szCs w:val="20"/>
        </w:rPr>
      </w:pPr>
    </w:p>
    <w:p w14:paraId="30B503DD" w14:textId="4E80ACD8" w:rsidR="00EC5AB8" w:rsidRDefault="00EC5AB8" w:rsidP="003F6F1A">
      <w:pPr>
        <w:spacing w:after="0"/>
        <w:jc w:val="both"/>
        <w:rPr>
          <w:rFonts w:ascii="Arial" w:hAnsi="Arial" w:cs="Arial"/>
          <w:spacing w:val="-2"/>
          <w:sz w:val="20"/>
          <w:szCs w:val="20"/>
        </w:rPr>
      </w:pPr>
    </w:p>
    <w:p w14:paraId="681F7C02" w14:textId="77777777" w:rsidR="00EC5AB8" w:rsidRPr="00731EA5" w:rsidRDefault="00EC5AB8" w:rsidP="003F6F1A">
      <w:pPr>
        <w:spacing w:after="0"/>
        <w:jc w:val="both"/>
        <w:rPr>
          <w:rFonts w:ascii="Arial" w:hAnsi="Arial" w:cs="Arial"/>
          <w:spacing w:val="-2"/>
          <w:sz w:val="20"/>
          <w:szCs w:val="20"/>
        </w:rPr>
      </w:pPr>
    </w:p>
    <w:p w14:paraId="147B5191"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Increased Patient Access</w:t>
      </w:r>
      <w:r w:rsidRPr="00731EA5">
        <w:rPr>
          <w:rFonts w:ascii="Arial" w:hAnsi="Arial" w:cs="Arial"/>
          <w:spacing w:val="-2"/>
          <w:sz w:val="20"/>
          <w:szCs w:val="20"/>
        </w:rPr>
        <w:t xml:space="preserve"> </w:t>
      </w:r>
    </w:p>
    <w:p w14:paraId="59F4D11C" w14:textId="77777777" w:rsidR="00E27B44" w:rsidRDefault="00E27B44" w:rsidP="003F6F1A">
      <w:pPr>
        <w:spacing w:after="0"/>
        <w:jc w:val="both"/>
        <w:rPr>
          <w:rFonts w:ascii="Arial" w:hAnsi="Arial" w:cs="Arial"/>
          <w:spacing w:val="-2"/>
          <w:sz w:val="20"/>
          <w:szCs w:val="20"/>
        </w:rPr>
      </w:pPr>
    </w:p>
    <w:p w14:paraId="20070A2C" w14:textId="77777777" w:rsidR="00E27B44" w:rsidRPr="00731EA5"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 xml:space="preserve">With a rapidly expanding company-owned clinic network and significant expansion opportunity </w:t>
      </w:r>
      <w:r>
        <w:rPr>
          <w:rFonts w:ascii="Arial" w:hAnsi="Arial" w:cs="Arial"/>
          <w:spacing w:val="-2"/>
          <w:sz w:val="20"/>
          <w:szCs w:val="20"/>
        </w:rPr>
        <w:t>with</w:t>
      </w:r>
      <w:r w:rsidRPr="00731EA5">
        <w:rPr>
          <w:rFonts w:ascii="Arial" w:hAnsi="Arial" w:cs="Arial"/>
          <w:spacing w:val="-2"/>
          <w:sz w:val="20"/>
          <w:szCs w:val="20"/>
        </w:rPr>
        <w:t xml:space="preserve"> the successful acquisition of Sun Valley </w:t>
      </w:r>
      <w:r>
        <w:rPr>
          <w:rFonts w:ascii="Arial" w:hAnsi="Arial" w:cs="Arial"/>
          <w:spacing w:val="-2"/>
          <w:sz w:val="20"/>
          <w:szCs w:val="20"/>
        </w:rPr>
        <w:t xml:space="preserve">Clinics and the roll-out of the Sun Valley </w:t>
      </w:r>
      <w:r w:rsidRPr="00731EA5">
        <w:rPr>
          <w:rFonts w:ascii="Arial" w:hAnsi="Arial" w:cs="Arial"/>
          <w:spacing w:val="-2"/>
          <w:sz w:val="20"/>
          <w:szCs w:val="20"/>
        </w:rPr>
        <w:t>franchise model, Empower anticipates it will grow its total patient list substantially in the years ahead. This is expected to provide greater opportunity for treatment analysis using artificial intelligence (AI)</w:t>
      </w:r>
      <w:r>
        <w:rPr>
          <w:rFonts w:ascii="Arial" w:hAnsi="Arial" w:cs="Arial"/>
          <w:spacing w:val="-2"/>
          <w:sz w:val="20"/>
          <w:szCs w:val="20"/>
        </w:rPr>
        <w:t xml:space="preserve"> data collection and analysis</w:t>
      </w:r>
      <w:r w:rsidRPr="00731EA5">
        <w:rPr>
          <w:rFonts w:ascii="Arial" w:hAnsi="Arial" w:cs="Arial"/>
          <w:spacing w:val="-2"/>
          <w:sz w:val="20"/>
          <w:szCs w:val="20"/>
        </w:rPr>
        <w:t xml:space="preserve">. </w:t>
      </w:r>
      <w:r w:rsidR="00781EEE">
        <w:rPr>
          <w:rFonts w:ascii="Arial" w:hAnsi="Arial" w:cs="Arial"/>
          <w:spacing w:val="-2"/>
          <w:sz w:val="20"/>
          <w:szCs w:val="20"/>
        </w:rPr>
        <w:t>The objective is to utilize the current 165,000 patients and data associated with their consultations with our physicians, to potentially begin to determine measurable and quantifiable data on medical cannabis treatment option efficacy.</w:t>
      </w:r>
    </w:p>
    <w:p w14:paraId="491DFC25" w14:textId="77777777" w:rsidR="00E27B44" w:rsidRPr="00731EA5" w:rsidRDefault="00E27B44" w:rsidP="003F6F1A">
      <w:pPr>
        <w:spacing w:after="0"/>
        <w:jc w:val="both"/>
        <w:rPr>
          <w:rFonts w:ascii="Arial" w:hAnsi="Arial" w:cs="Arial"/>
          <w:spacing w:val="-2"/>
          <w:sz w:val="20"/>
          <w:szCs w:val="20"/>
        </w:rPr>
      </w:pPr>
    </w:p>
    <w:p w14:paraId="1E5F0032"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Market Leading Technology</w:t>
      </w:r>
      <w:r w:rsidRPr="00731EA5">
        <w:rPr>
          <w:rFonts w:ascii="Arial" w:hAnsi="Arial" w:cs="Arial"/>
          <w:spacing w:val="-2"/>
          <w:sz w:val="20"/>
          <w:szCs w:val="20"/>
        </w:rPr>
        <w:t xml:space="preserve"> </w:t>
      </w:r>
    </w:p>
    <w:p w14:paraId="3D972F18" w14:textId="77777777" w:rsidR="00E27B44" w:rsidRDefault="00E27B44" w:rsidP="003F6F1A">
      <w:pPr>
        <w:spacing w:after="0"/>
        <w:jc w:val="both"/>
        <w:rPr>
          <w:rFonts w:ascii="Arial" w:hAnsi="Arial" w:cs="Arial"/>
          <w:spacing w:val="-2"/>
          <w:sz w:val="20"/>
          <w:szCs w:val="20"/>
        </w:rPr>
      </w:pPr>
    </w:p>
    <w:p w14:paraId="6BF676A5" w14:textId="77777777" w:rsidR="00E27B44" w:rsidRPr="00731EA5"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Empower utilizes a market-leading patient electronic management and POS system that is HIPAA compliant and provides insight to patient care. The Company supports remote patients using its tele-medicine portal, enabling patients who are unable to come to a location to benefit from a doctor consultation.</w:t>
      </w:r>
    </w:p>
    <w:p w14:paraId="69328A5B" w14:textId="77777777" w:rsidR="00E27B44" w:rsidRDefault="00E27B44" w:rsidP="003F6F1A">
      <w:pPr>
        <w:pStyle w:val="NormalWeb"/>
        <w:spacing w:before="0" w:beforeAutospacing="0" w:after="0" w:afterAutospacing="0"/>
        <w:rPr>
          <w:rFonts w:ascii="Arial" w:hAnsi="Arial" w:cs="Arial"/>
          <w:b/>
          <w:sz w:val="20"/>
          <w:szCs w:val="20"/>
        </w:rPr>
      </w:pPr>
    </w:p>
    <w:p w14:paraId="6F632DD0" w14:textId="77777777" w:rsidR="00E27B44" w:rsidRDefault="00FD4F52"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O</w:t>
      </w:r>
      <w:r w:rsidR="00E27B44">
        <w:rPr>
          <w:rFonts w:ascii="Arial" w:hAnsi="Arial" w:cs="Arial"/>
          <w:b/>
          <w:sz w:val="20"/>
          <w:szCs w:val="20"/>
        </w:rPr>
        <w:t>VERVIEW OF THE BUSINESS</w:t>
      </w:r>
    </w:p>
    <w:p w14:paraId="4AE18510" w14:textId="77777777" w:rsidR="00E27B44" w:rsidRPr="00C90A0A" w:rsidRDefault="00E27B44" w:rsidP="003F6F1A">
      <w:pPr>
        <w:pStyle w:val="NormalWeb"/>
        <w:spacing w:before="0" w:beforeAutospacing="0" w:after="0" w:afterAutospacing="0"/>
        <w:rPr>
          <w:rFonts w:ascii="Arial" w:hAnsi="Arial" w:cs="Arial"/>
          <w:b/>
          <w:sz w:val="20"/>
          <w:szCs w:val="20"/>
        </w:rPr>
      </w:pPr>
    </w:p>
    <w:p w14:paraId="48BAA46F" w14:textId="77777777"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The Company is a British Columbia incorporated Canadian company which operates a growing network of physician-staffed medical </w:t>
      </w:r>
      <w:r>
        <w:rPr>
          <w:rFonts w:ascii="Arial" w:hAnsi="Arial" w:cs="Arial"/>
          <w:sz w:val="20"/>
          <w:szCs w:val="20"/>
        </w:rPr>
        <w:t xml:space="preserve">certification </w:t>
      </w:r>
      <w:r w:rsidRPr="00C90A0A">
        <w:rPr>
          <w:rFonts w:ascii="Arial" w:hAnsi="Arial" w:cs="Arial"/>
          <w:sz w:val="20"/>
          <w:szCs w:val="20"/>
        </w:rPr>
        <w:t xml:space="preserve">clinics with a primary focus on enabling patients to improve and protect their health. </w:t>
      </w:r>
    </w:p>
    <w:p w14:paraId="3B430633" w14:textId="77777777" w:rsidR="00424DA7" w:rsidRDefault="00424DA7" w:rsidP="003F6F1A">
      <w:pPr>
        <w:spacing w:after="0"/>
        <w:jc w:val="both"/>
        <w:rPr>
          <w:rFonts w:ascii="Arial" w:hAnsi="Arial" w:cs="Arial"/>
          <w:sz w:val="20"/>
          <w:szCs w:val="20"/>
        </w:rPr>
      </w:pPr>
    </w:p>
    <w:p w14:paraId="15519E22" w14:textId="77777777" w:rsidR="00E27B44" w:rsidRPr="009E7418" w:rsidRDefault="00E27B44" w:rsidP="003F6F1A">
      <w:pPr>
        <w:spacing w:after="0"/>
        <w:jc w:val="both"/>
        <w:rPr>
          <w:rFonts w:ascii="Arial" w:hAnsi="Arial" w:cs="Arial"/>
          <w:sz w:val="20"/>
          <w:szCs w:val="20"/>
          <w:lang w:val="en-CA"/>
        </w:rPr>
      </w:pPr>
      <w:r w:rsidRPr="00CC3B7F">
        <w:rPr>
          <w:rFonts w:ascii="Arial" w:hAnsi="Arial" w:cs="Arial"/>
          <w:sz w:val="20"/>
          <w:szCs w:val="20"/>
          <w:lang w:val="en-CA"/>
        </w:rPr>
        <w:t xml:space="preserve">The new Empower Clinics is a growth focused, vertically integrated CBD Life Sciences company committed to improving patients’ lives with products, technology and health systems, through a network of medical clinics across the US. </w:t>
      </w:r>
    </w:p>
    <w:p w14:paraId="772C3C64" w14:textId="77777777" w:rsidR="00B05C79" w:rsidRPr="00C90A0A" w:rsidRDefault="00B05C79" w:rsidP="003F6F1A">
      <w:pPr>
        <w:spacing w:after="0"/>
        <w:jc w:val="both"/>
        <w:rPr>
          <w:rFonts w:ascii="Arial" w:hAnsi="Arial" w:cs="Arial"/>
          <w:sz w:val="20"/>
          <w:szCs w:val="20"/>
        </w:rPr>
      </w:pPr>
    </w:p>
    <w:p w14:paraId="7715B173" w14:textId="77777777" w:rsidR="00E27B44" w:rsidRPr="007703A7" w:rsidRDefault="00E27B44" w:rsidP="003F6F1A">
      <w:pPr>
        <w:spacing w:after="0"/>
        <w:jc w:val="both"/>
        <w:rPr>
          <w:rFonts w:ascii="Arial" w:hAnsi="Arial" w:cs="Arial"/>
          <w:sz w:val="20"/>
          <w:szCs w:val="20"/>
        </w:rPr>
      </w:pPr>
      <w:r w:rsidRPr="007703A7">
        <w:rPr>
          <w:rFonts w:ascii="Arial" w:hAnsi="Arial" w:cs="Arial"/>
          <w:sz w:val="20"/>
          <w:szCs w:val="20"/>
        </w:rPr>
        <w:t xml:space="preserve">It is expected that </w:t>
      </w:r>
      <w:proofErr w:type="spellStart"/>
      <w:r w:rsidRPr="007703A7">
        <w:rPr>
          <w:rFonts w:ascii="Arial" w:hAnsi="Arial" w:cs="Arial"/>
          <w:sz w:val="20"/>
          <w:szCs w:val="20"/>
        </w:rPr>
        <w:t>Empower’s</w:t>
      </w:r>
      <w:proofErr w:type="spellEnd"/>
      <w:r w:rsidRPr="007703A7">
        <w:rPr>
          <w:rFonts w:ascii="Arial" w:hAnsi="Arial" w:cs="Arial"/>
          <w:sz w:val="20"/>
          <w:szCs w:val="20"/>
        </w:rPr>
        <w:t xml:space="preserve"> proprietary product line “</w:t>
      </w:r>
      <w:proofErr w:type="spellStart"/>
      <w:r w:rsidRPr="007703A7">
        <w:rPr>
          <w:rFonts w:ascii="Arial" w:hAnsi="Arial" w:cs="Arial"/>
          <w:sz w:val="20"/>
          <w:szCs w:val="20"/>
        </w:rPr>
        <w:t>Sollievo</w:t>
      </w:r>
      <w:proofErr w:type="spellEnd"/>
      <w:r w:rsidRPr="007703A7">
        <w:rPr>
          <w:rFonts w:ascii="Arial" w:hAnsi="Arial" w:cs="Arial"/>
          <w:sz w:val="20"/>
          <w:szCs w:val="20"/>
        </w:rPr>
        <w:t>” will offer patients a variety of delivery methods of doctor recommended CBD based products in its clinics, online and a</w:t>
      </w:r>
      <w:r>
        <w:rPr>
          <w:rFonts w:ascii="Arial" w:hAnsi="Arial" w:cs="Arial"/>
          <w:sz w:val="20"/>
          <w:szCs w:val="20"/>
        </w:rPr>
        <w:t>t major retailers. With over 165</w:t>
      </w:r>
      <w:r w:rsidRPr="007703A7">
        <w:rPr>
          <w:rFonts w:ascii="Arial" w:hAnsi="Arial" w:cs="Arial"/>
          <w:sz w:val="20"/>
          <w:szCs w:val="20"/>
        </w:rPr>
        <w:t>,000 patients</w:t>
      </w:r>
      <w:r>
        <w:rPr>
          <w:rFonts w:ascii="Arial" w:hAnsi="Arial" w:cs="Arial"/>
          <w:sz w:val="20"/>
          <w:szCs w:val="20"/>
        </w:rPr>
        <w:t xml:space="preserve"> in its database</w:t>
      </w:r>
      <w:r w:rsidRPr="007703A7">
        <w:rPr>
          <w:rFonts w:ascii="Arial" w:hAnsi="Arial" w:cs="Arial"/>
          <w:sz w:val="20"/>
          <w:szCs w:val="20"/>
        </w:rPr>
        <w:t>, an expanding clinic footprint, a focus on new technologies, including tele-medicine, and an expanded product development strategy, Empower is undertaking new growth initiatives to be positioned as a vertically integrated, diverse, market-leading service provider for complex patient requirements in 2019 and beyond.</w:t>
      </w:r>
    </w:p>
    <w:p w14:paraId="164582FD" w14:textId="77777777" w:rsidR="00E27B44" w:rsidRPr="00C90A0A" w:rsidRDefault="00E27B44" w:rsidP="003F6F1A">
      <w:pPr>
        <w:spacing w:after="0"/>
        <w:jc w:val="both"/>
        <w:rPr>
          <w:rFonts w:ascii="Arial" w:hAnsi="Arial" w:cs="Arial"/>
          <w:sz w:val="20"/>
          <w:szCs w:val="20"/>
        </w:rPr>
      </w:pPr>
    </w:p>
    <w:p w14:paraId="03BEE148" w14:textId="1171BEFE"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The Company currently operates </w:t>
      </w:r>
      <w:r w:rsidR="002C5615" w:rsidRPr="00691C16">
        <w:rPr>
          <w:rFonts w:ascii="Arial" w:hAnsi="Arial" w:cs="Arial"/>
          <w:sz w:val="20"/>
          <w:szCs w:val="20"/>
        </w:rPr>
        <w:t>9</w:t>
      </w:r>
      <w:r w:rsidRPr="00691C16">
        <w:rPr>
          <w:rFonts w:ascii="Arial" w:hAnsi="Arial" w:cs="Arial"/>
          <w:sz w:val="20"/>
          <w:szCs w:val="20"/>
        </w:rPr>
        <w:t xml:space="preserve"> physical clinics locations</w:t>
      </w:r>
      <w:r>
        <w:rPr>
          <w:rFonts w:ascii="Arial" w:hAnsi="Arial" w:cs="Arial"/>
          <w:sz w:val="20"/>
          <w:szCs w:val="20"/>
        </w:rPr>
        <w:t xml:space="preserve"> and multiple mobile clinics in the State of Oregon that in combination serve patients</w:t>
      </w:r>
      <w:r w:rsidRPr="00C90A0A">
        <w:rPr>
          <w:rFonts w:ascii="Arial" w:hAnsi="Arial" w:cs="Arial"/>
          <w:sz w:val="20"/>
          <w:szCs w:val="20"/>
        </w:rPr>
        <w:t xml:space="preserve"> across the states of Oregon</w:t>
      </w:r>
      <w:r>
        <w:rPr>
          <w:rFonts w:ascii="Arial" w:hAnsi="Arial" w:cs="Arial"/>
          <w:sz w:val="20"/>
          <w:szCs w:val="20"/>
        </w:rPr>
        <w:t>,</w:t>
      </w:r>
      <w:r w:rsidRPr="00C90A0A">
        <w:rPr>
          <w:rFonts w:ascii="Arial" w:hAnsi="Arial" w:cs="Arial"/>
          <w:sz w:val="20"/>
          <w:szCs w:val="20"/>
        </w:rPr>
        <w:t xml:space="preserve"> Washington</w:t>
      </w:r>
      <w:r>
        <w:rPr>
          <w:rFonts w:ascii="Arial" w:hAnsi="Arial" w:cs="Arial"/>
          <w:sz w:val="20"/>
          <w:szCs w:val="20"/>
        </w:rPr>
        <w:t>, Arizona, Nevada and operates a tele-medicine platform to serve patients in California.</w:t>
      </w:r>
      <w:r w:rsidRPr="00C90A0A">
        <w:rPr>
          <w:rFonts w:ascii="Arial" w:hAnsi="Arial" w:cs="Arial"/>
          <w:sz w:val="20"/>
          <w:szCs w:val="20"/>
        </w:rPr>
        <w:t xml:space="preserve"> </w:t>
      </w:r>
    </w:p>
    <w:p w14:paraId="4CD53191" w14:textId="77777777" w:rsidR="00E27B44" w:rsidRPr="00C90A0A" w:rsidRDefault="00E27B44" w:rsidP="003F6F1A">
      <w:pPr>
        <w:spacing w:after="0"/>
        <w:jc w:val="both"/>
        <w:rPr>
          <w:rFonts w:ascii="Arial" w:hAnsi="Arial" w:cs="Arial"/>
          <w:sz w:val="20"/>
          <w:szCs w:val="20"/>
        </w:rPr>
      </w:pPr>
    </w:p>
    <w:p w14:paraId="29DB5A2C" w14:textId="022184D0" w:rsidR="00E27B44" w:rsidRPr="00C8580E" w:rsidRDefault="00E27B44" w:rsidP="003F6F1A">
      <w:pPr>
        <w:spacing w:after="0"/>
        <w:jc w:val="both"/>
        <w:rPr>
          <w:rFonts w:ascii="Arial" w:hAnsi="Arial" w:cs="Arial"/>
          <w:sz w:val="20"/>
          <w:szCs w:val="20"/>
          <w:lang w:val="en-CA"/>
        </w:rPr>
      </w:pPr>
      <w:r>
        <w:rPr>
          <w:rFonts w:ascii="Arial" w:hAnsi="Arial" w:cs="Arial"/>
          <w:sz w:val="20"/>
          <w:szCs w:val="20"/>
          <w:lang w:val="en-CA"/>
        </w:rPr>
        <w:t xml:space="preserve">As part of the Sun Valley acquisition, the Company is launching a franchise model allowing for easy and fast nationwide scalability that will increase the distribution of </w:t>
      </w:r>
      <w:proofErr w:type="spellStart"/>
      <w:r>
        <w:rPr>
          <w:rFonts w:ascii="Arial" w:hAnsi="Arial" w:cs="Arial"/>
          <w:sz w:val="20"/>
          <w:szCs w:val="20"/>
          <w:lang w:val="en-CA"/>
        </w:rPr>
        <w:t>Sollievo</w:t>
      </w:r>
      <w:proofErr w:type="spellEnd"/>
      <w:r w:rsidR="002C5615">
        <w:rPr>
          <w:rFonts w:ascii="Arial" w:hAnsi="Arial" w:cs="Arial"/>
          <w:sz w:val="20"/>
          <w:szCs w:val="20"/>
          <w:lang w:val="en-CA"/>
        </w:rPr>
        <w:t>,</w:t>
      </w:r>
      <w:r>
        <w:rPr>
          <w:rFonts w:ascii="Arial" w:hAnsi="Arial" w:cs="Arial"/>
          <w:sz w:val="20"/>
          <w:szCs w:val="20"/>
          <w:lang w:val="en-CA"/>
        </w:rPr>
        <w:t xml:space="preserve"> Sun Valley </w:t>
      </w:r>
      <w:r w:rsidR="002C5615">
        <w:rPr>
          <w:rFonts w:ascii="Arial" w:hAnsi="Arial" w:cs="Arial"/>
          <w:sz w:val="20"/>
          <w:szCs w:val="20"/>
          <w:lang w:val="en-CA"/>
        </w:rPr>
        <w:t xml:space="preserve">Science </w:t>
      </w:r>
      <w:r>
        <w:rPr>
          <w:rFonts w:ascii="Arial" w:hAnsi="Arial" w:cs="Arial"/>
          <w:sz w:val="20"/>
          <w:szCs w:val="20"/>
          <w:lang w:val="en-CA"/>
        </w:rPr>
        <w:t>CBD products</w:t>
      </w:r>
      <w:r w:rsidR="002C5615">
        <w:rPr>
          <w:rFonts w:ascii="Arial" w:hAnsi="Arial" w:cs="Arial"/>
          <w:sz w:val="20"/>
          <w:szCs w:val="20"/>
          <w:lang w:val="en-CA"/>
        </w:rPr>
        <w:t xml:space="preserve"> and premium wellness products and supplements,</w:t>
      </w:r>
      <w:r>
        <w:rPr>
          <w:rFonts w:ascii="Arial" w:hAnsi="Arial" w:cs="Arial"/>
          <w:sz w:val="20"/>
          <w:szCs w:val="20"/>
          <w:lang w:val="en-CA"/>
        </w:rPr>
        <w:t xml:space="preserve"> to access many more patients and consumers in new and developing markets for the Company. </w:t>
      </w:r>
      <w:r w:rsidRPr="00C8580E">
        <w:rPr>
          <w:rFonts w:ascii="Arial" w:hAnsi="Arial" w:cs="Arial"/>
          <w:sz w:val="20"/>
          <w:szCs w:val="20"/>
          <w:lang w:val="en-CA"/>
        </w:rPr>
        <w:t xml:space="preserve">Franchisees </w:t>
      </w:r>
      <w:r>
        <w:rPr>
          <w:rFonts w:ascii="Arial" w:hAnsi="Arial" w:cs="Arial"/>
          <w:sz w:val="20"/>
          <w:szCs w:val="20"/>
          <w:lang w:val="en-CA"/>
        </w:rPr>
        <w:t xml:space="preserve">will </w:t>
      </w:r>
      <w:r w:rsidRPr="00C8580E">
        <w:rPr>
          <w:rFonts w:ascii="Arial" w:hAnsi="Arial" w:cs="Arial"/>
          <w:sz w:val="20"/>
          <w:szCs w:val="20"/>
          <w:lang w:val="en-CA"/>
        </w:rPr>
        <w:t xml:space="preserve">retain rights to specific territories to open and operate </w:t>
      </w:r>
      <w:r>
        <w:rPr>
          <w:rFonts w:ascii="Arial" w:hAnsi="Arial" w:cs="Arial"/>
          <w:sz w:val="20"/>
          <w:szCs w:val="20"/>
          <w:lang w:val="en-CA"/>
        </w:rPr>
        <w:t>Sun Valley Health</w:t>
      </w:r>
      <w:r w:rsidRPr="00C8580E">
        <w:rPr>
          <w:rFonts w:ascii="Arial" w:hAnsi="Arial" w:cs="Arial"/>
          <w:sz w:val="20"/>
          <w:szCs w:val="20"/>
          <w:lang w:val="en-CA"/>
        </w:rPr>
        <w:t xml:space="preserve"> clinics and sell CBD products in clinics and to local sales regions</w:t>
      </w:r>
      <w:r>
        <w:rPr>
          <w:rFonts w:ascii="Arial" w:hAnsi="Arial" w:cs="Arial"/>
          <w:sz w:val="20"/>
          <w:szCs w:val="20"/>
          <w:lang w:val="en-CA"/>
        </w:rPr>
        <w:t xml:space="preserve">. </w:t>
      </w:r>
      <w:r w:rsidRPr="00C8580E">
        <w:rPr>
          <w:rFonts w:ascii="Arial" w:hAnsi="Arial" w:cs="Arial"/>
          <w:sz w:val="20"/>
          <w:szCs w:val="20"/>
          <w:lang w:val="en-CA"/>
        </w:rPr>
        <w:t xml:space="preserve">Empower receives upfront franchise fees, ongoing clinic royalties, product royalties and ownership </w:t>
      </w:r>
      <w:r>
        <w:rPr>
          <w:rFonts w:ascii="Arial" w:hAnsi="Arial" w:cs="Arial"/>
          <w:sz w:val="20"/>
          <w:szCs w:val="20"/>
          <w:lang w:val="en-CA"/>
        </w:rPr>
        <w:t>of patient database information.</w:t>
      </w:r>
    </w:p>
    <w:p w14:paraId="34BBE647" w14:textId="0B31C408" w:rsidR="00962EE1" w:rsidRDefault="00962EE1" w:rsidP="003F6F1A">
      <w:pPr>
        <w:spacing w:after="0"/>
        <w:jc w:val="both"/>
        <w:rPr>
          <w:rFonts w:ascii="Arial" w:hAnsi="Arial" w:cs="Arial"/>
          <w:sz w:val="20"/>
          <w:szCs w:val="20"/>
          <w:lang w:val="en-CA"/>
        </w:rPr>
      </w:pPr>
    </w:p>
    <w:p w14:paraId="0F3A0F85" w14:textId="7F78E21C" w:rsidR="00CE6D81" w:rsidRDefault="00CE6D81" w:rsidP="003F6F1A">
      <w:pPr>
        <w:spacing w:after="0"/>
        <w:jc w:val="both"/>
        <w:rPr>
          <w:rFonts w:ascii="Arial" w:hAnsi="Arial" w:cs="Arial"/>
          <w:sz w:val="20"/>
          <w:szCs w:val="20"/>
          <w:lang w:val="en-CA"/>
        </w:rPr>
      </w:pPr>
    </w:p>
    <w:p w14:paraId="5B874A33" w14:textId="70367472" w:rsidR="00CE6D81" w:rsidRDefault="00CE6D81" w:rsidP="003F6F1A">
      <w:pPr>
        <w:spacing w:after="0"/>
        <w:jc w:val="both"/>
        <w:rPr>
          <w:rFonts w:ascii="Arial" w:hAnsi="Arial" w:cs="Arial"/>
          <w:sz w:val="20"/>
          <w:szCs w:val="20"/>
          <w:lang w:val="en-CA"/>
        </w:rPr>
      </w:pPr>
    </w:p>
    <w:p w14:paraId="741E2528" w14:textId="43847787" w:rsidR="00CE6D81" w:rsidRDefault="00CE6D81" w:rsidP="003F6F1A">
      <w:pPr>
        <w:spacing w:after="0"/>
        <w:jc w:val="both"/>
        <w:rPr>
          <w:rFonts w:ascii="Arial" w:hAnsi="Arial" w:cs="Arial"/>
          <w:sz w:val="20"/>
          <w:szCs w:val="20"/>
          <w:lang w:val="en-CA"/>
        </w:rPr>
      </w:pPr>
    </w:p>
    <w:p w14:paraId="4BEA4398" w14:textId="77777777" w:rsidR="00CE6D81" w:rsidRDefault="00CE6D81" w:rsidP="003F6F1A">
      <w:pPr>
        <w:spacing w:after="0"/>
        <w:jc w:val="both"/>
        <w:rPr>
          <w:rFonts w:ascii="Arial" w:hAnsi="Arial" w:cs="Arial"/>
          <w:sz w:val="20"/>
          <w:szCs w:val="20"/>
          <w:lang w:val="en-CA"/>
        </w:rPr>
      </w:pPr>
    </w:p>
    <w:p w14:paraId="5F1F234C" w14:textId="2666118C" w:rsidR="000B3720" w:rsidRDefault="00B05C79" w:rsidP="003F6F1A">
      <w:pPr>
        <w:spacing w:after="0"/>
        <w:jc w:val="both"/>
        <w:rPr>
          <w:rFonts w:ascii="Arial" w:hAnsi="Arial" w:cs="Arial"/>
          <w:sz w:val="20"/>
          <w:szCs w:val="20"/>
          <w:lang w:val="en-CA"/>
        </w:rPr>
      </w:pPr>
      <w:r>
        <w:rPr>
          <w:rFonts w:ascii="Arial" w:hAnsi="Arial" w:cs="Arial"/>
          <w:sz w:val="20"/>
          <w:szCs w:val="20"/>
          <w:lang w:val="en-CA"/>
        </w:rPr>
        <w:lastRenderedPageBreak/>
        <w:br/>
      </w:r>
      <w:r w:rsidR="00E27B44">
        <w:rPr>
          <w:rFonts w:ascii="Arial" w:hAnsi="Arial" w:cs="Arial"/>
          <w:sz w:val="20"/>
          <w:szCs w:val="20"/>
          <w:lang w:val="en-CA"/>
        </w:rPr>
        <w:t xml:space="preserve">The Company </w:t>
      </w:r>
      <w:r w:rsidR="00E27B44" w:rsidRPr="000B495A">
        <w:rPr>
          <w:rFonts w:ascii="Arial" w:hAnsi="Arial" w:cs="Arial"/>
          <w:sz w:val="20"/>
          <w:szCs w:val="20"/>
          <w:lang w:val="en-CA"/>
        </w:rPr>
        <w:t>owns the proprietary formulations for the</w:t>
      </w:r>
      <w:r w:rsidR="002C5615">
        <w:rPr>
          <w:rFonts w:ascii="Arial" w:hAnsi="Arial" w:cs="Arial"/>
          <w:sz w:val="20"/>
          <w:szCs w:val="20"/>
          <w:lang w:val="en-CA"/>
        </w:rPr>
        <w:t xml:space="preserve"> </w:t>
      </w:r>
      <w:proofErr w:type="spellStart"/>
      <w:r w:rsidR="002C5615">
        <w:rPr>
          <w:rFonts w:ascii="Arial" w:hAnsi="Arial" w:cs="Arial"/>
          <w:sz w:val="20"/>
          <w:szCs w:val="20"/>
          <w:lang w:val="en-CA"/>
        </w:rPr>
        <w:t>Sollievo</w:t>
      </w:r>
      <w:proofErr w:type="spellEnd"/>
      <w:r w:rsidR="002C5615">
        <w:rPr>
          <w:rFonts w:ascii="Arial" w:hAnsi="Arial" w:cs="Arial"/>
          <w:sz w:val="20"/>
          <w:szCs w:val="20"/>
          <w:lang w:val="en-CA"/>
        </w:rPr>
        <w:t xml:space="preserve"> line of</w:t>
      </w:r>
      <w:r w:rsidR="00E27B44" w:rsidRPr="000B495A">
        <w:rPr>
          <w:rFonts w:ascii="Arial" w:hAnsi="Arial" w:cs="Arial"/>
          <w:sz w:val="20"/>
          <w:szCs w:val="20"/>
          <w:lang w:val="en-CA"/>
        </w:rPr>
        <w:t xml:space="preserve"> products </w:t>
      </w:r>
      <w:r w:rsidR="00E27B44">
        <w:rPr>
          <w:rFonts w:ascii="Arial" w:hAnsi="Arial" w:cs="Arial"/>
          <w:sz w:val="20"/>
          <w:szCs w:val="20"/>
          <w:lang w:val="en-CA"/>
        </w:rPr>
        <w:t>and the Company intends to invest in developing these formulations to become a market leading hemp-derived CBD based product distributor.</w:t>
      </w:r>
      <w:r w:rsidR="00E27B44" w:rsidRPr="000B495A">
        <w:rPr>
          <w:rFonts w:ascii="Arial" w:hAnsi="Arial" w:cs="Arial"/>
          <w:sz w:val="20"/>
          <w:szCs w:val="20"/>
          <w:lang w:val="en-CA"/>
        </w:rPr>
        <w:t xml:space="preserve"> </w:t>
      </w:r>
      <w:r w:rsidR="00E27B44">
        <w:rPr>
          <w:rFonts w:ascii="Arial" w:hAnsi="Arial" w:cs="Arial"/>
          <w:sz w:val="20"/>
          <w:szCs w:val="20"/>
          <w:lang w:val="en-CA"/>
        </w:rPr>
        <w:t>Distribution of products will naturally fit into the Company’s clinic strategy with the development of retail-like kiosks</w:t>
      </w:r>
      <w:r w:rsidR="002C5615">
        <w:rPr>
          <w:rFonts w:ascii="Arial" w:hAnsi="Arial" w:cs="Arial"/>
          <w:sz w:val="20"/>
          <w:szCs w:val="20"/>
          <w:lang w:val="en-CA"/>
        </w:rPr>
        <w:t xml:space="preserve"> and professional product display counters</w:t>
      </w:r>
      <w:r w:rsidR="00E27B44">
        <w:rPr>
          <w:rFonts w:ascii="Arial" w:hAnsi="Arial" w:cs="Arial"/>
          <w:sz w:val="20"/>
          <w:szCs w:val="20"/>
          <w:lang w:val="en-CA"/>
        </w:rPr>
        <w:t xml:space="preserve"> in clinics </w:t>
      </w:r>
      <w:r w:rsidR="002C5615">
        <w:rPr>
          <w:rFonts w:ascii="Arial" w:hAnsi="Arial" w:cs="Arial"/>
          <w:sz w:val="20"/>
          <w:szCs w:val="20"/>
          <w:lang w:val="en-CA"/>
        </w:rPr>
        <w:t xml:space="preserve">and </w:t>
      </w:r>
      <w:r w:rsidR="00E27B44">
        <w:rPr>
          <w:rFonts w:ascii="Arial" w:hAnsi="Arial" w:cs="Arial"/>
          <w:sz w:val="20"/>
          <w:szCs w:val="20"/>
          <w:lang w:val="en-CA"/>
        </w:rPr>
        <w:t>as a standard feature in franchises n</w:t>
      </w:r>
      <w:r w:rsidR="00E27B44" w:rsidRPr="000B495A">
        <w:rPr>
          <w:rFonts w:ascii="Arial" w:hAnsi="Arial" w:cs="Arial"/>
          <w:sz w:val="20"/>
          <w:szCs w:val="20"/>
          <w:lang w:val="en-CA"/>
        </w:rPr>
        <w:t>ationwide</w:t>
      </w:r>
      <w:r w:rsidR="00E27B44">
        <w:rPr>
          <w:rFonts w:ascii="Arial" w:hAnsi="Arial" w:cs="Arial"/>
          <w:sz w:val="20"/>
          <w:szCs w:val="20"/>
          <w:lang w:val="en-CA"/>
        </w:rPr>
        <w:t>.</w:t>
      </w:r>
      <w:r w:rsidR="00E27B44" w:rsidRPr="000B495A">
        <w:rPr>
          <w:rFonts w:ascii="Arial" w:hAnsi="Arial" w:cs="Arial"/>
          <w:sz w:val="20"/>
          <w:szCs w:val="20"/>
          <w:lang w:val="en-CA"/>
        </w:rPr>
        <w:t xml:space="preserve"> </w:t>
      </w:r>
      <w:r w:rsidR="00E27B44">
        <w:rPr>
          <w:rFonts w:ascii="Arial" w:hAnsi="Arial" w:cs="Arial"/>
          <w:sz w:val="20"/>
          <w:szCs w:val="20"/>
          <w:lang w:val="en-CA"/>
        </w:rPr>
        <w:t>E</w:t>
      </w:r>
      <w:r w:rsidR="00E27B44" w:rsidRPr="000B495A">
        <w:rPr>
          <w:rFonts w:ascii="Arial" w:hAnsi="Arial" w:cs="Arial"/>
          <w:sz w:val="20"/>
          <w:szCs w:val="20"/>
          <w:lang w:val="en-CA"/>
        </w:rPr>
        <w:t xml:space="preserve">-commerce </w:t>
      </w:r>
      <w:r w:rsidR="00E27B44">
        <w:rPr>
          <w:rFonts w:ascii="Arial" w:hAnsi="Arial" w:cs="Arial"/>
          <w:sz w:val="20"/>
          <w:szCs w:val="20"/>
          <w:lang w:val="en-CA"/>
        </w:rPr>
        <w:t>will be an important distribution channel going forward providing patients and general consumers the opportunity to access and purchase Company products</w:t>
      </w:r>
      <w:r w:rsidR="002C5615">
        <w:rPr>
          <w:rFonts w:ascii="Arial" w:hAnsi="Arial" w:cs="Arial"/>
          <w:sz w:val="20"/>
          <w:szCs w:val="20"/>
          <w:lang w:val="en-CA"/>
        </w:rPr>
        <w:t xml:space="preserve"> online</w:t>
      </w:r>
      <w:r w:rsidR="00E27B44">
        <w:rPr>
          <w:rFonts w:ascii="Arial" w:hAnsi="Arial" w:cs="Arial"/>
          <w:sz w:val="20"/>
          <w:szCs w:val="20"/>
          <w:lang w:val="en-CA"/>
        </w:rPr>
        <w:t xml:space="preserve">. </w:t>
      </w:r>
      <w:proofErr w:type="spellStart"/>
      <w:r w:rsidR="00E27B44" w:rsidRPr="000B495A">
        <w:rPr>
          <w:rFonts w:ascii="Arial" w:hAnsi="Arial" w:cs="Arial"/>
          <w:sz w:val="20"/>
          <w:szCs w:val="20"/>
          <w:lang w:val="en-CA"/>
        </w:rPr>
        <w:t>Sollievo</w:t>
      </w:r>
      <w:proofErr w:type="spellEnd"/>
      <w:r w:rsidR="00E27B44" w:rsidRPr="000B495A">
        <w:rPr>
          <w:rFonts w:ascii="Arial" w:hAnsi="Arial" w:cs="Arial"/>
          <w:sz w:val="20"/>
          <w:szCs w:val="20"/>
          <w:lang w:val="en-CA"/>
        </w:rPr>
        <w:t xml:space="preserve"> products include lotions and balms, tinctures, gel caps, pain patches and an e-drink, all at vario</w:t>
      </w:r>
      <w:r w:rsidR="00E27B44">
        <w:rPr>
          <w:rFonts w:ascii="Arial" w:hAnsi="Arial" w:cs="Arial"/>
          <w:sz w:val="20"/>
          <w:szCs w:val="20"/>
          <w:lang w:val="en-CA"/>
        </w:rPr>
        <w:t>us phases of R&amp;D and production.</w:t>
      </w:r>
    </w:p>
    <w:p w14:paraId="11FF0C47" w14:textId="77777777" w:rsidR="000B3720" w:rsidRDefault="000B3720" w:rsidP="003F6F1A">
      <w:pPr>
        <w:spacing w:after="0"/>
        <w:jc w:val="both"/>
        <w:rPr>
          <w:rFonts w:ascii="Arial" w:hAnsi="Arial" w:cs="Arial"/>
          <w:sz w:val="20"/>
          <w:szCs w:val="20"/>
          <w:lang w:val="en-CA"/>
        </w:rPr>
      </w:pPr>
    </w:p>
    <w:p w14:paraId="5998954D" w14:textId="03E2D11F" w:rsidR="00E27B44" w:rsidRPr="00DF5FF5" w:rsidRDefault="00E27B44" w:rsidP="003F6F1A">
      <w:pPr>
        <w:spacing w:after="0"/>
        <w:jc w:val="both"/>
        <w:rPr>
          <w:rFonts w:ascii="Arial" w:hAnsi="Arial" w:cs="Arial"/>
          <w:sz w:val="20"/>
          <w:szCs w:val="20"/>
          <w:lang w:val="en-CA"/>
        </w:rPr>
      </w:pPr>
      <w:r>
        <w:rPr>
          <w:rFonts w:ascii="Arial" w:hAnsi="Arial" w:cs="Arial"/>
          <w:sz w:val="20"/>
          <w:szCs w:val="20"/>
          <w:lang w:val="en-CA"/>
        </w:rPr>
        <w:t>The Company</w:t>
      </w:r>
      <w:r w:rsidRPr="00DF5FF5">
        <w:rPr>
          <w:rFonts w:ascii="Arial" w:hAnsi="Arial" w:cs="Arial"/>
          <w:sz w:val="20"/>
          <w:szCs w:val="20"/>
          <w:lang w:val="en-CA"/>
        </w:rPr>
        <w:t xml:space="preserve"> has developed a proprietary software</w:t>
      </w:r>
      <w:r>
        <w:rPr>
          <w:rFonts w:ascii="Arial" w:hAnsi="Arial" w:cs="Arial"/>
          <w:sz w:val="20"/>
          <w:szCs w:val="20"/>
          <w:lang w:val="en-CA"/>
        </w:rPr>
        <w:t xml:space="preserve"> platform</w:t>
      </w:r>
      <w:r w:rsidRPr="00DF5FF5">
        <w:rPr>
          <w:rFonts w:ascii="Arial" w:hAnsi="Arial" w:cs="Arial"/>
          <w:sz w:val="20"/>
          <w:szCs w:val="20"/>
          <w:lang w:val="en-CA"/>
        </w:rPr>
        <w:t xml:space="preserve"> to manage patients through the medical </w:t>
      </w:r>
      <w:r>
        <w:rPr>
          <w:rFonts w:ascii="Arial" w:hAnsi="Arial" w:cs="Arial"/>
          <w:sz w:val="20"/>
          <w:szCs w:val="20"/>
          <w:lang w:val="en-CA"/>
        </w:rPr>
        <w:t>certification</w:t>
      </w:r>
      <w:r w:rsidRPr="00DF5FF5">
        <w:rPr>
          <w:rFonts w:ascii="Arial" w:hAnsi="Arial" w:cs="Arial"/>
          <w:sz w:val="20"/>
          <w:szCs w:val="20"/>
          <w:lang w:val="en-CA"/>
        </w:rPr>
        <w:t xml:space="preserve"> process</w:t>
      </w:r>
      <w:r>
        <w:rPr>
          <w:rFonts w:ascii="Arial" w:hAnsi="Arial" w:cs="Arial"/>
          <w:sz w:val="20"/>
          <w:szCs w:val="20"/>
          <w:lang w:val="en-CA"/>
        </w:rPr>
        <w:t xml:space="preserve"> that is a</w:t>
      </w:r>
      <w:r w:rsidRPr="00DF5FF5">
        <w:rPr>
          <w:rFonts w:ascii="Arial" w:hAnsi="Arial" w:cs="Arial"/>
          <w:sz w:val="20"/>
          <w:szCs w:val="20"/>
          <w:lang w:val="en-CA"/>
        </w:rPr>
        <w:t xml:space="preserve"> HIPAA compliant Electronic Health Record system and patient management portal</w:t>
      </w:r>
      <w:r>
        <w:rPr>
          <w:rFonts w:ascii="Arial" w:hAnsi="Arial" w:cs="Arial"/>
          <w:sz w:val="20"/>
          <w:szCs w:val="20"/>
          <w:lang w:val="en-CA"/>
        </w:rPr>
        <w:t>. It provides improved management of patients while improving the ability of our doctors, admins and staff to treat and serve patients needs. The t</w:t>
      </w:r>
      <w:r w:rsidRPr="00DF5FF5">
        <w:rPr>
          <w:rFonts w:ascii="Arial" w:hAnsi="Arial" w:cs="Arial"/>
          <w:sz w:val="20"/>
          <w:szCs w:val="20"/>
          <w:lang w:val="en-CA"/>
        </w:rPr>
        <w:t xml:space="preserve">ele-medicine platform </w:t>
      </w:r>
      <w:r>
        <w:rPr>
          <w:rFonts w:ascii="Arial" w:hAnsi="Arial" w:cs="Arial"/>
          <w:sz w:val="20"/>
          <w:szCs w:val="20"/>
          <w:lang w:val="en-CA"/>
        </w:rPr>
        <w:t xml:space="preserve">allows patients to register and select an appointment time to conduct a private consultation with one of </w:t>
      </w:r>
      <w:r w:rsidR="002C5615">
        <w:rPr>
          <w:rFonts w:ascii="Arial" w:hAnsi="Arial" w:cs="Arial"/>
          <w:sz w:val="20"/>
          <w:szCs w:val="20"/>
          <w:lang w:val="en-CA"/>
        </w:rPr>
        <w:t>our</w:t>
      </w:r>
      <w:r>
        <w:rPr>
          <w:rFonts w:ascii="Arial" w:hAnsi="Arial" w:cs="Arial"/>
          <w:sz w:val="20"/>
          <w:szCs w:val="20"/>
          <w:lang w:val="en-CA"/>
        </w:rPr>
        <w:t xml:space="preserve"> physicians</w:t>
      </w:r>
      <w:r w:rsidR="002C5615">
        <w:rPr>
          <w:rFonts w:ascii="Arial" w:hAnsi="Arial" w:cs="Arial"/>
          <w:sz w:val="20"/>
          <w:szCs w:val="20"/>
          <w:lang w:val="en-CA"/>
        </w:rPr>
        <w:t xml:space="preserve">, </w:t>
      </w:r>
      <w:r>
        <w:rPr>
          <w:rFonts w:ascii="Arial" w:hAnsi="Arial" w:cs="Arial"/>
          <w:sz w:val="20"/>
          <w:szCs w:val="20"/>
          <w:lang w:val="en-CA"/>
        </w:rPr>
        <w:t>remotely through a secure</w:t>
      </w:r>
      <w:r w:rsidR="002C5615">
        <w:rPr>
          <w:rFonts w:ascii="Arial" w:hAnsi="Arial" w:cs="Arial"/>
          <w:sz w:val="20"/>
          <w:szCs w:val="20"/>
          <w:lang w:val="en-CA"/>
        </w:rPr>
        <w:t xml:space="preserve"> </w:t>
      </w:r>
      <w:r>
        <w:rPr>
          <w:rFonts w:ascii="Arial" w:hAnsi="Arial" w:cs="Arial"/>
          <w:sz w:val="20"/>
          <w:szCs w:val="20"/>
          <w:lang w:val="en-CA"/>
        </w:rPr>
        <w:t>video</w:t>
      </w:r>
      <w:r w:rsidR="002C5615">
        <w:rPr>
          <w:rFonts w:ascii="Arial" w:hAnsi="Arial" w:cs="Arial"/>
          <w:sz w:val="20"/>
          <w:szCs w:val="20"/>
          <w:lang w:val="en-CA"/>
        </w:rPr>
        <w:t xml:space="preserve"> </w:t>
      </w:r>
      <w:r>
        <w:rPr>
          <w:rFonts w:ascii="Arial" w:hAnsi="Arial" w:cs="Arial"/>
          <w:sz w:val="20"/>
          <w:szCs w:val="20"/>
          <w:lang w:val="en-CA"/>
        </w:rPr>
        <w:t>link, thereby extending the reach of our clinic operations beyond the physical clinic</w:t>
      </w:r>
      <w:r w:rsidR="002C5615">
        <w:rPr>
          <w:rFonts w:ascii="Arial" w:hAnsi="Arial" w:cs="Arial"/>
          <w:sz w:val="20"/>
          <w:szCs w:val="20"/>
          <w:lang w:val="en-CA"/>
        </w:rPr>
        <w:t>.</w:t>
      </w:r>
      <w:r>
        <w:rPr>
          <w:rFonts w:ascii="Arial" w:hAnsi="Arial" w:cs="Arial"/>
          <w:sz w:val="20"/>
          <w:szCs w:val="20"/>
          <w:lang w:val="en-CA"/>
        </w:rPr>
        <w:t xml:space="preserve"> We believe going forward, greater demand for professional consultations will evolve the service offering for Compan</w:t>
      </w:r>
      <w:r w:rsidR="002C5615">
        <w:rPr>
          <w:rFonts w:ascii="Arial" w:hAnsi="Arial" w:cs="Arial"/>
          <w:sz w:val="20"/>
          <w:szCs w:val="20"/>
          <w:lang w:val="en-CA"/>
        </w:rPr>
        <w:t>y</w:t>
      </w:r>
      <w:r>
        <w:rPr>
          <w:rFonts w:ascii="Arial" w:hAnsi="Arial" w:cs="Arial"/>
          <w:sz w:val="20"/>
          <w:szCs w:val="20"/>
          <w:lang w:val="en-CA"/>
        </w:rPr>
        <w:t xml:space="preserve"> owned clinics and for franchisees throughout our network.</w:t>
      </w:r>
    </w:p>
    <w:p w14:paraId="4DA48F60" w14:textId="77777777" w:rsidR="00D3689F" w:rsidRDefault="00D3689F" w:rsidP="003F6F1A">
      <w:pPr>
        <w:spacing w:after="0"/>
        <w:jc w:val="both"/>
        <w:rPr>
          <w:rFonts w:ascii="Arial" w:hAnsi="Arial" w:cs="Arial"/>
          <w:sz w:val="20"/>
          <w:szCs w:val="20"/>
          <w:lang w:val="en-CA"/>
        </w:rPr>
      </w:pPr>
    </w:p>
    <w:p w14:paraId="3D1D3F00" w14:textId="53934241" w:rsidR="00E27B44" w:rsidRPr="00DF5FF5" w:rsidRDefault="00E27B44" w:rsidP="003F6F1A">
      <w:pPr>
        <w:spacing w:after="0"/>
        <w:jc w:val="both"/>
        <w:rPr>
          <w:rFonts w:ascii="Arial" w:hAnsi="Arial" w:cs="Arial"/>
          <w:sz w:val="20"/>
          <w:szCs w:val="20"/>
          <w:lang w:val="en-CA"/>
        </w:rPr>
      </w:pPr>
      <w:r w:rsidRPr="00DF5FF5">
        <w:rPr>
          <w:rFonts w:ascii="Arial" w:hAnsi="Arial" w:cs="Arial"/>
          <w:sz w:val="20"/>
          <w:szCs w:val="20"/>
          <w:lang w:val="en-CA"/>
        </w:rPr>
        <w:t>E-commerce platform</w:t>
      </w:r>
      <w:r>
        <w:rPr>
          <w:rFonts w:ascii="Arial" w:hAnsi="Arial" w:cs="Arial"/>
          <w:sz w:val="20"/>
          <w:szCs w:val="20"/>
          <w:lang w:val="en-CA"/>
        </w:rPr>
        <w:t>s</w:t>
      </w:r>
      <w:r w:rsidRPr="00DF5FF5">
        <w:rPr>
          <w:rFonts w:ascii="Arial" w:hAnsi="Arial" w:cs="Arial"/>
          <w:sz w:val="20"/>
          <w:szCs w:val="20"/>
          <w:lang w:val="en-CA"/>
        </w:rPr>
        <w:t xml:space="preserve"> for </w:t>
      </w:r>
      <w:proofErr w:type="spellStart"/>
      <w:r w:rsidRPr="00DF5FF5">
        <w:rPr>
          <w:rFonts w:ascii="Arial" w:hAnsi="Arial" w:cs="Arial"/>
          <w:sz w:val="20"/>
          <w:szCs w:val="20"/>
          <w:lang w:val="en-CA"/>
        </w:rPr>
        <w:t>Sollievo</w:t>
      </w:r>
      <w:proofErr w:type="spellEnd"/>
      <w:r w:rsidRPr="00DF5FF5">
        <w:rPr>
          <w:rFonts w:ascii="Arial" w:hAnsi="Arial" w:cs="Arial"/>
          <w:sz w:val="20"/>
          <w:szCs w:val="20"/>
          <w:lang w:val="en-CA"/>
        </w:rPr>
        <w:t xml:space="preserve"> an</w:t>
      </w:r>
      <w:r>
        <w:rPr>
          <w:rFonts w:ascii="Arial" w:hAnsi="Arial" w:cs="Arial"/>
          <w:sz w:val="20"/>
          <w:szCs w:val="20"/>
          <w:lang w:val="en-CA"/>
        </w:rPr>
        <w:t>d Sun Valley CBD product l</w:t>
      </w:r>
      <w:r w:rsidRPr="00DF5FF5">
        <w:rPr>
          <w:rFonts w:ascii="Arial" w:hAnsi="Arial" w:cs="Arial"/>
          <w:sz w:val="20"/>
          <w:szCs w:val="20"/>
          <w:lang w:val="en-CA"/>
        </w:rPr>
        <w:t>ines</w:t>
      </w:r>
      <w:r>
        <w:rPr>
          <w:rFonts w:ascii="Arial" w:hAnsi="Arial" w:cs="Arial"/>
          <w:sz w:val="20"/>
          <w:szCs w:val="20"/>
          <w:lang w:val="en-CA"/>
        </w:rPr>
        <w:t xml:space="preserve"> present a developing opportunity for the Company and our network of future franchise partners. </w:t>
      </w:r>
      <w:r w:rsidRPr="003B0546">
        <w:rPr>
          <w:rFonts w:ascii="Arial" w:hAnsi="Arial" w:cs="Arial"/>
          <w:sz w:val="20"/>
          <w:szCs w:val="20"/>
        </w:rPr>
        <w:t xml:space="preserve">The passing in the United States of the US$867 billion </w:t>
      </w:r>
      <w:r w:rsidRPr="003B0546">
        <w:rPr>
          <w:rFonts w:ascii="Arial" w:hAnsi="Arial" w:cs="Arial"/>
          <w:i/>
          <w:sz w:val="20"/>
          <w:szCs w:val="20"/>
        </w:rPr>
        <w:t xml:space="preserve">Agriculture Improvement Act </w:t>
      </w:r>
      <w:r w:rsidRPr="003B0546">
        <w:rPr>
          <w:rFonts w:ascii="Arial" w:hAnsi="Arial" w:cs="Arial"/>
          <w:sz w:val="20"/>
          <w:szCs w:val="20"/>
        </w:rPr>
        <w:t xml:space="preserve">has legalized hemp and hemp-based products. Recent reports and studies </w:t>
      </w:r>
      <w:r w:rsidR="00F17EB0">
        <w:rPr>
          <w:rFonts w:ascii="Arial" w:hAnsi="Arial" w:cs="Arial"/>
          <w:sz w:val="20"/>
          <w:szCs w:val="20"/>
        </w:rPr>
        <w:t xml:space="preserve">from the Brightfield Group </w:t>
      </w:r>
      <w:r w:rsidRPr="003B0546">
        <w:rPr>
          <w:rFonts w:ascii="Arial" w:hAnsi="Arial" w:cs="Arial"/>
          <w:sz w:val="20"/>
          <w:szCs w:val="20"/>
        </w:rPr>
        <w:t>indicate the approval of the Farm Bill could create a US$2</w:t>
      </w:r>
      <w:r w:rsidR="000B3720">
        <w:rPr>
          <w:rFonts w:ascii="Arial" w:hAnsi="Arial" w:cs="Arial"/>
          <w:sz w:val="20"/>
          <w:szCs w:val="20"/>
        </w:rPr>
        <w:t>3.7</w:t>
      </w:r>
      <w:r w:rsidRPr="003B0546">
        <w:rPr>
          <w:rFonts w:ascii="Arial" w:hAnsi="Arial" w:cs="Arial"/>
          <w:sz w:val="20"/>
          <w:szCs w:val="20"/>
        </w:rPr>
        <w:t xml:space="preserve"> billion industry by 202</w:t>
      </w:r>
      <w:r w:rsidR="00F17EB0">
        <w:rPr>
          <w:rFonts w:ascii="Arial" w:hAnsi="Arial" w:cs="Arial"/>
          <w:sz w:val="20"/>
          <w:szCs w:val="20"/>
        </w:rPr>
        <w:t>3</w:t>
      </w:r>
      <w:r w:rsidRPr="003B0546">
        <w:rPr>
          <w:rFonts w:ascii="Arial" w:hAnsi="Arial" w:cs="Arial"/>
          <w:sz w:val="20"/>
          <w:szCs w:val="20"/>
        </w:rPr>
        <w:t>.</w:t>
      </w:r>
      <w:r w:rsidRPr="00DF5FF5">
        <w:rPr>
          <w:rFonts w:ascii="Arial" w:hAnsi="Arial" w:cs="Arial"/>
          <w:sz w:val="20"/>
          <w:szCs w:val="20"/>
          <w:lang w:val="en-CA"/>
        </w:rPr>
        <w:t xml:space="preserve"> </w:t>
      </w:r>
      <w:r>
        <w:rPr>
          <w:rFonts w:ascii="Arial" w:hAnsi="Arial" w:cs="Arial"/>
          <w:sz w:val="20"/>
          <w:szCs w:val="20"/>
          <w:lang w:val="en-CA"/>
        </w:rPr>
        <w:t>Online distribution channels supported by strong social media presence, influencer strategies and the ability to reach a wide-array of consumers, will provide the Company new growth opportunities with greater overall brand awareness.</w:t>
      </w:r>
    </w:p>
    <w:p w14:paraId="2606B6C6" w14:textId="77777777" w:rsidR="00E27B44" w:rsidRDefault="00B05C79" w:rsidP="003F6F1A">
      <w:pPr>
        <w:spacing w:after="0"/>
        <w:jc w:val="both"/>
        <w:rPr>
          <w:rFonts w:ascii="Arial" w:hAnsi="Arial" w:cs="Arial"/>
          <w:sz w:val="20"/>
          <w:szCs w:val="20"/>
          <w:lang w:val="en-CA"/>
        </w:rPr>
      </w:pPr>
      <w:r>
        <w:rPr>
          <w:rFonts w:ascii="Arial" w:hAnsi="Arial" w:cs="Arial"/>
          <w:sz w:val="20"/>
          <w:szCs w:val="20"/>
          <w:lang w:val="en-CA"/>
        </w:rPr>
        <w:br/>
      </w:r>
      <w:r w:rsidR="00E27B44" w:rsidRPr="00F772B5">
        <w:rPr>
          <w:rFonts w:ascii="Arial" w:hAnsi="Arial" w:cs="Arial"/>
          <w:sz w:val="20"/>
          <w:szCs w:val="20"/>
          <w:lang w:val="en-CA"/>
        </w:rPr>
        <w:t>Empower will open its first CBD extraction facility in</w:t>
      </w:r>
      <w:r w:rsidR="00E27B44">
        <w:rPr>
          <w:rFonts w:ascii="Arial" w:hAnsi="Arial" w:cs="Arial"/>
          <w:sz w:val="20"/>
          <w:szCs w:val="20"/>
          <w:lang w:val="en-CA"/>
        </w:rPr>
        <w:t xml:space="preserve"> greater </w:t>
      </w:r>
      <w:r w:rsidR="00E27B44" w:rsidRPr="00F772B5">
        <w:rPr>
          <w:rFonts w:ascii="Arial" w:hAnsi="Arial" w:cs="Arial"/>
          <w:sz w:val="20"/>
          <w:szCs w:val="20"/>
          <w:lang w:val="en-CA"/>
        </w:rPr>
        <w:t>Portland, Oregon</w:t>
      </w:r>
      <w:r>
        <w:rPr>
          <w:rFonts w:ascii="Arial" w:hAnsi="Arial" w:cs="Arial"/>
          <w:sz w:val="20"/>
          <w:szCs w:val="20"/>
          <w:lang w:val="en-CA"/>
        </w:rPr>
        <w:t xml:space="preserve">. The Company took </w:t>
      </w:r>
      <w:r w:rsidR="00E27B44">
        <w:rPr>
          <w:rFonts w:ascii="Arial" w:hAnsi="Arial" w:cs="Arial"/>
          <w:sz w:val="20"/>
          <w:szCs w:val="20"/>
          <w:lang w:val="en-CA"/>
        </w:rPr>
        <w:t xml:space="preserve">possession </w:t>
      </w:r>
      <w:r>
        <w:rPr>
          <w:rFonts w:ascii="Arial" w:hAnsi="Arial" w:cs="Arial"/>
          <w:sz w:val="20"/>
          <w:szCs w:val="20"/>
          <w:lang w:val="en-CA"/>
        </w:rPr>
        <w:t xml:space="preserve">on </w:t>
      </w:r>
      <w:r w:rsidR="00E27B44">
        <w:rPr>
          <w:rFonts w:ascii="Arial" w:hAnsi="Arial" w:cs="Arial"/>
          <w:sz w:val="20"/>
          <w:szCs w:val="20"/>
          <w:lang w:val="en-CA"/>
        </w:rPr>
        <w:t xml:space="preserve">June 1, 2019 </w:t>
      </w:r>
      <w:r>
        <w:rPr>
          <w:rFonts w:ascii="Arial" w:hAnsi="Arial" w:cs="Arial"/>
          <w:sz w:val="20"/>
          <w:szCs w:val="20"/>
          <w:lang w:val="en-CA"/>
        </w:rPr>
        <w:t xml:space="preserve">and </w:t>
      </w:r>
      <w:r w:rsidR="00E27B44">
        <w:rPr>
          <w:rFonts w:ascii="Arial" w:hAnsi="Arial" w:cs="Arial"/>
          <w:sz w:val="20"/>
          <w:szCs w:val="20"/>
          <w:lang w:val="en-CA"/>
        </w:rPr>
        <w:t xml:space="preserve">we </w:t>
      </w:r>
      <w:r>
        <w:rPr>
          <w:rFonts w:ascii="Arial" w:hAnsi="Arial" w:cs="Arial"/>
          <w:sz w:val="20"/>
          <w:szCs w:val="20"/>
          <w:lang w:val="en-CA"/>
        </w:rPr>
        <w:t xml:space="preserve">are sourcing financing to </w:t>
      </w:r>
      <w:r w:rsidR="00E27B44">
        <w:rPr>
          <w:rFonts w:ascii="Arial" w:hAnsi="Arial" w:cs="Arial"/>
          <w:sz w:val="20"/>
          <w:szCs w:val="20"/>
          <w:lang w:val="en-CA"/>
        </w:rPr>
        <w:t xml:space="preserve">commence the build-out of a new </w:t>
      </w:r>
      <w:r w:rsidR="00E27B44" w:rsidRPr="00F772B5">
        <w:rPr>
          <w:rFonts w:ascii="Arial" w:hAnsi="Arial" w:cs="Arial"/>
          <w:sz w:val="20"/>
          <w:szCs w:val="20"/>
          <w:lang w:val="en-CA"/>
        </w:rPr>
        <w:t xml:space="preserve">5,000 square foot leased building </w:t>
      </w:r>
      <w:r w:rsidR="00E27B44">
        <w:rPr>
          <w:rFonts w:ascii="Arial" w:hAnsi="Arial" w:cs="Arial"/>
          <w:sz w:val="20"/>
          <w:szCs w:val="20"/>
          <w:lang w:val="en-CA"/>
        </w:rPr>
        <w:t xml:space="preserve">to contain the </w:t>
      </w:r>
      <w:r w:rsidR="00E27B44" w:rsidRPr="00F772B5">
        <w:rPr>
          <w:rFonts w:ascii="Arial" w:hAnsi="Arial" w:cs="Arial"/>
          <w:sz w:val="20"/>
          <w:szCs w:val="20"/>
          <w:lang w:val="en-CA"/>
        </w:rPr>
        <w:t xml:space="preserve">first </w:t>
      </w:r>
      <w:r w:rsidR="00E27B44">
        <w:rPr>
          <w:rFonts w:ascii="Arial" w:hAnsi="Arial" w:cs="Arial"/>
          <w:sz w:val="20"/>
          <w:szCs w:val="20"/>
          <w:lang w:val="en-CA"/>
        </w:rPr>
        <w:t xml:space="preserve">operating </w:t>
      </w:r>
      <w:r w:rsidR="00E27B44" w:rsidRPr="00F772B5">
        <w:rPr>
          <w:rFonts w:ascii="Arial" w:hAnsi="Arial" w:cs="Arial"/>
          <w:sz w:val="20"/>
          <w:szCs w:val="20"/>
          <w:lang w:val="en-CA"/>
        </w:rPr>
        <w:t>extraction system</w:t>
      </w:r>
      <w:r w:rsidR="00E27B44">
        <w:rPr>
          <w:rFonts w:ascii="Arial" w:hAnsi="Arial" w:cs="Arial"/>
          <w:sz w:val="20"/>
          <w:szCs w:val="20"/>
          <w:lang w:val="en-CA"/>
        </w:rPr>
        <w:t>s</w:t>
      </w:r>
      <w:r w:rsidR="00E27B44" w:rsidRPr="00F772B5">
        <w:rPr>
          <w:rFonts w:ascii="Arial" w:hAnsi="Arial" w:cs="Arial"/>
          <w:sz w:val="20"/>
          <w:szCs w:val="20"/>
          <w:lang w:val="en-CA"/>
        </w:rPr>
        <w:t xml:space="preserve"> capable of producing </w:t>
      </w:r>
      <w:r w:rsidR="00E27B44">
        <w:rPr>
          <w:rFonts w:ascii="Arial" w:hAnsi="Arial" w:cs="Arial"/>
          <w:sz w:val="20"/>
          <w:szCs w:val="20"/>
          <w:lang w:val="en-CA"/>
        </w:rPr>
        <w:t xml:space="preserve">up to </w:t>
      </w:r>
      <w:r w:rsidR="00E27B44" w:rsidRPr="00F772B5">
        <w:rPr>
          <w:rFonts w:ascii="Arial" w:hAnsi="Arial" w:cs="Arial"/>
          <w:sz w:val="20"/>
          <w:szCs w:val="20"/>
          <w:lang w:val="en-CA"/>
        </w:rPr>
        <w:t xml:space="preserve">20kg per day of </w:t>
      </w:r>
      <w:r w:rsidR="00FD6918">
        <w:rPr>
          <w:rFonts w:ascii="Arial" w:hAnsi="Arial" w:cs="Arial"/>
          <w:sz w:val="20"/>
          <w:szCs w:val="20"/>
          <w:lang w:val="en-CA"/>
        </w:rPr>
        <w:t>high-quality</w:t>
      </w:r>
      <w:r w:rsidR="00E27B44" w:rsidRPr="00F772B5">
        <w:rPr>
          <w:rFonts w:ascii="Arial" w:hAnsi="Arial" w:cs="Arial"/>
          <w:sz w:val="20"/>
          <w:szCs w:val="20"/>
          <w:lang w:val="en-CA"/>
        </w:rPr>
        <w:t xml:space="preserve"> spectrum oil, isolate </w:t>
      </w:r>
      <w:r w:rsidR="00E27B44">
        <w:rPr>
          <w:rFonts w:ascii="Arial" w:hAnsi="Arial" w:cs="Arial"/>
          <w:sz w:val="20"/>
          <w:szCs w:val="20"/>
          <w:lang w:val="en-CA"/>
        </w:rPr>
        <w:t>and/</w:t>
      </w:r>
      <w:r w:rsidR="00E27B44" w:rsidRPr="00F772B5">
        <w:rPr>
          <w:rFonts w:ascii="Arial" w:hAnsi="Arial" w:cs="Arial"/>
          <w:sz w:val="20"/>
          <w:szCs w:val="20"/>
          <w:lang w:val="en-CA"/>
        </w:rPr>
        <w:t>or distillate</w:t>
      </w:r>
      <w:r w:rsidR="00E27B44">
        <w:rPr>
          <w:rFonts w:ascii="Arial" w:hAnsi="Arial" w:cs="Arial"/>
          <w:sz w:val="20"/>
          <w:szCs w:val="20"/>
          <w:lang w:val="en-CA"/>
        </w:rPr>
        <w:t>.</w:t>
      </w:r>
      <w:r w:rsidR="00E27B44" w:rsidRPr="00F772B5">
        <w:rPr>
          <w:rFonts w:ascii="Arial" w:hAnsi="Arial" w:cs="Arial"/>
          <w:sz w:val="20"/>
          <w:szCs w:val="20"/>
          <w:lang w:val="en-CA"/>
        </w:rPr>
        <w:t xml:space="preserve"> </w:t>
      </w:r>
      <w:r w:rsidR="00E27B44">
        <w:rPr>
          <w:rFonts w:ascii="Arial" w:hAnsi="Arial" w:cs="Arial"/>
          <w:sz w:val="20"/>
          <w:szCs w:val="20"/>
          <w:lang w:val="en-CA"/>
        </w:rPr>
        <w:t>The facility is strategically located in the agricultural plains of Mt. Hood, Oregon with over 200 licenced hemp farms in the neighbouring counties. Over time, the facility has the potential to be scaled to add multiple extraction, post-production and product manufacturing systems.</w:t>
      </w:r>
      <w:r w:rsidR="002C5615">
        <w:rPr>
          <w:rFonts w:ascii="Arial" w:hAnsi="Arial" w:cs="Arial"/>
          <w:sz w:val="20"/>
          <w:szCs w:val="20"/>
          <w:lang w:val="en-CA"/>
        </w:rPr>
        <w:t xml:space="preserve"> </w:t>
      </w:r>
    </w:p>
    <w:p w14:paraId="6A9E8040" w14:textId="77777777" w:rsidR="002C5615" w:rsidRDefault="002C5615" w:rsidP="003F6F1A">
      <w:pPr>
        <w:spacing w:after="0"/>
        <w:jc w:val="both"/>
        <w:rPr>
          <w:rFonts w:ascii="Arial" w:hAnsi="Arial" w:cs="Arial"/>
          <w:sz w:val="20"/>
          <w:szCs w:val="20"/>
          <w:lang w:val="en-CA"/>
        </w:rPr>
      </w:pPr>
    </w:p>
    <w:p w14:paraId="5DAB0B8A" w14:textId="6EEACE29" w:rsidR="002C5615" w:rsidRDefault="002C5615" w:rsidP="003F6F1A">
      <w:pPr>
        <w:spacing w:after="0"/>
        <w:jc w:val="both"/>
        <w:rPr>
          <w:rFonts w:ascii="Arial" w:hAnsi="Arial" w:cs="Arial"/>
          <w:sz w:val="20"/>
          <w:szCs w:val="20"/>
          <w:lang w:val="en-CA"/>
        </w:rPr>
      </w:pPr>
      <w:r>
        <w:rPr>
          <w:rFonts w:ascii="Arial" w:hAnsi="Arial" w:cs="Arial"/>
          <w:sz w:val="20"/>
          <w:szCs w:val="20"/>
          <w:lang w:val="en-CA"/>
        </w:rPr>
        <w:t>On August</w:t>
      </w:r>
      <w:r w:rsidR="00691C16">
        <w:rPr>
          <w:rFonts w:ascii="Arial" w:hAnsi="Arial" w:cs="Arial"/>
          <w:sz w:val="20"/>
          <w:szCs w:val="20"/>
          <w:vertAlign w:val="superscript"/>
          <w:lang w:val="en-CA"/>
        </w:rPr>
        <w:t xml:space="preserve"> </w:t>
      </w:r>
      <w:r w:rsidR="00FC70F1">
        <w:rPr>
          <w:rFonts w:ascii="Arial" w:hAnsi="Arial" w:cs="Arial"/>
          <w:sz w:val="20"/>
          <w:szCs w:val="20"/>
          <w:lang w:val="en-CA"/>
        </w:rPr>
        <w:t>6</w:t>
      </w:r>
      <w:r w:rsidR="00691C16">
        <w:rPr>
          <w:rFonts w:ascii="Arial" w:hAnsi="Arial" w:cs="Arial"/>
          <w:sz w:val="20"/>
          <w:szCs w:val="20"/>
          <w:lang w:val="en-CA"/>
        </w:rPr>
        <w:t xml:space="preserve">, </w:t>
      </w:r>
      <w:r>
        <w:rPr>
          <w:rFonts w:ascii="Arial" w:hAnsi="Arial" w:cs="Arial"/>
          <w:sz w:val="20"/>
          <w:szCs w:val="20"/>
          <w:lang w:val="en-CA"/>
        </w:rPr>
        <w:t>2019</w:t>
      </w:r>
      <w:r w:rsidR="000A24FE">
        <w:rPr>
          <w:rFonts w:ascii="Arial" w:hAnsi="Arial" w:cs="Arial"/>
          <w:sz w:val="20"/>
          <w:szCs w:val="20"/>
          <w:lang w:val="en-CA"/>
        </w:rPr>
        <w:t>,</w:t>
      </w:r>
      <w:r>
        <w:rPr>
          <w:rFonts w:ascii="Arial" w:hAnsi="Arial" w:cs="Arial"/>
          <w:sz w:val="20"/>
          <w:szCs w:val="20"/>
          <w:lang w:val="en-CA"/>
        </w:rPr>
        <w:t xml:space="preserve"> the Company </w:t>
      </w:r>
      <w:r w:rsidR="00FC70F1">
        <w:rPr>
          <w:rFonts w:ascii="Arial" w:hAnsi="Arial" w:cs="Arial"/>
          <w:sz w:val="20"/>
          <w:szCs w:val="20"/>
          <w:lang w:val="en-CA"/>
        </w:rPr>
        <w:t>wa</w:t>
      </w:r>
      <w:r>
        <w:rPr>
          <w:rFonts w:ascii="Arial" w:hAnsi="Arial" w:cs="Arial"/>
          <w:sz w:val="20"/>
          <w:szCs w:val="20"/>
          <w:lang w:val="en-CA"/>
        </w:rPr>
        <w:t>s awarded its hemp-handlers license from the Oregon Department of Agriculture, allowing the Company to move to the next phase of facility build-out and to start extraction operations.</w:t>
      </w:r>
    </w:p>
    <w:p w14:paraId="40F3FB06" w14:textId="31F82ED1" w:rsidR="00EC5AB8" w:rsidRDefault="00EC5AB8" w:rsidP="003F6F1A">
      <w:pPr>
        <w:spacing w:after="0"/>
        <w:jc w:val="both"/>
        <w:rPr>
          <w:rFonts w:ascii="Arial" w:hAnsi="Arial" w:cs="Arial"/>
          <w:sz w:val="20"/>
          <w:szCs w:val="20"/>
          <w:lang w:val="en-CA"/>
        </w:rPr>
      </w:pPr>
    </w:p>
    <w:p w14:paraId="7B98BB1C" w14:textId="111E93D7" w:rsidR="00EC5AB8" w:rsidRDefault="00EC5AB8" w:rsidP="00EC5AB8">
      <w:pPr>
        <w:shd w:val="clear" w:color="auto" w:fill="FFFFFF"/>
        <w:spacing w:after="0" w:line="240" w:lineRule="auto"/>
        <w:jc w:val="both"/>
        <w:textAlignment w:val="baseline"/>
        <w:rPr>
          <w:rFonts w:ascii="Arial" w:hAnsi="Arial" w:cs="Arial"/>
          <w:spacing w:val="-2"/>
          <w:sz w:val="20"/>
          <w:szCs w:val="20"/>
        </w:rPr>
      </w:pPr>
      <w:r>
        <w:rPr>
          <w:rFonts w:ascii="Arial" w:hAnsi="Arial" w:cs="Arial"/>
          <w:sz w:val="20"/>
          <w:szCs w:val="20"/>
          <w:lang w:val="en-CA"/>
        </w:rPr>
        <w:t>On September 7, 2019, t</w:t>
      </w:r>
      <w:r>
        <w:rPr>
          <w:rFonts w:ascii="Arial" w:hAnsi="Arial" w:cs="Arial"/>
          <w:spacing w:val="-2"/>
          <w:sz w:val="20"/>
          <w:szCs w:val="20"/>
        </w:rPr>
        <w:t xml:space="preserve">he Company </w:t>
      </w:r>
      <w:r w:rsidRPr="00AE34D5">
        <w:rPr>
          <w:rFonts w:ascii="Arial" w:hAnsi="Arial" w:cs="Arial"/>
          <w:spacing w:val="-2"/>
          <w:sz w:val="20"/>
          <w:szCs w:val="20"/>
        </w:rPr>
        <w:t>entered into a</w:t>
      </w:r>
      <w:r>
        <w:rPr>
          <w:rFonts w:ascii="Arial" w:hAnsi="Arial" w:cs="Arial"/>
          <w:spacing w:val="-2"/>
          <w:sz w:val="20"/>
          <w:szCs w:val="20"/>
        </w:rPr>
        <w:t xml:space="preserve">n </w:t>
      </w:r>
      <w:r w:rsidRPr="00AE34D5">
        <w:rPr>
          <w:rFonts w:ascii="Arial" w:hAnsi="Arial" w:cs="Arial"/>
          <w:spacing w:val="-2"/>
          <w:sz w:val="20"/>
          <w:szCs w:val="20"/>
        </w:rPr>
        <w:t>LOI to form a JV with H</w:t>
      </w:r>
      <w:r>
        <w:rPr>
          <w:rFonts w:ascii="Arial" w:hAnsi="Arial" w:cs="Arial"/>
          <w:spacing w:val="-2"/>
          <w:sz w:val="20"/>
          <w:szCs w:val="20"/>
        </w:rPr>
        <w:t xml:space="preserve">eritage. </w:t>
      </w:r>
      <w:r w:rsidRPr="00AE34D5">
        <w:rPr>
          <w:rFonts w:ascii="Arial" w:hAnsi="Arial" w:cs="Arial"/>
          <w:spacing w:val="-2"/>
          <w:sz w:val="20"/>
          <w:szCs w:val="20"/>
        </w:rPr>
        <w:t>Terms of the LOI have Empower and Heritage each with a 50% ownership of the JV. Heritage</w:t>
      </w:r>
      <w:r>
        <w:rPr>
          <w:rFonts w:ascii="Arial" w:hAnsi="Arial" w:cs="Arial"/>
          <w:spacing w:val="-2"/>
          <w:sz w:val="20"/>
          <w:szCs w:val="20"/>
        </w:rPr>
        <w:t xml:space="preserve"> </w:t>
      </w:r>
      <w:r w:rsidRPr="00AE34D5">
        <w:rPr>
          <w:rFonts w:ascii="Arial" w:hAnsi="Arial" w:cs="Arial"/>
          <w:spacing w:val="-2"/>
          <w:sz w:val="20"/>
          <w:szCs w:val="20"/>
        </w:rPr>
        <w:t xml:space="preserve">will install extraction units and related downstream extraction equipment inside </w:t>
      </w:r>
      <w:proofErr w:type="spellStart"/>
      <w:r w:rsidRPr="00AE34D5">
        <w:rPr>
          <w:rFonts w:ascii="Arial" w:hAnsi="Arial" w:cs="Arial"/>
          <w:spacing w:val="-2"/>
          <w:sz w:val="20"/>
          <w:szCs w:val="20"/>
        </w:rPr>
        <w:t>Empower’s</w:t>
      </w:r>
      <w:proofErr w:type="spellEnd"/>
      <w:r w:rsidRPr="00AE34D5">
        <w:rPr>
          <w:rFonts w:ascii="Arial" w:hAnsi="Arial" w:cs="Arial"/>
          <w:spacing w:val="-2"/>
          <w:sz w:val="20"/>
          <w:szCs w:val="20"/>
        </w:rPr>
        <w:t xml:space="preserve"> existing </w:t>
      </w:r>
      <w:proofErr w:type="spellStart"/>
      <w:r w:rsidRPr="00AE34D5">
        <w:rPr>
          <w:rFonts w:ascii="Arial" w:hAnsi="Arial" w:cs="Arial"/>
          <w:spacing w:val="-2"/>
          <w:sz w:val="20"/>
          <w:szCs w:val="20"/>
        </w:rPr>
        <w:t>licenced</w:t>
      </w:r>
      <w:proofErr w:type="spellEnd"/>
      <w:r w:rsidRPr="00AE34D5">
        <w:rPr>
          <w:rFonts w:ascii="Arial" w:hAnsi="Arial" w:cs="Arial"/>
          <w:spacing w:val="-2"/>
          <w:sz w:val="20"/>
          <w:szCs w:val="20"/>
        </w:rPr>
        <w:t xml:space="preserve"> hemp processing facility in Sandy, O</w:t>
      </w:r>
      <w:r>
        <w:rPr>
          <w:rFonts w:ascii="Arial" w:hAnsi="Arial" w:cs="Arial"/>
          <w:spacing w:val="-2"/>
          <w:sz w:val="20"/>
          <w:szCs w:val="20"/>
        </w:rPr>
        <w:t>regon</w:t>
      </w:r>
      <w:r w:rsidRPr="00AE34D5">
        <w:rPr>
          <w:rFonts w:ascii="Arial" w:hAnsi="Arial" w:cs="Arial"/>
          <w:spacing w:val="-2"/>
          <w:sz w:val="20"/>
          <w:szCs w:val="20"/>
        </w:rPr>
        <w:t xml:space="preserve">. In addition, </w:t>
      </w:r>
      <w:r>
        <w:rPr>
          <w:rFonts w:ascii="Arial" w:hAnsi="Arial" w:cs="Arial"/>
          <w:spacing w:val="-2"/>
          <w:sz w:val="20"/>
          <w:szCs w:val="20"/>
        </w:rPr>
        <w:t>Heritage</w:t>
      </w:r>
      <w:r w:rsidRPr="00AE34D5">
        <w:rPr>
          <w:rFonts w:ascii="Arial" w:hAnsi="Arial" w:cs="Arial"/>
          <w:spacing w:val="-2"/>
          <w:sz w:val="20"/>
          <w:szCs w:val="20"/>
        </w:rPr>
        <w:t xml:space="preserve"> will train and supervise the staff on the proprietary methods of extraction and oil production that it produces in Canada. The JV will be equally funded by both companies with Heritage investing an initial $500,000 for start-up funds, as the build out completes and the JV secures high quality hemp supply from local growers.</w:t>
      </w:r>
    </w:p>
    <w:p w14:paraId="05E68361" w14:textId="02891C0B" w:rsidR="00105B24" w:rsidRDefault="00105B24" w:rsidP="003F6F1A">
      <w:pPr>
        <w:pStyle w:val="NormalWeb"/>
        <w:pBdr>
          <w:bottom w:val="single" w:sz="12" w:space="1" w:color="auto"/>
        </w:pBdr>
        <w:spacing w:before="0" w:beforeAutospacing="0" w:after="0" w:afterAutospacing="0"/>
        <w:rPr>
          <w:rFonts w:ascii="Arial" w:hAnsi="Arial" w:cs="Arial"/>
          <w:b/>
          <w:sz w:val="20"/>
          <w:szCs w:val="20"/>
        </w:rPr>
      </w:pPr>
    </w:p>
    <w:p w14:paraId="61057FC7" w14:textId="2B03CE76" w:rsidR="00ED07BC" w:rsidRDefault="00ED07BC" w:rsidP="003F6F1A">
      <w:pPr>
        <w:pStyle w:val="NormalWeb"/>
        <w:pBdr>
          <w:bottom w:val="single" w:sz="12" w:space="1" w:color="auto"/>
        </w:pBdr>
        <w:spacing w:before="0" w:beforeAutospacing="0" w:after="0" w:afterAutospacing="0"/>
        <w:rPr>
          <w:rFonts w:ascii="Arial" w:hAnsi="Arial" w:cs="Arial"/>
          <w:b/>
          <w:sz w:val="20"/>
          <w:szCs w:val="20"/>
        </w:rPr>
      </w:pPr>
    </w:p>
    <w:p w14:paraId="4C145531" w14:textId="431507DA" w:rsidR="00ED07BC" w:rsidRDefault="00ED07BC" w:rsidP="003F6F1A">
      <w:pPr>
        <w:pStyle w:val="NormalWeb"/>
        <w:pBdr>
          <w:bottom w:val="single" w:sz="12" w:space="1" w:color="auto"/>
        </w:pBdr>
        <w:spacing w:before="0" w:beforeAutospacing="0" w:after="0" w:afterAutospacing="0"/>
        <w:rPr>
          <w:rFonts w:ascii="Arial" w:hAnsi="Arial" w:cs="Arial"/>
          <w:b/>
          <w:sz w:val="20"/>
          <w:szCs w:val="20"/>
        </w:rPr>
      </w:pPr>
    </w:p>
    <w:p w14:paraId="18DB01E0" w14:textId="24E3B363" w:rsidR="00ED07BC" w:rsidRDefault="00ED07BC" w:rsidP="003F6F1A">
      <w:pPr>
        <w:pStyle w:val="NormalWeb"/>
        <w:pBdr>
          <w:bottom w:val="single" w:sz="12" w:space="1" w:color="auto"/>
        </w:pBdr>
        <w:spacing w:before="0" w:beforeAutospacing="0" w:after="0" w:afterAutospacing="0"/>
        <w:rPr>
          <w:rFonts w:ascii="Arial" w:hAnsi="Arial" w:cs="Arial"/>
          <w:b/>
          <w:sz w:val="20"/>
          <w:szCs w:val="20"/>
        </w:rPr>
      </w:pPr>
    </w:p>
    <w:p w14:paraId="4E659B9B" w14:textId="2B0F5D74" w:rsidR="00ED07BC" w:rsidRDefault="00ED07BC" w:rsidP="003F6F1A">
      <w:pPr>
        <w:pStyle w:val="NormalWeb"/>
        <w:pBdr>
          <w:bottom w:val="single" w:sz="12" w:space="1" w:color="auto"/>
        </w:pBdr>
        <w:spacing w:before="0" w:beforeAutospacing="0" w:after="0" w:afterAutospacing="0"/>
        <w:rPr>
          <w:rFonts w:ascii="Arial" w:hAnsi="Arial" w:cs="Arial"/>
          <w:b/>
          <w:sz w:val="20"/>
          <w:szCs w:val="20"/>
        </w:rPr>
      </w:pPr>
    </w:p>
    <w:p w14:paraId="0781044F" w14:textId="7B8F0404" w:rsidR="00ED07BC" w:rsidRDefault="00ED07BC" w:rsidP="003F6F1A">
      <w:pPr>
        <w:pStyle w:val="NormalWeb"/>
        <w:pBdr>
          <w:bottom w:val="single" w:sz="12" w:space="1" w:color="auto"/>
        </w:pBdr>
        <w:spacing w:before="0" w:beforeAutospacing="0" w:after="0" w:afterAutospacing="0"/>
        <w:rPr>
          <w:rFonts w:ascii="Arial" w:hAnsi="Arial" w:cs="Arial"/>
          <w:b/>
          <w:sz w:val="20"/>
          <w:szCs w:val="20"/>
        </w:rPr>
      </w:pPr>
    </w:p>
    <w:p w14:paraId="389A0BEF" w14:textId="77777777" w:rsidR="00ED07BC" w:rsidRDefault="00ED07BC" w:rsidP="003F6F1A">
      <w:pPr>
        <w:pStyle w:val="NormalWeb"/>
        <w:pBdr>
          <w:bottom w:val="single" w:sz="12" w:space="1" w:color="auto"/>
        </w:pBdr>
        <w:spacing w:before="0" w:beforeAutospacing="0" w:after="0" w:afterAutospacing="0"/>
        <w:rPr>
          <w:rFonts w:ascii="Arial" w:hAnsi="Arial" w:cs="Arial"/>
          <w:b/>
          <w:sz w:val="20"/>
          <w:szCs w:val="20"/>
        </w:rPr>
      </w:pPr>
    </w:p>
    <w:p w14:paraId="774AD655" w14:textId="77777777" w:rsidR="00E27B44" w:rsidRPr="00954E48" w:rsidRDefault="00E27B44" w:rsidP="003F6F1A">
      <w:pPr>
        <w:pStyle w:val="NormalWeb"/>
        <w:pBdr>
          <w:bottom w:val="single" w:sz="12" w:space="1" w:color="auto"/>
        </w:pBdr>
        <w:spacing w:before="0" w:beforeAutospacing="0" w:after="0" w:afterAutospacing="0"/>
        <w:rPr>
          <w:rFonts w:ascii="Arial" w:hAnsi="Arial" w:cs="Arial"/>
          <w:b/>
          <w:color w:val="FF0000"/>
          <w:sz w:val="20"/>
          <w:szCs w:val="20"/>
        </w:rPr>
      </w:pPr>
      <w:r w:rsidRPr="00954E48">
        <w:rPr>
          <w:rFonts w:ascii="Arial" w:hAnsi="Arial" w:cs="Arial"/>
          <w:b/>
          <w:sz w:val="20"/>
          <w:szCs w:val="20"/>
        </w:rPr>
        <w:t>OUTLOOK</w:t>
      </w:r>
      <w:r>
        <w:rPr>
          <w:rFonts w:ascii="Arial" w:hAnsi="Arial" w:cs="Arial"/>
          <w:b/>
          <w:sz w:val="20"/>
          <w:szCs w:val="20"/>
        </w:rPr>
        <w:t xml:space="preserve"> </w:t>
      </w:r>
    </w:p>
    <w:p w14:paraId="0D0D80A1" w14:textId="77777777" w:rsidR="00E27B44" w:rsidRDefault="00E27B44" w:rsidP="003F6F1A">
      <w:pPr>
        <w:spacing w:after="0"/>
      </w:pPr>
    </w:p>
    <w:p w14:paraId="5A0C5CCE" w14:textId="77777777"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The Company </w:t>
      </w:r>
      <w:r>
        <w:rPr>
          <w:rFonts w:ascii="Arial" w:hAnsi="Arial" w:cs="Arial"/>
          <w:sz w:val="20"/>
          <w:szCs w:val="20"/>
        </w:rPr>
        <w:t>will continue</w:t>
      </w:r>
      <w:r w:rsidRPr="00C90A0A">
        <w:rPr>
          <w:rFonts w:ascii="Arial" w:hAnsi="Arial" w:cs="Arial"/>
          <w:sz w:val="20"/>
          <w:szCs w:val="20"/>
        </w:rPr>
        <w:t xml:space="preserve"> to be active and opportunistic with respect to mergers and acquisitions</w:t>
      </w:r>
      <w:r>
        <w:rPr>
          <w:rFonts w:ascii="Arial" w:hAnsi="Arial" w:cs="Arial"/>
          <w:sz w:val="20"/>
          <w:szCs w:val="20"/>
        </w:rPr>
        <w:t xml:space="preserve"> opportunities</w:t>
      </w:r>
      <w:r w:rsidRPr="00C90A0A">
        <w:rPr>
          <w:rFonts w:ascii="Arial" w:hAnsi="Arial" w:cs="Arial"/>
          <w:sz w:val="20"/>
          <w:szCs w:val="20"/>
        </w:rPr>
        <w:t xml:space="preserve">, </w:t>
      </w:r>
      <w:r>
        <w:rPr>
          <w:rFonts w:ascii="Arial" w:hAnsi="Arial" w:cs="Arial"/>
          <w:sz w:val="20"/>
          <w:szCs w:val="20"/>
        </w:rPr>
        <w:t>with the goal of advancing</w:t>
      </w:r>
      <w:r w:rsidRPr="00C90A0A">
        <w:rPr>
          <w:rFonts w:ascii="Arial" w:hAnsi="Arial" w:cs="Arial"/>
          <w:sz w:val="20"/>
          <w:szCs w:val="20"/>
        </w:rPr>
        <w:t xml:space="preserve"> its business plan </w:t>
      </w:r>
      <w:r>
        <w:rPr>
          <w:rFonts w:ascii="Arial" w:hAnsi="Arial" w:cs="Arial"/>
          <w:sz w:val="20"/>
          <w:szCs w:val="20"/>
        </w:rPr>
        <w:t>and to</w:t>
      </w:r>
      <w:r w:rsidRPr="00C90A0A">
        <w:rPr>
          <w:rFonts w:ascii="Arial" w:hAnsi="Arial" w:cs="Arial"/>
          <w:sz w:val="20"/>
          <w:szCs w:val="20"/>
        </w:rPr>
        <w:t xml:space="preserve"> increase shareholder value where possible. Additionally, the Company may seek to acquire third</w:t>
      </w:r>
      <w:r w:rsidR="005F6D26">
        <w:rPr>
          <w:rFonts w:ascii="Arial" w:hAnsi="Arial" w:cs="Arial"/>
          <w:sz w:val="20"/>
          <w:szCs w:val="20"/>
        </w:rPr>
        <w:t>-</w:t>
      </w:r>
      <w:r w:rsidRPr="00C90A0A">
        <w:rPr>
          <w:rFonts w:ascii="Arial" w:hAnsi="Arial" w:cs="Arial"/>
          <w:sz w:val="20"/>
          <w:szCs w:val="20"/>
        </w:rPr>
        <w:t xml:space="preserve">party channel partners to increase its patient base, margin per patient, and to increase shareholder value through these operations and/or assets. </w:t>
      </w:r>
    </w:p>
    <w:p w14:paraId="27512D25" w14:textId="77777777" w:rsidR="00A976E9" w:rsidRDefault="00A976E9" w:rsidP="003F6F1A">
      <w:pPr>
        <w:spacing w:after="0"/>
        <w:jc w:val="both"/>
        <w:rPr>
          <w:rFonts w:ascii="Arial" w:hAnsi="Arial" w:cs="Arial"/>
          <w:sz w:val="20"/>
          <w:szCs w:val="20"/>
        </w:rPr>
      </w:pPr>
    </w:p>
    <w:p w14:paraId="703DA3E7" w14:textId="77777777" w:rsidR="00A976E9" w:rsidRDefault="00A976E9" w:rsidP="003F6F1A">
      <w:pPr>
        <w:spacing w:after="0"/>
        <w:jc w:val="both"/>
        <w:rPr>
          <w:rFonts w:ascii="Arial" w:hAnsi="Arial" w:cs="Arial"/>
          <w:sz w:val="20"/>
          <w:szCs w:val="20"/>
        </w:rPr>
      </w:pPr>
      <w:r>
        <w:rPr>
          <w:rFonts w:ascii="Arial" w:hAnsi="Arial" w:cs="Arial"/>
          <w:sz w:val="20"/>
          <w:szCs w:val="20"/>
        </w:rPr>
        <w:t>The Company is in active discussions to secure hemp bio-mass supply agreements from licensed producers in Oregon and Arizona with the objectives of locking in raw material supply agreements to support the new extraction facilities.</w:t>
      </w:r>
    </w:p>
    <w:p w14:paraId="07C5CF5B" w14:textId="5D00AC99" w:rsidR="00A976E9" w:rsidRDefault="00B05C79" w:rsidP="003F6F1A">
      <w:pPr>
        <w:spacing w:after="0"/>
        <w:jc w:val="both"/>
        <w:rPr>
          <w:rFonts w:ascii="Arial" w:hAnsi="Arial" w:cs="Arial"/>
          <w:sz w:val="20"/>
          <w:szCs w:val="20"/>
        </w:rPr>
      </w:pPr>
      <w:r>
        <w:rPr>
          <w:rFonts w:ascii="Arial" w:hAnsi="Arial" w:cs="Arial"/>
          <w:sz w:val="20"/>
          <w:szCs w:val="20"/>
        </w:rPr>
        <w:br/>
      </w:r>
      <w:r w:rsidR="00A976E9">
        <w:rPr>
          <w:rFonts w:ascii="Arial" w:hAnsi="Arial" w:cs="Arial"/>
          <w:sz w:val="20"/>
          <w:szCs w:val="20"/>
        </w:rPr>
        <w:t>In addition, the Company is in active discussion with various product brands, brokers and retail sales outlet to secure short and long</w:t>
      </w:r>
      <w:r w:rsidR="005F6D26">
        <w:rPr>
          <w:rFonts w:ascii="Arial" w:hAnsi="Arial" w:cs="Arial"/>
          <w:sz w:val="20"/>
          <w:szCs w:val="20"/>
        </w:rPr>
        <w:t>-</w:t>
      </w:r>
      <w:r w:rsidR="00A976E9">
        <w:rPr>
          <w:rFonts w:ascii="Arial" w:hAnsi="Arial" w:cs="Arial"/>
          <w:sz w:val="20"/>
          <w:szCs w:val="20"/>
        </w:rPr>
        <w:t>term sales contracts to support the revenue growth objectives for our hemp-derived CBD extract and CBD based products.</w:t>
      </w:r>
    </w:p>
    <w:p w14:paraId="7DEA3FAC" w14:textId="77777777" w:rsidR="00D242CC" w:rsidRDefault="00D242CC" w:rsidP="003F6F1A">
      <w:pPr>
        <w:spacing w:after="0"/>
        <w:jc w:val="both"/>
        <w:rPr>
          <w:rFonts w:ascii="Arial" w:hAnsi="Arial" w:cs="Arial"/>
          <w:sz w:val="20"/>
          <w:szCs w:val="20"/>
        </w:rPr>
      </w:pPr>
    </w:p>
    <w:p w14:paraId="4AB0820B" w14:textId="6E023EEF"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Currently, the market for both clinics and </w:t>
      </w:r>
      <w:r>
        <w:rPr>
          <w:rFonts w:ascii="Arial" w:hAnsi="Arial" w:cs="Arial"/>
          <w:sz w:val="20"/>
          <w:szCs w:val="20"/>
        </w:rPr>
        <w:t>CBD based</w:t>
      </w:r>
      <w:r w:rsidRPr="00C90A0A">
        <w:rPr>
          <w:rFonts w:ascii="Arial" w:hAnsi="Arial" w:cs="Arial"/>
          <w:sz w:val="20"/>
          <w:szCs w:val="20"/>
        </w:rPr>
        <w:t xml:space="preserve"> products in the United States remains highly fragmented with very few nationwide competitors. The Company seeks to take advantage of this by using its capital</w:t>
      </w:r>
      <w:r>
        <w:rPr>
          <w:rFonts w:ascii="Arial" w:hAnsi="Arial" w:cs="Arial"/>
          <w:sz w:val="20"/>
          <w:szCs w:val="20"/>
        </w:rPr>
        <w:t>-light</w:t>
      </w:r>
      <w:r w:rsidRPr="00C90A0A">
        <w:rPr>
          <w:rFonts w:ascii="Arial" w:hAnsi="Arial" w:cs="Arial"/>
          <w:sz w:val="20"/>
          <w:szCs w:val="20"/>
        </w:rPr>
        <w:t xml:space="preserve"> expenditure model </w:t>
      </w:r>
      <w:r>
        <w:rPr>
          <w:rFonts w:ascii="Arial" w:hAnsi="Arial" w:cs="Arial"/>
          <w:sz w:val="20"/>
          <w:szCs w:val="20"/>
        </w:rPr>
        <w:t>to open</w:t>
      </w:r>
      <w:r w:rsidRPr="00C90A0A">
        <w:rPr>
          <w:rFonts w:ascii="Arial" w:hAnsi="Arial" w:cs="Arial"/>
          <w:sz w:val="20"/>
          <w:szCs w:val="20"/>
        </w:rPr>
        <w:t xml:space="preserve"> </w:t>
      </w:r>
      <w:r>
        <w:rPr>
          <w:rFonts w:ascii="Arial" w:hAnsi="Arial" w:cs="Arial"/>
          <w:sz w:val="20"/>
          <w:szCs w:val="20"/>
        </w:rPr>
        <w:t xml:space="preserve">franchised </w:t>
      </w:r>
      <w:r w:rsidRPr="00C90A0A">
        <w:rPr>
          <w:rFonts w:ascii="Arial" w:hAnsi="Arial" w:cs="Arial"/>
          <w:sz w:val="20"/>
          <w:szCs w:val="20"/>
        </w:rPr>
        <w:t>clinics, to create highly valuable patient relationships</w:t>
      </w:r>
      <w:r>
        <w:rPr>
          <w:rFonts w:ascii="Arial" w:hAnsi="Arial" w:cs="Arial"/>
          <w:sz w:val="20"/>
          <w:szCs w:val="20"/>
        </w:rPr>
        <w:t xml:space="preserve"> in new markets, further develop a wide-array of CBD formulations and product lines for nationwide distribution and own and operate hemp-derived CBD extraction facilities with the first location secured in Sandy, Oregon</w:t>
      </w:r>
      <w:r w:rsidR="00FF4E29">
        <w:rPr>
          <w:rFonts w:ascii="Arial" w:hAnsi="Arial" w:cs="Arial"/>
          <w:sz w:val="20"/>
          <w:szCs w:val="20"/>
        </w:rPr>
        <w:t>,</w:t>
      </w:r>
      <w:r>
        <w:rPr>
          <w:rFonts w:ascii="Arial" w:hAnsi="Arial" w:cs="Arial"/>
          <w:sz w:val="20"/>
          <w:szCs w:val="20"/>
        </w:rPr>
        <w:t xml:space="preserve"> strategically located in the S.W. region of Portland, Oregon surrounded by over 200 hemp farms. </w:t>
      </w:r>
    </w:p>
    <w:p w14:paraId="5EDE07B4" w14:textId="77777777" w:rsidR="00D3689F" w:rsidRDefault="00D3689F" w:rsidP="003F6F1A">
      <w:pPr>
        <w:spacing w:after="0"/>
        <w:jc w:val="both"/>
        <w:rPr>
          <w:rFonts w:ascii="Arial" w:hAnsi="Arial" w:cs="Arial"/>
          <w:sz w:val="20"/>
          <w:szCs w:val="20"/>
        </w:rPr>
      </w:pPr>
    </w:p>
    <w:p w14:paraId="06DA5AC9" w14:textId="77777777" w:rsidR="00954E48" w:rsidRPr="00954E48" w:rsidRDefault="00954E48" w:rsidP="003F6F1A">
      <w:pPr>
        <w:pStyle w:val="NormalWeb"/>
        <w:pBdr>
          <w:bottom w:val="single" w:sz="12" w:space="1" w:color="auto"/>
        </w:pBdr>
        <w:spacing w:before="0" w:beforeAutospacing="0" w:after="0" w:afterAutospacing="0"/>
        <w:rPr>
          <w:rFonts w:ascii="Arial" w:hAnsi="Arial" w:cs="Arial"/>
          <w:b/>
          <w:sz w:val="20"/>
          <w:szCs w:val="20"/>
        </w:rPr>
      </w:pPr>
      <w:r w:rsidRPr="00954E48">
        <w:rPr>
          <w:rFonts w:ascii="Arial" w:hAnsi="Arial" w:cs="Arial"/>
          <w:b/>
          <w:sz w:val="20"/>
          <w:szCs w:val="20"/>
        </w:rPr>
        <w:t>REVIEW OF QUARTERLY RESULTS</w:t>
      </w:r>
    </w:p>
    <w:p w14:paraId="01D9950F" w14:textId="77777777" w:rsidR="009E0B8F" w:rsidRDefault="009E0B8F" w:rsidP="003F6F1A">
      <w:pPr>
        <w:spacing w:after="0"/>
        <w:jc w:val="both"/>
        <w:rPr>
          <w:rFonts w:ascii="Arial" w:hAnsi="Arial" w:cs="Arial"/>
          <w:sz w:val="20"/>
          <w:szCs w:val="20"/>
        </w:rPr>
      </w:pPr>
    </w:p>
    <w:p w14:paraId="1338113B" w14:textId="7C54F566" w:rsidR="00743A78" w:rsidRDefault="00743A78" w:rsidP="003F6F1A">
      <w:pPr>
        <w:spacing w:after="0"/>
        <w:jc w:val="both"/>
        <w:rPr>
          <w:rFonts w:ascii="Arial" w:hAnsi="Arial" w:cs="Arial"/>
          <w:sz w:val="20"/>
          <w:szCs w:val="20"/>
        </w:rPr>
      </w:pPr>
      <w:r w:rsidRPr="00743A78">
        <w:rPr>
          <w:rFonts w:ascii="Arial" w:hAnsi="Arial" w:cs="Arial"/>
          <w:sz w:val="20"/>
          <w:szCs w:val="20"/>
        </w:rPr>
        <w:t>Amounts presented in thousands except per share amounts</w:t>
      </w:r>
      <w:r w:rsidR="00F21869">
        <w:rPr>
          <w:rFonts w:ascii="Arial" w:hAnsi="Arial" w:cs="Arial"/>
          <w:sz w:val="20"/>
          <w:szCs w:val="20"/>
        </w:rPr>
        <w:t xml:space="preserve"> and patient visits</w:t>
      </w:r>
      <w:r w:rsidRPr="00743A78">
        <w:rPr>
          <w:rFonts w:ascii="Arial" w:hAnsi="Arial" w:cs="Arial"/>
          <w:sz w:val="20"/>
          <w:szCs w:val="20"/>
        </w:rPr>
        <w:t>:</w:t>
      </w:r>
    </w:p>
    <w:p w14:paraId="68F9C16D" w14:textId="77777777" w:rsidR="00372D83" w:rsidRPr="00743A78" w:rsidRDefault="00372D83" w:rsidP="003F6F1A">
      <w:pPr>
        <w:spacing w:after="0"/>
        <w:jc w:val="both"/>
        <w:rPr>
          <w:rFonts w:ascii="Arial" w:hAnsi="Arial" w:cs="Arial"/>
          <w:sz w:val="20"/>
          <w:szCs w:val="20"/>
        </w:rPr>
      </w:pPr>
    </w:p>
    <w:tbl>
      <w:tblPr>
        <w:tblW w:w="9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851"/>
        <w:gridCol w:w="709"/>
        <w:gridCol w:w="708"/>
        <w:gridCol w:w="709"/>
        <w:gridCol w:w="851"/>
        <w:gridCol w:w="708"/>
        <w:gridCol w:w="709"/>
        <w:gridCol w:w="851"/>
        <w:gridCol w:w="873"/>
      </w:tblGrid>
      <w:tr w:rsidR="00C034BD" w:rsidRPr="00DA4360" w14:paraId="72367B4F" w14:textId="77777777" w:rsidTr="00C034BD">
        <w:tc>
          <w:tcPr>
            <w:tcW w:w="2127" w:type="dxa"/>
            <w:shd w:val="clear" w:color="auto" w:fill="auto"/>
          </w:tcPr>
          <w:p w14:paraId="507E5DE5" w14:textId="77777777" w:rsidR="00C034BD" w:rsidRPr="00DA4360" w:rsidRDefault="00C034BD" w:rsidP="003F6F1A">
            <w:pPr>
              <w:spacing w:after="0" w:line="240" w:lineRule="auto"/>
              <w:rPr>
                <w:rFonts w:ascii="Arial" w:hAnsi="Arial" w:cs="Arial"/>
                <w:sz w:val="17"/>
                <w:szCs w:val="17"/>
                <w:lang w:val="en-CA"/>
              </w:rPr>
            </w:pPr>
            <w:bookmarkStart w:id="1" w:name="_Hlk9498167"/>
          </w:p>
        </w:tc>
        <w:tc>
          <w:tcPr>
            <w:tcW w:w="708" w:type="dxa"/>
            <w:shd w:val="clear" w:color="auto" w:fill="D0CECE"/>
            <w:vAlign w:val="bottom"/>
          </w:tcPr>
          <w:p w14:paraId="1AE4F83B" w14:textId="4642E6BD" w:rsidR="00C034BD" w:rsidRPr="00DA4360" w:rsidRDefault="00C034BD"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Q</w:t>
            </w:r>
            <w:r>
              <w:rPr>
                <w:rFonts w:ascii="Arial" w:hAnsi="Arial" w:cs="Arial"/>
                <w:b/>
                <w:sz w:val="17"/>
                <w:szCs w:val="17"/>
                <w:lang w:val="en-CA"/>
              </w:rPr>
              <w:t>3</w:t>
            </w:r>
            <w:r w:rsidRPr="00DA4360">
              <w:rPr>
                <w:rFonts w:ascii="Arial" w:hAnsi="Arial" w:cs="Arial"/>
                <w:b/>
                <w:sz w:val="17"/>
                <w:szCs w:val="17"/>
                <w:lang w:val="en-CA"/>
              </w:rPr>
              <w:t xml:space="preserve"> 2019</w:t>
            </w:r>
          </w:p>
        </w:tc>
        <w:tc>
          <w:tcPr>
            <w:tcW w:w="851" w:type="dxa"/>
            <w:shd w:val="clear" w:color="auto" w:fill="FFFFFF"/>
          </w:tcPr>
          <w:p w14:paraId="0478D56C" w14:textId="772FF036" w:rsidR="00C034BD" w:rsidRPr="00DA4360" w:rsidRDefault="00C034BD" w:rsidP="003F6F1A">
            <w:pPr>
              <w:spacing w:after="0" w:line="240" w:lineRule="auto"/>
              <w:jc w:val="right"/>
              <w:rPr>
                <w:rFonts w:ascii="Arial" w:hAnsi="Arial" w:cs="Arial"/>
                <w:b/>
                <w:sz w:val="17"/>
                <w:szCs w:val="17"/>
                <w:lang w:val="en-CA"/>
              </w:rPr>
            </w:pPr>
            <w:r>
              <w:rPr>
                <w:rFonts w:ascii="Arial" w:hAnsi="Arial" w:cs="Arial"/>
                <w:b/>
                <w:sz w:val="17"/>
                <w:szCs w:val="17"/>
                <w:lang w:val="en-CA"/>
              </w:rPr>
              <w:t>Q2 2019</w:t>
            </w:r>
          </w:p>
        </w:tc>
        <w:tc>
          <w:tcPr>
            <w:tcW w:w="709" w:type="dxa"/>
            <w:shd w:val="clear" w:color="auto" w:fill="FFFFFF"/>
            <w:vAlign w:val="bottom"/>
          </w:tcPr>
          <w:p w14:paraId="5D13A156" w14:textId="2A651F91"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Q1 2019</w:t>
            </w:r>
          </w:p>
        </w:tc>
        <w:tc>
          <w:tcPr>
            <w:tcW w:w="708" w:type="dxa"/>
            <w:shd w:val="clear" w:color="auto" w:fill="auto"/>
            <w:vAlign w:val="bottom"/>
          </w:tcPr>
          <w:p w14:paraId="55213908"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Q4 2018</w:t>
            </w:r>
          </w:p>
        </w:tc>
        <w:tc>
          <w:tcPr>
            <w:tcW w:w="709" w:type="dxa"/>
            <w:shd w:val="clear" w:color="auto" w:fill="auto"/>
            <w:vAlign w:val="bottom"/>
          </w:tcPr>
          <w:p w14:paraId="7695CB1C"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Q3 2018</w:t>
            </w:r>
          </w:p>
        </w:tc>
        <w:tc>
          <w:tcPr>
            <w:tcW w:w="851" w:type="dxa"/>
            <w:shd w:val="clear" w:color="auto" w:fill="auto"/>
            <w:vAlign w:val="bottom"/>
          </w:tcPr>
          <w:p w14:paraId="6B9DDDE4"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Q2 2018</w:t>
            </w:r>
          </w:p>
        </w:tc>
        <w:tc>
          <w:tcPr>
            <w:tcW w:w="708" w:type="dxa"/>
            <w:shd w:val="clear" w:color="auto" w:fill="auto"/>
            <w:vAlign w:val="bottom"/>
          </w:tcPr>
          <w:p w14:paraId="22566340"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Q1 2018</w:t>
            </w:r>
          </w:p>
        </w:tc>
        <w:tc>
          <w:tcPr>
            <w:tcW w:w="709" w:type="dxa"/>
            <w:shd w:val="clear" w:color="auto" w:fill="auto"/>
            <w:vAlign w:val="bottom"/>
          </w:tcPr>
          <w:p w14:paraId="672A459F"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Q4 2017</w:t>
            </w:r>
          </w:p>
        </w:tc>
        <w:tc>
          <w:tcPr>
            <w:tcW w:w="851" w:type="dxa"/>
            <w:shd w:val="clear" w:color="auto" w:fill="D0CECE"/>
            <w:vAlign w:val="bottom"/>
          </w:tcPr>
          <w:p w14:paraId="1A9BFC3B" w14:textId="77777777" w:rsidR="00C034BD" w:rsidRPr="00DA4360" w:rsidRDefault="00C034BD"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YTD</w:t>
            </w:r>
          </w:p>
          <w:p w14:paraId="6D281EC6" w14:textId="77777777" w:rsidR="00C034BD" w:rsidRPr="00DA4360" w:rsidRDefault="00C034BD"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2019</w:t>
            </w:r>
          </w:p>
        </w:tc>
        <w:tc>
          <w:tcPr>
            <w:tcW w:w="873" w:type="dxa"/>
            <w:shd w:val="clear" w:color="auto" w:fill="auto"/>
            <w:vAlign w:val="bottom"/>
          </w:tcPr>
          <w:p w14:paraId="37318CBD" w14:textId="77777777" w:rsidR="00C034BD" w:rsidRPr="00DA4360" w:rsidRDefault="00C034BD">
            <w:pPr>
              <w:spacing w:after="0" w:line="240" w:lineRule="auto"/>
              <w:jc w:val="right"/>
              <w:rPr>
                <w:rFonts w:ascii="Arial" w:hAnsi="Arial" w:cs="Arial"/>
                <w:sz w:val="17"/>
                <w:szCs w:val="17"/>
                <w:lang w:val="en-CA"/>
              </w:rPr>
            </w:pPr>
            <w:r w:rsidRPr="00DA4360">
              <w:rPr>
                <w:rFonts w:ascii="Arial" w:hAnsi="Arial" w:cs="Arial"/>
                <w:sz w:val="17"/>
                <w:szCs w:val="17"/>
                <w:lang w:val="en-CA"/>
              </w:rPr>
              <w:t>YTD</w:t>
            </w:r>
          </w:p>
          <w:p w14:paraId="02F0FD6A" w14:textId="77777777" w:rsidR="00C034BD" w:rsidRPr="00DA4360" w:rsidRDefault="00C034BD">
            <w:pPr>
              <w:spacing w:after="0" w:line="240" w:lineRule="auto"/>
              <w:jc w:val="right"/>
              <w:rPr>
                <w:rFonts w:ascii="Arial" w:hAnsi="Arial" w:cs="Arial"/>
                <w:sz w:val="17"/>
                <w:szCs w:val="17"/>
                <w:lang w:val="en-CA"/>
              </w:rPr>
            </w:pPr>
            <w:r w:rsidRPr="00DA4360">
              <w:rPr>
                <w:rFonts w:ascii="Arial" w:hAnsi="Arial" w:cs="Arial"/>
                <w:sz w:val="17"/>
                <w:szCs w:val="17"/>
                <w:lang w:val="en-CA"/>
              </w:rPr>
              <w:t>2018</w:t>
            </w:r>
          </w:p>
        </w:tc>
      </w:tr>
      <w:tr w:rsidR="00C034BD" w:rsidRPr="00DA4360" w14:paraId="1B69A66E" w14:textId="77777777" w:rsidTr="00C034BD">
        <w:tc>
          <w:tcPr>
            <w:tcW w:w="2127" w:type="dxa"/>
            <w:shd w:val="clear" w:color="auto" w:fill="auto"/>
          </w:tcPr>
          <w:p w14:paraId="2F25818F" w14:textId="77777777" w:rsidR="00C034BD" w:rsidRPr="00DA4360" w:rsidRDefault="00C034BD" w:rsidP="003F6F1A">
            <w:pPr>
              <w:spacing w:after="0" w:line="240" w:lineRule="auto"/>
              <w:rPr>
                <w:rFonts w:ascii="Arial" w:hAnsi="Arial" w:cs="Arial"/>
                <w:b/>
                <w:sz w:val="17"/>
                <w:szCs w:val="17"/>
                <w:lang w:val="en-CA"/>
              </w:rPr>
            </w:pPr>
            <w:r w:rsidRPr="00DA4360">
              <w:rPr>
                <w:rFonts w:ascii="Arial" w:hAnsi="Arial" w:cs="Arial"/>
                <w:b/>
                <w:sz w:val="17"/>
                <w:szCs w:val="17"/>
                <w:lang w:val="en-CA"/>
              </w:rPr>
              <w:t>FINANCIAL RESULTS:</w:t>
            </w:r>
          </w:p>
        </w:tc>
        <w:tc>
          <w:tcPr>
            <w:tcW w:w="708" w:type="dxa"/>
            <w:shd w:val="clear" w:color="auto" w:fill="D0CECE"/>
            <w:vAlign w:val="bottom"/>
          </w:tcPr>
          <w:p w14:paraId="4CE81F18"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FFFFFF"/>
          </w:tcPr>
          <w:p w14:paraId="5F9AA293"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FFFFFF"/>
            <w:vAlign w:val="bottom"/>
          </w:tcPr>
          <w:p w14:paraId="7FFDB4E1" w14:textId="2AA0383F"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431121C9"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0349F437"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auto"/>
            <w:vAlign w:val="bottom"/>
          </w:tcPr>
          <w:p w14:paraId="472A8D70" w14:textId="77777777"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4680E904"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5A781B70"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D0CECE"/>
            <w:vAlign w:val="bottom"/>
          </w:tcPr>
          <w:p w14:paraId="36915E2B" w14:textId="77777777" w:rsidR="00C034BD" w:rsidRPr="00DA4360" w:rsidRDefault="00C034BD" w:rsidP="000E01AB">
            <w:pPr>
              <w:spacing w:after="0" w:line="240" w:lineRule="auto"/>
              <w:jc w:val="right"/>
              <w:rPr>
                <w:rFonts w:ascii="Arial" w:hAnsi="Arial" w:cs="Arial"/>
                <w:sz w:val="17"/>
                <w:szCs w:val="17"/>
                <w:lang w:val="en-CA"/>
              </w:rPr>
            </w:pPr>
          </w:p>
        </w:tc>
        <w:tc>
          <w:tcPr>
            <w:tcW w:w="873" w:type="dxa"/>
            <w:shd w:val="clear" w:color="auto" w:fill="auto"/>
            <w:vAlign w:val="bottom"/>
          </w:tcPr>
          <w:p w14:paraId="01D67596" w14:textId="77777777" w:rsidR="00C034BD" w:rsidRPr="00DA4360" w:rsidRDefault="00C034BD" w:rsidP="000E01AB">
            <w:pPr>
              <w:spacing w:after="0" w:line="240" w:lineRule="auto"/>
              <w:jc w:val="right"/>
              <w:rPr>
                <w:rFonts w:ascii="Arial" w:hAnsi="Arial" w:cs="Arial"/>
                <w:sz w:val="17"/>
                <w:szCs w:val="17"/>
                <w:lang w:val="en-CA"/>
              </w:rPr>
            </w:pPr>
          </w:p>
        </w:tc>
      </w:tr>
      <w:tr w:rsidR="00C034BD" w:rsidRPr="00DA4360" w14:paraId="045A4A7F" w14:textId="77777777" w:rsidTr="00C034BD">
        <w:tc>
          <w:tcPr>
            <w:tcW w:w="2127" w:type="dxa"/>
            <w:shd w:val="clear" w:color="auto" w:fill="auto"/>
          </w:tcPr>
          <w:p w14:paraId="3F228083"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Net revenues</w:t>
            </w:r>
          </w:p>
        </w:tc>
        <w:tc>
          <w:tcPr>
            <w:tcW w:w="708" w:type="dxa"/>
            <w:shd w:val="clear" w:color="auto" w:fill="D0CECE"/>
            <w:vAlign w:val="bottom"/>
          </w:tcPr>
          <w:p w14:paraId="29A8F510" w14:textId="0AC18520" w:rsidR="00C034BD" w:rsidRPr="00DA4360" w:rsidRDefault="00EC5AB8" w:rsidP="003F6F1A">
            <w:pPr>
              <w:spacing w:after="0" w:line="240" w:lineRule="auto"/>
              <w:jc w:val="right"/>
              <w:rPr>
                <w:rFonts w:ascii="Arial" w:hAnsi="Arial" w:cs="Arial"/>
                <w:b/>
                <w:sz w:val="17"/>
                <w:szCs w:val="17"/>
                <w:lang w:val="en-CA"/>
              </w:rPr>
            </w:pPr>
            <w:r>
              <w:rPr>
                <w:rFonts w:ascii="Arial" w:hAnsi="Arial" w:cs="Arial"/>
                <w:b/>
                <w:sz w:val="17"/>
                <w:szCs w:val="17"/>
                <w:lang w:val="en-CA"/>
              </w:rPr>
              <w:t>663</w:t>
            </w:r>
          </w:p>
        </w:tc>
        <w:tc>
          <w:tcPr>
            <w:tcW w:w="851" w:type="dxa"/>
            <w:shd w:val="clear" w:color="auto" w:fill="FFFFFF"/>
            <w:vAlign w:val="bottom"/>
          </w:tcPr>
          <w:p w14:paraId="3E9ACF22" w14:textId="7BC8E7CA"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591</w:t>
            </w:r>
          </w:p>
        </w:tc>
        <w:tc>
          <w:tcPr>
            <w:tcW w:w="709" w:type="dxa"/>
            <w:shd w:val="clear" w:color="auto" w:fill="FFFFFF"/>
            <w:vAlign w:val="bottom"/>
          </w:tcPr>
          <w:p w14:paraId="51CE27A0" w14:textId="4A5BCB80"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153</w:t>
            </w:r>
          </w:p>
        </w:tc>
        <w:tc>
          <w:tcPr>
            <w:tcW w:w="708" w:type="dxa"/>
            <w:shd w:val="clear" w:color="auto" w:fill="auto"/>
            <w:vAlign w:val="bottom"/>
          </w:tcPr>
          <w:p w14:paraId="6CD30388"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197</w:t>
            </w:r>
          </w:p>
        </w:tc>
        <w:tc>
          <w:tcPr>
            <w:tcW w:w="709" w:type="dxa"/>
            <w:shd w:val="clear" w:color="auto" w:fill="auto"/>
            <w:vAlign w:val="bottom"/>
          </w:tcPr>
          <w:p w14:paraId="763B7383"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280</w:t>
            </w:r>
          </w:p>
        </w:tc>
        <w:tc>
          <w:tcPr>
            <w:tcW w:w="851" w:type="dxa"/>
            <w:shd w:val="clear" w:color="auto" w:fill="auto"/>
            <w:vAlign w:val="bottom"/>
          </w:tcPr>
          <w:p w14:paraId="61CB5336"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312</w:t>
            </w:r>
          </w:p>
        </w:tc>
        <w:tc>
          <w:tcPr>
            <w:tcW w:w="708" w:type="dxa"/>
            <w:shd w:val="clear" w:color="auto" w:fill="auto"/>
            <w:vAlign w:val="bottom"/>
          </w:tcPr>
          <w:p w14:paraId="50442ABD"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302</w:t>
            </w:r>
          </w:p>
        </w:tc>
        <w:tc>
          <w:tcPr>
            <w:tcW w:w="709" w:type="dxa"/>
            <w:shd w:val="clear" w:color="auto" w:fill="auto"/>
            <w:vAlign w:val="bottom"/>
          </w:tcPr>
          <w:p w14:paraId="6228729E"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291</w:t>
            </w:r>
          </w:p>
        </w:tc>
        <w:tc>
          <w:tcPr>
            <w:tcW w:w="851" w:type="dxa"/>
            <w:shd w:val="clear" w:color="auto" w:fill="D0CECE"/>
            <w:vAlign w:val="bottom"/>
          </w:tcPr>
          <w:p w14:paraId="63C88F5C" w14:textId="1C7DF6EE" w:rsidR="00C034BD" w:rsidRPr="00DA4360" w:rsidRDefault="00EC5AB8" w:rsidP="000E01AB">
            <w:pPr>
              <w:spacing w:after="0" w:line="240" w:lineRule="auto"/>
              <w:jc w:val="right"/>
              <w:rPr>
                <w:rFonts w:ascii="Arial" w:hAnsi="Arial" w:cs="Arial"/>
                <w:b/>
                <w:sz w:val="17"/>
                <w:szCs w:val="17"/>
                <w:lang w:val="en-CA"/>
              </w:rPr>
            </w:pPr>
            <w:r>
              <w:rPr>
                <w:rFonts w:ascii="Arial" w:hAnsi="Arial" w:cs="Arial"/>
                <w:b/>
                <w:sz w:val="17"/>
                <w:szCs w:val="17"/>
                <w:lang w:val="en-CA"/>
              </w:rPr>
              <w:t>1,407</w:t>
            </w:r>
          </w:p>
        </w:tc>
        <w:tc>
          <w:tcPr>
            <w:tcW w:w="873" w:type="dxa"/>
            <w:shd w:val="clear" w:color="auto" w:fill="auto"/>
            <w:vAlign w:val="bottom"/>
          </w:tcPr>
          <w:p w14:paraId="20309F41" w14:textId="4E10328F" w:rsidR="00C034BD" w:rsidRPr="00DA4360" w:rsidRDefault="00EC5AB8" w:rsidP="000E01AB">
            <w:pPr>
              <w:spacing w:after="0" w:line="240" w:lineRule="auto"/>
              <w:jc w:val="right"/>
              <w:rPr>
                <w:rFonts w:ascii="Arial" w:hAnsi="Arial" w:cs="Arial"/>
                <w:sz w:val="17"/>
                <w:szCs w:val="17"/>
                <w:lang w:val="en-CA"/>
              </w:rPr>
            </w:pPr>
            <w:r>
              <w:rPr>
                <w:rFonts w:ascii="Arial" w:hAnsi="Arial" w:cs="Arial"/>
                <w:sz w:val="17"/>
                <w:szCs w:val="17"/>
                <w:lang w:val="en-CA"/>
              </w:rPr>
              <w:t>894</w:t>
            </w:r>
          </w:p>
        </w:tc>
      </w:tr>
      <w:tr w:rsidR="00C034BD" w:rsidRPr="00DA4360" w14:paraId="323CA47E" w14:textId="77777777" w:rsidTr="00C034BD">
        <w:tc>
          <w:tcPr>
            <w:tcW w:w="2127" w:type="dxa"/>
            <w:shd w:val="clear" w:color="auto" w:fill="auto"/>
          </w:tcPr>
          <w:p w14:paraId="16E8A15D"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Income (loss)</w:t>
            </w:r>
          </w:p>
        </w:tc>
        <w:tc>
          <w:tcPr>
            <w:tcW w:w="708" w:type="dxa"/>
            <w:shd w:val="clear" w:color="auto" w:fill="D0CECE"/>
            <w:vAlign w:val="bottom"/>
          </w:tcPr>
          <w:p w14:paraId="75831B3D" w14:textId="1FA6E6AF" w:rsidR="00C034BD" w:rsidRPr="00DA4360" w:rsidRDefault="00EC5AB8" w:rsidP="003F6F1A">
            <w:pPr>
              <w:spacing w:after="0" w:line="240" w:lineRule="auto"/>
              <w:jc w:val="right"/>
              <w:rPr>
                <w:rFonts w:ascii="Arial" w:hAnsi="Arial" w:cs="Arial"/>
                <w:b/>
                <w:sz w:val="17"/>
                <w:szCs w:val="17"/>
                <w:lang w:val="en-CA"/>
              </w:rPr>
            </w:pPr>
            <w:r>
              <w:rPr>
                <w:rFonts w:ascii="Arial" w:hAnsi="Arial" w:cs="Arial"/>
                <w:b/>
                <w:sz w:val="17"/>
                <w:szCs w:val="17"/>
                <w:lang w:val="en-CA"/>
              </w:rPr>
              <w:t>(505)</w:t>
            </w:r>
          </w:p>
        </w:tc>
        <w:tc>
          <w:tcPr>
            <w:tcW w:w="851" w:type="dxa"/>
            <w:shd w:val="clear" w:color="auto" w:fill="FFFFFF"/>
            <w:vAlign w:val="bottom"/>
          </w:tcPr>
          <w:p w14:paraId="7C0A4FCF" w14:textId="4A715844"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(1,457)</w:t>
            </w:r>
          </w:p>
        </w:tc>
        <w:tc>
          <w:tcPr>
            <w:tcW w:w="709" w:type="dxa"/>
            <w:shd w:val="clear" w:color="auto" w:fill="FFFFFF"/>
            <w:vAlign w:val="bottom"/>
          </w:tcPr>
          <w:p w14:paraId="41B8E4AD" w14:textId="540918D4"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(399)</w:t>
            </w:r>
          </w:p>
        </w:tc>
        <w:tc>
          <w:tcPr>
            <w:tcW w:w="708" w:type="dxa"/>
            <w:shd w:val="clear" w:color="auto" w:fill="auto"/>
            <w:vAlign w:val="bottom"/>
          </w:tcPr>
          <w:p w14:paraId="6D29A1E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1,343</w:t>
            </w:r>
          </w:p>
        </w:tc>
        <w:tc>
          <w:tcPr>
            <w:tcW w:w="709" w:type="dxa"/>
            <w:shd w:val="clear" w:color="auto" w:fill="auto"/>
            <w:vAlign w:val="bottom"/>
          </w:tcPr>
          <w:p w14:paraId="7134173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(379)</w:t>
            </w:r>
          </w:p>
        </w:tc>
        <w:tc>
          <w:tcPr>
            <w:tcW w:w="851" w:type="dxa"/>
            <w:shd w:val="clear" w:color="auto" w:fill="auto"/>
            <w:vAlign w:val="bottom"/>
          </w:tcPr>
          <w:p w14:paraId="766AA6B6"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(3,915)</w:t>
            </w:r>
          </w:p>
        </w:tc>
        <w:tc>
          <w:tcPr>
            <w:tcW w:w="708" w:type="dxa"/>
            <w:shd w:val="clear" w:color="auto" w:fill="auto"/>
            <w:vAlign w:val="bottom"/>
          </w:tcPr>
          <w:p w14:paraId="748A945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(839)</w:t>
            </w:r>
          </w:p>
        </w:tc>
        <w:tc>
          <w:tcPr>
            <w:tcW w:w="709" w:type="dxa"/>
            <w:shd w:val="clear" w:color="auto" w:fill="auto"/>
            <w:vAlign w:val="bottom"/>
          </w:tcPr>
          <w:p w14:paraId="0368DF8A"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(815)</w:t>
            </w:r>
          </w:p>
        </w:tc>
        <w:tc>
          <w:tcPr>
            <w:tcW w:w="851" w:type="dxa"/>
            <w:shd w:val="clear" w:color="auto" w:fill="D0CECE"/>
            <w:vAlign w:val="bottom"/>
          </w:tcPr>
          <w:p w14:paraId="66A17AF6" w14:textId="07534840" w:rsidR="00C034BD" w:rsidRPr="00DA4360" w:rsidRDefault="00C034BD"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w:t>
            </w:r>
            <w:r w:rsidR="00EC5AB8">
              <w:rPr>
                <w:rFonts w:ascii="Arial" w:hAnsi="Arial" w:cs="Arial"/>
                <w:b/>
                <w:sz w:val="17"/>
                <w:szCs w:val="17"/>
                <w:lang w:val="en-CA"/>
              </w:rPr>
              <w:t>2,360</w:t>
            </w:r>
            <w:r w:rsidRPr="00DA4360">
              <w:rPr>
                <w:rFonts w:ascii="Arial" w:hAnsi="Arial" w:cs="Arial"/>
                <w:b/>
                <w:sz w:val="17"/>
                <w:szCs w:val="17"/>
                <w:lang w:val="en-CA"/>
              </w:rPr>
              <w:t>)</w:t>
            </w:r>
          </w:p>
        </w:tc>
        <w:tc>
          <w:tcPr>
            <w:tcW w:w="873" w:type="dxa"/>
            <w:shd w:val="clear" w:color="auto" w:fill="auto"/>
            <w:vAlign w:val="bottom"/>
          </w:tcPr>
          <w:p w14:paraId="5BF71DBC" w14:textId="29E2D92E" w:rsidR="00C034BD" w:rsidRPr="00DA4360" w:rsidRDefault="00C034BD"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w:t>
            </w:r>
            <w:r w:rsidR="00EC5AB8">
              <w:rPr>
                <w:rFonts w:ascii="Arial" w:hAnsi="Arial" w:cs="Arial"/>
                <w:sz w:val="17"/>
                <w:szCs w:val="17"/>
                <w:lang w:val="en-CA"/>
              </w:rPr>
              <w:t>5,133</w:t>
            </w:r>
            <w:r w:rsidRPr="00DA4360">
              <w:rPr>
                <w:rFonts w:ascii="Arial" w:hAnsi="Arial" w:cs="Arial"/>
                <w:sz w:val="17"/>
                <w:szCs w:val="17"/>
                <w:lang w:val="en-CA"/>
              </w:rPr>
              <w:t>)</w:t>
            </w:r>
          </w:p>
        </w:tc>
      </w:tr>
      <w:tr w:rsidR="00C034BD" w:rsidRPr="00DA4360" w14:paraId="6AA4BFB4" w14:textId="77777777" w:rsidTr="00C034BD">
        <w:tc>
          <w:tcPr>
            <w:tcW w:w="2127" w:type="dxa"/>
            <w:shd w:val="clear" w:color="auto" w:fill="auto"/>
          </w:tcPr>
          <w:p w14:paraId="5B7F3E87"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Income (loss) per share:</w:t>
            </w:r>
          </w:p>
        </w:tc>
        <w:tc>
          <w:tcPr>
            <w:tcW w:w="708" w:type="dxa"/>
            <w:shd w:val="clear" w:color="auto" w:fill="D0CECE"/>
            <w:vAlign w:val="bottom"/>
          </w:tcPr>
          <w:p w14:paraId="3B8EA932" w14:textId="77777777" w:rsidR="00C034BD" w:rsidRPr="00DA4360" w:rsidRDefault="00C034BD" w:rsidP="003F6F1A">
            <w:pPr>
              <w:spacing w:after="0" w:line="240" w:lineRule="auto"/>
              <w:jc w:val="right"/>
              <w:rPr>
                <w:rFonts w:ascii="Arial" w:hAnsi="Arial" w:cs="Arial"/>
                <w:b/>
                <w:sz w:val="17"/>
                <w:szCs w:val="17"/>
                <w:lang w:val="en-CA"/>
              </w:rPr>
            </w:pPr>
          </w:p>
        </w:tc>
        <w:tc>
          <w:tcPr>
            <w:tcW w:w="851" w:type="dxa"/>
            <w:shd w:val="clear" w:color="auto" w:fill="FFFFFF"/>
            <w:vAlign w:val="bottom"/>
          </w:tcPr>
          <w:p w14:paraId="729C8C19" w14:textId="77777777" w:rsidR="00C034BD" w:rsidRPr="00DA4360" w:rsidRDefault="00C034BD" w:rsidP="00C034BD">
            <w:pPr>
              <w:spacing w:after="0" w:line="240" w:lineRule="auto"/>
              <w:jc w:val="right"/>
              <w:rPr>
                <w:rFonts w:ascii="Arial" w:hAnsi="Arial" w:cs="Arial"/>
                <w:sz w:val="17"/>
                <w:szCs w:val="17"/>
                <w:lang w:val="en-CA"/>
              </w:rPr>
            </w:pPr>
          </w:p>
        </w:tc>
        <w:tc>
          <w:tcPr>
            <w:tcW w:w="709" w:type="dxa"/>
            <w:shd w:val="clear" w:color="auto" w:fill="FFFFFF"/>
            <w:vAlign w:val="bottom"/>
          </w:tcPr>
          <w:p w14:paraId="6AFDA912" w14:textId="32A4AD63"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204C0370"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1F2CA8BF"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auto"/>
            <w:vAlign w:val="bottom"/>
          </w:tcPr>
          <w:p w14:paraId="0F525EB0" w14:textId="77777777"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66073B5C"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3E7D25D1"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D0CECE"/>
            <w:vAlign w:val="bottom"/>
          </w:tcPr>
          <w:p w14:paraId="194A4FF2" w14:textId="77777777" w:rsidR="00C034BD" w:rsidRPr="00DA4360" w:rsidRDefault="00C034BD" w:rsidP="000E01AB">
            <w:pPr>
              <w:spacing w:after="0" w:line="240" w:lineRule="auto"/>
              <w:jc w:val="right"/>
              <w:rPr>
                <w:rFonts w:ascii="Arial" w:hAnsi="Arial" w:cs="Arial"/>
                <w:b/>
                <w:sz w:val="17"/>
                <w:szCs w:val="17"/>
                <w:lang w:val="en-CA"/>
              </w:rPr>
            </w:pPr>
          </w:p>
        </w:tc>
        <w:tc>
          <w:tcPr>
            <w:tcW w:w="873" w:type="dxa"/>
            <w:shd w:val="clear" w:color="auto" w:fill="auto"/>
            <w:vAlign w:val="bottom"/>
          </w:tcPr>
          <w:p w14:paraId="52E9B3D4" w14:textId="77777777" w:rsidR="00C034BD" w:rsidRPr="00DA4360" w:rsidRDefault="00C034BD" w:rsidP="000E01AB">
            <w:pPr>
              <w:spacing w:after="0" w:line="240" w:lineRule="auto"/>
              <w:jc w:val="right"/>
              <w:rPr>
                <w:rFonts w:ascii="Arial" w:hAnsi="Arial" w:cs="Arial"/>
                <w:sz w:val="17"/>
                <w:szCs w:val="17"/>
                <w:lang w:val="en-CA"/>
              </w:rPr>
            </w:pPr>
          </w:p>
        </w:tc>
      </w:tr>
      <w:tr w:rsidR="00C034BD" w:rsidRPr="00DA4360" w14:paraId="0D647661" w14:textId="77777777" w:rsidTr="00C034BD">
        <w:tc>
          <w:tcPr>
            <w:tcW w:w="2127" w:type="dxa"/>
            <w:shd w:val="clear" w:color="auto" w:fill="auto"/>
          </w:tcPr>
          <w:p w14:paraId="4D5B479D"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 xml:space="preserve">   Basic</w:t>
            </w:r>
          </w:p>
        </w:tc>
        <w:tc>
          <w:tcPr>
            <w:tcW w:w="708" w:type="dxa"/>
            <w:shd w:val="clear" w:color="auto" w:fill="D0CECE"/>
            <w:vAlign w:val="bottom"/>
          </w:tcPr>
          <w:p w14:paraId="41D7291A" w14:textId="58A9292C" w:rsidR="00C034BD" w:rsidRPr="00DA4360" w:rsidRDefault="00EC5AB8" w:rsidP="003F6F1A">
            <w:pPr>
              <w:spacing w:after="0" w:line="240" w:lineRule="auto"/>
              <w:jc w:val="right"/>
              <w:rPr>
                <w:rFonts w:ascii="Arial" w:hAnsi="Arial" w:cs="Arial"/>
                <w:b/>
                <w:sz w:val="17"/>
                <w:szCs w:val="17"/>
                <w:lang w:val="en-CA"/>
              </w:rPr>
            </w:pPr>
            <w:r>
              <w:rPr>
                <w:rFonts w:ascii="Arial" w:hAnsi="Arial" w:cs="Arial"/>
                <w:b/>
                <w:sz w:val="17"/>
                <w:szCs w:val="17"/>
                <w:lang w:val="en-CA"/>
              </w:rPr>
              <w:t>(0.00)</w:t>
            </w:r>
          </w:p>
        </w:tc>
        <w:tc>
          <w:tcPr>
            <w:tcW w:w="851" w:type="dxa"/>
            <w:shd w:val="clear" w:color="auto" w:fill="FFFFFF"/>
            <w:vAlign w:val="bottom"/>
          </w:tcPr>
          <w:p w14:paraId="6F883FF4" w14:textId="6199C840"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(0.01)</w:t>
            </w:r>
          </w:p>
        </w:tc>
        <w:tc>
          <w:tcPr>
            <w:tcW w:w="709" w:type="dxa"/>
            <w:shd w:val="clear" w:color="auto" w:fill="FFFFFF"/>
            <w:vAlign w:val="bottom"/>
          </w:tcPr>
          <w:p w14:paraId="7650A6D4" w14:textId="7AB792D0"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(0.01)</w:t>
            </w:r>
          </w:p>
        </w:tc>
        <w:tc>
          <w:tcPr>
            <w:tcW w:w="708" w:type="dxa"/>
            <w:shd w:val="clear" w:color="auto" w:fill="auto"/>
            <w:vAlign w:val="bottom"/>
          </w:tcPr>
          <w:p w14:paraId="0F1D11CC"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0.01</w:t>
            </w:r>
          </w:p>
        </w:tc>
        <w:tc>
          <w:tcPr>
            <w:tcW w:w="709" w:type="dxa"/>
            <w:shd w:val="clear" w:color="auto" w:fill="auto"/>
            <w:vAlign w:val="bottom"/>
          </w:tcPr>
          <w:p w14:paraId="69407F78"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(0.00)</w:t>
            </w:r>
          </w:p>
        </w:tc>
        <w:tc>
          <w:tcPr>
            <w:tcW w:w="851" w:type="dxa"/>
            <w:shd w:val="clear" w:color="auto" w:fill="auto"/>
            <w:vAlign w:val="bottom"/>
          </w:tcPr>
          <w:p w14:paraId="6A671FEB"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(0.06)</w:t>
            </w:r>
          </w:p>
        </w:tc>
        <w:tc>
          <w:tcPr>
            <w:tcW w:w="708" w:type="dxa"/>
            <w:shd w:val="clear" w:color="auto" w:fill="auto"/>
            <w:vAlign w:val="bottom"/>
          </w:tcPr>
          <w:p w14:paraId="114067D8"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709" w:type="dxa"/>
            <w:shd w:val="clear" w:color="auto" w:fill="auto"/>
            <w:vAlign w:val="bottom"/>
          </w:tcPr>
          <w:p w14:paraId="6EDC8B67"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851" w:type="dxa"/>
            <w:shd w:val="clear" w:color="auto" w:fill="D0CECE"/>
            <w:vAlign w:val="bottom"/>
          </w:tcPr>
          <w:p w14:paraId="3ED525DB" w14:textId="77777777" w:rsidR="00C034BD" w:rsidRPr="00DA4360" w:rsidRDefault="00C034BD"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(0.02)</w:t>
            </w:r>
          </w:p>
        </w:tc>
        <w:tc>
          <w:tcPr>
            <w:tcW w:w="873" w:type="dxa"/>
            <w:shd w:val="clear" w:color="auto" w:fill="auto"/>
            <w:vAlign w:val="bottom"/>
          </w:tcPr>
          <w:p w14:paraId="121A1356" w14:textId="34B527A9" w:rsidR="00C034BD" w:rsidRPr="00DA4360" w:rsidRDefault="00C034BD"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EC5AB8">
              <w:rPr>
                <w:rFonts w:ascii="Arial" w:hAnsi="Arial" w:cs="Arial"/>
                <w:sz w:val="17"/>
                <w:szCs w:val="17"/>
                <w:lang w:val="en-CA"/>
              </w:rPr>
              <w:t>9</w:t>
            </w:r>
            <w:r w:rsidRPr="00DA4360">
              <w:rPr>
                <w:rFonts w:ascii="Arial" w:hAnsi="Arial" w:cs="Arial"/>
                <w:sz w:val="17"/>
                <w:szCs w:val="17"/>
                <w:lang w:val="en-CA"/>
              </w:rPr>
              <w:t>)</w:t>
            </w:r>
          </w:p>
        </w:tc>
      </w:tr>
      <w:tr w:rsidR="00C034BD" w:rsidRPr="00DA4360" w14:paraId="08958A52" w14:textId="77777777" w:rsidTr="00C034BD">
        <w:tc>
          <w:tcPr>
            <w:tcW w:w="2127" w:type="dxa"/>
            <w:shd w:val="clear" w:color="auto" w:fill="auto"/>
          </w:tcPr>
          <w:p w14:paraId="621E1A30"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 xml:space="preserve">   Diluted</w:t>
            </w:r>
          </w:p>
        </w:tc>
        <w:tc>
          <w:tcPr>
            <w:tcW w:w="708" w:type="dxa"/>
            <w:shd w:val="clear" w:color="auto" w:fill="D0CECE"/>
            <w:vAlign w:val="bottom"/>
          </w:tcPr>
          <w:p w14:paraId="37DF910F" w14:textId="604BEB13" w:rsidR="00C034BD" w:rsidRPr="00DA4360" w:rsidRDefault="00EC5AB8" w:rsidP="003F6F1A">
            <w:pPr>
              <w:spacing w:after="0" w:line="240" w:lineRule="auto"/>
              <w:jc w:val="right"/>
              <w:rPr>
                <w:rFonts w:ascii="Arial" w:hAnsi="Arial" w:cs="Arial"/>
                <w:b/>
                <w:sz w:val="17"/>
                <w:szCs w:val="17"/>
                <w:lang w:val="en-CA"/>
              </w:rPr>
            </w:pPr>
            <w:r>
              <w:rPr>
                <w:rFonts w:ascii="Arial" w:hAnsi="Arial" w:cs="Arial"/>
                <w:b/>
                <w:sz w:val="17"/>
                <w:szCs w:val="17"/>
                <w:lang w:val="en-CA"/>
              </w:rPr>
              <w:t>(0.00)</w:t>
            </w:r>
          </w:p>
        </w:tc>
        <w:tc>
          <w:tcPr>
            <w:tcW w:w="851" w:type="dxa"/>
            <w:shd w:val="clear" w:color="auto" w:fill="FFFFFF"/>
            <w:vAlign w:val="bottom"/>
          </w:tcPr>
          <w:p w14:paraId="7E1F98D6" w14:textId="6594D29D"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(0.01)</w:t>
            </w:r>
          </w:p>
        </w:tc>
        <w:tc>
          <w:tcPr>
            <w:tcW w:w="709" w:type="dxa"/>
            <w:shd w:val="clear" w:color="auto" w:fill="FFFFFF"/>
            <w:vAlign w:val="bottom"/>
          </w:tcPr>
          <w:p w14:paraId="16CCBC53" w14:textId="590A605C"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(0.01)</w:t>
            </w:r>
          </w:p>
        </w:tc>
        <w:tc>
          <w:tcPr>
            <w:tcW w:w="708" w:type="dxa"/>
            <w:shd w:val="clear" w:color="auto" w:fill="auto"/>
            <w:vAlign w:val="bottom"/>
          </w:tcPr>
          <w:p w14:paraId="476187C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0.01</w:t>
            </w:r>
          </w:p>
        </w:tc>
        <w:tc>
          <w:tcPr>
            <w:tcW w:w="709" w:type="dxa"/>
            <w:shd w:val="clear" w:color="auto" w:fill="auto"/>
            <w:vAlign w:val="bottom"/>
          </w:tcPr>
          <w:p w14:paraId="03A1DB85"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(0.00)</w:t>
            </w:r>
          </w:p>
        </w:tc>
        <w:tc>
          <w:tcPr>
            <w:tcW w:w="851" w:type="dxa"/>
            <w:shd w:val="clear" w:color="auto" w:fill="auto"/>
            <w:vAlign w:val="bottom"/>
          </w:tcPr>
          <w:p w14:paraId="736F4013"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(0.06)</w:t>
            </w:r>
          </w:p>
        </w:tc>
        <w:tc>
          <w:tcPr>
            <w:tcW w:w="708" w:type="dxa"/>
            <w:shd w:val="clear" w:color="auto" w:fill="auto"/>
            <w:vAlign w:val="bottom"/>
          </w:tcPr>
          <w:p w14:paraId="0DFA130A"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709" w:type="dxa"/>
            <w:shd w:val="clear" w:color="auto" w:fill="auto"/>
            <w:vAlign w:val="bottom"/>
          </w:tcPr>
          <w:p w14:paraId="4DB91D1B"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851" w:type="dxa"/>
            <w:shd w:val="clear" w:color="auto" w:fill="D0CECE"/>
            <w:vAlign w:val="bottom"/>
          </w:tcPr>
          <w:p w14:paraId="4655447C" w14:textId="77777777" w:rsidR="00C034BD" w:rsidRPr="00DA4360" w:rsidRDefault="00C034BD"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(0.02)</w:t>
            </w:r>
          </w:p>
        </w:tc>
        <w:tc>
          <w:tcPr>
            <w:tcW w:w="873" w:type="dxa"/>
            <w:shd w:val="clear" w:color="auto" w:fill="auto"/>
            <w:vAlign w:val="bottom"/>
          </w:tcPr>
          <w:p w14:paraId="50312642" w14:textId="57A3B5C4" w:rsidR="00C034BD" w:rsidRPr="00DA4360" w:rsidRDefault="00C034BD"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EC5AB8">
              <w:rPr>
                <w:rFonts w:ascii="Arial" w:hAnsi="Arial" w:cs="Arial"/>
                <w:sz w:val="17"/>
                <w:szCs w:val="17"/>
                <w:lang w:val="en-CA"/>
              </w:rPr>
              <w:t>9</w:t>
            </w:r>
            <w:r w:rsidRPr="00DA4360">
              <w:rPr>
                <w:rFonts w:ascii="Arial" w:hAnsi="Arial" w:cs="Arial"/>
                <w:sz w:val="17"/>
                <w:szCs w:val="17"/>
                <w:lang w:val="en-CA"/>
              </w:rPr>
              <w:t>)</w:t>
            </w:r>
          </w:p>
        </w:tc>
      </w:tr>
      <w:tr w:rsidR="00C034BD" w:rsidRPr="00DA4360" w14:paraId="64CB0F00" w14:textId="77777777" w:rsidTr="00C034BD">
        <w:tc>
          <w:tcPr>
            <w:tcW w:w="2127" w:type="dxa"/>
            <w:shd w:val="clear" w:color="auto" w:fill="auto"/>
          </w:tcPr>
          <w:p w14:paraId="6BE8252F"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Cash dividends declared</w:t>
            </w:r>
          </w:p>
        </w:tc>
        <w:tc>
          <w:tcPr>
            <w:tcW w:w="708" w:type="dxa"/>
            <w:shd w:val="clear" w:color="auto" w:fill="D0CECE"/>
            <w:vAlign w:val="bottom"/>
          </w:tcPr>
          <w:p w14:paraId="43E75B29" w14:textId="3511CC64" w:rsidR="00C034BD" w:rsidRPr="00DA4360" w:rsidRDefault="00C034BD" w:rsidP="003F6F1A">
            <w:pPr>
              <w:spacing w:after="0" w:line="240" w:lineRule="auto"/>
              <w:jc w:val="right"/>
              <w:rPr>
                <w:rFonts w:ascii="Arial" w:hAnsi="Arial" w:cs="Arial"/>
                <w:b/>
                <w:sz w:val="17"/>
                <w:szCs w:val="17"/>
                <w:lang w:val="en-CA"/>
              </w:rPr>
            </w:pPr>
          </w:p>
        </w:tc>
        <w:tc>
          <w:tcPr>
            <w:tcW w:w="851" w:type="dxa"/>
            <w:shd w:val="clear" w:color="auto" w:fill="FFFFFF"/>
            <w:vAlign w:val="bottom"/>
          </w:tcPr>
          <w:p w14:paraId="6DAF3423" w14:textId="1960B78A"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w:t>
            </w:r>
          </w:p>
        </w:tc>
        <w:tc>
          <w:tcPr>
            <w:tcW w:w="709" w:type="dxa"/>
            <w:shd w:val="clear" w:color="auto" w:fill="FFFFFF"/>
            <w:vAlign w:val="bottom"/>
          </w:tcPr>
          <w:p w14:paraId="1DA0FAB4" w14:textId="1D374DC5"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08" w:type="dxa"/>
            <w:shd w:val="clear" w:color="auto" w:fill="auto"/>
            <w:vAlign w:val="bottom"/>
          </w:tcPr>
          <w:p w14:paraId="43BE97D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09" w:type="dxa"/>
            <w:shd w:val="clear" w:color="auto" w:fill="auto"/>
            <w:vAlign w:val="bottom"/>
          </w:tcPr>
          <w:p w14:paraId="01D31142"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851" w:type="dxa"/>
            <w:shd w:val="clear" w:color="auto" w:fill="auto"/>
            <w:vAlign w:val="bottom"/>
          </w:tcPr>
          <w:p w14:paraId="1949CCC6"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08" w:type="dxa"/>
            <w:shd w:val="clear" w:color="auto" w:fill="auto"/>
            <w:vAlign w:val="bottom"/>
          </w:tcPr>
          <w:p w14:paraId="3F417976"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09" w:type="dxa"/>
            <w:shd w:val="clear" w:color="auto" w:fill="auto"/>
            <w:vAlign w:val="bottom"/>
          </w:tcPr>
          <w:p w14:paraId="4DDD70D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851" w:type="dxa"/>
            <w:shd w:val="clear" w:color="auto" w:fill="D0CECE"/>
            <w:vAlign w:val="bottom"/>
          </w:tcPr>
          <w:p w14:paraId="3A46BBCB" w14:textId="77777777" w:rsidR="00C034BD" w:rsidRPr="00DA4360" w:rsidRDefault="00C034BD"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w:t>
            </w:r>
          </w:p>
        </w:tc>
        <w:tc>
          <w:tcPr>
            <w:tcW w:w="873" w:type="dxa"/>
            <w:shd w:val="clear" w:color="auto" w:fill="auto"/>
            <w:vAlign w:val="bottom"/>
          </w:tcPr>
          <w:p w14:paraId="469F3542" w14:textId="77777777" w:rsidR="00C034BD" w:rsidRPr="00DA4360" w:rsidRDefault="00C034BD"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w:t>
            </w:r>
          </w:p>
        </w:tc>
      </w:tr>
      <w:tr w:rsidR="00C034BD" w:rsidRPr="00DA4360" w14:paraId="74165EE9" w14:textId="77777777" w:rsidTr="00C034BD">
        <w:tc>
          <w:tcPr>
            <w:tcW w:w="2127" w:type="dxa"/>
            <w:shd w:val="clear" w:color="auto" w:fill="auto"/>
          </w:tcPr>
          <w:p w14:paraId="5D0B4DA9"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Total assets</w:t>
            </w:r>
          </w:p>
        </w:tc>
        <w:tc>
          <w:tcPr>
            <w:tcW w:w="708" w:type="dxa"/>
            <w:shd w:val="clear" w:color="auto" w:fill="D0CECE"/>
            <w:vAlign w:val="bottom"/>
          </w:tcPr>
          <w:p w14:paraId="15AF445C" w14:textId="330DF52C" w:rsidR="00C034BD" w:rsidRPr="00DA4360" w:rsidRDefault="00EC5AB8" w:rsidP="003F6F1A">
            <w:pPr>
              <w:spacing w:after="0" w:line="240" w:lineRule="auto"/>
              <w:jc w:val="right"/>
              <w:rPr>
                <w:rFonts w:ascii="Arial" w:hAnsi="Arial" w:cs="Arial"/>
                <w:b/>
                <w:sz w:val="17"/>
                <w:szCs w:val="17"/>
                <w:lang w:val="en-CA"/>
              </w:rPr>
            </w:pPr>
            <w:r>
              <w:rPr>
                <w:rFonts w:ascii="Arial" w:hAnsi="Arial" w:cs="Arial"/>
                <w:b/>
                <w:sz w:val="17"/>
                <w:szCs w:val="17"/>
                <w:lang w:val="en-CA"/>
              </w:rPr>
              <w:t>4,943</w:t>
            </w:r>
          </w:p>
        </w:tc>
        <w:tc>
          <w:tcPr>
            <w:tcW w:w="851" w:type="dxa"/>
            <w:shd w:val="clear" w:color="auto" w:fill="FFFFFF"/>
            <w:vAlign w:val="bottom"/>
          </w:tcPr>
          <w:p w14:paraId="693D8B99" w14:textId="2918D192"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5,760</w:t>
            </w:r>
          </w:p>
        </w:tc>
        <w:tc>
          <w:tcPr>
            <w:tcW w:w="709" w:type="dxa"/>
            <w:shd w:val="clear" w:color="auto" w:fill="FFFFFF"/>
            <w:vAlign w:val="bottom"/>
          </w:tcPr>
          <w:p w14:paraId="7FDE297A" w14:textId="75701E0B"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2,417</w:t>
            </w:r>
          </w:p>
        </w:tc>
        <w:tc>
          <w:tcPr>
            <w:tcW w:w="708" w:type="dxa"/>
            <w:shd w:val="clear" w:color="auto" w:fill="auto"/>
            <w:vAlign w:val="bottom"/>
          </w:tcPr>
          <w:p w14:paraId="08EA2609"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514</w:t>
            </w:r>
          </w:p>
        </w:tc>
        <w:tc>
          <w:tcPr>
            <w:tcW w:w="709" w:type="dxa"/>
            <w:shd w:val="clear" w:color="auto" w:fill="auto"/>
            <w:vAlign w:val="bottom"/>
          </w:tcPr>
          <w:p w14:paraId="19C1CC5D"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1,546</w:t>
            </w:r>
          </w:p>
        </w:tc>
        <w:tc>
          <w:tcPr>
            <w:tcW w:w="851" w:type="dxa"/>
            <w:shd w:val="clear" w:color="auto" w:fill="auto"/>
            <w:vAlign w:val="bottom"/>
          </w:tcPr>
          <w:p w14:paraId="3AC9BBE4"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1,038</w:t>
            </w:r>
          </w:p>
        </w:tc>
        <w:tc>
          <w:tcPr>
            <w:tcW w:w="708" w:type="dxa"/>
            <w:shd w:val="clear" w:color="auto" w:fill="auto"/>
            <w:vAlign w:val="bottom"/>
          </w:tcPr>
          <w:p w14:paraId="6839E4D4"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1,359</w:t>
            </w:r>
          </w:p>
        </w:tc>
        <w:tc>
          <w:tcPr>
            <w:tcW w:w="709" w:type="dxa"/>
            <w:shd w:val="clear" w:color="auto" w:fill="auto"/>
            <w:vAlign w:val="bottom"/>
          </w:tcPr>
          <w:p w14:paraId="100C9267"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630</w:t>
            </w:r>
          </w:p>
        </w:tc>
        <w:tc>
          <w:tcPr>
            <w:tcW w:w="851" w:type="dxa"/>
            <w:shd w:val="clear" w:color="auto" w:fill="D0CECE"/>
            <w:vAlign w:val="bottom"/>
          </w:tcPr>
          <w:p w14:paraId="72978DCA" w14:textId="6C1ED098" w:rsidR="00C034BD" w:rsidRPr="00DA4360" w:rsidRDefault="00EC5AB8" w:rsidP="000E01AB">
            <w:pPr>
              <w:spacing w:after="0" w:line="240" w:lineRule="auto"/>
              <w:jc w:val="right"/>
              <w:rPr>
                <w:rFonts w:ascii="Arial" w:hAnsi="Arial" w:cs="Arial"/>
                <w:b/>
                <w:sz w:val="17"/>
                <w:szCs w:val="17"/>
                <w:lang w:val="en-CA"/>
              </w:rPr>
            </w:pPr>
            <w:r>
              <w:rPr>
                <w:rFonts w:ascii="Arial" w:hAnsi="Arial" w:cs="Arial"/>
                <w:b/>
                <w:sz w:val="17"/>
                <w:szCs w:val="17"/>
                <w:lang w:val="en-CA"/>
              </w:rPr>
              <w:t>4,943</w:t>
            </w:r>
          </w:p>
        </w:tc>
        <w:tc>
          <w:tcPr>
            <w:tcW w:w="873" w:type="dxa"/>
            <w:shd w:val="clear" w:color="auto" w:fill="auto"/>
            <w:vAlign w:val="bottom"/>
          </w:tcPr>
          <w:p w14:paraId="3B27773E" w14:textId="7D4BE554" w:rsidR="00C034BD" w:rsidRPr="00DA4360" w:rsidRDefault="00C034BD"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1,</w:t>
            </w:r>
            <w:r w:rsidR="00EC5AB8">
              <w:rPr>
                <w:rFonts w:ascii="Arial" w:hAnsi="Arial" w:cs="Arial"/>
                <w:sz w:val="17"/>
                <w:szCs w:val="17"/>
                <w:lang w:val="en-CA"/>
              </w:rPr>
              <w:t>546</w:t>
            </w:r>
          </w:p>
        </w:tc>
      </w:tr>
      <w:tr w:rsidR="00C034BD" w:rsidRPr="00DA4360" w14:paraId="36EF55D5" w14:textId="77777777" w:rsidTr="00C034BD">
        <w:tc>
          <w:tcPr>
            <w:tcW w:w="2127" w:type="dxa"/>
            <w:shd w:val="clear" w:color="auto" w:fill="auto"/>
          </w:tcPr>
          <w:p w14:paraId="1944053C" w14:textId="77777777" w:rsidR="00C034BD" w:rsidRPr="00DA4360" w:rsidRDefault="00C034BD" w:rsidP="003F6F1A">
            <w:pPr>
              <w:spacing w:after="0" w:line="240" w:lineRule="auto"/>
              <w:rPr>
                <w:rFonts w:ascii="Arial" w:hAnsi="Arial" w:cs="Arial"/>
                <w:sz w:val="17"/>
                <w:szCs w:val="17"/>
                <w:lang w:val="en-CA"/>
              </w:rPr>
            </w:pPr>
          </w:p>
        </w:tc>
        <w:tc>
          <w:tcPr>
            <w:tcW w:w="708" w:type="dxa"/>
            <w:shd w:val="clear" w:color="auto" w:fill="D0CECE"/>
            <w:vAlign w:val="bottom"/>
          </w:tcPr>
          <w:p w14:paraId="61899A8C" w14:textId="77777777" w:rsidR="00C034BD" w:rsidRPr="00DA4360" w:rsidRDefault="00C034BD" w:rsidP="003F6F1A">
            <w:pPr>
              <w:spacing w:after="0" w:line="240" w:lineRule="auto"/>
              <w:jc w:val="right"/>
              <w:rPr>
                <w:rFonts w:ascii="Arial" w:hAnsi="Arial" w:cs="Arial"/>
                <w:b/>
                <w:sz w:val="17"/>
                <w:szCs w:val="17"/>
                <w:lang w:val="en-CA"/>
              </w:rPr>
            </w:pPr>
          </w:p>
        </w:tc>
        <w:tc>
          <w:tcPr>
            <w:tcW w:w="851" w:type="dxa"/>
            <w:shd w:val="clear" w:color="auto" w:fill="FFFFFF"/>
            <w:vAlign w:val="bottom"/>
          </w:tcPr>
          <w:p w14:paraId="0E85D8AA" w14:textId="77777777" w:rsidR="00C034BD" w:rsidRPr="00DA4360" w:rsidRDefault="00C034BD" w:rsidP="00C034BD">
            <w:pPr>
              <w:spacing w:after="0" w:line="240" w:lineRule="auto"/>
              <w:jc w:val="right"/>
              <w:rPr>
                <w:rFonts w:ascii="Arial" w:hAnsi="Arial" w:cs="Arial"/>
                <w:sz w:val="17"/>
                <w:szCs w:val="17"/>
                <w:lang w:val="en-CA"/>
              </w:rPr>
            </w:pPr>
          </w:p>
        </w:tc>
        <w:tc>
          <w:tcPr>
            <w:tcW w:w="709" w:type="dxa"/>
            <w:shd w:val="clear" w:color="auto" w:fill="FFFFFF"/>
            <w:vAlign w:val="bottom"/>
          </w:tcPr>
          <w:p w14:paraId="76FADF32" w14:textId="7921534E"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1151886A"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7FEAF8BC"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auto"/>
            <w:vAlign w:val="bottom"/>
          </w:tcPr>
          <w:p w14:paraId="74554745" w14:textId="77777777"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069C0F64"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2C072368"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D0CECE"/>
            <w:vAlign w:val="bottom"/>
          </w:tcPr>
          <w:p w14:paraId="1C0645BE" w14:textId="77777777" w:rsidR="00C034BD" w:rsidRPr="00DA4360" w:rsidRDefault="00C034BD" w:rsidP="000E01AB">
            <w:pPr>
              <w:spacing w:after="0" w:line="240" w:lineRule="auto"/>
              <w:jc w:val="right"/>
              <w:rPr>
                <w:rFonts w:ascii="Arial" w:hAnsi="Arial" w:cs="Arial"/>
                <w:b/>
                <w:sz w:val="17"/>
                <w:szCs w:val="17"/>
                <w:lang w:val="en-CA"/>
              </w:rPr>
            </w:pPr>
          </w:p>
        </w:tc>
        <w:tc>
          <w:tcPr>
            <w:tcW w:w="873" w:type="dxa"/>
            <w:shd w:val="clear" w:color="auto" w:fill="auto"/>
            <w:vAlign w:val="bottom"/>
          </w:tcPr>
          <w:p w14:paraId="37AE5B3F" w14:textId="77777777" w:rsidR="00C034BD" w:rsidRPr="00DA4360" w:rsidRDefault="00C034BD" w:rsidP="000E01AB">
            <w:pPr>
              <w:spacing w:after="0" w:line="240" w:lineRule="auto"/>
              <w:jc w:val="right"/>
              <w:rPr>
                <w:rFonts w:ascii="Arial" w:hAnsi="Arial" w:cs="Arial"/>
                <w:sz w:val="17"/>
                <w:szCs w:val="17"/>
                <w:lang w:val="en-CA"/>
              </w:rPr>
            </w:pPr>
          </w:p>
        </w:tc>
      </w:tr>
      <w:tr w:rsidR="00C034BD" w:rsidRPr="00DA4360" w14:paraId="0E3F6D4B" w14:textId="77777777" w:rsidTr="00C034BD">
        <w:tc>
          <w:tcPr>
            <w:tcW w:w="2127" w:type="dxa"/>
            <w:shd w:val="clear" w:color="auto" w:fill="auto"/>
          </w:tcPr>
          <w:p w14:paraId="16BC8CF8" w14:textId="77777777" w:rsidR="00C034BD" w:rsidRPr="00DA4360" w:rsidRDefault="00C034BD" w:rsidP="003F6F1A">
            <w:pPr>
              <w:spacing w:after="0" w:line="240" w:lineRule="auto"/>
              <w:rPr>
                <w:rFonts w:ascii="Arial" w:hAnsi="Arial" w:cs="Arial"/>
                <w:b/>
                <w:sz w:val="17"/>
                <w:szCs w:val="17"/>
                <w:lang w:val="en-CA"/>
              </w:rPr>
            </w:pPr>
            <w:r w:rsidRPr="00DA4360">
              <w:rPr>
                <w:rFonts w:ascii="Arial" w:hAnsi="Arial" w:cs="Arial"/>
                <w:b/>
                <w:sz w:val="17"/>
                <w:szCs w:val="17"/>
                <w:lang w:val="en-CA"/>
              </w:rPr>
              <w:t>OPERATING RESULTS:</w:t>
            </w:r>
          </w:p>
        </w:tc>
        <w:tc>
          <w:tcPr>
            <w:tcW w:w="708" w:type="dxa"/>
            <w:shd w:val="clear" w:color="auto" w:fill="D0CECE"/>
            <w:vAlign w:val="bottom"/>
          </w:tcPr>
          <w:p w14:paraId="5A78CF99" w14:textId="77777777" w:rsidR="00C034BD" w:rsidRPr="00DA4360" w:rsidRDefault="00C034BD" w:rsidP="003F6F1A">
            <w:pPr>
              <w:spacing w:after="0" w:line="240" w:lineRule="auto"/>
              <w:jc w:val="right"/>
              <w:rPr>
                <w:rFonts w:ascii="Arial" w:hAnsi="Arial" w:cs="Arial"/>
                <w:b/>
                <w:sz w:val="17"/>
                <w:szCs w:val="17"/>
                <w:lang w:val="en-CA"/>
              </w:rPr>
            </w:pPr>
          </w:p>
        </w:tc>
        <w:tc>
          <w:tcPr>
            <w:tcW w:w="851" w:type="dxa"/>
            <w:shd w:val="clear" w:color="auto" w:fill="FFFFFF"/>
            <w:vAlign w:val="bottom"/>
          </w:tcPr>
          <w:p w14:paraId="05279E55" w14:textId="77777777" w:rsidR="00C034BD" w:rsidRPr="00DA4360" w:rsidRDefault="00C034BD" w:rsidP="00C034BD">
            <w:pPr>
              <w:spacing w:after="0" w:line="240" w:lineRule="auto"/>
              <w:jc w:val="right"/>
              <w:rPr>
                <w:rFonts w:ascii="Arial" w:hAnsi="Arial" w:cs="Arial"/>
                <w:sz w:val="17"/>
                <w:szCs w:val="17"/>
                <w:lang w:val="en-CA"/>
              </w:rPr>
            </w:pPr>
          </w:p>
        </w:tc>
        <w:tc>
          <w:tcPr>
            <w:tcW w:w="709" w:type="dxa"/>
            <w:shd w:val="clear" w:color="auto" w:fill="FFFFFF"/>
            <w:vAlign w:val="bottom"/>
          </w:tcPr>
          <w:p w14:paraId="67C101B0" w14:textId="3FD5B904"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726AA65C"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007D0712"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auto"/>
            <w:vAlign w:val="bottom"/>
          </w:tcPr>
          <w:p w14:paraId="5784E387" w14:textId="77777777" w:rsidR="00C034BD" w:rsidRPr="00DA4360" w:rsidRDefault="00C034BD" w:rsidP="003F6F1A">
            <w:pPr>
              <w:spacing w:after="0" w:line="240" w:lineRule="auto"/>
              <w:jc w:val="right"/>
              <w:rPr>
                <w:rFonts w:ascii="Arial" w:hAnsi="Arial" w:cs="Arial"/>
                <w:sz w:val="17"/>
                <w:szCs w:val="17"/>
                <w:lang w:val="en-CA"/>
              </w:rPr>
            </w:pPr>
          </w:p>
        </w:tc>
        <w:tc>
          <w:tcPr>
            <w:tcW w:w="708" w:type="dxa"/>
            <w:shd w:val="clear" w:color="auto" w:fill="auto"/>
            <w:vAlign w:val="bottom"/>
          </w:tcPr>
          <w:p w14:paraId="20198F68" w14:textId="77777777" w:rsidR="00C034BD" w:rsidRPr="00DA4360" w:rsidRDefault="00C034BD" w:rsidP="003F6F1A">
            <w:pPr>
              <w:spacing w:after="0" w:line="240" w:lineRule="auto"/>
              <w:jc w:val="right"/>
              <w:rPr>
                <w:rFonts w:ascii="Arial" w:hAnsi="Arial" w:cs="Arial"/>
                <w:sz w:val="17"/>
                <w:szCs w:val="17"/>
                <w:lang w:val="en-CA"/>
              </w:rPr>
            </w:pPr>
          </w:p>
        </w:tc>
        <w:tc>
          <w:tcPr>
            <w:tcW w:w="709" w:type="dxa"/>
            <w:shd w:val="clear" w:color="auto" w:fill="auto"/>
            <w:vAlign w:val="bottom"/>
          </w:tcPr>
          <w:p w14:paraId="0F9F542A" w14:textId="77777777" w:rsidR="00C034BD" w:rsidRPr="00DA4360" w:rsidRDefault="00C034BD" w:rsidP="003F6F1A">
            <w:pPr>
              <w:spacing w:after="0" w:line="240" w:lineRule="auto"/>
              <w:jc w:val="right"/>
              <w:rPr>
                <w:rFonts w:ascii="Arial" w:hAnsi="Arial" w:cs="Arial"/>
                <w:sz w:val="17"/>
                <w:szCs w:val="17"/>
                <w:lang w:val="en-CA"/>
              </w:rPr>
            </w:pPr>
          </w:p>
        </w:tc>
        <w:tc>
          <w:tcPr>
            <w:tcW w:w="851" w:type="dxa"/>
            <w:shd w:val="clear" w:color="auto" w:fill="D0CECE"/>
            <w:vAlign w:val="bottom"/>
          </w:tcPr>
          <w:p w14:paraId="525389D1" w14:textId="77777777" w:rsidR="00C034BD" w:rsidRPr="00DA4360" w:rsidRDefault="00C034BD" w:rsidP="000E01AB">
            <w:pPr>
              <w:spacing w:after="0" w:line="240" w:lineRule="auto"/>
              <w:jc w:val="right"/>
              <w:rPr>
                <w:rFonts w:ascii="Arial" w:hAnsi="Arial" w:cs="Arial"/>
                <w:b/>
                <w:sz w:val="17"/>
                <w:szCs w:val="17"/>
                <w:lang w:val="en-CA"/>
              </w:rPr>
            </w:pPr>
          </w:p>
        </w:tc>
        <w:tc>
          <w:tcPr>
            <w:tcW w:w="873" w:type="dxa"/>
            <w:shd w:val="clear" w:color="auto" w:fill="auto"/>
            <w:vAlign w:val="bottom"/>
          </w:tcPr>
          <w:p w14:paraId="69DAE992" w14:textId="77777777" w:rsidR="00C034BD" w:rsidRPr="00DA4360" w:rsidRDefault="00C034BD" w:rsidP="000E01AB">
            <w:pPr>
              <w:spacing w:after="0" w:line="240" w:lineRule="auto"/>
              <w:jc w:val="right"/>
              <w:rPr>
                <w:rFonts w:ascii="Arial" w:hAnsi="Arial" w:cs="Arial"/>
                <w:sz w:val="17"/>
                <w:szCs w:val="17"/>
                <w:lang w:val="en-CA"/>
              </w:rPr>
            </w:pPr>
          </w:p>
        </w:tc>
      </w:tr>
      <w:tr w:rsidR="00C034BD" w:rsidRPr="00DA4360" w14:paraId="1C110874" w14:textId="77777777" w:rsidTr="00C034BD">
        <w:tc>
          <w:tcPr>
            <w:tcW w:w="2127" w:type="dxa"/>
            <w:tcBorders>
              <w:bottom w:val="single" w:sz="4" w:space="0" w:color="auto"/>
            </w:tcBorders>
            <w:shd w:val="clear" w:color="auto" w:fill="auto"/>
          </w:tcPr>
          <w:p w14:paraId="32509543" w14:textId="77777777" w:rsidR="00C034BD" w:rsidRPr="00DA4360" w:rsidRDefault="00C034BD" w:rsidP="003F6F1A">
            <w:pPr>
              <w:spacing w:after="0" w:line="240" w:lineRule="auto"/>
              <w:rPr>
                <w:rFonts w:ascii="Arial" w:hAnsi="Arial" w:cs="Arial"/>
                <w:sz w:val="17"/>
                <w:szCs w:val="17"/>
                <w:lang w:val="en-CA"/>
              </w:rPr>
            </w:pPr>
            <w:r w:rsidRPr="00DA4360">
              <w:rPr>
                <w:rFonts w:ascii="Arial" w:hAnsi="Arial" w:cs="Arial"/>
                <w:sz w:val="17"/>
                <w:szCs w:val="17"/>
                <w:lang w:val="en-CA"/>
              </w:rPr>
              <w:t>Patient visits</w:t>
            </w:r>
          </w:p>
        </w:tc>
        <w:tc>
          <w:tcPr>
            <w:tcW w:w="708" w:type="dxa"/>
            <w:tcBorders>
              <w:bottom w:val="single" w:sz="4" w:space="0" w:color="auto"/>
            </w:tcBorders>
            <w:shd w:val="clear" w:color="auto" w:fill="D0CECE"/>
            <w:vAlign w:val="bottom"/>
          </w:tcPr>
          <w:p w14:paraId="587AFBF6" w14:textId="77DAD8F1" w:rsidR="00C034BD" w:rsidRPr="00DA4360" w:rsidRDefault="00782D33" w:rsidP="003F6F1A">
            <w:pPr>
              <w:spacing w:after="0" w:line="240" w:lineRule="auto"/>
              <w:jc w:val="right"/>
              <w:rPr>
                <w:rFonts w:ascii="Arial" w:hAnsi="Arial" w:cs="Arial"/>
                <w:b/>
                <w:sz w:val="17"/>
                <w:szCs w:val="17"/>
                <w:lang w:val="en-CA"/>
              </w:rPr>
            </w:pPr>
            <w:r>
              <w:rPr>
                <w:rFonts w:ascii="Arial" w:hAnsi="Arial" w:cs="Arial"/>
                <w:b/>
                <w:sz w:val="17"/>
                <w:szCs w:val="17"/>
                <w:lang w:val="en-CA"/>
              </w:rPr>
              <w:t>5,807</w:t>
            </w:r>
          </w:p>
        </w:tc>
        <w:tc>
          <w:tcPr>
            <w:tcW w:w="851" w:type="dxa"/>
            <w:tcBorders>
              <w:bottom w:val="single" w:sz="4" w:space="0" w:color="auto"/>
            </w:tcBorders>
            <w:shd w:val="clear" w:color="auto" w:fill="FFFFFF"/>
            <w:vAlign w:val="bottom"/>
          </w:tcPr>
          <w:p w14:paraId="65970B4D" w14:textId="020E50A9" w:rsidR="00C034BD" w:rsidRPr="00DA4360" w:rsidRDefault="00C034BD" w:rsidP="00C034BD">
            <w:pPr>
              <w:spacing w:after="0" w:line="240" w:lineRule="auto"/>
              <w:jc w:val="right"/>
              <w:rPr>
                <w:rFonts w:ascii="Arial" w:hAnsi="Arial" w:cs="Arial"/>
                <w:b/>
                <w:sz w:val="17"/>
                <w:szCs w:val="17"/>
                <w:lang w:val="en-CA"/>
              </w:rPr>
            </w:pPr>
            <w:r>
              <w:rPr>
                <w:rFonts w:ascii="Arial" w:hAnsi="Arial" w:cs="Arial"/>
                <w:b/>
                <w:sz w:val="17"/>
                <w:szCs w:val="17"/>
                <w:lang w:val="en-CA"/>
              </w:rPr>
              <w:t>4,299</w:t>
            </w:r>
          </w:p>
        </w:tc>
        <w:tc>
          <w:tcPr>
            <w:tcW w:w="709" w:type="dxa"/>
            <w:tcBorders>
              <w:bottom w:val="single" w:sz="4" w:space="0" w:color="auto"/>
            </w:tcBorders>
            <w:shd w:val="clear" w:color="auto" w:fill="FFFFFF"/>
            <w:vAlign w:val="bottom"/>
          </w:tcPr>
          <w:p w14:paraId="0120F74B" w14:textId="5BF1C81E"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1,198</w:t>
            </w:r>
          </w:p>
        </w:tc>
        <w:tc>
          <w:tcPr>
            <w:tcW w:w="708" w:type="dxa"/>
            <w:tcBorders>
              <w:bottom w:val="single" w:sz="4" w:space="0" w:color="auto"/>
            </w:tcBorders>
            <w:shd w:val="clear" w:color="auto" w:fill="auto"/>
            <w:vAlign w:val="bottom"/>
          </w:tcPr>
          <w:p w14:paraId="68BBB370"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1,314</w:t>
            </w:r>
          </w:p>
        </w:tc>
        <w:tc>
          <w:tcPr>
            <w:tcW w:w="709" w:type="dxa"/>
            <w:tcBorders>
              <w:bottom w:val="single" w:sz="4" w:space="0" w:color="auto"/>
            </w:tcBorders>
            <w:shd w:val="clear" w:color="auto" w:fill="auto"/>
            <w:vAlign w:val="bottom"/>
          </w:tcPr>
          <w:p w14:paraId="03DFBC90"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1,864</w:t>
            </w:r>
          </w:p>
        </w:tc>
        <w:tc>
          <w:tcPr>
            <w:tcW w:w="851" w:type="dxa"/>
            <w:tcBorders>
              <w:bottom w:val="single" w:sz="4" w:space="0" w:color="auto"/>
            </w:tcBorders>
            <w:shd w:val="clear" w:color="auto" w:fill="auto"/>
            <w:vAlign w:val="bottom"/>
          </w:tcPr>
          <w:p w14:paraId="39519C55"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2,187</w:t>
            </w:r>
          </w:p>
        </w:tc>
        <w:tc>
          <w:tcPr>
            <w:tcW w:w="708" w:type="dxa"/>
            <w:tcBorders>
              <w:bottom w:val="single" w:sz="4" w:space="0" w:color="auto"/>
            </w:tcBorders>
            <w:shd w:val="clear" w:color="auto" w:fill="auto"/>
            <w:vAlign w:val="bottom"/>
          </w:tcPr>
          <w:p w14:paraId="0AE72F51"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2,242</w:t>
            </w:r>
          </w:p>
        </w:tc>
        <w:tc>
          <w:tcPr>
            <w:tcW w:w="709" w:type="dxa"/>
            <w:tcBorders>
              <w:bottom w:val="single" w:sz="4" w:space="0" w:color="auto"/>
            </w:tcBorders>
            <w:shd w:val="clear" w:color="auto" w:fill="auto"/>
            <w:vAlign w:val="bottom"/>
          </w:tcPr>
          <w:p w14:paraId="620EE002" w14:textId="77777777" w:rsidR="00C034BD" w:rsidRPr="00DA4360" w:rsidRDefault="00C034BD"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1,893</w:t>
            </w:r>
          </w:p>
        </w:tc>
        <w:tc>
          <w:tcPr>
            <w:tcW w:w="851" w:type="dxa"/>
            <w:tcBorders>
              <w:bottom w:val="single" w:sz="4" w:space="0" w:color="auto"/>
            </w:tcBorders>
            <w:shd w:val="clear" w:color="auto" w:fill="D0CECE"/>
            <w:vAlign w:val="bottom"/>
          </w:tcPr>
          <w:p w14:paraId="004424AE" w14:textId="218C4B16" w:rsidR="00C034BD" w:rsidRPr="00DA4360" w:rsidRDefault="00782D33" w:rsidP="000E01AB">
            <w:pPr>
              <w:spacing w:after="0" w:line="240" w:lineRule="auto"/>
              <w:jc w:val="right"/>
              <w:rPr>
                <w:rFonts w:ascii="Arial" w:hAnsi="Arial" w:cs="Arial"/>
                <w:b/>
                <w:sz w:val="17"/>
                <w:szCs w:val="17"/>
                <w:lang w:val="en-CA"/>
              </w:rPr>
            </w:pPr>
            <w:r>
              <w:rPr>
                <w:rFonts w:ascii="Arial" w:hAnsi="Arial" w:cs="Arial"/>
                <w:b/>
                <w:sz w:val="17"/>
                <w:szCs w:val="17"/>
                <w:lang w:val="en-CA"/>
              </w:rPr>
              <w:t>11,304</w:t>
            </w:r>
          </w:p>
        </w:tc>
        <w:tc>
          <w:tcPr>
            <w:tcW w:w="873" w:type="dxa"/>
            <w:tcBorders>
              <w:bottom w:val="single" w:sz="4" w:space="0" w:color="auto"/>
            </w:tcBorders>
            <w:shd w:val="clear" w:color="auto" w:fill="auto"/>
            <w:vAlign w:val="bottom"/>
          </w:tcPr>
          <w:p w14:paraId="513FEA6C" w14:textId="20874128" w:rsidR="00C034BD" w:rsidRPr="00DA4360" w:rsidRDefault="00EC5AB8" w:rsidP="000E01AB">
            <w:pPr>
              <w:spacing w:after="0" w:line="240" w:lineRule="auto"/>
              <w:jc w:val="right"/>
              <w:rPr>
                <w:rFonts w:ascii="Arial" w:hAnsi="Arial" w:cs="Arial"/>
                <w:sz w:val="17"/>
                <w:szCs w:val="17"/>
                <w:lang w:val="en-CA"/>
              </w:rPr>
            </w:pPr>
            <w:r>
              <w:rPr>
                <w:rFonts w:ascii="Arial" w:hAnsi="Arial" w:cs="Arial"/>
                <w:sz w:val="17"/>
                <w:szCs w:val="17"/>
                <w:lang w:val="en-CA"/>
              </w:rPr>
              <w:t>6,293</w:t>
            </w:r>
          </w:p>
        </w:tc>
      </w:tr>
      <w:bookmarkEnd w:id="1"/>
    </w:tbl>
    <w:p w14:paraId="547E1C7C" w14:textId="77777777" w:rsidR="007D3CB8" w:rsidRDefault="007D3CB8" w:rsidP="003F6F1A">
      <w:pPr>
        <w:pStyle w:val="Heading7"/>
        <w:tabs>
          <w:tab w:val="left" w:pos="540"/>
        </w:tabs>
      </w:pPr>
    </w:p>
    <w:p w14:paraId="4E095E42" w14:textId="5871E038" w:rsidR="00C034BD" w:rsidRDefault="007D3CB8" w:rsidP="003F6F1A">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has a limited operating history, which can make it difficult for investors to evaluate the </w:t>
      </w:r>
      <w:r>
        <w:rPr>
          <w:rFonts w:ascii="Arial" w:hAnsi="Arial" w:cs="Arial"/>
          <w:sz w:val="20"/>
          <w:szCs w:val="20"/>
        </w:rPr>
        <w:t xml:space="preserve">Company’s </w:t>
      </w:r>
      <w:r w:rsidRPr="00C90A0A">
        <w:rPr>
          <w:rFonts w:ascii="Arial" w:hAnsi="Arial" w:cs="Arial"/>
          <w:sz w:val="20"/>
          <w:szCs w:val="20"/>
        </w:rPr>
        <w:t>operations</w:t>
      </w:r>
      <w:r>
        <w:rPr>
          <w:rFonts w:ascii="Arial" w:hAnsi="Arial" w:cs="Arial"/>
          <w:sz w:val="20"/>
          <w:szCs w:val="20"/>
        </w:rPr>
        <w:t>.</w:t>
      </w:r>
      <w:r w:rsidR="004E5202">
        <w:rPr>
          <w:rFonts w:ascii="Arial" w:hAnsi="Arial" w:cs="Arial"/>
          <w:sz w:val="20"/>
          <w:szCs w:val="20"/>
        </w:rPr>
        <w:t xml:space="preserve"> As a result,</w:t>
      </w:r>
      <w:r w:rsidR="004E5202" w:rsidRPr="004E5202">
        <w:rPr>
          <w:rFonts w:ascii="Arial" w:hAnsi="Arial" w:cs="Arial"/>
          <w:sz w:val="20"/>
          <w:szCs w:val="20"/>
        </w:rPr>
        <w:t xml:space="preserve"> the prior periods shown in the above table are not necessarily comparable and should not be relied upon as an indication of future performance. </w:t>
      </w:r>
    </w:p>
    <w:p w14:paraId="7932BEE1" w14:textId="77777777" w:rsidR="007D3CB8" w:rsidRPr="00C90A0A" w:rsidRDefault="007D3CB8" w:rsidP="003F6F1A">
      <w:pPr>
        <w:spacing w:after="0"/>
        <w:jc w:val="both"/>
        <w:rPr>
          <w:rFonts w:ascii="Arial" w:hAnsi="Arial" w:cs="Arial"/>
          <w:sz w:val="20"/>
          <w:szCs w:val="20"/>
        </w:rPr>
      </w:pPr>
    </w:p>
    <w:p w14:paraId="2AD1B33A" w14:textId="77777777" w:rsidR="007D3CB8" w:rsidRPr="00C90A0A" w:rsidRDefault="007D3CB8" w:rsidP="003F6F1A">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is expected to remain subject to many of the risks common to early-stage enterprises for the foreseeable future, including challenges related to laws, regulations, licensing, integrating and retaining qualified employees; making effective use of limited resources; achieving market acceptance of existing and future solutions; competing against companies with greater financial and technical resources; acquiring and retaining customers; and developing new solutions. </w:t>
      </w:r>
    </w:p>
    <w:p w14:paraId="49D58AB7" w14:textId="77777777" w:rsidR="00D3689F" w:rsidRDefault="00D3689F" w:rsidP="003F6F1A">
      <w:pPr>
        <w:jc w:val="both"/>
        <w:rPr>
          <w:i/>
          <w:color w:val="000000"/>
          <w:sz w:val="20"/>
          <w:u w:val="single"/>
        </w:rPr>
      </w:pPr>
    </w:p>
    <w:p w14:paraId="46B5E509" w14:textId="0224B35F" w:rsidR="00453FBE" w:rsidRPr="005F6D26" w:rsidRDefault="00ED07BC" w:rsidP="003F6F1A">
      <w:pPr>
        <w:jc w:val="both"/>
        <w:rPr>
          <w:rFonts w:ascii="Arial" w:hAnsi="Arial" w:cs="Arial"/>
          <w:i/>
          <w:color w:val="000000"/>
          <w:sz w:val="20"/>
          <w:u w:val="single"/>
        </w:rPr>
      </w:pPr>
      <w:r>
        <w:rPr>
          <w:rFonts w:ascii="Arial" w:hAnsi="Arial" w:cs="Arial"/>
          <w:i/>
          <w:color w:val="000000"/>
          <w:sz w:val="20"/>
          <w:u w:val="single"/>
        </w:rPr>
        <w:lastRenderedPageBreak/>
        <w:br/>
      </w:r>
      <w:r w:rsidR="00C870E2" w:rsidRPr="005F6D26">
        <w:rPr>
          <w:rFonts w:ascii="Arial" w:hAnsi="Arial" w:cs="Arial"/>
          <w:i/>
          <w:color w:val="000000"/>
          <w:sz w:val="20"/>
          <w:u w:val="single"/>
        </w:rPr>
        <w:t>Review of Consolidated Financial Information for Q</w:t>
      </w:r>
      <w:r w:rsidR="00C034BD">
        <w:rPr>
          <w:rFonts w:ascii="Arial" w:hAnsi="Arial" w:cs="Arial"/>
          <w:i/>
          <w:color w:val="000000"/>
          <w:sz w:val="20"/>
          <w:u w:val="single"/>
        </w:rPr>
        <w:t>3</w:t>
      </w:r>
      <w:r w:rsidR="00C870E2" w:rsidRPr="005F6D26">
        <w:rPr>
          <w:rFonts w:ascii="Arial" w:hAnsi="Arial" w:cs="Arial"/>
          <w:i/>
          <w:color w:val="000000"/>
          <w:sz w:val="20"/>
          <w:u w:val="single"/>
        </w:rPr>
        <w:t xml:space="preserve"> 201</w:t>
      </w:r>
      <w:r w:rsidR="008F357A" w:rsidRPr="005F6D26">
        <w:rPr>
          <w:rFonts w:ascii="Arial" w:hAnsi="Arial" w:cs="Arial"/>
          <w:i/>
          <w:color w:val="000000"/>
          <w:sz w:val="20"/>
          <w:u w:val="single"/>
        </w:rPr>
        <w:t>9</w:t>
      </w:r>
      <w:r w:rsidR="00C870E2" w:rsidRPr="005F6D26">
        <w:rPr>
          <w:rFonts w:ascii="Arial" w:hAnsi="Arial" w:cs="Arial"/>
          <w:i/>
          <w:color w:val="000000"/>
          <w:sz w:val="20"/>
          <w:u w:val="single"/>
        </w:rPr>
        <w:t xml:space="preserve"> compared to </w:t>
      </w:r>
      <w:r w:rsidR="004B4490" w:rsidRPr="005F6D26">
        <w:rPr>
          <w:rFonts w:ascii="Arial" w:hAnsi="Arial" w:cs="Arial"/>
          <w:i/>
          <w:color w:val="000000"/>
          <w:sz w:val="20"/>
          <w:u w:val="single"/>
        </w:rPr>
        <w:t>Q</w:t>
      </w:r>
      <w:r w:rsidR="00C034BD">
        <w:rPr>
          <w:rFonts w:ascii="Arial" w:hAnsi="Arial" w:cs="Arial"/>
          <w:i/>
          <w:color w:val="000000"/>
          <w:sz w:val="20"/>
          <w:u w:val="single"/>
        </w:rPr>
        <w:t>3</w:t>
      </w:r>
      <w:r w:rsidR="00C870E2" w:rsidRPr="005F6D26">
        <w:rPr>
          <w:rFonts w:ascii="Arial" w:hAnsi="Arial" w:cs="Arial"/>
          <w:i/>
          <w:color w:val="000000"/>
          <w:sz w:val="20"/>
          <w:u w:val="single"/>
        </w:rPr>
        <w:t xml:space="preserve"> 201</w:t>
      </w:r>
      <w:r w:rsidR="008F357A" w:rsidRPr="005F6D26">
        <w:rPr>
          <w:rFonts w:ascii="Arial" w:hAnsi="Arial" w:cs="Arial"/>
          <w:i/>
          <w:color w:val="000000"/>
          <w:sz w:val="20"/>
          <w:u w:val="single"/>
        </w:rPr>
        <w:t>8</w:t>
      </w:r>
    </w:p>
    <w:tbl>
      <w:tblPr>
        <w:tblW w:w="9419" w:type="dxa"/>
        <w:tblLayout w:type="fixed"/>
        <w:tblLook w:val="04A0" w:firstRow="1" w:lastRow="0" w:firstColumn="1" w:lastColumn="0" w:noHBand="0" w:noVBand="1"/>
      </w:tblPr>
      <w:tblGrid>
        <w:gridCol w:w="4770"/>
        <w:gridCol w:w="236"/>
        <w:gridCol w:w="2054"/>
        <w:gridCol w:w="236"/>
        <w:gridCol w:w="2123"/>
      </w:tblGrid>
      <w:tr w:rsidR="003E0848" w:rsidRPr="00DA4360" w14:paraId="78C364FF" w14:textId="77777777" w:rsidTr="004A1755">
        <w:tc>
          <w:tcPr>
            <w:tcW w:w="4770" w:type="dxa"/>
            <w:tcBorders>
              <w:top w:val="single" w:sz="4" w:space="0" w:color="auto"/>
              <w:bottom w:val="single" w:sz="12" w:space="0" w:color="auto"/>
            </w:tcBorders>
            <w:shd w:val="clear" w:color="auto" w:fill="auto"/>
          </w:tcPr>
          <w:p w14:paraId="31FB76E2"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p>
        </w:tc>
        <w:tc>
          <w:tcPr>
            <w:tcW w:w="2290" w:type="dxa"/>
            <w:gridSpan w:val="2"/>
            <w:tcBorders>
              <w:top w:val="single" w:sz="4" w:space="0" w:color="auto"/>
              <w:bottom w:val="single" w:sz="12" w:space="0" w:color="auto"/>
            </w:tcBorders>
            <w:shd w:val="clear" w:color="auto" w:fill="auto"/>
            <w:vAlign w:val="bottom"/>
          </w:tcPr>
          <w:p w14:paraId="170C8D1A" w14:textId="2BBFF01D" w:rsidR="00631CA5" w:rsidRPr="00DA4360" w:rsidRDefault="00631CA5" w:rsidP="003F6F1A">
            <w:pPr>
              <w:keepNext/>
              <w:tabs>
                <w:tab w:val="left" w:pos="360"/>
              </w:tabs>
              <w:suppressAutoHyphens/>
              <w:spacing w:after="0" w:line="240" w:lineRule="auto"/>
              <w:jc w:val="right"/>
              <w:rPr>
                <w:rFonts w:ascii="Arial" w:hAnsi="Arial" w:cs="Arial"/>
                <w:b/>
                <w:i/>
                <w:sz w:val="20"/>
                <w:szCs w:val="20"/>
                <w:lang w:val="en-CA"/>
              </w:rPr>
            </w:pPr>
            <w:r w:rsidRPr="00DA4360">
              <w:rPr>
                <w:rFonts w:ascii="Arial" w:hAnsi="Arial" w:cs="Arial"/>
                <w:b/>
                <w:sz w:val="20"/>
                <w:szCs w:val="20"/>
                <w:lang w:val="en-CA"/>
              </w:rPr>
              <w:t>Q</w:t>
            </w:r>
            <w:r w:rsidR="00C034BD">
              <w:rPr>
                <w:rFonts w:ascii="Arial" w:hAnsi="Arial" w:cs="Arial"/>
                <w:b/>
                <w:sz w:val="20"/>
                <w:szCs w:val="20"/>
                <w:lang w:val="en-CA"/>
              </w:rPr>
              <w:t>3</w:t>
            </w:r>
            <w:r w:rsidRPr="00DA4360">
              <w:rPr>
                <w:rFonts w:ascii="Arial" w:hAnsi="Arial" w:cs="Arial"/>
                <w:b/>
                <w:sz w:val="20"/>
                <w:szCs w:val="20"/>
                <w:lang w:val="en-CA"/>
              </w:rPr>
              <w:t xml:space="preserve"> 201</w:t>
            </w:r>
            <w:r w:rsidR="008F357A" w:rsidRPr="00DA4360">
              <w:rPr>
                <w:rFonts w:ascii="Arial" w:hAnsi="Arial" w:cs="Arial"/>
                <w:b/>
                <w:sz w:val="20"/>
                <w:szCs w:val="20"/>
                <w:lang w:val="en-CA"/>
              </w:rPr>
              <w:t>9</w:t>
            </w:r>
          </w:p>
        </w:tc>
        <w:tc>
          <w:tcPr>
            <w:tcW w:w="2359" w:type="dxa"/>
            <w:gridSpan w:val="2"/>
            <w:tcBorders>
              <w:top w:val="single" w:sz="4" w:space="0" w:color="auto"/>
              <w:bottom w:val="single" w:sz="12" w:space="0" w:color="auto"/>
            </w:tcBorders>
            <w:shd w:val="clear" w:color="auto" w:fill="auto"/>
            <w:vAlign w:val="bottom"/>
          </w:tcPr>
          <w:p w14:paraId="578DDF7B" w14:textId="1A6D9CC6"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Q</w:t>
            </w:r>
            <w:r w:rsidR="00C034BD">
              <w:rPr>
                <w:rFonts w:ascii="Arial" w:hAnsi="Arial" w:cs="Arial"/>
                <w:sz w:val="20"/>
                <w:szCs w:val="20"/>
                <w:lang w:val="en-CA"/>
              </w:rPr>
              <w:t>3</w:t>
            </w:r>
            <w:r w:rsidRPr="00DA4360">
              <w:rPr>
                <w:rFonts w:ascii="Arial" w:hAnsi="Arial" w:cs="Arial"/>
                <w:sz w:val="20"/>
                <w:szCs w:val="20"/>
                <w:lang w:val="en-CA"/>
              </w:rPr>
              <w:t xml:space="preserve"> 201</w:t>
            </w:r>
            <w:r w:rsidR="008F357A" w:rsidRPr="00DA4360">
              <w:rPr>
                <w:rFonts w:ascii="Arial" w:hAnsi="Arial" w:cs="Arial"/>
                <w:sz w:val="20"/>
                <w:szCs w:val="20"/>
                <w:lang w:val="en-CA"/>
              </w:rPr>
              <w:t>8</w:t>
            </w:r>
          </w:p>
        </w:tc>
      </w:tr>
      <w:tr w:rsidR="003E0848" w:rsidRPr="00DA4360" w14:paraId="30FD7BCA" w14:textId="77777777" w:rsidTr="004A1755">
        <w:tc>
          <w:tcPr>
            <w:tcW w:w="4770" w:type="dxa"/>
            <w:tcBorders>
              <w:top w:val="single" w:sz="12" w:space="0" w:color="auto"/>
            </w:tcBorders>
            <w:shd w:val="clear" w:color="auto" w:fill="auto"/>
          </w:tcPr>
          <w:p w14:paraId="7B067961"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12" w:space="0" w:color="auto"/>
            </w:tcBorders>
            <w:shd w:val="clear" w:color="auto" w:fill="auto"/>
          </w:tcPr>
          <w:p w14:paraId="426B6A0F"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12" w:space="0" w:color="auto"/>
            </w:tcBorders>
            <w:shd w:val="clear" w:color="auto" w:fill="auto"/>
            <w:vAlign w:val="bottom"/>
          </w:tcPr>
          <w:p w14:paraId="2DD0A9FA"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12" w:space="0" w:color="auto"/>
            </w:tcBorders>
            <w:shd w:val="clear" w:color="auto" w:fill="auto"/>
            <w:vAlign w:val="bottom"/>
          </w:tcPr>
          <w:p w14:paraId="39159E35"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12" w:space="0" w:color="auto"/>
            </w:tcBorders>
            <w:shd w:val="clear" w:color="auto" w:fill="auto"/>
            <w:vAlign w:val="bottom"/>
          </w:tcPr>
          <w:p w14:paraId="0D632E8C"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p>
        </w:tc>
      </w:tr>
      <w:tr w:rsidR="00DC7569" w:rsidRPr="00DA4360" w14:paraId="7B24A510" w14:textId="77777777" w:rsidTr="004A1755">
        <w:tc>
          <w:tcPr>
            <w:tcW w:w="4770" w:type="dxa"/>
            <w:shd w:val="clear" w:color="auto" w:fill="auto"/>
          </w:tcPr>
          <w:p w14:paraId="0782C070"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Clinic revenues</w:t>
            </w:r>
          </w:p>
        </w:tc>
        <w:tc>
          <w:tcPr>
            <w:tcW w:w="236" w:type="dxa"/>
            <w:shd w:val="clear" w:color="auto" w:fill="auto"/>
          </w:tcPr>
          <w:p w14:paraId="3E1D4A2D"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2054" w:type="dxa"/>
            <w:shd w:val="clear" w:color="auto" w:fill="auto"/>
            <w:vAlign w:val="bottom"/>
          </w:tcPr>
          <w:p w14:paraId="04B370C0" w14:textId="10E6FAF0" w:rsidR="00DC7569" w:rsidRPr="00DA4360" w:rsidRDefault="00EC5AB8" w:rsidP="00DC7569">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663,003</w:t>
            </w:r>
          </w:p>
        </w:tc>
        <w:tc>
          <w:tcPr>
            <w:tcW w:w="236" w:type="dxa"/>
            <w:shd w:val="clear" w:color="auto" w:fill="auto"/>
            <w:vAlign w:val="bottom"/>
          </w:tcPr>
          <w:p w14:paraId="72F92567"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c>
          <w:tcPr>
            <w:tcW w:w="2123" w:type="dxa"/>
            <w:shd w:val="clear" w:color="auto" w:fill="auto"/>
            <w:vAlign w:val="bottom"/>
          </w:tcPr>
          <w:p w14:paraId="5B1CCE56" w14:textId="64011285"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279,850</w:t>
            </w:r>
          </w:p>
        </w:tc>
      </w:tr>
      <w:tr w:rsidR="00DC7569" w:rsidRPr="00DA4360" w14:paraId="0085491C" w14:textId="77777777" w:rsidTr="004A1755">
        <w:tc>
          <w:tcPr>
            <w:tcW w:w="4770" w:type="dxa"/>
            <w:shd w:val="clear" w:color="auto" w:fill="auto"/>
          </w:tcPr>
          <w:p w14:paraId="47DD3F43"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0DD0CF46"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1EAC736B"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58D4922E"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DF8E565" w14:textId="77777777" w:rsidR="00DC7569" w:rsidRPr="0006562E" w:rsidRDefault="00DC7569" w:rsidP="00DC7569">
            <w:pPr>
              <w:keepNext/>
              <w:tabs>
                <w:tab w:val="left" w:pos="360"/>
              </w:tabs>
              <w:suppressAutoHyphens/>
              <w:spacing w:after="0" w:line="240" w:lineRule="auto"/>
              <w:jc w:val="right"/>
              <w:rPr>
                <w:rFonts w:ascii="Arial" w:hAnsi="Arial" w:cs="Arial"/>
                <w:sz w:val="20"/>
                <w:szCs w:val="20"/>
              </w:rPr>
            </w:pPr>
          </w:p>
        </w:tc>
      </w:tr>
      <w:tr w:rsidR="00DC7569" w:rsidRPr="00DA4360" w14:paraId="1D1AC259" w14:textId="77777777" w:rsidTr="00AE34D5">
        <w:tc>
          <w:tcPr>
            <w:tcW w:w="4770" w:type="dxa"/>
            <w:tcBorders>
              <w:bottom w:val="single" w:sz="4" w:space="0" w:color="auto"/>
            </w:tcBorders>
            <w:shd w:val="clear" w:color="auto" w:fill="auto"/>
          </w:tcPr>
          <w:p w14:paraId="14525C90"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Direct clinic expenses</w:t>
            </w:r>
          </w:p>
        </w:tc>
        <w:tc>
          <w:tcPr>
            <w:tcW w:w="236" w:type="dxa"/>
            <w:tcBorders>
              <w:bottom w:val="single" w:sz="4" w:space="0" w:color="auto"/>
            </w:tcBorders>
            <w:shd w:val="clear" w:color="auto" w:fill="auto"/>
          </w:tcPr>
          <w:p w14:paraId="36B5CC4B"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776B1F43" w14:textId="6CE0EDF7" w:rsidR="00DC7569" w:rsidRPr="00DA4360" w:rsidRDefault="00EC5AB8" w:rsidP="002F20A8">
            <w:pPr>
              <w:keepNext/>
              <w:tabs>
                <w:tab w:val="left" w:pos="360"/>
              </w:tabs>
              <w:suppressAutoHyphens/>
              <w:spacing w:after="0" w:line="240" w:lineRule="auto"/>
              <w:ind w:right="-49"/>
              <w:jc w:val="right"/>
              <w:rPr>
                <w:rFonts w:ascii="Arial" w:hAnsi="Arial" w:cs="Arial"/>
                <w:b/>
                <w:sz w:val="20"/>
                <w:szCs w:val="20"/>
                <w:lang w:val="en-CA"/>
              </w:rPr>
            </w:pPr>
            <w:r>
              <w:rPr>
                <w:rFonts w:ascii="Arial" w:hAnsi="Arial" w:cs="Arial"/>
                <w:b/>
                <w:sz w:val="20"/>
                <w:szCs w:val="20"/>
                <w:lang w:val="en-CA"/>
              </w:rPr>
              <w:t>(55,397)</w:t>
            </w:r>
          </w:p>
        </w:tc>
        <w:tc>
          <w:tcPr>
            <w:tcW w:w="236" w:type="dxa"/>
            <w:tcBorders>
              <w:bottom w:val="single" w:sz="4" w:space="0" w:color="auto"/>
            </w:tcBorders>
            <w:shd w:val="clear" w:color="auto" w:fill="auto"/>
            <w:vAlign w:val="bottom"/>
          </w:tcPr>
          <w:p w14:paraId="639B56E8"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tcBorders>
              <w:bottom w:val="single" w:sz="4" w:space="0" w:color="auto"/>
            </w:tcBorders>
            <w:shd w:val="clear" w:color="auto" w:fill="auto"/>
          </w:tcPr>
          <w:p w14:paraId="5961EF00" w14:textId="47526F4B" w:rsidR="00DC7569" w:rsidRPr="0006562E" w:rsidRDefault="00DC7569" w:rsidP="002F20A8">
            <w:pPr>
              <w:keepNext/>
              <w:tabs>
                <w:tab w:val="left" w:pos="360"/>
              </w:tabs>
              <w:suppressAutoHyphens/>
              <w:spacing w:after="0" w:line="240" w:lineRule="auto"/>
              <w:ind w:right="-50"/>
              <w:jc w:val="right"/>
              <w:rPr>
                <w:rFonts w:ascii="Arial" w:hAnsi="Arial" w:cs="Arial"/>
                <w:sz w:val="20"/>
                <w:szCs w:val="20"/>
              </w:rPr>
            </w:pPr>
            <w:r w:rsidRPr="0006562E">
              <w:rPr>
                <w:rFonts w:ascii="Arial" w:hAnsi="Arial" w:cs="Arial"/>
                <w:sz w:val="20"/>
                <w:szCs w:val="20"/>
              </w:rPr>
              <w:t>(88,95</w:t>
            </w:r>
            <w:r w:rsidR="00EC5AB8">
              <w:rPr>
                <w:rFonts w:ascii="Arial" w:hAnsi="Arial" w:cs="Arial"/>
                <w:sz w:val="20"/>
                <w:szCs w:val="20"/>
              </w:rPr>
              <w:t>6</w:t>
            </w:r>
            <w:r w:rsidRPr="0006562E">
              <w:rPr>
                <w:rFonts w:ascii="Arial" w:hAnsi="Arial" w:cs="Arial"/>
                <w:sz w:val="20"/>
                <w:szCs w:val="20"/>
              </w:rPr>
              <w:t>)</w:t>
            </w:r>
          </w:p>
        </w:tc>
      </w:tr>
      <w:tr w:rsidR="00DC7569" w:rsidRPr="00DA4360" w14:paraId="4BD8C550" w14:textId="77777777" w:rsidTr="004A1755">
        <w:tc>
          <w:tcPr>
            <w:tcW w:w="4770" w:type="dxa"/>
            <w:tcBorders>
              <w:top w:val="single" w:sz="4" w:space="0" w:color="auto"/>
            </w:tcBorders>
            <w:shd w:val="clear" w:color="auto" w:fill="auto"/>
          </w:tcPr>
          <w:p w14:paraId="269E80AA"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29BAB34E"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7A7D7DFD"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3B575E21"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4" w:space="0" w:color="auto"/>
            </w:tcBorders>
            <w:shd w:val="clear" w:color="auto" w:fill="auto"/>
            <w:vAlign w:val="bottom"/>
          </w:tcPr>
          <w:p w14:paraId="21C2DE59" w14:textId="77777777" w:rsidR="00DC7569" w:rsidRPr="0006562E" w:rsidRDefault="00DC7569" w:rsidP="00DC7569">
            <w:pPr>
              <w:keepNext/>
              <w:tabs>
                <w:tab w:val="left" w:pos="360"/>
              </w:tabs>
              <w:suppressAutoHyphens/>
              <w:spacing w:after="0" w:line="240" w:lineRule="auto"/>
              <w:jc w:val="right"/>
              <w:rPr>
                <w:rFonts w:ascii="Arial" w:hAnsi="Arial" w:cs="Arial"/>
                <w:sz w:val="20"/>
                <w:szCs w:val="20"/>
              </w:rPr>
            </w:pPr>
          </w:p>
        </w:tc>
      </w:tr>
      <w:tr w:rsidR="00DC7569" w:rsidRPr="00DA4360" w14:paraId="69A2CFDD" w14:textId="77777777" w:rsidTr="004A1755">
        <w:tc>
          <w:tcPr>
            <w:tcW w:w="4770" w:type="dxa"/>
            <w:shd w:val="clear" w:color="auto" w:fill="auto"/>
          </w:tcPr>
          <w:p w14:paraId="561664C1"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Earnings from clinic operations</w:t>
            </w:r>
          </w:p>
        </w:tc>
        <w:tc>
          <w:tcPr>
            <w:tcW w:w="236" w:type="dxa"/>
            <w:shd w:val="clear" w:color="auto" w:fill="auto"/>
          </w:tcPr>
          <w:p w14:paraId="34242006"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68ED4CD6" w14:textId="2FD36AE2" w:rsidR="00DC7569" w:rsidRPr="00DA4360" w:rsidRDefault="00EC5AB8" w:rsidP="00DC7569">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607,606</w:t>
            </w:r>
          </w:p>
        </w:tc>
        <w:tc>
          <w:tcPr>
            <w:tcW w:w="236" w:type="dxa"/>
            <w:shd w:val="clear" w:color="auto" w:fill="auto"/>
            <w:vAlign w:val="bottom"/>
          </w:tcPr>
          <w:p w14:paraId="72A99298"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E69BDCA" w14:textId="0403B33E"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190,894</w:t>
            </w:r>
          </w:p>
        </w:tc>
      </w:tr>
      <w:tr w:rsidR="00DC7569" w:rsidRPr="00DA4360" w14:paraId="03AEB88D" w14:textId="77777777" w:rsidTr="004A1755">
        <w:tc>
          <w:tcPr>
            <w:tcW w:w="4770" w:type="dxa"/>
            <w:shd w:val="clear" w:color="auto" w:fill="auto"/>
          </w:tcPr>
          <w:p w14:paraId="260D3744"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640DE758"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04710B4A"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7FCAD412"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2336AD9A" w14:textId="77777777" w:rsidR="00DC7569" w:rsidRPr="0006562E" w:rsidRDefault="00DC7569" w:rsidP="00DC7569">
            <w:pPr>
              <w:keepNext/>
              <w:tabs>
                <w:tab w:val="left" w:pos="360"/>
              </w:tabs>
              <w:suppressAutoHyphens/>
              <w:spacing w:after="0" w:line="240" w:lineRule="auto"/>
              <w:jc w:val="right"/>
              <w:rPr>
                <w:rFonts w:ascii="Arial" w:hAnsi="Arial" w:cs="Arial"/>
                <w:sz w:val="20"/>
                <w:szCs w:val="20"/>
              </w:rPr>
            </w:pPr>
          </w:p>
        </w:tc>
      </w:tr>
      <w:tr w:rsidR="00DC7569" w:rsidRPr="00DA4360" w14:paraId="226E2488" w14:textId="77777777" w:rsidTr="00AE34D5">
        <w:tc>
          <w:tcPr>
            <w:tcW w:w="4770" w:type="dxa"/>
            <w:shd w:val="clear" w:color="auto" w:fill="auto"/>
          </w:tcPr>
          <w:p w14:paraId="60EAB743"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Operating expenses</w:t>
            </w:r>
          </w:p>
        </w:tc>
        <w:tc>
          <w:tcPr>
            <w:tcW w:w="236" w:type="dxa"/>
            <w:shd w:val="clear" w:color="auto" w:fill="auto"/>
          </w:tcPr>
          <w:p w14:paraId="27856E77"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44EB9F00" w14:textId="7DD9D765"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(1,042,785)</w:t>
            </w:r>
          </w:p>
        </w:tc>
        <w:tc>
          <w:tcPr>
            <w:tcW w:w="236" w:type="dxa"/>
            <w:shd w:val="clear" w:color="auto" w:fill="auto"/>
            <w:vAlign w:val="bottom"/>
          </w:tcPr>
          <w:p w14:paraId="1E3F9FB0"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tcPr>
          <w:p w14:paraId="09DDF0DE" w14:textId="6C1929D3" w:rsidR="00DC7569" w:rsidRPr="0006562E" w:rsidRDefault="00DC7569" w:rsidP="002F20A8">
            <w:pPr>
              <w:keepNext/>
              <w:tabs>
                <w:tab w:val="left" w:pos="360"/>
              </w:tabs>
              <w:suppressAutoHyphens/>
              <w:spacing w:after="0" w:line="240" w:lineRule="auto"/>
              <w:ind w:right="-59"/>
              <w:jc w:val="right"/>
              <w:rPr>
                <w:rFonts w:ascii="Arial" w:hAnsi="Arial" w:cs="Arial"/>
                <w:sz w:val="20"/>
                <w:szCs w:val="20"/>
              </w:rPr>
            </w:pPr>
            <w:r w:rsidRPr="0006562E">
              <w:rPr>
                <w:rFonts w:ascii="Arial" w:hAnsi="Arial" w:cs="Arial"/>
                <w:sz w:val="20"/>
                <w:szCs w:val="20"/>
              </w:rPr>
              <w:t>(</w:t>
            </w:r>
            <w:r w:rsidR="00EC5AB8">
              <w:rPr>
                <w:rFonts w:ascii="Arial" w:hAnsi="Arial" w:cs="Arial"/>
                <w:sz w:val="20"/>
                <w:szCs w:val="20"/>
              </w:rPr>
              <w:t>91,534</w:t>
            </w:r>
            <w:r w:rsidRPr="0006562E">
              <w:rPr>
                <w:rFonts w:ascii="Arial" w:hAnsi="Arial" w:cs="Arial"/>
                <w:sz w:val="20"/>
                <w:szCs w:val="20"/>
              </w:rPr>
              <w:t>)</w:t>
            </w:r>
          </w:p>
        </w:tc>
      </w:tr>
      <w:tr w:rsidR="00DC7569" w:rsidRPr="00DA4360" w14:paraId="51373C29" w14:textId="77777777" w:rsidTr="004A1755">
        <w:tc>
          <w:tcPr>
            <w:tcW w:w="4770" w:type="dxa"/>
            <w:shd w:val="clear" w:color="auto" w:fill="auto"/>
          </w:tcPr>
          <w:p w14:paraId="767C2B80"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Legal and professional fees</w:t>
            </w:r>
          </w:p>
        </w:tc>
        <w:tc>
          <w:tcPr>
            <w:tcW w:w="236" w:type="dxa"/>
            <w:shd w:val="clear" w:color="auto" w:fill="auto"/>
          </w:tcPr>
          <w:p w14:paraId="149DD340"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05BDFA92" w14:textId="3F5E1098"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(321,835)</w:t>
            </w:r>
          </w:p>
        </w:tc>
        <w:tc>
          <w:tcPr>
            <w:tcW w:w="236" w:type="dxa"/>
            <w:shd w:val="clear" w:color="auto" w:fill="auto"/>
            <w:vAlign w:val="bottom"/>
          </w:tcPr>
          <w:p w14:paraId="64426EFB"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3A87902" w14:textId="7363E4B0" w:rsidR="00DC7569" w:rsidRPr="0006562E" w:rsidRDefault="00893239" w:rsidP="002F20A8">
            <w:pPr>
              <w:keepNext/>
              <w:tabs>
                <w:tab w:val="left" w:pos="360"/>
              </w:tabs>
              <w:suppressAutoHyphens/>
              <w:spacing w:after="0" w:line="240" w:lineRule="auto"/>
              <w:ind w:right="-59"/>
              <w:jc w:val="right"/>
              <w:rPr>
                <w:rFonts w:ascii="Arial" w:hAnsi="Arial" w:cs="Arial"/>
                <w:sz w:val="20"/>
                <w:szCs w:val="20"/>
              </w:rPr>
            </w:pPr>
            <w:r w:rsidRPr="0006562E">
              <w:rPr>
                <w:rFonts w:ascii="Arial" w:hAnsi="Arial" w:cs="Arial"/>
                <w:sz w:val="20"/>
                <w:szCs w:val="20"/>
              </w:rPr>
              <w:t>(</w:t>
            </w:r>
            <w:r w:rsidR="00EC5AB8">
              <w:rPr>
                <w:rFonts w:ascii="Arial" w:hAnsi="Arial" w:cs="Arial"/>
                <w:sz w:val="20"/>
                <w:szCs w:val="20"/>
              </w:rPr>
              <w:t>495,774</w:t>
            </w:r>
            <w:r w:rsidRPr="0006562E">
              <w:rPr>
                <w:rFonts w:ascii="Arial" w:hAnsi="Arial" w:cs="Arial"/>
                <w:sz w:val="20"/>
                <w:szCs w:val="20"/>
              </w:rPr>
              <w:t>)</w:t>
            </w:r>
          </w:p>
        </w:tc>
      </w:tr>
      <w:tr w:rsidR="00DC7569" w:rsidRPr="00DA4360" w14:paraId="63320C98" w14:textId="77777777" w:rsidTr="004A1755">
        <w:tc>
          <w:tcPr>
            <w:tcW w:w="4770" w:type="dxa"/>
            <w:shd w:val="clear" w:color="auto" w:fill="auto"/>
          </w:tcPr>
          <w:p w14:paraId="4F0BC317"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Depreciation and amortization expense</w:t>
            </w:r>
          </w:p>
        </w:tc>
        <w:tc>
          <w:tcPr>
            <w:tcW w:w="236" w:type="dxa"/>
            <w:shd w:val="clear" w:color="auto" w:fill="auto"/>
          </w:tcPr>
          <w:p w14:paraId="11482D2A"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18F955A3" w14:textId="50B7AFC8"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(79,495)</w:t>
            </w:r>
          </w:p>
        </w:tc>
        <w:tc>
          <w:tcPr>
            <w:tcW w:w="236" w:type="dxa"/>
            <w:shd w:val="clear" w:color="auto" w:fill="auto"/>
            <w:vAlign w:val="bottom"/>
          </w:tcPr>
          <w:p w14:paraId="30571C97"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18F0A68C" w14:textId="448CC9CA" w:rsidR="00DC7569" w:rsidRPr="0006562E" w:rsidRDefault="00DC7569" w:rsidP="002F20A8">
            <w:pPr>
              <w:keepNext/>
              <w:tabs>
                <w:tab w:val="left" w:pos="360"/>
              </w:tabs>
              <w:suppressAutoHyphens/>
              <w:spacing w:after="0" w:line="240" w:lineRule="auto"/>
              <w:ind w:right="-59"/>
              <w:jc w:val="right"/>
              <w:rPr>
                <w:rFonts w:ascii="Arial" w:hAnsi="Arial" w:cs="Arial"/>
                <w:sz w:val="20"/>
                <w:szCs w:val="20"/>
              </w:rPr>
            </w:pPr>
            <w:r w:rsidRPr="0006562E">
              <w:rPr>
                <w:rFonts w:ascii="Arial" w:hAnsi="Arial" w:cs="Arial"/>
                <w:sz w:val="20"/>
                <w:szCs w:val="20"/>
              </w:rPr>
              <w:t>(8,634)</w:t>
            </w:r>
          </w:p>
        </w:tc>
      </w:tr>
      <w:tr w:rsidR="00DC7569" w:rsidRPr="00DA4360" w14:paraId="6DFF6E29" w14:textId="77777777" w:rsidTr="004A1755">
        <w:tc>
          <w:tcPr>
            <w:tcW w:w="4770" w:type="dxa"/>
            <w:tcBorders>
              <w:bottom w:val="single" w:sz="4" w:space="0" w:color="auto"/>
            </w:tcBorders>
            <w:shd w:val="clear" w:color="auto" w:fill="auto"/>
          </w:tcPr>
          <w:p w14:paraId="121A04DA"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 xml:space="preserve">Share-based payments </w:t>
            </w:r>
          </w:p>
        </w:tc>
        <w:tc>
          <w:tcPr>
            <w:tcW w:w="236" w:type="dxa"/>
            <w:tcBorders>
              <w:bottom w:val="single" w:sz="4" w:space="0" w:color="auto"/>
            </w:tcBorders>
            <w:shd w:val="clear" w:color="auto" w:fill="auto"/>
          </w:tcPr>
          <w:p w14:paraId="0B38ECAD"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21DC5548" w14:textId="29530467"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(7,388)</w:t>
            </w:r>
          </w:p>
        </w:tc>
        <w:tc>
          <w:tcPr>
            <w:tcW w:w="236" w:type="dxa"/>
            <w:tcBorders>
              <w:bottom w:val="single" w:sz="4" w:space="0" w:color="auto"/>
            </w:tcBorders>
            <w:shd w:val="clear" w:color="auto" w:fill="auto"/>
            <w:vAlign w:val="bottom"/>
          </w:tcPr>
          <w:p w14:paraId="1CC079FC"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tcBorders>
              <w:bottom w:val="single" w:sz="4" w:space="0" w:color="auto"/>
            </w:tcBorders>
            <w:shd w:val="clear" w:color="auto" w:fill="auto"/>
            <w:vAlign w:val="bottom"/>
          </w:tcPr>
          <w:p w14:paraId="1F146F52" w14:textId="19A777A0"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 xml:space="preserve">- </w:t>
            </w:r>
          </w:p>
        </w:tc>
      </w:tr>
      <w:tr w:rsidR="00DC7569" w:rsidRPr="00DA4360" w14:paraId="1D91C42A" w14:textId="77777777" w:rsidTr="004A1755">
        <w:tc>
          <w:tcPr>
            <w:tcW w:w="4770" w:type="dxa"/>
            <w:tcBorders>
              <w:top w:val="single" w:sz="4" w:space="0" w:color="auto"/>
            </w:tcBorders>
            <w:shd w:val="clear" w:color="auto" w:fill="auto"/>
          </w:tcPr>
          <w:p w14:paraId="7B31FEC5"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4807D0B7"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6EDECDC6" w14:textId="77777777" w:rsidR="00DC7569" w:rsidRPr="00DA4360" w:rsidRDefault="00DC7569" w:rsidP="002F20A8">
            <w:pPr>
              <w:keepNext/>
              <w:tabs>
                <w:tab w:val="left" w:pos="360"/>
              </w:tabs>
              <w:suppressAutoHyphens/>
              <w:spacing w:after="0" w:line="240" w:lineRule="auto"/>
              <w:ind w:right="-67"/>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74892833"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4" w:space="0" w:color="auto"/>
            </w:tcBorders>
            <w:shd w:val="clear" w:color="auto" w:fill="auto"/>
            <w:vAlign w:val="bottom"/>
          </w:tcPr>
          <w:p w14:paraId="4CD835B8" w14:textId="77777777" w:rsidR="00DC7569" w:rsidRPr="0006562E" w:rsidRDefault="00DC7569" w:rsidP="00DC7569">
            <w:pPr>
              <w:keepNext/>
              <w:tabs>
                <w:tab w:val="left" w:pos="360"/>
              </w:tabs>
              <w:suppressAutoHyphens/>
              <w:spacing w:after="0" w:line="240" w:lineRule="auto"/>
              <w:jc w:val="right"/>
              <w:rPr>
                <w:rFonts w:ascii="Arial" w:hAnsi="Arial" w:cs="Arial"/>
                <w:sz w:val="20"/>
                <w:szCs w:val="20"/>
              </w:rPr>
            </w:pPr>
          </w:p>
        </w:tc>
      </w:tr>
      <w:tr w:rsidR="00DC7569" w:rsidRPr="00DA4360" w14:paraId="5BB3ACE0" w14:textId="77777777" w:rsidTr="004A1755">
        <w:tc>
          <w:tcPr>
            <w:tcW w:w="4770" w:type="dxa"/>
            <w:shd w:val="clear" w:color="auto" w:fill="auto"/>
          </w:tcPr>
          <w:p w14:paraId="7C1F3D72"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from operations</w:t>
            </w:r>
          </w:p>
        </w:tc>
        <w:tc>
          <w:tcPr>
            <w:tcW w:w="236" w:type="dxa"/>
            <w:shd w:val="clear" w:color="auto" w:fill="auto"/>
          </w:tcPr>
          <w:p w14:paraId="55853579"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26154EC" w14:textId="1D2E454C"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(843,897)</w:t>
            </w:r>
          </w:p>
        </w:tc>
        <w:tc>
          <w:tcPr>
            <w:tcW w:w="236" w:type="dxa"/>
            <w:shd w:val="clear" w:color="auto" w:fill="auto"/>
            <w:vAlign w:val="bottom"/>
          </w:tcPr>
          <w:p w14:paraId="1B03C624"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7AD515D6" w14:textId="7499E1F3" w:rsidR="00DC7569" w:rsidRPr="0006562E" w:rsidRDefault="00DC7569" w:rsidP="002F20A8">
            <w:pPr>
              <w:keepNext/>
              <w:tabs>
                <w:tab w:val="left" w:pos="360"/>
              </w:tabs>
              <w:suppressAutoHyphens/>
              <w:spacing w:after="0" w:line="240" w:lineRule="auto"/>
              <w:ind w:right="-68"/>
              <w:jc w:val="right"/>
              <w:rPr>
                <w:rFonts w:ascii="Arial" w:hAnsi="Arial" w:cs="Arial"/>
                <w:sz w:val="20"/>
                <w:szCs w:val="20"/>
              </w:rPr>
            </w:pPr>
            <w:r w:rsidRPr="0006562E">
              <w:rPr>
                <w:rFonts w:ascii="Arial" w:hAnsi="Arial" w:cs="Arial"/>
                <w:sz w:val="20"/>
                <w:szCs w:val="20"/>
              </w:rPr>
              <w:t>(</w:t>
            </w:r>
            <w:r w:rsidR="00EC5AB8">
              <w:rPr>
                <w:rFonts w:ascii="Arial" w:hAnsi="Arial" w:cs="Arial"/>
                <w:sz w:val="20"/>
                <w:szCs w:val="20"/>
              </w:rPr>
              <w:t>405,048</w:t>
            </w:r>
            <w:r w:rsidRPr="0006562E">
              <w:rPr>
                <w:rFonts w:ascii="Arial" w:hAnsi="Arial" w:cs="Arial"/>
                <w:sz w:val="20"/>
                <w:szCs w:val="20"/>
              </w:rPr>
              <w:t>)</w:t>
            </w:r>
          </w:p>
        </w:tc>
      </w:tr>
      <w:tr w:rsidR="00DC7569" w:rsidRPr="00DA4360" w14:paraId="10B9DB2F" w14:textId="77777777" w:rsidTr="004A1755">
        <w:tc>
          <w:tcPr>
            <w:tcW w:w="4770" w:type="dxa"/>
            <w:shd w:val="clear" w:color="auto" w:fill="auto"/>
          </w:tcPr>
          <w:p w14:paraId="16FBEA37"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highlight w:val="yellow"/>
                <w:lang w:val="en-CA"/>
              </w:rPr>
            </w:pPr>
          </w:p>
        </w:tc>
        <w:tc>
          <w:tcPr>
            <w:tcW w:w="236" w:type="dxa"/>
            <w:shd w:val="clear" w:color="auto" w:fill="auto"/>
          </w:tcPr>
          <w:p w14:paraId="5954F57A"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highlight w:val="yellow"/>
                <w:lang w:val="en-CA"/>
              </w:rPr>
            </w:pPr>
          </w:p>
        </w:tc>
        <w:tc>
          <w:tcPr>
            <w:tcW w:w="2054" w:type="dxa"/>
            <w:shd w:val="clear" w:color="auto" w:fill="auto"/>
            <w:vAlign w:val="bottom"/>
          </w:tcPr>
          <w:p w14:paraId="2B5A3DAF" w14:textId="77777777" w:rsidR="00DC7569" w:rsidRPr="00DA4360" w:rsidRDefault="00DC7569" w:rsidP="002F20A8">
            <w:pPr>
              <w:keepNext/>
              <w:tabs>
                <w:tab w:val="left" w:pos="360"/>
              </w:tabs>
              <w:suppressAutoHyphens/>
              <w:spacing w:after="0" w:line="240" w:lineRule="auto"/>
              <w:ind w:right="-67"/>
              <w:jc w:val="right"/>
              <w:rPr>
                <w:rFonts w:ascii="Arial" w:hAnsi="Arial" w:cs="Arial"/>
                <w:b/>
                <w:sz w:val="20"/>
                <w:szCs w:val="20"/>
                <w:highlight w:val="yellow"/>
                <w:lang w:val="en-CA"/>
              </w:rPr>
            </w:pPr>
          </w:p>
        </w:tc>
        <w:tc>
          <w:tcPr>
            <w:tcW w:w="236" w:type="dxa"/>
            <w:shd w:val="clear" w:color="auto" w:fill="auto"/>
            <w:vAlign w:val="bottom"/>
          </w:tcPr>
          <w:p w14:paraId="3FFD3FC9"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7184DA5B" w14:textId="77777777" w:rsidR="00DC7569" w:rsidRPr="0006562E" w:rsidRDefault="00DC7569" w:rsidP="00DC7569">
            <w:pPr>
              <w:keepNext/>
              <w:tabs>
                <w:tab w:val="left" w:pos="360"/>
              </w:tabs>
              <w:suppressAutoHyphens/>
              <w:spacing w:after="0" w:line="240" w:lineRule="auto"/>
              <w:jc w:val="right"/>
              <w:rPr>
                <w:rFonts w:ascii="Arial" w:hAnsi="Arial" w:cs="Arial"/>
                <w:sz w:val="20"/>
                <w:szCs w:val="20"/>
              </w:rPr>
            </w:pPr>
          </w:p>
        </w:tc>
      </w:tr>
      <w:tr w:rsidR="00DC7569" w:rsidRPr="00DA4360" w14:paraId="03914E51" w14:textId="77777777" w:rsidTr="004A1755">
        <w:tc>
          <w:tcPr>
            <w:tcW w:w="4770" w:type="dxa"/>
            <w:shd w:val="clear" w:color="auto" w:fill="auto"/>
          </w:tcPr>
          <w:p w14:paraId="0E7E3624"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Accretion expense</w:t>
            </w:r>
          </w:p>
        </w:tc>
        <w:tc>
          <w:tcPr>
            <w:tcW w:w="236" w:type="dxa"/>
            <w:shd w:val="clear" w:color="auto" w:fill="auto"/>
          </w:tcPr>
          <w:p w14:paraId="1AEFAF70"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82A238A" w14:textId="5ADD048B"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(91,432)</w:t>
            </w:r>
          </w:p>
        </w:tc>
        <w:tc>
          <w:tcPr>
            <w:tcW w:w="236" w:type="dxa"/>
            <w:shd w:val="clear" w:color="auto" w:fill="auto"/>
            <w:vAlign w:val="bottom"/>
          </w:tcPr>
          <w:p w14:paraId="03A26CC2"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0932F944" w14:textId="4A62AFCC"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w:t>
            </w:r>
          </w:p>
        </w:tc>
      </w:tr>
      <w:tr w:rsidR="00DC7569" w:rsidRPr="00DA4360" w14:paraId="51E5B13B" w14:textId="77777777" w:rsidTr="004A1755">
        <w:tc>
          <w:tcPr>
            <w:tcW w:w="4770" w:type="dxa"/>
            <w:shd w:val="clear" w:color="auto" w:fill="auto"/>
          </w:tcPr>
          <w:p w14:paraId="78763E22"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income</w:t>
            </w:r>
          </w:p>
        </w:tc>
        <w:tc>
          <w:tcPr>
            <w:tcW w:w="236" w:type="dxa"/>
            <w:shd w:val="clear" w:color="auto" w:fill="auto"/>
          </w:tcPr>
          <w:p w14:paraId="6B3A8DD8"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40607C19" w14:textId="0DFC4EA1" w:rsidR="00DC7569" w:rsidRPr="00DA4360" w:rsidRDefault="002F20A8" w:rsidP="00DC7569">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1,905</w:t>
            </w:r>
          </w:p>
        </w:tc>
        <w:tc>
          <w:tcPr>
            <w:tcW w:w="236" w:type="dxa"/>
            <w:shd w:val="clear" w:color="auto" w:fill="auto"/>
            <w:vAlign w:val="bottom"/>
          </w:tcPr>
          <w:p w14:paraId="5085A2D3"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31C44707" w14:textId="449EADFF"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w:t>
            </w:r>
          </w:p>
        </w:tc>
      </w:tr>
      <w:tr w:rsidR="00DC7569" w:rsidRPr="00DA4360" w14:paraId="186DCAB6" w14:textId="77777777" w:rsidTr="004A1755">
        <w:tc>
          <w:tcPr>
            <w:tcW w:w="4770" w:type="dxa"/>
            <w:shd w:val="clear" w:color="auto" w:fill="auto"/>
          </w:tcPr>
          <w:p w14:paraId="73CD0E87"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expense</w:t>
            </w:r>
          </w:p>
        </w:tc>
        <w:tc>
          <w:tcPr>
            <w:tcW w:w="236" w:type="dxa"/>
            <w:shd w:val="clear" w:color="auto" w:fill="auto"/>
          </w:tcPr>
          <w:p w14:paraId="1CB3590A"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276BA22F" w14:textId="6BEA4826" w:rsidR="00DC7569" w:rsidRPr="00DA4360" w:rsidRDefault="002F20A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(53,430)</w:t>
            </w:r>
          </w:p>
        </w:tc>
        <w:tc>
          <w:tcPr>
            <w:tcW w:w="236" w:type="dxa"/>
            <w:shd w:val="clear" w:color="auto" w:fill="auto"/>
            <w:vAlign w:val="bottom"/>
          </w:tcPr>
          <w:p w14:paraId="6739BED6"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2D5B08CF" w14:textId="6C44FF9C" w:rsidR="00DC7569" w:rsidRPr="0006562E" w:rsidRDefault="00893239" w:rsidP="002F20A8">
            <w:pPr>
              <w:keepNext/>
              <w:tabs>
                <w:tab w:val="left" w:pos="360"/>
              </w:tabs>
              <w:suppressAutoHyphens/>
              <w:spacing w:after="0" w:line="240" w:lineRule="auto"/>
              <w:ind w:right="-68"/>
              <w:jc w:val="right"/>
              <w:rPr>
                <w:rFonts w:ascii="Arial" w:hAnsi="Arial" w:cs="Arial"/>
                <w:sz w:val="20"/>
                <w:szCs w:val="20"/>
              </w:rPr>
            </w:pPr>
            <w:r w:rsidRPr="0006562E">
              <w:rPr>
                <w:rFonts w:ascii="Arial" w:hAnsi="Arial" w:cs="Arial"/>
                <w:sz w:val="20"/>
                <w:szCs w:val="20"/>
              </w:rPr>
              <w:t>(2,3</w:t>
            </w:r>
            <w:r w:rsidR="00EC5AB8">
              <w:rPr>
                <w:rFonts w:ascii="Arial" w:hAnsi="Arial" w:cs="Arial"/>
                <w:sz w:val="20"/>
                <w:szCs w:val="20"/>
              </w:rPr>
              <w:t>78</w:t>
            </w:r>
            <w:r w:rsidRPr="0006562E">
              <w:rPr>
                <w:rFonts w:ascii="Arial" w:hAnsi="Arial" w:cs="Arial"/>
                <w:sz w:val="20"/>
                <w:szCs w:val="20"/>
              </w:rPr>
              <w:t>)</w:t>
            </w:r>
          </w:p>
        </w:tc>
      </w:tr>
      <w:tr w:rsidR="00DC7569" w:rsidRPr="00DA4360" w14:paraId="351711E4" w14:textId="77777777" w:rsidTr="004A1755">
        <w:tc>
          <w:tcPr>
            <w:tcW w:w="4770" w:type="dxa"/>
            <w:shd w:val="clear" w:color="auto" w:fill="auto"/>
          </w:tcPr>
          <w:p w14:paraId="385DB076"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 on change in fair value of warrant liability</w:t>
            </w:r>
          </w:p>
        </w:tc>
        <w:tc>
          <w:tcPr>
            <w:tcW w:w="236" w:type="dxa"/>
            <w:shd w:val="clear" w:color="auto" w:fill="auto"/>
          </w:tcPr>
          <w:p w14:paraId="7D475DCE"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5E697DB" w14:textId="726309F3" w:rsidR="00DC7569" w:rsidRPr="00DA4360" w:rsidRDefault="002F20A8" w:rsidP="00DC7569">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512,415</w:t>
            </w:r>
          </w:p>
        </w:tc>
        <w:tc>
          <w:tcPr>
            <w:tcW w:w="236" w:type="dxa"/>
            <w:shd w:val="clear" w:color="auto" w:fill="auto"/>
            <w:vAlign w:val="bottom"/>
          </w:tcPr>
          <w:p w14:paraId="6A5C7550"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780D6636" w14:textId="5FE624DC"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w:t>
            </w:r>
          </w:p>
        </w:tc>
      </w:tr>
      <w:tr w:rsidR="00DC7569" w:rsidRPr="00DA4360" w14:paraId="0CC6B352" w14:textId="77777777" w:rsidTr="004A1755">
        <w:tc>
          <w:tcPr>
            <w:tcW w:w="4770" w:type="dxa"/>
            <w:shd w:val="clear" w:color="auto" w:fill="auto"/>
          </w:tcPr>
          <w:p w14:paraId="51161D70"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 on change in fair value of conversion option</w:t>
            </w:r>
          </w:p>
        </w:tc>
        <w:tc>
          <w:tcPr>
            <w:tcW w:w="236" w:type="dxa"/>
            <w:shd w:val="clear" w:color="auto" w:fill="auto"/>
          </w:tcPr>
          <w:p w14:paraId="587421B6"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A3E1CA7" w14:textId="2435EDE4" w:rsidR="00DC7569" w:rsidRPr="00DA4360" w:rsidRDefault="002F20A8" w:rsidP="00DC7569">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126,542</w:t>
            </w:r>
          </w:p>
        </w:tc>
        <w:tc>
          <w:tcPr>
            <w:tcW w:w="236" w:type="dxa"/>
            <w:shd w:val="clear" w:color="auto" w:fill="auto"/>
            <w:vAlign w:val="bottom"/>
          </w:tcPr>
          <w:p w14:paraId="3BDE3532"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56AB82D3" w14:textId="1B20F2E0" w:rsidR="00DC7569" w:rsidRPr="0006562E" w:rsidRDefault="00DC7569" w:rsidP="00DC7569">
            <w:pPr>
              <w:keepNext/>
              <w:tabs>
                <w:tab w:val="left" w:pos="360"/>
              </w:tabs>
              <w:suppressAutoHyphens/>
              <w:spacing w:after="0" w:line="240" w:lineRule="auto"/>
              <w:jc w:val="right"/>
              <w:rPr>
                <w:rFonts w:ascii="Arial" w:hAnsi="Arial" w:cs="Arial"/>
                <w:sz w:val="20"/>
                <w:szCs w:val="20"/>
              </w:rPr>
            </w:pPr>
            <w:r w:rsidRPr="0006562E">
              <w:rPr>
                <w:rFonts w:ascii="Arial" w:hAnsi="Arial" w:cs="Arial"/>
                <w:sz w:val="20"/>
                <w:szCs w:val="20"/>
              </w:rPr>
              <w:t>-</w:t>
            </w:r>
          </w:p>
        </w:tc>
      </w:tr>
      <w:tr w:rsidR="00893239" w:rsidRPr="00DA4360" w14:paraId="4AD41FDF" w14:textId="77777777" w:rsidTr="00AE34D5">
        <w:tc>
          <w:tcPr>
            <w:tcW w:w="4770" w:type="dxa"/>
            <w:shd w:val="clear" w:color="auto" w:fill="auto"/>
          </w:tcPr>
          <w:p w14:paraId="07793309" w14:textId="0F583AA1" w:rsidR="00893239" w:rsidRPr="00DA4360" w:rsidRDefault="002F20A8" w:rsidP="00893239">
            <w:pPr>
              <w:keepNext/>
              <w:tabs>
                <w:tab w:val="left" w:pos="360"/>
              </w:tabs>
              <w:suppressAutoHyphens/>
              <w:spacing w:after="0" w:line="240" w:lineRule="auto"/>
              <w:jc w:val="both"/>
              <w:rPr>
                <w:rFonts w:ascii="Arial" w:hAnsi="Arial" w:cs="Arial"/>
                <w:sz w:val="20"/>
                <w:szCs w:val="20"/>
                <w:lang w:val="en-CA"/>
              </w:rPr>
            </w:pPr>
            <w:r>
              <w:rPr>
                <w:rFonts w:ascii="Arial" w:hAnsi="Arial" w:cs="Arial"/>
                <w:sz w:val="20"/>
                <w:szCs w:val="20"/>
                <w:lang w:val="en-CA"/>
              </w:rPr>
              <w:t>Restructuring</w:t>
            </w:r>
          </w:p>
        </w:tc>
        <w:tc>
          <w:tcPr>
            <w:tcW w:w="236" w:type="dxa"/>
            <w:shd w:val="clear" w:color="auto" w:fill="auto"/>
          </w:tcPr>
          <w:p w14:paraId="4FA790BF" w14:textId="77777777" w:rsidR="00893239" w:rsidRPr="00DA4360" w:rsidRDefault="00893239" w:rsidP="00893239">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6A68DD3B" w14:textId="11A56C5B" w:rsidR="00893239" w:rsidRPr="00DA4360" w:rsidRDefault="005D44AA" w:rsidP="005D44AA">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w:t>
            </w:r>
            <w:r w:rsidR="002F20A8">
              <w:rPr>
                <w:rFonts w:ascii="Arial" w:hAnsi="Arial" w:cs="Arial"/>
                <w:b/>
                <w:sz w:val="20"/>
                <w:szCs w:val="20"/>
                <w:lang w:val="en-CA"/>
              </w:rPr>
              <w:t>169,606</w:t>
            </w:r>
            <w:r>
              <w:rPr>
                <w:rFonts w:ascii="Arial" w:hAnsi="Arial" w:cs="Arial"/>
                <w:b/>
                <w:sz w:val="20"/>
                <w:szCs w:val="20"/>
                <w:lang w:val="en-CA"/>
              </w:rPr>
              <w:t>)</w:t>
            </w:r>
          </w:p>
        </w:tc>
        <w:tc>
          <w:tcPr>
            <w:tcW w:w="236" w:type="dxa"/>
            <w:shd w:val="clear" w:color="auto" w:fill="auto"/>
            <w:vAlign w:val="bottom"/>
          </w:tcPr>
          <w:p w14:paraId="53FC0536" w14:textId="77777777" w:rsidR="00893239" w:rsidRPr="00DA4360" w:rsidRDefault="00893239" w:rsidP="0089323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tcPr>
          <w:p w14:paraId="0660CE39" w14:textId="51196BFB" w:rsidR="00893239" w:rsidRPr="0006562E" w:rsidRDefault="00EC5AB8" w:rsidP="00893239">
            <w:pPr>
              <w:keepNext/>
              <w:tabs>
                <w:tab w:val="left" w:pos="360"/>
              </w:tabs>
              <w:suppressAutoHyphens/>
              <w:spacing w:after="0" w:line="240" w:lineRule="auto"/>
              <w:jc w:val="right"/>
              <w:rPr>
                <w:rFonts w:ascii="Arial" w:hAnsi="Arial" w:cs="Arial"/>
                <w:sz w:val="20"/>
                <w:szCs w:val="20"/>
              </w:rPr>
            </w:pPr>
            <w:r>
              <w:rPr>
                <w:rFonts w:ascii="Arial" w:hAnsi="Arial" w:cs="Arial"/>
                <w:sz w:val="20"/>
                <w:szCs w:val="20"/>
              </w:rPr>
              <w:t>-</w:t>
            </w:r>
          </w:p>
        </w:tc>
      </w:tr>
      <w:tr w:rsidR="00DC7569" w:rsidRPr="00DA4360" w14:paraId="37E46203" w14:textId="77777777" w:rsidTr="004A1755">
        <w:tc>
          <w:tcPr>
            <w:tcW w:w="4770" w:type="dxa"/>
            <w:tcBorders>
              <w:bottom w:val="single" w:sz="4" w:space="0" w:color="auto"/>
            </w:tcBorders>
            <w:shd w:val="clear" w:color="auto" w:fill="auto"/>
          </w:tcPr>
          <w:p w14:paraId="3DD9FC06"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Other expense, net</w:t>
            </w:r>
          </w:p>
        </w:tc>
        <w:tc>
          <w:tcPr>
            <w:tcW w:w="236" w:type="dxa"/>
            <w:tcBorders>
              <w:bottom w:val="single" w:sz="4" w:space="0" w:color="auto"/>
            </w:tcBorders>
            <w:shd w:val="clear" w:color="auto" w:fill="auto"/>
          </w:tcPr>
          <w:p w14:paraId="6EA64499"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7BA29A4A" w14:textId="04EE0009" w:rsidR="00DC7569" w:rsidRPr="00DA4360" w:rsidRDefault="002F20A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(12,972)</w:t>
            </w:r>
          </w:p>
        </w:tc>
        <w:tc>
          <w:tcPr>
            <w:tcW w:w="236" w:type="dxa"/>
            <w:tcBorders>
              <w:bottom w:val="single" w:sz="4" w:space="0" w:color="auto"/>
            </w:tcBorders>
            <w:shd w:val="clear" w:color="auto" w:fill="auto"/>
            <w:vAlign w:val="bottom"/>
          </w:tcPr>
          <w:p w14:paraId="2805FAB3"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tcBorders>
              <w:bottom w:val="single" w:sz="4" w:space="0" w:color="auto"/>
            </w:tcBorders>
            <w:shd w:val="clear" w:color="auto" w:fill="auto"/>
            <w:vAlign w:val="bottom"/>
          </w:tcPr>
          <w:p w14:paraId="086F7B93" w14:textId="1A15AA2C" w:rsidR="00DC7569" w:rsidRPr="0006562E" w:rsidRDefault="00EC5AB8" w:rsidP="002F20A8">
            <w:pPr>
              <w:keepNext/>
              <w:tabs>
                <w:tab w:val="left" w:pos="360"/>
              </w:tabs>
              <w:suppressAutoHyphens/>
              <w:spacing w:after="0" w:line="240" w:lineRule="auto"/>
              <w:ind w:right="-68"/>
              <w:jc w:val="right"/>
              <w:rPr>
                <w:rFonts w:ascii="Arial" w:hAnsi="Arial" w:cs="Arial"/>
                <w:sz w:val="20"/>
                <w:szCs w:val="20"/>
              </w:rPr>
            </w:pPr>
            <w:r>
              <w:rPr>
                <w:rFonts w:ascii="Arial" w:hAnsi="Arial" w:cs="Arial"/>
                <w:sz w:val="20"/>
                <w:szCs w:val="20"/>
              </w:rPr>
              <w:t>(28,769)</w:t>
            </w:r>
          </w:p>
        </w:tc>
      </w:tr>
      <w:tr w:rsidR="00DC7569" w:rsidRPr="00DA4360" w14:paraId="0CFCD74D" w14:textId="77777777" w:rsidTr="004A1755">
        <w:tc>
          <w:tcPr>
            <w:tcW w:w="4770" w:type="dxa"/>
            <w:tcBorders>
              <w:top w:val="single" w:sz="4" w:space="0" w:color="auto"/>
            </w:tcBorders>
            <w:shd w:val="clear" w:color="auto" w:fill="auto"/>
          </w:tcPr>
          <w:p w14:paraId="4F90DBFD" w14:textId="77777777" w:rsidR="00DC7569" w:rsidRPr="00DA4360" w:rsidRDefault="00DC7569" w:rsidP="00DC7569">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03545D05" w14:textId="77777777"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56812FB4" w14:textId="77777777" w:rsidR="00DC7569" w:rsidRPr="00DA4360" w:rsidRDefault="00DC7569" w:rsidP="002F20A8">
            <w:pPr>
              <w:keepNext/>
              <w:tabs>
                <w:tab w:val="left" w:pos="360"/>
              </w:tabs>
              <w:suppressAutoHyphens/>
              <w:spacing w:after="0" w:line="240" w:lineRule="auto"/>
              <w:ind w:right="-67"/>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350FF0A6"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tcBorders>
              <w:top w:val="single" w:sz="4" w:space="0" w:color="auto"/>
            </w:tcBorders>
            <w:shd w:val="clear" w:color="auto" w:fill="auto"/>
            <w:vAlign w:val="bottom"/>
          </w:tcPr>
          <w:p w14:paraId="3F8FDC22" w14:textId="77777777" w:rsidR="00DC7569" w:rsidRPr="0006562E" w:rsidRDefault="00DC7569" w:rsidP="002F20A8">
            <w:pPr>
              <w:keepNext/>
              <w:tabs>
                <w:tab w:val="left" w:pos="360"/>
              </w:tabs>
              <w:suppressAutoHyphens/>
              <w:spacing w:after="0" w:line="240" w:lineRule="auto"/>
              <w:ind w:right="-68"/>
              <w:jc w:val="right"/>
              <w:rPr>
                <w:rFonts w:ascii="Arial" w:hAnsi="Arial" w:cs="Arial"/>
                <w:sz w:val="20"/>
                <w:szCs w:val="20"/>
              </w:rPr>
            </w:pPr>
          </w:p>
        </w:tc>
      </w:tr>
      <w:tr w:rsidR="00DC7569" w:rsidRPr="00DA4360" w14:paraId="250C7CD3" w14:textId="77777777" w:rsidTr="004A1755">
        <w:tc>
          <w:tcPr>
            <w:tcW w:w="4770" w:type="dxa"/>
            <w:tcBorders>
              <w:bottom w:val="single" w:sz="18" w:space="0" w:color="auto"/>
            </w:tcBorders>
            <w:shd w:val="clear" w:color="auto" w:fill="auto"/>
          </w:tcPr>
          <w:p w14:paraId="5ADC5B5F" w14:textId="77777777" w:rsidR="00DC7569" w:rsidRPr="00DA4360" w:rsidRDefault="00DC7569" w:rsidP="00DC7569">
            <w:pPr>
              <w:keepNext/>
              <w:tabs>
                <w:tab w:val="left" w:pos="360"/>
              </w:tabs>
              <w:suppressAutoHyphens/>
              <w:spacing w:after="0" w:line="240" w:lineRule="auto"/>
              <w:rPr>
                <w:rFonts w:ascii="Arial" w:hAnsi="Arial" w:cs="Arial"/>
                <w:b/>
                <w:sz w:val="20"/>
                <w:szCs w:val="20"/>
                <w:lang w:val="en-CA"/>
              </w:rPr>
            </w:pPr>
            <w:r w:rsidRPr="00DA4360">
              <w:rPr>
                <w:rFonts w:ascii="Arial" w:hAnsi="Arial" w:cs="Arial"/>
                <w:b/>
                <w:sz w:val="20"/>
                <w:szCs w:val="20"/>
                <w:lang w:val="en-CA"/>
              </w:rPr>
              <w:t>Net loss and comprehensive loss for the period</w:t>
            </w:r>
          </w:p>
        </w:tc>
        <w:tc>
          <w:tcPr>
            <w:tcW w:w="236" w:type="dxa"/>
            <w:tcBorders>
              <w:bottom w:val="single" w:sz="18" w:space="0" w:color="auto"/>
            </w:tcBorders>
            <w:shd w:val="clear" w:color="auto" w:fill="auto"/>
          </w:tcPr>
          <w:p w14:paraId="52AA2068" w14:textId="5B080FA5" w:rsidR="00DC7569" w:rsidRPr="00DA4360" w:rsidRDefault="00DC7569" w:rsidP="00DC7569">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2054" w:type="dxa"/>
            <w:tcBorders>
              <w:bottom w:val="single" w:sz="18" w:space="0" w:color="auto"/>
            </w:tcBorders>
            <w:shd w:val="clear" w:color="auto" w:fill="auto"/>
            <w:vAlign w:val="bottom"/>
          </w:tcPr>
          <w:p w14:paraId="63AA07E7" w14:textId="33838D41" w:rsidR="00DC7569" w:rsidRPr="00DA4360" w:rsidRDefault="00EC5AB8" w:rsidP="002F20A8">
            <w:pPr>
              <w:keepNext/>
              <w:tabs>
                <w:tab w:val="left" w:pos="360"/>
              </w:tabs>
              <w:suppressAutoHyphens/>
              <w:spacing w:after="0" w:line="240" w:lineRule="auto"/>
              <w:ind w:right="-67"/>
              <w:jc w:val="right"/>
              <w:rPr>
                <w:rFonts w:ascii="Arial" w:hAnsi="Arial" w:cs="Arial"/>
                <w:b/>
                <w:sz w:val="20"/>
                <w:szCs w:val="20"/>
                <w:lang w:val="en-CA"/>
              </w:rPr>
            </w:pPr>
            <w:r>
              <w:rPr>
                <w:rFonts w:ascii="Arial" w:hAnsi="Arial" w:cs="Arial"/>
                <w:b/>
                <w:sz w:val="20"/>
                <w:szCs w:val="20"/>
                <w:lang w:val="en-CA"/>
              </w:rPr>
              <w:t>(504,531)</w:t>
            </w:r>
          </w:p>
        </w:tc>
        <w:tc>
          <w:tcPr>
            <w:tcW w:w="236" w:type="dxa"/>
            <w:tcBorders>
              <w:bottom w:val="single" w:sz="18" w:space="0" w:color="auto"/>
            </w:tcBorders>
            <w:shd w:val="clear" w:color="auto" w:fill="auto"/>
            <w:vAlign w:val="bottom"/>
          </w:tcPr>
          <w:p w14:paraId="0CFE05C2" w14:textId="77777777" w:rsidR="00DC7569" w:rsidRPr="00DA4360" w:rsidRDefault="00DC7569" w:rsidP="00DC7569">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c>
          <w:tcPr>
            <w:tcW w:w="2123" w:type="dxa"/>
            <w:tcBorders>
              <w:bottom w:val="single" w:sz="18" w:space="0" w:color="auto"/>
            </w:tcBorders>
            <w:shd w:val="clear" w:color="auto" w:fill="auto"/>
            <w:vAlign w:val="bottom"/>
          </w:tcPr>
          <w:p w14:paraId="082F98FB" w14:textId="672FC2E9" w:rsidR="00DC7569" w:rsidRPr="0006562E" w:rsidRDefault="00DC7569" w:rsidP="002F20A8">
            <w:pPr>
              <w:keepNext/>
              <w:tabs>
                <w:tab w:val="left" w:pos="360"/>
              </w:tabs>
              <w:suppressAutoHyphens/>
              <w:spacing w:after="0" w:line="240" w:lineRule="auto"/>
              <w:ind w:right="-68"/>
              <w:jc w:val="right"/>
              <w:rPr>
                <w:rFonts w:ascii="Arial" w:hAnsi="Arial" w:cs="Arial"/>
                <w:sz w:val="20"/>
                <w:szCs w:val="20"/>
              </w:rPr>
            </w:pPr>
            <w:r w:rsidRPr="0006562E">
              <w:rPr>
                <w:rFonts w:ascii="Arial" w:hAnsi="Arial" w:cs="Arial"/>
                <w:sz w:val="20"/>
                <w:szCs w:val="20"/>
              </w:rPr>
              <w:t>(</w:t>
            </w:r>
            <w:r w:rsidR="00EC5AB8">
              <w:rPr>
                <w:rFonts w:ascii="Arial" w:hAnsi="Arial" w:cs="Arial"/>
                <w:sz w:val="20"/>
                <w:szCs w:val="20"/>
              </w:rPr>
              <w:t>378,657</w:t>
            </w:r>
            <w:r w:rsidRPr="0006562E">
              <w:rPr>
                <w:rFonts w:ascii="Arial" w:hAnsi="Arial" w:cs="Arial"/>
                <w:sz w:val="20"/>
                <w:szCs w:val="20"/>
              </w:rPr>
              <w:t>)</w:t>
            </w:r>
          </w:p>
        </w:tc>
      </w:tr>
    </w:tbl>
    <w:p w14:paraId="6B1D617F" w14:textId="77777777" w:rsidR="00631CA5" w:rsidRPr="009F6DF3" w:rsidRDefault="00631CA5" w:rsidP="003F6F1A">
      <w:pPr>
        <w:spacing w:after="0"/>
        <w:rPr>
          <w:rFonts w:ascii="Arial" w:hAnsi="Arial" w:cs="Arial"/>
          <w:sz w:val="20"/>
          <w:szCs w:val="20"/>
          <w:u w:val="single"/>
        </w:rPr>
      </w:pPr>
    </w:p>
    <w:p w14:paraId="613243D7" w14:textId="17F84510" w:rsidR="00DA65B0" w:rsidRPr="009F6DF3" w:rsidRDefault="00DA65B0" w:rsidP="003F6F1A">
      <w:pPr>
        <w:spacing w:after="0"/>
        <w:rPr>
          <w:rFonts w:ascii="Arial" w:hAnsi="Arial" w:cs="Arial"/>
          <w:sz w:val="20"/>
          <w:szCs w:val="20"/>
          <w:u w:val="single"/>
        </w:rPr>
      </w:pPr>
      <w:r w:rsidRPr="009F6DF3">
        <w:rPr>
          <w:rFonts w:ascii="Arial" w:hAnsi="Arial" w:cs="Arial"/>
          <w:sz w:val="20"/>
          <w:szCs w:val="20"/>
          <w:u w:val="single"/>
        </w:rPr>
        <w:t xml:space="preserve">Clinic </w:t>
      </w:r>
      <w:r w:rsidR="00513D8E">
        <w:rPr>
          <w:rFonts w:ascii="Arial" w:hAnsi="Arial" w:cs="Arial"/>
          <w:sz w:val="20"/>
          <w:szCs w:val="20"/>
          <w:u w:val="single"/>
        </w:rPr>
        <w:t>r</w:t>
      </w:r>
      <w:r w:rsidRPr="009F6DF3">
        <w:rPr>
          <w:rFonts w:ascii="Arial" w:hAnsi="Arial" w:cs="Arial"/>
          <w:sz w:val="20"/>
          <w:szCs w:val="20"/>
          <w:u w:val="single"/>
        </w:rPr>
        <w:t>evenues</w:t>
      </w:r>
    </w:p>
    <w:p w14:paraId="60616EF0" w14:textId="77777777" w:rsidR="00186033" w:rsidRPr="009F6DF3" w:rsidRDefault="00186033" w:rsidP="003F6F1A">
      <w:pPr>
        <w:spacing w:after="0"/>
        <w:jc w:val="both"/>
        <w:rPr>
          <w:rFonts w:ascii="Arial" w:hAnsi="Arial" w:cs="Arial"/>
          <w:sz w:val="20"/>
          <w:szCs w:val="20"/>
        </w:rPr>
      </w:pPr>
    </w:p>
    <w:p w14:paraId="14E9D33E" w14:textId="77A2E4AC" w:rsidR="009F6DF3" w:rsidRDefault="001442B7" w:rsidP="003F6F1A">
      <w:pPr>
        <w:spacing w:after="0"/>
        <w:jc w:val="both"/>
        <w:rPr>
          <w:rFonts w:ascii="Arial" w:hAnsi="Arial" w:cs="Arial"/>
          <w:sz w:val="20"/>
          <w:szCs w:val="20"/>
        </w:rPr>
      </w:pPr>
      <w:r w:rsidRPr="009F6DF3">
        <w:rPr>
          <w:rFonts w:ascii="Arial" w:hAnsi="Arial" w:cs="Arial"/>
          <w:sz w:val="20"/>
          <w:szCs w:val="20"/>
        </w:rPr>
        <w:t xml:space="preserve">Revenues </w:t>
      </w:r>
      <w:r w:rsidR="009C53F7" w:rsidRPr="009F6DF3">
        <w:rPr>
          <w:rFonts w:ascii="Arial" w:hAnsi="Arial" w:cs="Arial"/>
          <w:sz w:val="20"/>
          <w:szCs w:val="20"/>
        </w:rPr>
        <w:t>were</w:t>
      </w:r>
      <w:r w:rsidRPr="009F6DF3">
        <w:rPr>
          <w:rFonts w:ascii="Arial" w:hAnsi="Arial" w:cs="Arial"/>
          <w:sz w:val="20"/>
          <w:szCs w:val="20"/>
        </w:rPr>
        <w:t xml:space="preserve"> </w:t>
      </w:r>
      <w:r w:rsidR="00A206A1" w:rsidRPr="009F6DF3">
        <w:rPr>
          <w:rFonts w:ascii="Arial" w:hAnsi="Arial" w:cs="Arial"/>
          <w:sz w:val="20"/>
          <w:szCs w:val="20"/>
        </w:rPr>
        <w:t>$</w:t>
      </w:r>
      <w:r w:rsidR="002F20A8">
        <w:rPr>
          <w:rFonts w:ascii="Arial" w:hAnsi="Arial" w:cs="Arial"/>
          <w:sz w:val="20"/>
          <w:szCs w:val="20"/>
        </w:rPr>
        <w:t>663,003</w:t>
      </w:r>
      <w:r w:rsidR="009C53F7" w:rsidRPr="009F6DF3">
        <w:rPr>
          <w:rFonts w:ascii="Arial" w:hAnsi="Arial" w:cs="Arial"/>
          <w:sz w:val="20"/>
          <w:szCs w:val="20"/>
        </w:rPr>
        <w:t xml:space="preserve">, compared to </w:t>
      </w:r>
      <w:r w:rsidR="00615EFE" w:rsidRPr="009F6DF3">
        <w:rPr>
          <w:rFonts w:ascii="Arial" w:hAnsi="Arial" w:cs="Arial"/>
          <w:sz w:val="20"/>
          <w:szCs w:val="20"/>
        </w:rPr>
        <w:t>$</w:t>
      </w:r>
      <w:r w:rsidR="001B246B">
        <w:rPr>
          <w:rFonts w:ascii="Arial" w:hAnsi="Arial" w:cs="Arial"/>
          <w:sz w:val="20"/>
          <w:szCs w:val="20"/>
        </w:rPr>
        <w:t>279,850</w:t>
      </w:r>
      <w:r w:rsidR="009C53F7" w:rsidRPr="009F6DF3">
        <w:rPr>
          <w:rFonts w:ascii="Arial" w:hAnsi="Arial" w:cs="Arial"/>
          <w:sz w:val="20"/>
          <w:szCs w:val="20"/>
        </w:rPr>
        <w:t xml:space="preserve"> during Q</w:t>
      </w:r>
      <w:r w:rsidR="00C034BD">
        <w:rPr>
          <w:rFonts w:ascii="Arial" w:hAnsi="Arial" w:cs="Arial"/>
          <w:sz w:val="20"/>
          <w:szCs w:val="20"/>
        </w:rPr>
        <w:t>3</w:t>
      </w:r>
      <w:r w:rsidR="009C53F7"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xml:space="preserve"> as the Company received </w:t>
      </w:r>
      <w:r w:rsidR="00782D33">
        <w:rPr>
          <w:rFonts w:ascii="Arial" w:hAnsi="Arial" w:cs="Arial"/>
          <w:sz w:val="20"/>
          <w:szCs w:val="20"/>
        </w:rPr>
        <w:t>5,807</w:t>
      </w:r>
      <w:r w:rsidR="00D00008" w:rsidRPr="009F6DF3">
        <w:rPr>
          <w:rFonts w:ascii="Arial" w:hAnsi="Arial" w:cs="Arial"/>
          <w:sz w:val="20"/>
          <w:szCs w:val="20"/>
        </w:rPr>
        <w:t xml:space="preserve"> </w:t>
      </w:r>
      <w:r w:rsidRPr="009F6DF3">
        <w:rPr>
          <w:rFonts w:ascii="Arial" w:hAnsi="Arial" w:cs="Arial"/>
          <w:sz w:val="20"/>
          <w:szCs w:val="20"/>
        </w:rPr>
        <w:t xml:space="preserve">patients spending on average </w:t>
      </w:r>
      <w:r w:rsidR="00FB59C4">
        <w:rPr>
          <w:rFonts w:ascii="Arial" w:hAnsi="Arial" w:cs="Arial"/>
          <w:sz w:val="20"/>
          <w:szCs w:val="20"/>
        </w:rPr>
        <w:t>$</w:t>
      </w:r>
      <w:r w:rsidR="00782D33">
        <w:rPr>
          <w:rFonts w:ascii="Arial" w:hAnsi="Arial" w:cs="Arial"/>
          <w:sz w:val="20"/>
          <w:szCs w:val="20"/>
        </w:rPr>
        <w:t>114</w:t>
      </w:r>
      <w:r w:rsidRPr="009F6DF3">
        <w:rPr>
          <w:rFonts w:ascii="Arial" w:hAnsi="Arial" w:cs="Arial"/>
          <w:sz w:val="20"/>
          <w:szCs w:val="20"/>
        </w:rPr>
        <w:t xml:space="preserve">, compared to </w:t>
      </w:r>
      <w:r w:rsidR="002F20A8">
        <w:rPr>
          <w:rFonts w:ascii="Arial" w:hAnsi="Arial" w:cs="Arial"/>
          <w:sz w:val="20"/>
          <w:szCs w:val="20"/>
        </w:rPr>
        <w:t>1,864</w:t>
      </w:r>
      <w:r w:rsidRPr="009F6DF3">
        <w:rPr>
          <w:rFonts w:ascii="Arial" w:hAnsi="Arial" w:cs="Arial"/>
          <w:sz w:val="20"/>
          <w:szCs w:val="20"/>
        </w:rPr>
        <w:t xml:space="preserve"> patients spending on average $</w:t>
      </w:r>
      <w:r w:rsidR="002F20A8">
        <w:rPr>
          <w:rFonts w:ascii="Arial" w:hAnsi="Arial" w:cs="Arial"/>
          <w:sz w:val="20"/>
          <w:szCs w:val="20"/>
        </w:rPr>
        <w:t>150</w:t>
      </w:r>
      <w:r w:rsidRPr="009F6DF3">
        <w:rPr>
          <w:rFonts w:ascii="Arial" w:hAnsi="Arial" w:cs="Arial"/>
          <w:sz w:val="20"/>
          <w:szCs w:val="20"/>
        </w:rPr>
        <w:t xml:space="preserve"> during </w:t>
      </w:r>
      <w:r w:rsidR="00186033" w:rsidRPr="009F6DF3">
        <w:rPr>
          <w:rFonts w:ascii="Arial" w:hAnsi="Arial" w:cs="Arial"/>
          <w:sz w:val="20"/>
          <w:szCs w:val="20"/>
        </w:rPr>
        <w:t>Q</w:t>
      </w:r>
      <w:r w:rsidR="00C034BD">
        <w:rPr>
          <w:rFonts w:ascii="Arial" w:hAnsi="Arial" w:cs="Arial"/>
          <w:sz w:val="20"/>
          <w:szCs w:val="20"/>
        </w:rPr>
        <w:t>3</w:t>
      </w:r>
      <w:r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xml:space="preserve">. </w:t>
      </w:r>
      <w:r w:rsidR="009F6DF3">
        <w:rPr>
          <w:rFonts w:ascii="Arial" w:hAnsi="Arial" w:cs="Arial"/>
          <w:sz w:val="20"/>
          <w:szCs w:val="20"/>
        </w:rPr>
        <w:t>The increase</w:t>
      </w:r>
      <w:r w:rsidR="005C28E8">
        <w:rPr>
          <w:rFonts w:ascii="Arial" w:hAnsi="Arial" w:cs="Arial"/>
          <w:sz w:val="20"/>
          <w:szCs w:val="20"/>
        </w:rPr>
        <w:t xml:space="preserve"> in clinic revenues and patient count</w:t>
      </w:r>
      <w:r w:rsidR="009F6DF3">
        <w:rPr>
          <w:rFonts w:ascii="Arial" w:hAnsi="Arial" w:cs="Arial"/>
          <w:sz w:val="20"/>
          <w:szCs w:val="20"/>
        </w:rPr>
        <w:t xml:space="preserve"> is primarily due to the addition of the Sun Valley clinics</w:t>
      </w:r>
      <w:r w:rsidR="005C28E8">
        <w:rPr>
          <w:rFonts w:ascii="Arial" w:hAnsi="Arial" w:cs="Arial"/>
          <w:sz w:val="20"/>
          <w:szCs w:val="20"/>
        </w:rPr>
        <w:t>,</w:t>
      </w:r>
      <w:r w:rsidR="00374039">
        <w:rPr>
          <w:rFonts w:ascii="Arial" w:hAnsi="Arial" w:cs="Arial"/>
          <w:sz w:val="20"/>
          <w:szCs w:val="20"/>
        </w:rPr>
        <w:t xml:space="preserve"> </w:t>
      </w:r>
      <w:r w:rsidR="009F6DF3">
        <w:rPr>
          <w:rFonts w:ascii="Arial" w:hAnsi="Arial" w:cs="Arial"/>
          <w:sz w:val="20"/>
          <w:szCs w:val="20"/>
        </w:rPr>
        <w:t xml:space="preserve">beginning May 1, 2019. </w:t>
      </w:r>
    </w:p>
    <w:p w14:paraId="6959B422" w14:textId="77777777" w:rsidR="009F6DF3" w:rsidRDefault="009F6DF3" w:rsidP="003F6F1A">
      <w:pPr>
        <w:spacing w:after="0"/>
        <w:jc w:val="both"/>
        <w:rPr>
          <w:rFonts w:ascii="Arial" w:hAnsi="Arial" w:cs="Arial"/>
          <w:sz w:val="20"/>
          <w:szCs w:val="20"/>
        </w:rPr>
      </w:pPr>
    </w:p>
    <w:p w14:paraId="3160688D" w14:textId="0FD11B99" w:rsidR="001442B7" w:rsidRPr="009F6DF3" w:rsidRDefault="00915BD3" w:rsidP="003F6F1A">
      <w:pPr>
        <w:spacing w:after="0"/>
        <w:jc w:val="both"/>
        <w:rPr>
          <w:rFonts w:ascii="Arial" w:hAnsi="Arial" w:cs="Arial"/>
          <w:sz w:val="20"/>
          <w:szCs w:val="20"/>
        </w:rPr>
      </w:pPr>
      <w:r>
        <w:rPr>
          <w:rFonts w:ascii="Arial" w:hAnsi="Arial" w:cs="Arial"/>
          <w:sz w:val="20"/>
          <w:szCs w:val="20"/>
        </w:rPr>
        <w:t>T</w:t>
      </w:r>
      <w:r w:rsidR="009F6DF3" w:rsidRPr="009F6DF3">
        <w:rPr>
          <w:rFonts w:ascii="Arial" w:hAnsi="Arial" w:cs="Arial"/>
          <w:sz w:val="20"/>
          <w:szCs w:val="20"/>
        </w:rPr>
        <w:t>he Company receives revenue stream</w:t>
      </w:r>
      <w:r w:rsidR="00862651">
        <w:rPr>
          <w:rFonts w:ascii="Arial" w:hAnsi="Arial" w:cs="Arial"/>
          <w:sz w:val="20"/>
          <w:szCs w:val="20"/>
        </w:rPr>
        <w:t>s from</w:t>
      </w:r>
      <w:r w:rsidR="009F6DF3" w:rsidRPr="009F6DF3">
        <w:rPr>
          <w:rFonts w:ascii="Arial" w:hAnsi="Arial" w:cs="Arial"/>
          <w:sz w:val="20"/>
          <w:szCs w:val="20"/>
        </w:rPr>
        <w:t xml:space="preserve"> patient visits to existing clinics</w:t>
      </w:r>
      <w:r w:rsidR="00862651">
        <w:rPr>
          <w:rFonts w:ascii="Arial" w:hAnsi="Arial" w:cs="Arial"/>
          <w:sz w:val="20"/>
          <w:szCs w:val="20"/>
        </w:rPr>
        <w:t xml:space="preserve"> throughout the network, and the Company has expanded into CBD product sales and the sale of premium wellness products.</w:t>
      </w:r>
      <w:r w:rsidR="009F6DF3" w:rsidRPr="009F6DF3">
        <w:rPr>
          <w:rFonts w:ascii="Arial" w:hAnsi="Arial" w:cs="Arial"/>
          <w:sz w:val="20"/>
          <w:szCs w:val="20"/>
        </w:rPr>
        <w:t xml:space="preserve"> </w:t>
      </w:r>
      <w:r w:rsidR="001442B7" w:rsidRPr="009F6DF3">
        <w:rPr>
          <w:rFonts w:ascii="Arial" w:hAnsi="Arial" w:cs="Arial"/>
          <w:sz w:val="20"/>
          <w:szCs w:val="20"/>
        </w:rPr>
        <w:t xml:space="preserve">The Company expects to expand </w:t>
      </w:r>
      <w:r w:rsidR="00862651">
        <w:rPr>
          <w:rFonts w:ascii="Arial" w:hAnsi="Arial" w:cs="Arial"/>
          <w:sz w:val="20"/>
          <w:szCs w:val="20"/>
        </w:rPr>
        <w:t>its</w:t>
      </w:r>
      <w:r w:rsidR="00862651" w:rsidRPr="009F6DF3">
        <w:rPr>
          <w:rFonts w:ascii="Arial" w:hAnsi="Arial" w:cs="Arial"/>
          <w:sz w:val="20"/>
          <w:szCs w:val="20"/>
        </w:rPr>
        <w:t xml:space="preserve"> </w:t>
      </w:r>
      <w:r w:rsidR="001442B7" w:rsidRPr="009F6DF3">
        <w:rPr>
          <w:rFonts w:ascii="Arial" w:hAnsi="Arial" w:cs="Arial"/>
          <w:sz w:val="20"/>
          <w:szCs w:val="20"/>
        </w:rPr>
        <w:t>revenue stream</w:t>
      </w:r>
      <w:r w:rsidR="00862651">
        <w:rPr>
          <w:rFonts w:ascii="Arial" w:hAnsi="Arial" w:cs="Arial"/>
          <w:sz w:val="20"/>
          <w:szCs w:val="20"/>
        </w:rPr>
        <w:t>s</w:t>
      </w:r>
      <w:r w:rsidR="001442B7" w:rsidRPr="009F6DF3">
        <w:rPr>
          <w:rFonts w:ascii="Arial" w:hAnsi="Arial" w:cs="Arial"/>
          <w:sz w:val="20"/>
          <w:szCs w:val="20"/>
        </w:rPr>
        <w:t xml:space="preserve"> as the </w:t>
      </w:r>
      <w:r w:rsidR="00862651">
        <w:rPr>
          <w:rFonts w:ascii="Arial" w:hAnsi="Arial" w:cs="Arial"/>
          <w:sz w:val="20"/>
          <w:szCs w:val="20"/>
        </w:rPr>
        <w:t>Company</w:t>
      </w:r>
      <w:r w:rsidR="009F6DF3" w:rsidRPr="009F6DF3">
        <w:rPr>
          <w:rFonts w:ascii="Arial" w:hAnsi="Arial" w:cs="Arial"/>
          <w:sz w:val="20"/>
          <w:szCs w:val="20"/>
        </w:rPr>
        <w:t xml:space="preserve"> patient </w:t>
      </w:r>
      <w:r w:rsidR="001442B7" w:rsidRPr="009F6DF3">
        <w:rPr>
          <w:rFonts w:ascii="Arial" w:hAnsi="Arial" w:cs="Arial"/>
          <w:sz w:val="20"/>
          <w:szCs w:val="20"/>
        </w:rPr>
        <w:t>base grows</w:t>
      </w:r>
      <w:r w:rsidR="009F6DF3">
        <w:rPr>
          <w:rFonts w:ascii="Arial" w:hAnsi="Arial" w:cs="Arial"/>
          <w:sz w:val="20"/>
          <w:szCs w:val="20"/>
        </w:rPr>
        <w:t xml:space="preserve">, </w:t>
      </w:r>
      <w:r w:rsidR="00862651">
        <w:rPr>
          <w:rFonts w:ascii="Arial" w:hAnsi="Arial" w:cs="Arial"/>
          <w:sz w:val="20"/>
          <w:szCs w:val="20"/>
        </w:rPr>
        <w:t>as branded CBD</w:t>
      </w:r>
      <w:r w:rsidR="001442B7" w:rsidRPr="009F6DF3">
        <w:rPr>
          <w:rFonts w:ascii="Arial" w:hAnsi="Arial" w:cs="Arial"/>
          <w:sz w:val="20"/>
          <w:szCs w:val="20"/>
        </w:rPr>
        <w:t xml:space="preserve"> product</w:t>
      </w:r>
      <w:r w:rsidR="00862651">
        <w:rPr>
          <w:rFonts w:ascii="Arial" w:hAnsi="Arial" w:cs="Arial"/>
          <w:sz w:val="20"/>
          <w:szCs w:val="20"/>
        </w:rPr>
        <w:t>s are further</w:t>
      </w:r>
      <w:r w:rsidR="001442B7" w:rsidRPr="009F6DF3">
        <w:rPr>
          <w:rFonts w:ascii="Arial" w:hAnsi="Arial" w:cs="Arial"/>
          <w:sz w:val="20"/>
          <w:szCs w:val="20"/>
        </w:rPr>
        <w:t xml:space="preserve"> rolled out</w:t>
      </w:r>
      <w:r w:rsidR="009F6DF3">
        <w:rPr>
          <w:rFonts w:ascii="Arial" w:hAnsi="Arial" w:cs="Arial"/>
          <w:sz w:val="20"/>
          <w:szCs w:val="20"/>
        </w:rPr>
        <w:t xml:space="preserve"> and</w:t>
      </w:r>
      <w:r w:rsidR="005C28E8">
        <w:rPr>
          <w:rFonts w:ascii="Arial" w:hAnsi="Arial" w:cs="Arial"/>
          <w:sz w:val="20"/>
          <w:szCs w:val="20"/>
        </w:rPr>
        <w:t>,</w:t>
      </w:r>
      <w:r w:rsidR="009F6DF3">
        <w:rPr>
          <w:rFonts w:ascii="Arial" w:hAnsi="Arial" w:cs="Arial"/>
          <w:sz w:val="20"/>
          <w:szCs w:val="20"/>
        </w:rPr>
        <w:t xml:space="preserve"> the CBD extraction </w:t>
      </w:r>
      <w:r w:rsidR="005C28E8">
        <w:rPr>
          <w:rFonts w:ascii="Arial" w:hAnsi="Arial" w:cs="Arial"/>
          <w:sz w:val="20"/>
          <w:szCs w:val="20"/>
        </w:rPr>
        <w:t xml:space="preserve">and product production </w:t>
      </w:r>
      <w:r w:rsidR="009F6DF3">
        <w:rPr>
          <w:rFonts w:ascii="Arial" w:hAnsi="Arial" w:cs="Arial"/>
          <w:sz w:val="20"/>
          <w:szCs w:val="20"/>
        </w:rPr>
        <w:t xml:space="preserve">facility becomes </w:t>
      </w:r>
      <w:r w:rsidR="00862651">
        <w:rPr>
          <w:rFonts w:ascii="Arial" w:hAnsi="Arial" w:cs="Arial"/>
          <w:sz w:val="20"/>
          <w:szCs w:val="20"/>
        </w:rPr>
        <w:t xml:space="preserve">fully </w:t>
      </w:r>
      <w:r w:rsidR="009F6DF3">
        <w:rPr>
          <w:rFonts w:ascii="Arial" w:hAnsi="Arial" w:cs="Arial"/>
          <w:sz w:val="20"/>
          <w:szCs w:val="20"/>
        </w:rPr>
        <w:t>operational.</w:t>
      </w:r>
      <w:r w:rsidR="001442B7" w:rsidRPr="009F6DF3">
        <w:rPr>
          <w:rFonts w:ascii="Arial" w:hAnsi="Arial" w:cs="Arial"/>
          <w:sz w:val="20"/>
          <w:szCs w:val="20"/>
        </w:rPr>
        <w:t xml:space="preserve"> </w:t>
      </w:r>
    </w:p>
    <w:p w14:paraId="5A97A7C9" w14:textId="77777777" w:rsidR="005F6D26" w:rsidRDefault="005F6D26" w:rsidP="003F6F1A">
      <w:pPr>
        <w:spacing w:after="0"/>
        <w:jc w:val="both"/>
        <w:rPr>
          <w:rFonts w:ascii="Arial" w:hAnsi="Arial" w:cs="Arial"/>
          <w:sz w:val="20"/>
          <w:szCs w:val="20"/>
          <w:u w:val="single"/>
        </w:rPr>
      </w:pPr>
    </w:p>
    <w:p w14:paraId="070CBD90" w14:textId="77777777" w:rsidR="00DA65B0" w:rsidRPr="009F6DF3" w:rsidRDefault="00DA65B0" w:rsidP="003F6F1A">
      <w:pPr>
        <w:spacing w:after="0"/>
        <w:jc w:val="both"/>
        <w:rPr>
          <w:rFonts w:ascii="Arial" w:hAnsi="Arial" w:cs="Arial"/>
          <w:sz w:val="20"/>
          <w:szCs w:val="20"/>
          <w:u w:val="single"/>
        </w:rPr>
      </w:pPr>
      <w:r w:rsidRPr="009F6DF3">
        <w:rPr>
          <w:rFonts w:ascii="Arial" w:hAnsi="Arial" w:cs="Arial"/>
          <w:sz w:val="20"/>
          <w:szCs w:val="20"/>
          <w:u w:val="single"/>
        </w:rPr>
        <w:t>Direct clinic expenses</w:t>
      </w:r>
    </w:p>
    <w:p w14:paraId="0ED0F43D" w14:textId="77777777" w:rsidR="00FE6AAE" w:rsidRPr="009F6DF3" w:rsidRDefault="00FE6AAE" w:rsidP="003F6F1A">
      <w:pPr>
        <w:spacing w:after="0"/>
        <w:jc w:val="both"/>
        <w:rPr>
          <w:rFonts w:ascii="Arial" w:hAnsi="Arial" w:cs="Arial"/>
          <w:sz w:val="20"/>
          <w:szCs w:val="20"/>
          <w:u w:val="single"/>
        </w:rPr>
      </w:pPr>
    </w:p>
    <w:p w14:paraId="0136811C" w14:textId="0CBF9A2E" w:rsidR="001442B7" w:rsidRPr="009F6DF3" w:rsidRDefault="001442B7" w:rsidP="003F6F1A">
      <w:pPr>
        <w:spacing w:after="0"/>
        <w:jc w:val="both"/>
        <w:rPr>
          <w:rFonts w:ascii="Arial" w:hAnsi="Arial" w:cs="Arial"/>
          <w:sz w:val="20"/>
          <w:szCs w:val="20"/>
        </w:rPr>
      </w:pPr>
      <w:r w:rsidRPr="009F6DF3">
        <w:rPr>
          <w:rFonts w:ascii="Arial" w:hAnsi="Arial" w:cs="Arial"/>
          <w:sz w:val="20"/>
          <w:szCs w:val="20"/>
        </w:rPr>
        <w:t>Direct clinic expenses were $</w:t>
      </w:r>
      <w:r w:rsidR="002F20A8">
        <w:rPr>
          <w:rFonts w:ascii="Arial" w:hAnsi="Arial" w:cs="Arial"/>
          <w:sz w:val="20"/>
          <w:szCs w:val="20"/>
        </w:rPr>
        <w:t>55,397</w:t>
      </w:r>
      <w:r w:rsidRPr="009F6DF3">
        <w:rPr>
          <w:rFonts w:ascii="Arial" w:hAnsi="Arial" w:cs="Arial"/>
          <w:sz w:val="20"/>
          <w:szCs w:val="20"/>
        </w:rPr>
        <w:t>, compared to $</w:t>
      </w:r>
      <w:r w:rsidR="001B246B">
        <w:rPr>
          <w:rFonts w:ascii="Arial" w:hAnsi="Arial" w:cs="Arial"/>
          <w:sz w:val="20"/>
          <w:szCs w:val="20"/>
        </w:rPr>
        <w:t>88,95</w:t>
      </w:r>
      <w:r w:rsidR="002F20A8">
        <w:rPr>
          <w:rFonts w:ascii="Arial" w:hAnsi="Arial" w:cs="Arial"/>
          <w:sz w:val="20"/>
          <w:szCs w:val="20"/>
        </w:rPr>
        <w:t xml:space="preserve">6 </w:t>
      </w:r>
      <w:r w:rsidRPr="009F6DF3">
        <w:rPr>
          <w:rFonts w:ascii="Arial" w:hAnsi="Arial" w:cs="Arial"/>
          <w:sz w:val="20"/>
          <w:szCs w:val="20"/>
        </w:rPr>
        <w:t>during Q</w:t>
      </w:r>
      <w:r w:rsidR="00C034BD">
        <w:rPr>
          <w:rFonts w:ascii="Arial" w:hAnsi="Arial" w:cs="Arial"/>
          <w:sz w:val="20"/>
          <w:szCs w:val="20"/>
        </w:rPr>
        <w:t>3</w:t>
      </w:r>
      <w:r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xml:space="preserve">. These costs </w:t>
      </w:r>
      <w:r w:rsidR="00645A49">
        <w:rPr>
          <w:rFonts w:ascii="Arial" w:hAnsi="Arial" w:cs="Arial"/>
          <w:sz w:val="20"/>
          <w:szCs w:val="20"/>
        </w:rPr>
        <w:t>represent physician and clinic support staff expenses that are required to operate the clinics and provide patient consulting services. These expenses</w:t>
      </w:r>
      <w:r w:rsidR="008A52C2">
        <w:rPr>
          <w:rFonts w:ascii="Arial" w:hAnsi="Arial" w:cs="Arial"/>
          <w:sz w:val="20"/>
          <w:szCs w:val="20"/>
        </w:rPr>
        <w:t xml:space="preserve"> declined despite the increase in revenues due to improved operational controls to align labor cost with direct patient consultations</w:t>
      </w:r>
      <w:r w:rsidRPr="009F6DF3">
        <w:rPr>
          <w:rFonts w:ascii="Arial" w:hAnsi="Arial" w:cs="Arial"/>
          <w:sz w:val="20"/>
          <w:szCs w:val="20"/>
        </w:rPr>
        <w:t xml:space="preserve">. The Company employs </w:t>
      </w:r>
      <w:r w:rsidR="000F798D">
        <w:rPr>
          <w:rFonts w:ascii="Arial" w:hAnsi="Arial" w:cs="Arial"/>
          <w:sz w:val="20"/>
          <w:szCs w:val="20"/>
        </w:rPr>
        <w:t>a diverse mix of physicians and practitioners</w:t>
      </w:r>
      <w:r w:rsidRPr="009F6DF3">
        <w:rPr>
          <w:rFonts w:ascii="Arial" w:hAnsi="Arial" w:cs="Arial"/>
          <w:sz w:val="20"/>
          <w:szCs w:val="20"/>
        </w:rPr>
        <w:t xml:space="preserve">. </w:t>
      </w:r>
    </w:p>
    <w:p w14:paraId="2594A570" w14:textId="77777777" w:rsidR="00962EE1" w:rsidRDefault="00962EE1" w:rsidP="003F6F1A">
      <w:pPr>
        <w:spacing w:after="0"/>
        <w:jc w:val="both"/>
        <w:rPr>
          <w:rFonts w:ascii="Arial" w:hAnsi="Arial" w:cs="Arial"/>
          <w:sz w:val="20"/>
          <w:szCs w:val="20"/>
          <w:u w:val="single"/>
        </w:rPr>
      </w:pPr>
    </w:p>
    <w:p w14:paraId="306CCDC9" w14:textId="77777777" w:rsidR="00962EE1" w:rsidRDefault="00962EE1" w:rsidP="003F6F1A">
      <w:pPr>
        <w:spacing w:after="0"/>
        <w:jc w:val="both"/>
        <w:rPr>
          <w:rFonts w:ascii="Arial" w:hAnsi="Arial" w:cs="Arial"/>
          <w:sz w:val="20"/>
          <w:szCs w:val="20"/>
          <w:u w:val="single"/>
        </w:rPr>
      </w:pPr>
    </w:p>
    <w:p w14:paraId="21E4EA32" w14:textId="77777777" w:rsidR="00962EE1" w:rsidRDefault="00962EE1" w:rsidP="003F6F1A">
      <w:pPr>
        <w:spacing w:after="0"/>
        <w:jc w:val="both"/>
        <w:rPr>
          <w:rFonts w:ascii="Arial" w:hAnsi="Arial" w:cs="Arial"/>
          <w:sz w:val="20"/>
          <w:szCs w:val="20"/>
          <w:u w:val="single"/>
        </w:rPr>
      </w:pPr>
    </w:p>
    <w:p w14:paraId="292153FF" w14:textId="77777777" w:rsidR="00962EE1" w:rsidRDefault="00962EE1" w:rsidP="003F6F1A">
      <w:pPr>
        <w:spacing w:after="0"/>
        <w:jc w:val="both"/>
        <w:rPr>
          <w:rFonts w:ascii="Arial" w:hAnsi="Arial" w:cs="Arial"/>
          <w:sz w:val="20"/>
          <w:szCs w:val="20"/>
          <w:u w:val="single"/>
        </w:rPr>
      </w:pPr>
    </w:p>
    <w:p w14:paraId="5F3BA601" w14:textId="77777777" w:rsidR="00962EE1" w:rsidRDefault="00962EE1" w:rsidP="003F6F1A">
      <w:pPr>
        <w:spacing w:after="0"/>
        <w:jc w:val="both"/>
        <w:rPr>
          <w:rFonts w:ascii="Arial" w:hAnsi="Arial" w:cs="Arial"/>
          <w:sz w:val="20"/>
          <w:szCs w:val="20"/>
          <w:u w:val="single"/>
        </w:rPr>
      </w:pPr>
    </w:p>
    <w:p w14:paraId="0A3BC402" w14:textId="77777777" w:rsidR="00962EE1" w:rsidRDefault="00962EE1" w:rsidP="003F6F1A">
      <w:pPr>
        <w:spacing w:after="0"/>
        <w:jc w:val="both"/>
        <w:rPr>
          <w:rFonts w:ascii="Arial" w:hAnsi="Arial" w:cs="Arial"/>
          <w:sz w:val="20"/>
          <w:szCs w:val="20"/>
          <w:u w:val="single"/>
        </w:rPr>
      </w:pPr>
    </w:p>
    <w:p w14:paraId="2FB088E5" w14:textId="0FD5EFFE" w:rsidR="001D13DE" w:rsidRPr="009F6DF3" w:rsidRDefault="001D13DE" w:rsidP="003F6F1A">
      <w:pPr>
        <w:spacing w:after="0"/>
        <w:jc w:val="both"/>
        <w:rPr>
          <w:rFonts w:ascii="Arial" w:hAnsi="Arial" w:cs="Arial"/>
          <w:sz w:val="20"/>
          <w:szCs w:val="20"/>
          <w:u w:val="single"/>
        </w:rPr>
      </w:pPr>
      <w:r w:rsidRPr="009F6DF3">
        <w:rPr>
          <w:rFonts w:ascii="Arial" w:hAnsi="Arial" w:cs="Arial"/>
          <w:sz w:val="20"/>
          <w:szCs w:val="20"/>
          <w:u w:val="single"/>
        </w:rPr>
        <w:t>Operating expenses</w:t>
      </w:r>
    </w:p>
    <w:p w14:paraId="22807356" w14:textId="77777777" w:rsidR="001442B7" w:rsidRPr="009F6DF3" w:rsidRDefault="001442B7" w:rsidP="003F6F1A">
      <w:pPr>
        <w:spacing w:after="0"/>
        <w:rPr>
          <w:rFonts w:ascii="Arial" w:hAnsi="Arial" w:cs="Arial"/>
          <w:sz w:val="20"/>
          <w:szCs w:val="20"/>
        </w:rPr>
      </w:pPr>
    </w:p>
    <w:p w14:paraId="34D58249" w14:textId="1B50A3D5" w:rsidR="004E17E1" w:rsidRDefault="00564409" w:rsidP="003F6F1A">
      <w:pPr>
        <w:spacing w:after="0"/>
        <w:jc w:val="both"/>
        <w:rPr>
          <w:rFonts w:ascii="Arial" w:hAnsi="Arial" w:cs="Arial"/>
          <w:sz w:val="20"/>
          <w:szCs w:val="20"/>
        </w:rPr>
      </w:pPr>
      <w:r>
        <w:rPr>
          <w:rFonts w:ascii="Arial" w:hAnsi="Arial" w:cs="Arial"/>
          <w:sz w:val="20"/>
          <w:szCs w:val="20"/>
        </w:rPr>
        <w:t>Clinic o</w:t>
      </w:r>
      <w:r w:rsidR="00726CE5" w:rsidRPr="009F6DF3">
        <w:rPr>
          <w:rFonts w:ascii="Arial" w:hAnsi="Arial" w:cs="Arial"/>
          <w:sz w:val="20"/>
          <w:szCs w:val="20"/>
        </w:rPr>
        <w:t xml:space="preserve">perating expenses were </w:t>
      </w:r>
      <w:r w:rsidR="00615EFE" w:rsidRPr="009F6DF3">
        <w:rPr>
          <w:rFonts w:ascii="Arial" w:hAnsi="Arial" w:cs="Arial"/>
          <w:sz w:val="20"/>
          <w:szCs w:val="20"/>
        </w:rPr>
        <w:t>$</w:t>
      </w:r>
      <w:r w:rsidR="005646CD">
        <w:rPr>
          <w:rFonts w:ascii="Arial" w:hAnsi="Arial" w:cs="Arial"/>
          <w:sz w:val="20"/>
          <w:szCs w:val="20"/>
        </w:rPr>
        <w:t>976,483</w:t>
      </w:r>
      <w:r w:rsidR="00726CE5" w:rsidRPr="009F6DF3">
        <w:rPr>
          <w:rFonts w:ascii="Arial" w:hAnsi="Arial" w:cs="Arial"/>
          <w:sz w:val="20"/>
          <w:szCs w:val="20"/>
        </w:rPr>
        <w:t xml:space="preserve">, compared to </w:t>
      </w:r>
      <w:r w:rsidR="0089453C" w:rsidRPr="009F6DF3">
        <w:rPr>
          <w:rFonts w:ascii="Arial" w:hAnsi="Arial" w:cs="Arial"/>
          <w:sz w:val="20"/>
          <w:szCs w:val="20"/>
        </w:rPr>
        <w:t>$</w:t>
      </w:r>
      <w:r w:rsidR="002F20A8">
        <w:rPr>
          <w:rFonts w:ascii="Arial" w:hAnsi="Arial" w:cs="Arial"/>
          <w:sz w:val="20"/>
          <w:szCs w:val="20"/>
        </w:rPr>
        <w:t>91,534</w:t>
      </w:r>
      <w:r w:rsidR="00726CE5" w:rsidRPr="009F6DF3">
        <w:rPr>
          <w:rFonts w:ascii="Arial" w:hAnsi="Arial" w:cs="Arial"/>
          <w:sz w:val="20"/>
          <w:szCs w:val="20"/>
        </w:rPr>
        <w:t xml:space="preserve"> during Q</w:t>
      </w:r>
      <w:r w:rsidR="0057186D">
        <w:rPr>
          <w:rFonts w:ascii="Arial" w:hAnsi="Arial" w:cs="Arial"/>
          <w:sz w:val="20"/>
          <w:szCs w:val="20"/>
        </w:rPr>
        <w:t>3</w:t>
      </w:r>
      <w:r w:rsidR="00726CE5" w:rsidRPr="009F6DF3">
        <w:rPr>
          <w:rFonts w:ascii="Arial" w:hAnsi="Arial" w:cs="Arial"/>
          <w:sz w:val="20"/>
          <w:szCs w:val="20"/>
        </w:rPr>
        <w:t xml:space="preserve"> 201</w:t>
      </w:r>
      <w:r w:rsidR="008F357A" w:rsidRPr="009F6DF3">
        <w:rPr>
          <w:rFonts w:ascii="Arial" w:hAnsi="Arial" w:cs="Arial"/>
          <w:sz w:val="20"/>
          <w:szCs w:val="20"/>
        </w:rPr>
        <w:t>8</w:t>
      </w:r>
      <w:r>
        <w:rPr>
          <w:rFonts w:ascii="Arial" w:hAnsi="Arial" w:cs="Arial"/>
          <w:sz w:val="20"/>
          <w:szCs w:val="20"/>
        </w:rPr>
        <w:t>. Total operating expenses were $1,042,785 as compared to $91,534</w:t>
      </w:r>
      <w:r w:rsidR="0089453C" w:rsidRPr="009F6DF3">
        <w:rPr>
          <w:rFonts w:ascii="Arial" w:hAnsi="Arial" w:cs="Arial"/>
          <w:sz w:val="20"/>
          <w:szCs w:val="20"/>
        </w:rPr>
        <w:t xml:space="preserve"> </w:t>
      </w:r>
      <w:r>
        <w:rPr>
          <w:rFonts w:ascii="Arial" w:hAnsi="Arial" w:cs="Arial"/>
          <w:sz w:val="20"/>
          <w:szCs w:val="20"/>
        </w:rPr>
        <w:t>comprised of</w:t>
      </w:r>
      <w:r w:rsidR="004E17E1">
        <w:rPr>
          <w:rFonts w:ascii="Arial" w:hAnsi="Arial" w:cs="Arial"/>
          <w:sz w:val="20"/>
          <w:szCs w:val="20"/>
        </w:rPr>
        <w:t>:</w:t>
      </w:r>
    </w:p>
    <w:p w14:paraId="7DF3EE67" w14:textId="77777777" w:rsidR="001D7767" w:rsidRDefault="001D7767" w:rsidP="003F6F1A">
      <w:pPr>
        <w:spacing w:after="0"/>
        <w:jc w:val="both"/>
        <w:rPr>
          <w:rFonts w:ascii="Arial" w:hAnsi="Arial" w:cs="Arial"/>
          <w:sz w:val="20"/>
          <w:szCs w:val="20"/>
        </w:rPr>
      </w:pPr>
    </w:p>
    <w:p w14:paraId="37D4674C" w14:textId="79095B47" w:rsidR="00564409" w:rsidRPr="002F20A8" w:rsidRDefault="00564409" w:rsidP="00564409">
      <w:pPr>
        <w:pStyle w:val="ColorfulList-Accent11"/>
        <w:numPr>
          <w:ilvl w:val="0"/>
          <w:numId w:val="38"/>
        </w:numPr>
        <w:spacing w:line="259" w:lineRule="auto"/>
        <w:jc w:val="both"/>
        <w:rPr>
          <w:rFonts w:ascii="Arial" w:hAnsi="Arial" w:cs="Arial"/>
          <w:sz w:val="20"/>
          <w:szCs w:val="20"/>
        </w:rPr>
      </w:pPr>
      <w:r>
        <w:rPr>
          <w:rFonts w:ascii="Arial" w:hAnsi="Arial" w:cs="Arial"/>
          <w:sz w:val="20"/>
          <w:szCs w:val="20"/>
        </w:rPr>
        <w:t>Costs</w:t>
      </w:r>
      <w:r w:rsidR="005646CD">
        <w:rPr>
          <w:rFonts w:ascii="Arial" w:hAnsi="Arial" w:cs="Arial"/>
          <w:sz w:val="20"/>
          <w:szCs w:val="20"/>
        </w:rPr>
        <w:t xml:space="preserve"> of $66,302</w:t>
      </w:r>
      <w:r>
        <w:rPr>
          <w:rFonts w:ascii="Arial" w:hAnsi="Arial" w:cs="Arial"/>
          <w:sz w:val="20"/>
          <w:szCs w:val="20"/>
        </w:rPr>
        <w:t xml:space="preserve"> incurred for start-up of Sun Valley Franchising program.</w:t>
      </w:r>
    </w:p>
    <w:p w14:paraId="37B0B338" w14:textId="6E7BC138" w:rsidR="004E17E1" w:rsidRPr="002F20A8" w:rsidRDefault="004E17E1" w:rsidP="003F6F1A">
      <w:pPr>
        <w:pStyle w:val="ColorfulList-Accent11"/>
        <w:numPr>
          <w:ilvl w:val="0"/>
          <w:numId w:val="38"/>
        </w:numPr>
        <w:spacing w:line="259" w:lineRule="auto"/>
        <w:jc w:val="both"/>
        <w:rPr>
          <w:rFonts w:ascii="Arial" w:hAnsi="Arial" w:cs="Arial"/>
          <w:sz w:val="20"/>
          <w:szCs w:val="20"/>
        </w:rPr>
      </w:pPr>
      <w:r w:rsidRPr="002F20A8">
        <w:rPr>
          <w:rFonts w:ascii="Arial" w:hAnsi="Arial" w:cs="Arial"/>
          <w:sz w:val="20"/>
          <w:szCs w:val="20"/>
        </w:rPr>
        <w:t>C</w:t>
      </w:r>
      <w:r w:rsidR="009F6DF3" w:rsidRPr="002F20A8">
        <w:rPr>
          <w:rFonts w:ascii="Arial" w:hAnsi="Arial" w:cs="Arial"/>
          <w:sz w:val="20"/>
          <w:szCs w:val="20"/>
        </w:rPr>
        <w:t>ompensation expense of $</w:t>
      </w:r>
      <w:r w:rsidR="002F20A8" w:rsidRPr="002F20A8">
        <w:rPr>
          <w:rFonts w:ascii="Arial" w:hAnsi="Arial" w:cs="Arial"/>
          <w:sz w:val="20"/>
          <w:szCs w:val="20"/>
        </w:rPr>
        <w:t>58,007</w:t>
      </w:r>
      <w:r w:rsidR="009F6DF3" w:rsidRPr="002F20A8">
        <w:rPr>
          <w:rFonts w:ascii="Arial" w:hAnsi="Arial" w:cs="Arial"/>
          <w:sz w:val="20"/>
          <w:szCs w:val="20"/>
        </w:rPr>
        <w:t xml:space="preserve"> in non-cash </w:t>
      </w:r>
      <w:r w:rsidR="005F6D26" w:rsidRPr="002F20A8">
        <w:rPr>
          <w:rFonts w:ascii="Arial" w:hAnsi="Arial" w:cs="Arial"/>
          <w:sz w:val="20"/>
          <w:szCs w:val="20"/>
        </w:rPr>
        <w:t>share-based</w:t>
      </w:r>
      <w:r w:rsidR="009F6DF3" w:rsidRPr="002F20A8">
        <w:rPr>
          <w:rFonts w:ascii="Arial" w:hAnsi="Arial" w:cs="Arial"/>
          <w:sz w:val="20"/>
          <w:szCs w:val="20"/>
        </w:rPr>
        <w:t xml:space="preserve"> payments to the CEO as compared to compensation expense of $</w:t>
      </w:r>
      <w:r w:rsidR="002F20A8" w:rsidRPr="002F20A8">
        <w:rPr>
          <w:rFonts w:ascii="Arial" w:hAnsi="Arial" w:cs="Arial"/>
          <w:sz w:val="20"/>
          <w:szCs w:val="20"/>
        </w:rPr>
        <w:t>nil</w:t>
      </w:r>
      <w:r w:rsidR="009F6DF3" w:rsidRPr="002F20A8">
        <w:rPr>
          <w:rFonts w:ascii="Arial" w:hAnsi="Arial" w:cs="Arial"/>
          <w:sz w:val="20"/>
          <w:szCs w:val="20"/>
        </w:rPr>
        <w:t xml:space="preserve"> in non-cash share</w:t>
      </w:r>
      <w:r w:rsidR="005F6D26" w:rsidRPr="002F20A8">
        <w:rPr>
          <w:rFonts w:ascii="Arial" w:hAnsi="Arial" w:cs="Arial"/>
          <w:sz w:val="20"/>
          <w:szCs w:val="20"/>
        </w:rPr>
        <w:t>-</w:t>
      </w:r>
      <w:r w:rsidR="009F6DF3" w:rsidRPr="002F20A8">
        <w:rPr>
          <w:rFonts w:ascii="Arial" w:hAnsi="Arial" w:cs="Arial"/>
          <w:sz w:val="20"/>
          <w:szCs w:val="20"/>
        </w:rPr>
        <w:t>based payments to the former CEO during Q</w:t>
      </w:r>
      <w:r w:rsidR="0057186D" w:rsidRPr="002F20A8">
        <w:rPr>
          <w:rFonts w:ascii="Arial" w:hAnsi="Arial" w:cs="Arial"/>
          <w:sz w:val="20"/>
          <w:szCs w:val="20"/>
        </w:rPr>
        <w:t>3</w:t>
      </w:r>
      <w:r w:rsidR="009F6DF3" w:rsidRPr="002F20A8">
        <w:rPr>
          <w:rFonts w:ascii="Arial" w:hAnsi="Arial" w:cs="Arial"/>
          <w:sz w:val="20"/>
          <w:szCs w:val="20"/>
        </w:rPr>
        <w:t xml:space="preserve"> 2018</w:t>
      </w:r>
      <w:r w:rsidRPr="002F20A8">
        <w:rPr>
          <w:rFonts w:ascii="Arial" w:hAnsi="Arial" w:cs="Arial"/>
          <w:sz w:val="20"/>
          <w:szCs w:val="20"/>
        </w:rPr>
        <w:t>.</w:t>
      </w:r>
    </w:p>
    <w:p w14:paraId="718B3F31" w14:textId="6028F053" w:rsidR="002F20A8" w:rsidRDefault="002F20A8" w:rsidP="003F6F1A">
      <w:pPr>
        <w:pStyle w:val="ColorfulList-Accent11"/>
        <w:numPr>
          <w:ilvl w:val="0"/>
          <w:numId w:val="38"/>
        </w:numPr>
        <w:spacing w:line="259" w:lineRule="auto"/>
        <w:jc w:val="both"/>
        <w:rPr>
          <w:rFonts w:ascii="Arial" w:hAnsi="Arial" w:cs="Arial"/>
          <w:sz w:val="20"/>
          <w:szCs w:val="20"/>
        </w:rPr>
      </w:pPr>
      <w:r w:rsidRPr="002F20A8">
        <w:rPr>
          <w:rFonts w:ascii="Arial" w:hAnsi="Arial" w:cs="Arial"/>
          <w:sz w:val="20"/>
          <w:szCs w:val="20"/>
        </w:rPr>
        <w:t xml:space="preserve">Operating costs related to Sun Valley which was acquired on </w:t>
      </w:r>
      <w:r w:rsidR="003B6B96">
        <w:rPr>
          <w:rFonts w:ascii="Arial" w:hAnsi="Arial" w:cs="Arial"/>
          <w:sz w:val="20"/>
          <w:szCs w:val="20"/>
        </w:rPr>
        <w:t>May</w:t>
      </w:r>
      <w:r w:rsidRPr="002F20A8">
        <w:rPr>
          <w:rFonts w:ascii="Arial" w:hAnsi="Arial" w:cs="Arial"/>
          <w:sz w:val="20"/>
          <w:szCs w:val="20"/>
        </w:rPr>
        <w:t xml:space="preserve"> 1, 2019.</w:t>
      </w:r>
    </w:p>
    <w:p w14:paraId="53FCCC95" w14:textId="77777777" w:rsidR="0089453C" w:rsidRPr="009F6DF3" w:rsidRDefault="0089453C" w:rsidP="003F6F1A">
      <w:pPr>
        <w:spacing w:after="0"/>
        <w:jc w:val="both"/>
        <w:rPr>
          <w:rFonts w:ascii="Arial" w:hAnsi="Arial" w:cs="Arial"/>
          <w:sz w:val="20"/>
          <w:szCs w:val="20"/>
        </w:rPr>
      </w:pPr>
    </w:p>
    <w:p w14:paraId="24414ACB" w14:textId="77777777" w:rsidR="00DA65B0" w:rsidRPr="009F6DF3" w:rsidRDefault="00DA65B0" w:rsidP="003F6F1A">
      <w:pPr>
        <w:spacing w:after="0"/>
        <w:jc w:val="both"/>
        <w:rPr>
          <w:rFonts w:ascii="Arial" w:hAnsi="Arial" w:cs="Arial"/>
          <w:sz w:val="20"/>
          <w:szCs w:val="20"/>
          <w:u w:val="single"/>
        </w:rPr>
      </w:pPr>
      <w:r w:rsidRPr="009F6DF3">
        <w:rPr>
          <w:rFonts w:ascii="Arial" w:hAnsi="Arial" w:cs="Arial"/>
          <w:sz w:val="20"/>
          <w:szCs w:val="20"/>
          <w:u w:val="single"/>
        </w:rPr>
        <w:t xml:space="preserve">Legal </w:t>
      </w:r>
      <w:r w:rsidR="00D73518" w:rsidRPr="009F6DF3">
        <w:rPr>
          <w:rFonts w:ascii="Arial" w:hAnsi="Arial" w:cs="Arial"/>
          <w:sz w:val="20"/>
          <w:szCs w:val="20"/>
          <w:u w:val="single"/>
        </w:rPr>
        <w:t xml:space="preserve">and professional fees </w:t>
      </w:r>
    </w:p>
    <w:p w14:paraId="77DF1F57" w14:textId="77777777" w:rsidR="00DA65B0" w:rsidRPr="009F6DF3" w:rsidRDefault="00DA65B0" w:rsidP="003F6F1A">
      <w:pPr>
        <w:spacing w:after="0"/>
        <w:jc w:val="both"/>
        <w:rPr>
          <w:rFonts w:ascii="Arial" w:hAnsi="Arial" w:cs="Arial"/>
          <w:sz w:val="20"/>
          <w:szCs w:val="20"/>
        </w:rPr>
      </w:pPr>
    </w:p>
    <w:p w14:paraId="45C24564" w14:textId="260B63BB" w:rsidR="00D73518" w:rsidRPr="009F6DF3" w:rsidRDefault="00D73518" w:rsidP="003F6F1A">
      <w:pPr>
        <w:jc w:val="both"/>
        <w:rPr>
          <w:rFonts w:ascii="Arial" w:hAnsi="Arial" w:cs="Arial"/>
          <w:sz w:val="20"/>
          <w:szCs w:val="20"/>
        </w:rPr>
      </w:pPr>
      <w:r w:rsidRPr="009F6DF3">
        <w:rPr>
          <w:rFonts w:ascii="Arial" w:hAnsi="Arial" w:cs="Arial"/>
          <w:sz w:val="20"/>
          <w:szCs w:val="20"/>
        </w:rPr>
        <w:t xml:space="preserve">Legal and professional fees were </w:t>
      </w:r>
      <w:r w:rsidR="002F20A8">
        <w:rPr>
          <w:rFonts w:ascii="Arial" w:hAnsi="Arial" w:cs="Arial"/>
          <w:sz w:val="20"/>
          <w:szCs w:val="20"/>
        </w:rPr>
        <w:t>$321,835</w:t>
      </w:r>
      <w:r w:rsidRPr="009F6DF3">
        <w:rPr>
          <w:rFonts w:ascii="Arial" w:hAnsi="Arial" w:cs="Arial"/>
          <w:sz w:val="20"/>
          <w:szCs w:val="20"/>
        </w:rPr>
        <w:t xml:space="preserve">, compared to </w:t>
      </w:r>
      <w:r w:rsidR="0089453C" w:rsidRPr="009F6DF3">
        <w:rPr>
          <w:rFonts w:ascii="Arial" w:hAnsi="Arial" w:cs="Arial"/>
          <w:sz w:val="20"/>
          <w:szCs w:val="20"/>
        </w:rPr>
        <w:t>$</w:t>
      </w:r>
      <w:r w:rsidR="002F20A8">
        <w:rPr>
          <w:rFonts w:ascii="Arial" w:hAnsi="Arial" w:cs="Arial"/>
          <w:sz w:val="20"/>
          <w:szCs w:val="20"/>
        </w:rPr>
        <w:t>495,774</w:t>
      </w:r>
      <w:r w:rsidRPr="009F6DF3">
        <w:rPr>
          <w:rFonts w:ascii="Arial" w:hAnsi="Arial" w:cs="Arial"/>
          <w:sz w:val="20"/>
          <w:szCs w:val="20"/>
        </w:rPr>
        <w:t xml:space="preserve"> during Q</w:t>
      </w:r>
      <w:r w:rsidR="0057186D">
        <w:rPr>
          <w:rFonts w:ascii="Arial" w:hAnsi="Arial" w:cs="Arial"/>
          <w:sz w:val="20"/>
          <w:szCs w:val="20"/>
        </w:rPr>
        <w:t>3</w:t>
      </w:r>
      <w:r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The Company expects professional service fees to drop markedly over time as many are related to successful prior litigation or “one time” events such as the fees associated with the RTO</w:t>
      </w:r>
      <w:r w:rsidR="00AC703E" w:rsidRPr="009F6DF3">
        <w:rPr>
          <w:rFonts w:ascii="Arial" w:hAnsi="Arial" w:cs="Arial"/>
          <w:sz w:val="20"/>
          <w:szCs w:val="20"/>
        </w:rPr>
        <w:t xml:space="preserve"> </w:t>
      </w:r>
      <w:bookmarkStart w:id="2" w:name="_Hlk8667432"/>
      <w:r w:rsidR="00AC703E" w:rsidRPr="009F6DF3">
        <w:rPr>
          <w:rFonts w:ascii="Arial" w:hAnsi="Arial" w:cs="Arial"/>
          <w:sz w:val="20"/>
          <w:szCs w:val="20"/>
        </w:rPr>
        <w:t>that completed in April 2018</w:t>
      </w:r>
      <w:bookmarkEnd w:id="2"/>
      <w:r w:rsidRPr="009F6DF3">
        <w:rPr>
          <w:rFonts w:ascii="Arial" w:hAnsi="Arial" w:cs="Arial"/>
          <w:sz w:val="20"/>
          <w:szCs w:val="20"/>
        </w:rPr>
        <w:t xml:space="preserve">. </w:t>
      </w:r>
    </w:p>
    <w:p w14:paraId="48ECDFAD" w14:textId="77777777" w:rsidR="00770FCE" w:rsidRPr="009F6DF3" w:rsidRDefault="00770FCE" w:rsidP="003F6F1A">
      <w:pPr>
        <w:spacing w:after="0"/>
        <w:jc w:val="both"/>
        <w:rPr>
          <w:rFonts w:ascii="Arial" w:hAnsi="Arial" w:cs="Arial"/>
          <w:sz w:val="20"/>
          <w:szCs w:val="20"/>
          <w:u w:val="single"/>
        </w:rPr>
      </w:pPr>
      <w:r w:rsidRPr="009F6DF3">
        <w:rPr>
          <w:rFonts w:ascii="Arial" w:hAnsi="Arial" w:cs="Arial"/>
          <w:sz w:val="20"/>
          <w:szCs w:val="20"/>
          <w:u w:val="single"/>
        </w:rPr>
        <w:t>Depreciation expense</w:t>
      </w:r>
    </w:p>
    <w:p w14:paraId="424DBB3A" w14:textId="77777777" w:rsidR="00770FCE" w:rsidRPr="009F6DF3" w:rsidRDefault="00770FCE" w:rsidP="003F6F1A">
      <w:pPr>
        <w:spacing w:after="0"/>
        <w:jc w:val="both"/>
        <w:rPr>
          <w:rFonts w:ascii="Arial" w:hAnsi="Arial" w:cs="Arial"/>
          <w:sz w:val="20"/>
          <w:szCs w:val="20"/>
        </w:rPr>
      </w:pPr>
    </w:p>
    <w:p w14:paraId="3B146F92" w14:textId="6A71BE41" w:rsidR="00770FCE" w:rsidRPr="00B150DF" w:rsidRDefault="00770FCE" w:rsidP="003F6F1A">
      <w:pPr>
        <w:spacing w:after="0"/>
        <w:jc w:val="both"/>
        <w:rPr>
          <w:rFonts w:ascii="Arial" w:hAnsi="Arial" w:cs="Arial"/>
          <w:sz w:val="20"/>
          <w:szCs w:val="20"/>
        </w:rPr>
      </w:pPr>
      <w:r w:rsidRPr="009F6DF3">
        <w:rPr>
          <w:rFonts w:ascii="Arial" w:hAnsi="Arial" w:cs="Arial"/>
          <w:sz w:val="20"/>
          <w:szCs w:val="20"/>
        </w:rPr>
        <w:t>Depreciation and amortization expense was $</w:t>
      </w:r>
      <w:r w:rsidR="002F20A8">
        <w:rPr>
          <w:rFonts w:ascii="Arial" w:hAnsi="Arial" w:cs="Arial"/>
          <w:sz w:val="20"/>
          <w:szCs w:val="20"/>
        </w:rPr>
        <w:t>79,495</w:t>
      </w:r>
      <w:r w:rsidRPr="009F6DF3">
        <w:rPr>
          <w:rFonts w:ascii="Arial" w:hAnsi="Arial" w:cs="Arial"/>
          <w:sz w:val="20"/>
          <w:szCs w:val="20"/>
        </w:rPr>
        <w:t>, compared to $</w:t>
      </w:r>
      <w:r w:rsidR="0006562E" w:rsidRPr="0006562E">
        <w:rPr>
          <w:rFonts w:ascii="Arial" w:hAnsi="Arial" w:cs="Arial"/>
          <w:sz w:val="20"/>
          <w:szCs w:val="20"/>
        </w:rPr>
        <w:t>8,634</w:t>
      </w:r>
      <w:r w:rsidRPr="009F6DF3">
        <w:rPr>
          <w:rFonts w:ascii="Arial" w:hAnsi="Arial" w:cs="Arial"/>
          <w:sz w:val="20"/>
          <w:szCs w:val="20"/>
        </w:rPr>
        <w:t xml:space="preserve"> during Q</w:t>
      </w:r>
      <w:r w:rsidR="0057186D">
        <w:rPr>
          <w:rFonts w:ascii="Arial" w:hAnsi="Arial" w:cs="Arial"/>
          <w:sz w:val="20"/>
          <w:szCs w:val="20"/>
        </w:rPr>
        <w:t>3</w:t>
      </w:r>
      <w:r w:rsidR="009F6DF3" w:rsidRPr="009F6DF3">
        <w:rPr>
          <w:rFonts w:ascii="Arial" w:hAnsi="Arial" w:cs="Arial"/>
          <w:sz w:val="20"/>
          <w:szCs w:val="20"/>
        </w:rPr>
        <w:t xml:space="preserve"> </w:t>
      </w:r>
      <w:r w:rsidRPr="009F6DF3">
        <w:rPr>
          <w:rFonts w:ascii="Arial" w:hAnsi="Arial" w:cs="Arial"/>
          <w:sz w:val="20"/>
          <w:szCs w:val="20"/>
        </w:rPr>
        <w:t xml:space="preserve">2018. The increase </w:t>
      </w:r>
      <w:r w:rsidRPr="00B150DF">
        <w:rPr>
          <w:rFonts w:ascii="Arial" w:hAnsi="Arial" w:cs="Arial"/>
          <w:sz w:val="20"/>
          <w:szCs w:val="20"/>
        </w:rPr>
        <w:t>relates primarily to the depreciation on the right-of-use asset resulting from the adoption of IFRS 16</w:t>
      </w:r>
      <w:r w:rsidR="00AB647D" w:rsidRPr="00AB647D">
        <w:rPr>
          <w:rFonts w:ascii="Arial" w:hAnsi="Arial" w:cs="Arial"/>
          <w:sz w:val="20"/>
          <w:szCs w:val="20"/>
        </w:rPr>
        <w:t xml:space="preserve"> </w:t>
      </w:r>
      <w:r w:rsidR="00AB647D">
        <w:rPr>
          <w:rFonts w:ascii="Arial" w:hAnsi="Arial" w:cs="Arial"/>
          <w:sz w:val="20"/>
          <w:szCs w:val="20"/>
        </w:rPr>
        <w:t>effective January 1, 2019</w:t>
      </w:r>
      <w:r w:rsidRPr="00B150DF">
        <w:rPr>
          <w:rFonts w:ascii="Arial" w:hAnsi="Arial" w:cs="Arial"/>
          <w:sz w:val="20"/>
          <w:szCs w:val="20"/>
        </w:rPr>
        <w:t>.</w:t>
      </w:r>
    </w:p>
    <w:p w14:paraId="1A09032A" w14:textId="77777777" w:rsidR="00770FCE" w:rsidRPr="00B150DF" w:rsidRDefault="00770FCE" w:rsidP="003F6F1A">
      <w:pPr>
        <w:spacing w:after="0"/>
        <w:rPr>
          <w:rFonts w:ascii="Arial" w:hAnsi="Arial" w:cs="Arial"/>
          <w:sz w:val="20"/>
          <w:szCs w:val="20"/>
        </w:rPr>
      </w:pPr>
    </w:p>
    <w:p w14:paraId="66CB34E7" w14:textId="77777777" w:rsidR="001D13DE" w:rsidRPr="00B150DF" w:rsidRDefault="005D35C2" w:rsidP="003F6F1A">
      <w:pPr>
        <w:spacing w:after="0"/>
        <w:jc w:val="both"/>
        <w:rPr>
          <w:rFonts w:ascii="Arial" w:hAnsi="Arial" w:cs="Arial"/>
          <w:sz w:val="20"/>
          <w:szCs w:val="20"/>
          <w:u w:val="single"/>
        </w:rPr>
      </w:pPr>
      <w:r w:rsidRPr="00B150DF">
        <w:rPr>
          <w:rFonts w:ascii="Arial" w:hAnsi="Arial" w:cs="Arial"/>
          <w:sz w:val="20"/>
          <w:szCs w:val="20"/>
          <w:u w:val="single"/>
        </w:rPr>
        <w:t>Share-based</w:t>
      </w:r>
      <w:r w:rsidR="001D13DE" w:rsidRPr="00B150DF">
        <w:rPr>
          <w:rFonts w:ascii="Arial" w:hAnsi="Arial" w:cs="Arial"/>
          <w:sz w:val="20"/>
          <w:szCs w:val="20"/>
          <w:u w:val="single"/>
        </w:rPr>
        <w:t xml:space="preserve"> payments</w:t>
      </w:r>
    </w:p>
    <w:p w14:paraId="1CB9692C" w14:textId="77777777" w:rsidR="001D13DE" w:rsidRPr="00B150DF" w:rsidRDefault="001D13DE" w:rsidP="003F6F1A">
      <w:pPr>
        <w:spacing w:after="0"/>
        <w:jc w:val="both"/>
        <w:rPr>
          <w:rFonts w:ascii="Arial" w:hAnsi="Arial" w:cs="Arial"/>
          <w:sz w:val="20"/>
          <w:szCs w:val="20"/>
        </w:rPr>
      </w:pPr>
    </w:p>
    <w:p w14:paraId="10047C01" w14:textId="03599D74" w:rsidR="001D13DE" w:rsidRPr="00B150DF" w:rsidRDefault="005D35C2" w:rsidP="003F6F1A">
      <w:pPr>
        <w:spacing w:after="0"/>
        <w:jc w:val="both"/>
        <w:rPr>
          <w:rFonts w:ascii="Arial" w:hAnsi="Arial" w:cs="Arial"/>
          <w:sz w:val="20"/>
          <w:szCs w:val="20"/>
        </w:rPr>
      </w:pPr>
      <w:r w:rsidRPr="00B150DF">
        <w:rPr>
          <w:rFonts w:ascii="Arial" w:hAnsi="Arial" w:cs="Arial"/>
          <w:sz w:val="20"/>
          <w:szCs w:val="20"/>
        </w:rPr>
        <w:t>Share-based</w:t>
      </w:r>
      <w:r w:rsidR="001D13DE" w:rsidRPr="00B150DF">
        <w:rPr>
          <w:rFonts w:ascii="Arial" w:hAnsi="Arial" w:cs="Arial"/>
          <w:sz w:val="20"/>
          <w:szCs w:val="20"/>
        </w:rPr>
        <w:t xml:space="preserve"> payments expense was</w:t>
      </w:r>
      <w:r w:rsidR="00A604EC" w:rsidRPr="00B150DF">
        <w:rPr>
          <w:rFonts w:ascii="Arial" w:hAnsi="Arial" w:cs="Arial"/>
          <w:sz w:val="20"/>
          <w:szCs w:val="20"/>
        </w:rPr>
        <w:t xml:space="preserve"> </w:t>
      </w:r>
      <w:r w:rsidR="001D13DE" w:rsidRPr="00B150DF">
        <w:rPr>
          <w:rFonts w:ascii="Arial" w:hAnsi="Arial" w:cs="Arial"/>
          <w:sz w:val="20"/>
          <w:szCs w:val="20"/>
        </w:rPr>
        <w:t>$</w:t>
      </w:r>
      <w:r w:rsidR="002F20A8">
        <w:rPr>
          <w:rFonts w:ascii="Arial" w:hAnsi="Arial" w:cs="Arial"/>
          <w:sz w:val="20"/>
          <w:szCs w:val="20"/>
        </w:rPr>
        <w:t>7,388</w:t>
      </w:r>
      <w:r w:rsidR="001D13DE" w:rsidRPr="00B150DF">
        <w:rPr>
          <w:rFonts w:ascii="Arial" w:hAnsi="Arial" w:cs="Arial"/>
          <w:sz w:val="20"/>
          <w:szCs w:val="20"/>
        </w:rPr>
        <w:t>, compared to $</w:t>
      </w:r>
      <w:r w:rsidR="0006562E">
        <w:rPr>
          <w:rFonts w:ascii="Arial" w:hAnsi="Arial" w:cs="Arial"/>
          <w:sz w:val="20"/>
          <w:szCs w:val="20"/>
        </w:rPr>
        <w:t>nil</w:t>
      </w:r>
      <w:r w:rsidR="001D13DE" w:rsidRPr="00B150DF">
        <w:rPr>
          <w:rFonts w:ascii="Arial" w:hAnsi="Arial" w:cs="Arial"/>
          <w:sz w:val="20"/>
          <w:szCs w:val="20"/>
        </w:rPr>
        <w:t xml:space="preserve"> during Q</w:t>
      </w:r>
      <w:r w:rsidR="0057186D">
        <w:rPr>
          <w:rFonts w:ascii="Arial" w:hAnsi="Arial" w:cs="Arial"/>
          <w:sz w:val="20"/>
          <w:szCs w:val="20"/>
        </w:rPr>
        <w:t>3</w:t>
      </w:r>
      <w:r w:rsidR="001D13DE" w:rsidRPr="00B150DF">
        <w:rPr>
          <w:rFonts w:ascii="Arial" w:hAnsi="Arial" w:cs="Arial"/>
          <w:sz w:val="20"/>
          <w:szCs w:val="20"/>
        </w:rPr>
        <w:t xml:space="preserve"> 201</w:t>
      </w:r>
      <w:r w:rsidR="008F357A" w:rsidRPr="00B150DF">
        <w:rPr>
          <w:rFonts w:ascii="Arial" w:hAnsi="Arial" w:cs="Arial"/>
          <w:sz w:val="20"/>
          <w:szCs w:val="20"/>
        </w:rPr>
        <w:t>8</w:t>
      </w:r>
      <w:r w:rsidR="001D13DE" w:rsidRPr="00B150DF">
        <w:rPr>
          <w:rFonts w:ascii="Arial" w:hAnsi="Arial" w:cs="Arial"/>
          <w:sz w:val="20"/>
          <w:szCs w:val="20"/>
        </w:rPr>
        <w:t>.</w:t>
      </w:r>
      <w:r w:rsidR="00A604EC" w:rsidRPr="00B150DF">
        <w:rPr>
          <w:rFonts w:ascii="Arial" w:hAnsi="Arial" w:cs="Arial"/>
          <w:sz w:val="20"/>
          <w:szCs w:val="20"/>
        </w:rPr>
        <w:t xml:space="preserve"> </w:t>
      </w:r>
      <w:r w:rsidR="001D13DE" w:rsidRPr="00B150DF">
        <w:rPr>
          <w:rFonts w:ascii="Arial" w:hAnsi="Arial" w:cs="Arial"/>
          <w:sz w:val="20"/>
          <w:szCs w:val="20"/>
        </w:rPr>
        <w:t xml:space="preserve">The </w:t>
      </w:r>
      <w:r w:rsidRPr="00B150DF">
        <w:rPr>
          <w:rFonts w:ascii="Arial" w:hAnsi="Arial" w:cs="Arial"/>
          <w:sz w:val="20"/>
          <w:szCs w:val="20"/>
        </w:rPr>
        <w:t>share-based</w:t>
      </w:r>
      <w:r w:rsidR="001D13DE" w:rsidRPr="00B150DF">
        <w:rPr>
          <w:rFonts w:ascii="Arial" w:hAnsi="Arial" w:cs="Arial"/>
          <w:sz w:val="20"/>
          <w:szCs w:val="20"/>
        </w:rPr>
        <w:t xml:space="preserve"> payments expense </w:t>
      </w:r>
      <w:r w:rsidR="009C53F7" w:rsidRPr="00B150DF">
        <w:rPr>
          <w:rFonts w:ascii="Arial" w:hAnsi="Arial" w:cs="Arial"/>
          <w:sz w:val="20"/>
          <w:szCs w:val="20"/>
        </w:rPr>
        <w:t>is</w:t>
      </w:r>
      <w:r w:rsidR="001D13DE" w:rsidRPr="00B150DF">
        <w:rPr>
          <w:rFonts w:ascii="Arial" w:hAnsi="Arial" w:cs="Arial"/>
          <w:sz w:val="20"/>
          <w:szCs w:val="20"/>
        </w:rPr>
        <w:t xml:space="preserve"> the fair value of share options recognized as an expense during the </w:t>
      </w:r>
      <w:r w:rsidR="003C5740" w:rsidRPr="00B150DF">
        <w:rPr>
          <w:rFonts w:ascii="Arial" w:hAnsi="Arial" w:cs="Arial"/>
          <w:sz w:val="20"/>
          <w:szCs w:val="20"/>
        </w:rPr>
        <w:t xml:space="preserve">quarter </w:t>
      </w:r>
      <w:r w:rsidR="001D13DE" w:rsidRPr="00B150DF">
        <w:rPr>
          <w:rFonts w:ascii="Arial" w:hAnsi="Arial" w:cs="Arial"/>
          <w:sz w:val="20"/>
          <w:szCs w:val="20"/>
        </w:rPr>
        <w:t>based on the fair valued determined</w:t>
      </w:r>
      <w:r w:rsidR="009C53F7" w:rsidRPr="00B150DF">
        <w:rPr>
          <w:rFonts w:ascii="Arial" w:hAnsi="Arial" w:cs="Arial"/>
          <w:sz w:val="20"/>
          <w:szCs w:val="20"/>
        </w:rPr>
        <w:t xml:space="preserve"> by</w:t>
      </w:r>
      <w:r w:rsidR="001D13DE" w:rsidRPr="00B150DF">
        <w:rPr>
          <w:rFonts w:ascii="Arial" w:hAnsi="Arial" w:cs="Arial"/>
          <w:sz w:val="20"/>
          <w:szCs w:val="20"/>
        </w:rPr>
        <w:t xml:space="preserve"> the Black Scholes option pricing model valuation.</w:t>
      </w:r>
    </w:p>
    <w:p w14:paraId="67C6F9D6" w14:textId="77777777" w:rsidR="00B150DF" w:rsidRPr="00B150DF" w:rsidRDefault="00B150DF" w:rsidP="003F6F1A">
      <w:pPr>
        <w:spacing w:after="0"/>
        <w:jc w:val="both"/>
        <w:rPr>
          <w:rFonts w:ascii="Arial" w:hAnsi="Arial" w:cs="Arial"/>
          <w:sz w:val="20"/>
          <w:szCs w:val="20"/>
        </w:rPr>
      </w:pPr>
    </w:p>
    <w:p w14:paraId="576B7B8E" w14:textId="77777777" w:rsidR="00DA65B0" w:rsidRPr="00B150DF" w:rsidRDefault="00DA65B0" w:rsidP="003F6F1A">
      <w:pPr>
        <w:spacing w:after="0"/>
        <w:jc w:val="both"/>
        <w:rPr>
          <w:rFonts w:ascii="Arial" w:hAnsi="Arial" w:cs="Arial"/>
          <w:sz w:val="20"/>
          <w:szCs w:val="20"/>
          <w:u w:val="single"/>
        </w:rPr>
      </w:pPr>
      <w:r w:rsidRPr="00B150DF">
        <w:rPr>
          <w:rFonts w:ascii="Arial" w:hAnsi="Arial" w:cs="Arial"/>
          <w:sz w:val="20"/>
          <w:szCs w:val="20"/>
          <w:u w:val="single"/>
        </w:rPr>
        <w:t>Accretion expense</w:t>
      </w:r>
    </w:p>
    <w:p w14:paraId="516FD73E" w14:textId="77777777" w:rsidR="00DA65B0" w:rsidRPr="00B150DF" w:rsidRDefault="00DA65B0" w:rsidP="003F6F1A">
      <w:pPr>
        <w:spacing w:after="0"/>
        <w:jc w:val="both"/>
        <w:rPr>
          <w:rFonts w:ascii="Arial" w:hAnsi="Arial" w:cs="Arial"/>
          <w:sz w:val="20"/>
          <w:szCs w:val="20"/>
        </w:rPr>
      </w:pPr>
    </w:p>
    <w:p w14:paraId="4AA14B80" w14:textId="1E50474C" w:rsidR="00DA65B0" w:rsidRPr="00B150DF" w:rsidRDefault="00186033" w:rsidP="003F6F1A">
      <w:pPr>
        <w:spacing w:after="0"/>
        <w:jc w:val="both"/>
        <w:rPr>
          <w:rFonts w:ascii="Arial" w:hAnsi="Arial" w:cs="Arial"/>
          <w:sz w:val="20"/>
          <w:szCs w:val="20"/>
        </w:rPr>
      </w:pPr>
      <w:r w:rsidRPr="00B150DF">
        <w:rPr>
          <w:rFonts w:ascii="Arial" w:hAnsi="Arial" w:cs="Arial"/>
          <w:sz w:val="20"/>
          <w:szCs w:val="20"/>
        </w:rPr>
        <w:t>Accretion expense was $</w:t>
      </w:r>
      <w:r w:rsidR="002F20A8">
        <w:rPr>
          <w:rFonts w:ascii="Arial" w:hAnsi="Arial" w:cs="Arial"/>
          <w:sz w:val="20"/>
          <w:szCs w:val="20"/>
        </w:rPr>
        <w:t>91,432</w:t>
      </w:r>
      <w:r w:rsidR="000A24FE">
        <w:rPr>
          <w:rFonts w:ascii="Arial" w:hAnsi="Arial" w:cs="Arial"/>
          <w:sz w:val="20"/>
          <w:szCs w:val="20"/>
        </w:rPr>
        <w:t>,</w:t>
      </w:r>
      <w:r w:rsidRPr="00B150DF">
        <w:rPr>
          <w:rFonts w:ascii="Arial" w:hAnsi="Arial" w:cs="Arial"/>
          <w:sz w:val="20"/>
          <w:szCs w:val="20"/>
        </w:rPr>
        <w:t xml:space="preserve"> compared to </w:t>
      </w:r>
      <w:r w:rsidR="0006562E">
        <w:rPr>
          <w:rFonts w:ascii="Arial" w:hAnsi="Arial" w:cs="Arial"/>
          <w:sz w:val="20"/>
          <w:szCs w:val="20"/>
        </w:rPr>
        <w:t>$nil</w:t>
      </w:r>
      <w:r w:rsidRPr="00B150DF">
        <w:rPr>
          <w:rFonts w:ascii="Arial" w:hAnsi="Arial" w:cs="Arial"/>
          <w:sz w:val="20"/>
          <w:szCs w:val="20"/>
        </w:rPr>
        <w:t xml:space="preserve"> during Q</w:t>
      </w:r>
      <w:r w:rsidR="0057186D">
        <w:rPr>
          <w:rFonts w:ascii="Arial" w:hAnsi="Arial" w:cs="Arial"/>
          <w:sz w:val="20"/>
          <w:szCs w:val="20"/>
        </w:rPr>
        <w:t>3</w:t>
      </w:r>
      <w:r w:rsidRPr="00B150DF">
        <w:rPr>
          <w:rFonts w:ascii="Arial" w:hAnsi="Arial" w:cs="Arial"/>
          <w:sz w:val="20"/>
          <w:szCs w:val="20"/>
        </w:rPr>
        <w:t xml:space="preserve"> 201</w:t>
      </w:r>
      <w:r w:rsidR="003C5740" w:rsidRPr="00B150DF">
        <w:rPr>
          <w:rFonts w:ascii="Arial" w:hAnsi="Arial" w:cs="Arial"/>
          <w:sz w:val="20"/>
          <w:szCs w:val="20"/>
        </w:rPr>
        <w:t>8</w:t>
      </w:r>
      <w:r w:rsidRPr="00B150DF">
        <w:rPr>
          <w:rFonts w:ascii="Arial" w:hAnsi="Arial" w:cs="Arial"/>
          <w:sz w:val="20"/>
          <w:szCs w:val="20"/>
        </w:rPr>
        <w:t xml:space="preserve">, in connection with </w:t>
      </w:r>
      <w:r w:rsidR="00A604EC" w:rsidRPr="00B150DF">
        <w:rPr>
          <w:rFonts w:ascii="Arial" w:hAnsi="Arial" w:cs="Arial"/>
          <w:sz w:val="20"/>
          <w:szCs w:val="20"/>
        </w:rPr>
        <w:t xml:space="preserve">the Company’s </w:t>
      </w:r>
      <w:r w:rsidRPr="00B150DF">
        <w:rPr>
          <w:rFonts w:ascii="Arial" w:hAnsi="Arial" w:cs="Arial"/>
          <w:sz w:val="20"/>
          <w:szCs w:val="20"/>
        </w:rPr>
        <w:t xml:space="preserve">convertible </w:t>
      </w:r>
      <w:r w:rsidR="000A24FE">
        <w:rPr>
          <w:rFonts w:ascii="Arial" w:hAnsi="Arial" w:cs="Arial"/>
          <w:sz w:val="20"/>
          <w:szCs w:val="20"/>
        </w:rPr>
        <w:t>debentures</w:t>
      </w:r>
      <w:r w:rsidR="009C53F7" w:rsidRPr="00B150DF">
        <w:rPr>
          <w:rFonts w:ascii="Arial" w:hAnsi="Arial" w:cs="Arial"/>
          <w:sz w:val="20"/>
          <w:szCs w:val="20"/>
        </w:rPr>
        <w:t>.</w:t>
      </w:r>
      <w:r w:rsidR="00CF76E9" w:rsidRPr="00B150DF">
        <w:rPr>
          <w:rFonts w:ascii="Arial" w:hAnsi="Arial" w:cs="Arial"/>
          <w:sz w:val="20"/>
          <w:szCs w:val="20"/>
        </w:rPr>
        <w:t xml:space="preserve"> The </w:t>
      </w:r>
      <w:r w:rsidR="00A86E9F">
        <w:rPr>
          <w:rFonts w:ascii="Arial" w:hAnsi="Arial" w:cs="Arial"/>
          <w:sz w:val="20"/>
          <w:szCs w:val="20"/>
        </w:rPr>
        <w:t>in</w:t>
      </w:r>
      <w:r w:rsidR="00CF76E9" w:rsidRPr="00B150DF">
        <w:rPr>
          <w:rFonts w:ascii="Arial" w:hAnsi="Arial" w:cs="Arial"/>
          <w:sz w:val="20"/>
          <w:szCs w:val="20"/>
        </w:rPr>
        <w:t xml:space="preserve">crease is due to the </w:t>
      </w:r>
      <w:r w:rsidR="00B150DF" w:rsidRPr="00B150DF">
        <w:rPr>
          <w:rFonts w:ascii="Arial" w:hAnsi="Arial" w:cs="Arial"/>
          <w:sz w:val="20"/>
          <w:szCs w:val="20"/>
        </w:rPr>
        <w:t>issuance of convertible debentures during April and May 2019</w:t>
      </w:r>
      <w:r w:rsidR="00CF76E9" w:rsidRPr="00B150DF">
        <w:rPr>
          <w:rFonts w:ascii="Arial" w:hAnsi="Arial" w:cs="Arial"/>
          <w:sz w:val="20"/>
          <w:szCs w:val="20"/>
        </w:rPr>
        <w:t xml:space="preserve">, thereby leading to </w:t>
      </w:r>
      <w:r w:rsidR="00B150DF" w:rsidRPr="00B150DF">
        <w:rPr>
          <w:rFonts w:ascii="Arial" w:hAnsi="Arial" w:cs="Arial"/>
          <w:sz w:val="20"/>
          <w:szCs w:val="20"/>
        </w:rPr>
        <w:t>higher</w:t>
      </w:r>
      <w:r w:rsidR="00CF76E9" w:rsidRPr="00B150DF">
        <w:rPr>
          <w:rFonts w:ascii="Arial" w:hAnsi="Arial" w:cs="Arial"/>
          <w:sz w:val="20"/>
          <w:szCs w:val="20"/>
        </w:rPr>
        <w:t xml:space="preserve"> accretion in Q</w:t>
      </w:r>
      <w:r w:rsidR="0057186D">
        <w:rPr>
          <w:rFonts w:ascii="Arial" w:hAnsi="Arial" w:cs="Arial"/>
          <w:sz w:val="20"/>
          <w:szCs w:val="20"/>
        </w:rPr>
        <w:t>3</w:t>
      </w:r>
      <w:r w:rsidR="00B150DF" w:rsidRPr="00B150DF">
        <w:rPr>
          <w:rFonts w:ascii="Arial" w:hAnsi="Arial" w:cs="Arial"/>
          <w:sz w:val="20"/>
          <w:szCs w:val="20"/>
        </w:rPr>
        <w:t xml:space="preserve"> </w:t>
      </w:r>
      <w:r w:rsidR="00CF76E9" w:rsidRPr="00B150DF">
        <w:rPr>
          <w:rFonts w:ascii="Arial" w:hAnsi="Arial" w:cs="Arial"/>
          <w:sz w:val="20"/>
          <w:szCs w:val="20"/>
        </w:rPr>
        <w:t>201</w:t>
      </w:r>
      <w:r w:rsidR="00770FCE" w:rsidRPr="00B150DF">
        <w:rPr>
          <w:rFonts w:ascii="Arial" w:hAnsi="Arial" w:cs="Arial"/>
          <w:sz w:val="20"/>
          <w:szCs w:val="20"/>
        </w:rPr>
        <w:t>9</w:t>
      </w:r>
      <w:r w:rsidR="00CF76E9" w:rsidRPr="00B150DF">
        <w:rPr>
          <w:rFonts w:ascii="Arial" w:hAnsi="Arial" w:cs="Arial"/>
          <w:sz w:val="20"/>
          <w:szCs w:val="20"/>
        </w:rPr>
        <w:t>.</w:t>
      </w:r>
    </w:p>
    <w:p w14:paraId="28DA4F82" w14:textId="77777777" w:rsidR="00DA65B0" w:rsidRDefault="00DA65B0" w:rsidP="003F6F1A">
      <w:pPr>
        <w:spacing w:after="0"/>
        <w:jc w:val="both"/>
        <w:rPr>
          <w:rFonts w:ascii="Arial" w:hAnsi="Arial" w:cs="Arial"/>
          <w:sz w:val="20"/>
          <w:szCs w:val="20"/>
        </w:rPr>
      </w:pPr>
    </w:p>
    <w:p w14:paraId="5A28F82E" w14:textId="77777777" w:rsidR="00B150DF" w:rsidRPr="00B150DF" w:rsidRDefault="00B150DF" w:rsidP="003F6F1A">
      <w:pPr>
        <w:spacing w:after="0"/>
        <w:jc w:val="both"/>
        <w:rPr>
          <w:rFonts w:ascii="Arial" w:hAnsi="Arial" w:cs="Arial"/>
          <w:sz w:val="20"/>
          <w:szCs w:val="20"/>
          <w:u w:val="single"/>
        </w:rPr>
      </w:pPr>
      <w:r w:rsidRPr="00B150DF">
        <w:rPr>
          <w:rFonts w:ascii="Arial" w:hAnsi="Arial" w:cs="Arial"/>
          <w:sz w:val="20"/>
          <w:szCs w:val="20"/>
          <w:u w:val="single"/>
        </w:rPr>
        <w:t>Interest income</w:t>
      </w:r>
    </w:p>
    <w:p w14:paraId="70C5E143" w14:textId="77777777" w:rsidR="00B150DF" w:rsidRPr="00B150DF" w:rsidRDefault="00B150DF" w:rsidP="003F6F1A">
      <w:pPr>
        <w:spacing w:after="0"/>
        <w:jc w:val="both"/>
        <w:rPr>
          <w:rFonts w:ascii="Arial" w:hAnsi="Arial" w:cs="Arial"/>
          <w:sz w:val="20"/>
          <w:szCs w:val="20"/>
        </w:rPr>
      </w:pPr>
    </w:p>
    <w:p w14:paraId="725FBE66" w14:textId="34909C7A" w:rsidR="00B150DF" w:rsidRPr="00B150DF" w:rsidRDefault="00B150DF" w:rsidP="003F6F1A">
      <w:pPr>
        <w:spacing w:after="0"/>
        <w:jc w:val="both"/>
        <w:rPr>
          <w:rFonts w:ascii="Arial" w:hAnsi="Arial" w:cs="Arial"/>
          <w:sz w:val="20"/>
          <w:szCs w:val="20"/>
        </w:rPr>
      </w:pPr>
      <w:r w:rsidRPr="00B150DF">
        <w:rPr>
          <w:rFonts w:ascii="Arial" w:hAnsi="Arial" w:cs="Arial"/>
          <w:sz w:val="20"/>
          <w:szCs w:val="20"/>
        </w:rPr>
        <w:t>Interest income increased to $</w:t>
      </w:r>
      <w:r w:rsidR="002F20A8">
        <w:rPr>
          <w:rFonts w:ascii="Arial" w:hAnsi="Arial" w:cs="Arial"/>
          <w:sz w:val="20"/>
          <w:szCs w:val="20"/>
        </w:rPr>
        <w:t>1,905,</w:t>
      </w:r>
      <w:r w:rsidRPr="00B150DF">
        <w:rPr>
          <w:rFonts w:ascii="Arial" w:hAnsi="Arial" w:cs="Arial"/>
          <w:sz w:val="20"/>
          <w:szCs w:val="20"/>
        </w:rPr>
        <w:t xml:space="preserve"> compared to $</w:t>
      </w:r>
      <w:r w:rsidR="0006562E">
        <w:rPr>
          <w:rFonts w:ascii="Arial" w:hAnsi="Arial" w:cs="Arial"/>
          <w:sz w:val="20"/>
          <w:szCs w:val="20"/>
        </w:rPr>
        <w:t>nil</w:t>
      </w:r>
      <w:r w:rsidRPr="00B150DF">
        <w:rPr>
          <w:rFonts w:ascii="Arial" w:hAnsi="Arial" w:cs="Arial"/>
          <w:sz w:val="20"/>
          <w:szCs w:val="20"/>
        </w:rPr>
        <w:t xml:space="preserve"> during Q</w:t>
      </w:r>
      <w:r w:rsidR="0057186D">
        <w:rPr>
          <w:rFonts w:ascii="Arial" w:hAnsi="Arial" w:cs="Arial"/>
          <w:sz w:val="20"/>
          <w:szCs w:val="20"/>
        </w:rPr>
        <w:t>3</w:t>
      </w:r>
      <w:r w:rsidRPr="00B150DF">
        <w:rPr>
          <w:rFonts w:ascii="Arial" w:hAnsi="Arial" w:cs="Arial"/>
          <w:sz w:val="20"/>
          <w:szCs w:val="20"/>
        </w:rPr>
        <w:t xml:space="preserve"> 2018, owing to the increase in cash.</w:t>
      </w:r>
    </w:p>
    <w:p w14:paraId="5E184105" w14:textId="77777777" w:rsidR="00B150DF" w:rsidRDefault="00B150DF" w:rsidP="003F6F1A">
      <w:pPr>
        <w:spacing w:after="0"/>
        <w:jc w:val="both"/>
        <w:rPr>
          <w:rFonts w:ascii="Arial" w:hAnsi="Arial" w:cs="Arial"/>
          <w:sz w:val="20"/>
          <w:szCs w:val="20"/>
        </w:rPr>
      </w:pPr>
    </w:p>
    <w:p w14:paraId="6383414B" w14:textId="77777777" w:rsidR="00DA65B0" w:rsidRPr="00B150DF" w:rsidRDefault="00DA65B0" w:rsidP="003F6F1A">
      <w:pPr>
        <w:spacing w:after="0"/>
        <w:jc w:val="both"/>
        <w:rPr>
          <w:rFonts w:ascii="Arial" w:hAnsi="Arial" w:cs="Arial"/>
          <w:sz w:val="20"/>
          <w:szCs w:val="20"/>
          <w:u w:val="single"/>
        </w:rPr>
      </w:pPr>
      <w:r w:rsidRPr="00B150DF">
        <w:rPr>
          <w:rFonts w:ascii="Arial" w:hAnsi="Arial" w:cs="Arial"/>
          <w:sz w:val="20"/>
          <w:szCs w:val="20"/>
          <w:u w:val="single"/>
        </w:rPr>
        <w:t>Interest expense</w:t>
      </w:r>
    </w:p>
    <w:p w14:paraId="3D6CCA57" w14:textId="77777777" w:rsidR="00DA65B0" w:rsidRPr="00B150DF" w:rsidRDefault="00DA65B0" w:rsidP="003F6F1A">
      <w:pPr>
        <w:spacing w:after="0"/>
        <w:jc w:val="both"/>
        <w:rPr>
          <w:rFonts w:ascii="Arial" w:hAnsi="Arial" w:cs="Arial"/>
          <w:sz w:val="20"/>
          <w:szCs w:val="20"/>
        </w:rPr>
      </w:pPr>
    </w:p>
    <w:p w14:paraId="119B3B42" w14:textId="2A993BEC" w:rsidR="00D73518" w:rsidRPr="00B150DF" w:rsidRDefault="00D73518" w:rsidP="003F6F1A">
      <w:pPr>
        <w:spacing w:after="0"/>
        <w:jc w:val="both"/>
        <w:rPr>
          <w:rFonts w:ascii="Arial" w:hAnsi="Arial" w:cs="Arial"/>
          <w:sz w:val="20"/>
          <w:szCs w:val="20"/>
        </w:rPr>
      </w:pPr>
      <w:r w:rsidRPr="00B150DF">
        <w:rPr>
          <w:rFonts w:ascii="Arial" w:hAnsi="Arial" w:cs="Arial"/>
          <w:sz w:val="20"/>
          <w:szCs w:val="20"/>
        </w:rPr>
        <w:t xml:space="preserve">Interest expense </w:t>
      </w:r>
      <w:r w:rsidR="00B150DF" w:rsidRPr="00B150DF">
        <w:rPr>
          <w:rFonts w:ascii="Arial" w:hAnsi="Arial" w:cs="Arial"/>
          <w:sz w:val="20"/>
          <w:szCs w:val="20"/>
        </w:rPr>
        <w:t>in</w:t>
      </w:r>
      <w:r w:rsidRPr="00B150DF">
        <w:rPr>
          <w:rFonts w:ascii="Arial" w:hAnsi="Arial" w:cs="Arial"/>
          <w:sz w:val="20"/>
          <w:szCs w:val="20"/>
        </w:rPr>
        <w:t>creased to $</w:t>
      </w:r>
      <w:r w:rsidR="002F20A8">
        <w:rPr>
          <w:rFonts w:ascii="Arial" w:hAnsi="Arial" w:cs="Arial"/>
          <w:sz w:val="20"/>
          <w:szCs w:val="20"/>
        </w:rPr>
        <w:t>53,430</w:t>
      </w:r>
      <w:r w:rsidR="0057186D">
        <w:rPr>
          <w:rFonts w:ascii="Arial" w:hAnsi="Arial" w:cs="Arial"/>
          <w:sz w:val="20"/>
          <w:szCs w:val="20"/>
        </w:rPr>
        <w:t>,</w:t>
      </w:r>
      <w:r w:rsidRPr="00B150DF">
        <w:rPr>
          <w:rFonts w:ascii="Arial" w:hAnsi="Arial" w:cs="Arial"/>
          <w:sz w:val="20"/>
          <w:szCs w:val="20"/>
        </w:rPr>
        <w:t xml:space="preserve"> compared to $</w:t>
      </w:r>
      <w:r w:rsidR="0006562E">
        <w:rPr>
          <w:rFonts w:ascii="Arial" w:hAnsi="Arial" w:cs="Arial"/>
          <w:sz w:val="20"/>
          <w:szCs w:val="20"/>
        </w:rPr>
        <w:t>2,3</w:t>
      </w:r>
      <w:r w:rsidR="002F20A8">
        <w:rPr>
          <w:rFonts w:ascii="Arial" w:hAnsi="Arial" w:cs="Arial"/>
          <w:sz w:val="20"/>
          <w:szCs w:val="20"/>
        </w:rPr>
        <w:t>78</w:t>
      </w:r>
      <w:r w:rsidRPr="00B150DF">
        <w:rPr>
          <w:rFonts w:ascii="Arial" w:hAnsi="Arial" w:cs="Arial"/>
          <w:sz w:val="20"/>
          <w:szCs w:val="20"/>
        </w:rPr>
        <w:t xml:space="preserve"> during Q</w:t>
      </w:r>
      <w:r w:rsidR="0057186D">
        <w:rPr>
          <w:rFonts w:ascii="Arial" w:hAnsi="Arial" w:cs="Arial"/>
          <w:sz w:val="20"/>
          <w:szCs w:val="20"/>
        </w:rPr>
        <w:t>3</w:t>
      </w:r>
      <w:r w:rsidRPr="00B150DF">
        <w:rPr>
          <w:rFonts w:ascii="Arial" w:hAnsi="Arial" w:cs="Arial"/>
          <w:sz w:val="20"/>
          <w:szCs w:val="20"/>
        </w:rPr>
        <w:t xml:space="preserve"> 201</w:t>
      </w:r>
      <w:r w:rsidR="003C5740" w:rsidRPr="00B150DF">
        <w:rPr>
          <w:rFonts w:ascii="Arial" w:hAnsi="Arial" w:cs="Arial"/>
          <w:sz w:val="20"/>
          <w:szCs w:val="20"/>
        </w:rPr>
        <w:t>8</w:t>
      </w:r>
      <w:r w:rsidRPr="00B150DF">
        <w:rPr>
          <w:rFonts w:ascii="Arial" w:hAnsi="Arial" w:cs="Arial"/>
          <w:sz w:val="20"/>
          <w:szCs w:val="20"/>
        </w:rPr>
        <w:t xml:space="preserve">, owing to </w:t>
      </w:r>
      <w:r w:rsidR="00B150DF" w:rsidRPr="00B150DF">
        <w:rPr>
          <w:rFonts w:ascii="Arial" w:hAnsi="Arial" w:cs="Arial"/>
          <w:sz w:val="20"/>
          <w:szCs w:val="20"/>
        </w:rPr>
        <w:t>increased</w:t>
      </w:r>
      <w:r w:rsidR="0089453C" w:rsidRPr="00B150DF">
        <w:rPr>
          <w:rFonts w:ascii="Arial" w:hAnsi="Arial" w:cs="Arial"/>
          <w:sz w:val="20"/>
          <w:szCs w:val="20"/>
        </w:rPr>
        <w:t xml:space="preserve"> interest expense on the lease liability </w:t>
      </w:r>
      <w:r w:rsidR="00EF2D2F" w:rsidRPr="00B150DF">
        <w:rPr>
          <w:rFonts w:ascii="Arial" w:hAnsi="Arial" w:cs="Arial"/>
          <w:sz w:val="20"/>
          <w:szCs w:val="20"/>
        </w:rPr>
        <w:t>resulting from the adoption of IFRS 16</w:t>
      </w:r>
      <w:r w:rsidR="005F6D26">
        <w:rPr>
          <w:rFonts w:ascii="Arial" w:hAnsi="Arial" w:cs="Arial"/>
          <w:sz w:val="20"/>
          <w:szCs w:val="20"/>
        </w:rPr>
        <w:t xml:space="preserve"> effective January 1, 2019</w:t>
      </w:r>
      <w:r w:rsidRPr="00B150DF">
        <w:rPr>
          <w:rFonts w:ascii="Arial" w:hAnsi="Arial" w:cs="Arial"/>
          <w:sz w:val="20"/>
          <w:szCs w:val="20"/>
        </w:rPr>
        <w:t>.</w:t>
      </w:r>
    </w:p>
    <w:p w14:paraId="159D5B60" w14:textId="77777777" w:rsidR="00BD1255" w:rsidRDefault="00BD1255" w:rsidP="003F6F1A">
      <w:pPr>
        <w:spacing w:after="0"/>
        <w:jc w:val="both"/>
        <w:rPr>
          <w:rFonts w:ascii="Arial" w:hAnsi="Arial" w:cs="Arial"/>
          <w:sz w:val="20"/>
          <w:szCs w:val="20"/>
          <w:u w:val="single"/>
        </w:rPr>
      </w:pPr>
    </w:p>
    <w:p w14:paraId="50C73037" w14:textId="77777777" w:rsidR="004953F5" w:rsidRPr="00B150DF" w:rsidRDefault="00B150DF" w:rsidP="003F6F1A">
      <w:pPr>
        <w:spacing w:after="0"/>
        <w:jc w:val="both"/>
        <w:rPr>
          <w:rFonts w:ascii="Arial" w:hAnsi="Arial" w:cs="Arial"/>
          <w:sz w:val="20"/>
          <w:szCs w:val="20"/>
        </w:rPr>
      </w:pPr>
      <w:r>
        <w:rPr>
          <w:rFonts w:ascii="Arial" w:hAnsi="Arial" w:cs="Arial"/>
          <w:sz w:val="20"/>
          <w:szCs w:val="20"/>
          <w:u w:val="single"/>
        </w:rPr>
        <w:t>Gain</w:t>
      </w:r>
      <w:r w:rsidR="004953F5" w:rsidRPr="00B150DF">
        <w:rPr>
          <w:rFonts w:ascii="Arial" w:hAnsi="Arial" w:cs="Arial"/>
          <w:sz w:val="20"/>
          <w:szCs w:val="20"/>
          <w:u w:val="single"/>
        </w:rPr>
        <w:t xml:space="preserve"> on change in fair value of warrant liability</w:t>
      </w:r>
    </w:p>
    <w:p w14:paraId="04918C9E" w14:textId="77777777" w:rsidR="004953F5" w:rsidRPr="00B150DF" w:rsidRDefault="004953F5" w:rsidP="003F6F1A">
      <w:pPr>
        <w:spacing w:after="0"/>
        <w:jc w:val="both"/>
        <w:rPr>
          <w:rFonts w:ascii="Arial" w:hAnsi="Arial" w:cs="Arial"/>
          <w:sz w:val="20"/>
          <w:szCs w:val="20"/>
          <w:u w:val="single"/>
        </w:rPr>
      </w:pPr>
    </w:p>
    <w:p w14:paraId="5ECC4CAF" w14:textId="7E0EE215" w:rsidR="00726CE5" w:rsidRPr="00B150DF" w:rsidRDefault="00726CE5" w:rsidP="003F6F1A">
      <w:pPr>
        <w:spacing w:after="0"/>
        <w:jc w:val="both"/>
        <w:rPr>
          <w:rFonts w:ascii="Arial" w:hAnsi="Arial" w:cs="Arial"/>
          <w:sz w:val="20"/>
          <w:szCs w:val="20"/>
        </w:rPr>
      </w:pPr>
      <w:r w:rsidRPr="00B150DF">
        <w:rPr>
          <w:rFonts w:ascii="Arial" w:hAnsi="Arial" w:cs="Arial"/>
          <w:sz w:val="20"/>
          <w:szCs w:val="20"/>
        </w:rPr>
        <w:t xml:space="preserve">The Company recorded a </w:t>
      </w:r>
      <w:r w:rsidR="00B150DF" w:rsidRPr="00B150DF">
        <w:rPr>
          <w:rFonts w:ascii="Arial" w:hAnsi="Arial" w:cs="Arial"/>
          <w:sz w:val="20"/>
          <w:szCs w:val="20"/>
        </w:rPr>
        <w:t xml:space="preserve">gain </w:t>
      </w:r>
      <w:r w:rsidRPr="00B150DF">
        <w:rPr>
          <w:rFonts w:ascii="Arial" w:hAnsi="Arial" w:cs="Arial"/>
          <w:sz w:val="20"/>
          <w:szCs w:val="20"/>
        </w:rPr>
        <w:t>on the change in the fair value of the warrant liability of $</w:t>
      </w:r>
      <w:r w:rsidR="002F20A8">
        <w:rPr>
          <w:rFonts w:ascii="Arial" w:hAnsi="Arial" w:cs="Arial"/>
          <w:sz w:val="20"/>
          <w:szCs w:val="20"/>
        </w:rPr>
        <w:t>512,415</w:t>
      </w:r>
      <w:r w:rsidRPr="00B150DF">
        <w:rPr>
          <w:rFonts w:ascii="Arial" w:hAnsi="Arial" w:cs="Arial"/>
          <w:sz w:val="20"/>
          <w:szCs w:val="20"/>
        </w:rPr>
        <w:t xml:space="preserve">, compared to </w:t>
      </w:r>
      <w:r w:rsidR="004B214A" w:rsidRPr="00B150DF">
        <w:rPr>
          <w:rFonts w:ascii="Arial" w:hAnsi="Arial" w:cs="Arial"/>
          <w:sz w:val="20"/>
          <w:szCs w:val="20"/>
        </w:rPr>
        <w:t>$</w:t>
      </w:r>
      <w:r w:rsidR="0006562E">
        <w:rPr>
          <w:rFonts w:ascii="Arial" w:hAnsi="Arial" w:cs="Arial"/>
          <w:sz w:val="20"/>
          <w:szCs w:val="20"/>
        </w:rPr>
        <w:t>nil</w:t>
      </w:r>
      <w:r w:rsidR="0057186D">
        <w:rPr>
          <w:rFonts w:ascii="Arial" w:hAnsi="Arial" w:cs="Arial"/>
          <w:sz w:val="20"/>
          <w:szCs w:val="20"/>
        </w:rPr>
        <w:t xml:space="preserve"> </w:t>
      </w:r>
      <w:r w:rsidR="004B214A" w:rsidRPr="00B150DF">
        <w:rPr>
          <w:rFonts w:ascii="Arial" w:hAnsi="Arial" w:cs="Arial"/>
          <w:sz w:val="20"/>
          <w:szCs w:val="20"/>
        </w:rPr>
        <w:t>during Q</w:t>
      </w:r>
      <w:r w:rsidR="0057186D">
        <w:rPr>
          <w:rFonts w:ascii="Arial" w:hAnsi="Arial" w:cs="Arial"/>
          <w:sz w:val="20"/>
          <w:szCs w:val="20"/>
        </w:rPr>
        <w:t>3</w:t>
      </w:r>
      <w:r w:rsidR="004B214A" w:rsidRPr="00B150DF">
        <w:rPr>
          <w:rFonts w:ascii="Arial" w:hAnsi="Arial" w:cs="Arial"/>
          <w:sz w:val="20"/>
          <w:szCs w:val="20"/>
        </w:rPr>
        <w:t xml:space="preserve"> 201</w:t>
      </w:r>
      <w:r w:rsidR="003C5740" w:rsidRPr="00B150DF">
        <w:rPr>
          <w:rFonts w:ascii="Arial" w:hAnsi="Arial" w:cs="Arial"/>
          <w:sz w:val="20"/>
          <w:szCs w:val="20"/>
        </w:rPr>
        <w:t>8</w:t>
      </w:r>
      <w:r w:rsidR="004B214A" w:rsidRPr="00B150DF">
        <w:rPr>
          <w:rFonts w:ascii="Arial" w:hAnsi="Arial" w:cs="Arial"/>
          <w:sz w:val="20"/>
          <w:szCs w:val="20"/>
        </w:rPr>
        <w:t>.</w:t>
      </w:r>
      <w:bookmarkStart w:id="3" w:name="_Hlk8667986"/>
      <w:r w:rsidR="003C5740" w:rsidRPr="00B150DF">
        <w:rPr>
          <w:rFonts w:ascii="Arial" w:hAnsi="Arial" w:cs="Arial"/>
          <w:sz w:val="20"/>
          <w:szCs w:val="20"/>
        </w:rPr>
        <w:t xml:space="preserve"> </w:t>
      </w:r>
      <w:r w:rsidR="00341AC5" w:rsidRPr="00B150DF">
        <w:rPr>
          <w:rFonts w:ascii="Arial" w:hAnsi="Arial" w:cs="Arial"/>
          <w:sz w:val="20"/>
          <w:szCs w:val="20"/>
        </w:rPr>
        <w:t>The share purchase warrants are required to be revalued at every quarter end and the</w:t>
      </w:r>
      <w:r w:rsidR="003C5740" w:rsidRPr="00B150DF">
        <w:rPr>
          <w:rFonts w:ascii="Arial" w:hAnsi="Arial" w:cs="Arial"/>
          <w:sz w:val="20"/>
          <w:szCs w:val="20"/>
        </w:rPr>
        <w:t xml:space="preserve"> </w:t>
      </w:r>
      <w:r w:rsidR="00B150DF" w:rsidRPr="00B150DF">
        <w:rPr>
          <w:rFonts w:ascii="Arial" w:hAnsi="Arial" w:cs="Arial"/>
          <w:sz w:val="20"/>
          <w:szCs w:val="20"/>
        </w:rPr>
        <w:t xml:space="preserve">gain </w:t>
      </w:r>
      <w:r w:rsidR="00341AC5" w:rsidRPr="00B150DF">
        <w:rPr>
          <w:rFonts w:ascii="Arial" w:hAnsi="Arial" w:cs="Arial"/>
          <w:sz w:val="20"/>
          <w:szCs w:val="20"/>
        </w:rPr>
        <w:t xml:space="preserve">resulted from the </w:t>
      </w:r>
      <w:r w:rsidR="00B150DF" w:rsidRPr="00B150DF">
        <w:rPr>
          <w:rFonts w:ascii="Arial" w:hAnsi="Arial" w:cs="Arial"/>
          <w:sz w:val="20"/>
          <w:szCs w:val="20"/>
        </w:rPr>
        <w:t>de</w:t>
      </w:r>
      <w:r w:rsidR="003C5740" w:rsidRPr="00B150DF">
        <w:rPr>
          <w:rFonts w:ascii="Arial" w:hAnsi="Arial" w:cs="Arial"/>
          <w:sz w:val="20"/>
          <w:szCs w:val="20"/>
        </w:rPr>
        <w:t>c</w:t>
      </w:r>
      <w:r w:rsidR="00341AC5" w:rsidRPr="00B150DF">
        <w:rPr>
          <w:rFonts w:ascii="Arial" w:hAnsi="Arial" w:cs="Arial"/>
          <w:sz w:val="20"/>
          <w:szCs w:val="20"/>
        </w:rPr>
        <w:t>rease in the Company’s share price during Q</w:t>
      </w:r>
      <w:r w:rsidR="0057186D">
        <w:rPr>
          <w:rFonts w:ascii="Arial" w:hAnsi="Arial" w:cs="Arial"/>
          <w:sz w:val="20"/>
          <w:szCs w:val="20"/>
        </w:rPr>
        <w:t>3</w:t>
      </w:r>
      <w:r w:rsidR="00341AC5" w:rsidRPr="00B150DF">
        <w:rPr>
          <w:rFonts w:ascii="Arial" w:hAnsi="Arial" w:cs="Arial"/>
          <w:sz w:val="20"/>
          <w:szCs w:val="20"/>
        </w:rPr>
        <w:t xml:space="preserve"> 201</w:t>
      </w:r>
      <w:r w:rsidR="003C5740" w:rsidRPr="00B150DF">
        <w:rPr>
          <w:rFonts w:ascii="Arial" w:hAnsi="Arial" w:cs="Arial"/>
          <w:sz w:val="20"/>
          <w:szCs w:val="20"/>
        </w:rPr>
        <w:t>9</w:t>
      </w:r>
      <w:r w:rsidR="00341AC5" w:rsidRPr="00B150DF">
        <w:rPr>
          <w:rFonts w:ascii="Arial" w:hAnsi="Arial" w:cs="Arial"/>
          <w:sz w:val="20"/>
          <w:szCs w:val="20"/>
        </w:rPr>
        <w:t>, which is a variable in determining the fair value of the warrant liability per the Black-Scholes valuation model</w:t>
      </w:r>
      <w:bookmarkEnd w:id="3"/>
      <w:r w:rsidR="004B214A" w:rsidRPr="00B150DF">
        <w:rPr>
          <w:rFonts w:ascii="Arial" w:hAnsi="Arial" w:cs="Arial"/>
          <w:sz w:val="20"/>
          <w:szCs w:val="20"/>
        </w:rPr>
        <w:t>.</w:t>
      </w:r>
    </w:p>
    <w:p w14:paraId="5EA6B3C2" w14:textId="4B20D579" w:rsidR="00341AC5" w:rsidRDefault="00341AC5" w:rsidP="003F6F1A">
      <w:pPr>
        <w:spacing w:after="0"/>
        <w:jc w:val="both"/>
        <w:rPr>
          <w:rFonts w:ascii="Arial" w:hAnsi="Arial" w:cs="Arial"/>
          <w:sz w:val="20"/>
          <w:szCs w:val="20"/>
          <w:u w:val="single"/>
        </w:rPr>
      </w:pPr>
    </w:p>
    <w:p w14:paraId="3C4AFFAE" w14:textId="77777777" w:rsidR="004953F5" w:rsidRPr="00B150DF" w:rsidRDefault="00B150DF" w:rsidP="003F6F1A">
      <w:pPr>
        <w:spacing w:after="0"/>
        <w:jc w:val="both"/>
        <w:rPr>
          <w:rFonts w:ascii="Arial" w:hAnsi="Arial" w:cs="Arial"/>
          <w:sz w:val="20"/>
          <w:szCs w:val="20"/>
          <w:u w:val="single"/>
        </w:rPr>
      </w:pPr>
      <w:r>
        <w:rPr>
          <w:rFonts w:ascii="Arial" w:hAnsi="Arial" w:cs="Arial"/>
          <w:sz w:val="20"/>
          <w:szCs w:val="20"/>
          <w:u w:val="single"/>
        </w:rPr>
        <w:t>Gain</w:t>
      </w:r>
      <w:r w:rsidR="004953F5" w:rsidRPr="00B150DF">
        <w:rPr>
          <w:rFonts w:ascii="Arial" w:hAnsi="Arial" w:cs="Arial"/>
          <w:sz w:val="20"/>
          <w:szCs w:val="20"/>
          <w:u w:val="single"/>
        </w:rPr>
        <w:t xml:space="preserve"> on change in fair value of conversion option</w:t>
      </w:r>
    </w:p>
    <w:p w14:paraId="243F86C3" w14:textId="77777777" w:rsidR="004953F5" w:rsidRPr="00B150DF" w:rsidRDefault="004953F5" w:rsidP="003F6F1A">
      <w:pPr>
        <w:spacing w:after="0"/>
        <w:jc w:val="both"/>
        <w:rPr>
          <w:rFonts w:ascii="Arial" w:hAnsi="Arial" w:cs="Arial"/>
          <w:sz w:val="20"/>
          <w:szCs w:val="20"/>
          <w:u w:val="single"/>
        </w:rPr>
      </w:pPr>
    </w:p>
    <w:p w14:paraId="3421A46F" w14:textId="4DDE2D84" w:rsidR="004B214A" w:rsidRPr="003B22BC" w:rsidRDefault="004B214A" w:rsidP="003F6F1A">
      <w:pPr>
        <w:spacing w:after="0"/>
        <w:jc w:val="both"/>
        <w:rPr>
          <w:rFonts w:ascii="Arial" w:hAnsi="Arial" w:cs="Arial"/>
          <w:sz w:val="20"/>
          <w:szCs w:val="20"/>
          <w:u w:val="single"/>
        </w:rPr>
      </w:pPr>
      <w:r w:rsidRPr="00B150DF">
        <w:rPr>
          <w:rFonts w:ascii="Arial" w:hAnsi="Arial" w:cs="Arial"/>
          <w:sz w:val="20"/>
          <w:szCs w:val="20"/>
        </w:rPr>
        <w:t xml:space="preserve">The Company recorded a </w:t>
      </w:r>
      <w:r w:rsidR="00B150DF" w:rsidRPr="00B150DF">
        <w:rPr>
          <w:rFonts w:ascii="Arial" w:hAnsi="Arial" w:cs="Arial"/>
          <w:sz w:val="20"/>
          <w:szCs w:val="20"/>
        </w:rPr>
        <w:t>gain</w:t>
      </w:r>
      <w:r w:rsidRPr="00B150DF">
        <w:rPr>
          <w:rFonts w:ascii="Arial" w:hAnsi="Arial" w:cs="Arial"/>
          <w:sz w:val="20"/>
          <w:szCs w:val="20"/>
        </w:rPr>
        <w:t xml:space="preserve"> on the change in the fair value of the </w:t>
      </w:r>
      <w:r w:rsidR="00D64B7F" w:rsidRPr="00B150DF">
        <w:rPr>
          <w:rFonts w:ascii="Arial" w:hAnsi="Arial" w:cs="Arial"/>
          <w:sz w:val="20"/>
          <w:szCs w:val="20"/>
        </w:rPr>
        <w:t>conversion option</w:t>
      </w:r>
      <w:r w:rsidRPr="00B150DF">
        <w:rPr>
          <w:rFonts w:ascii="Arial" w:hAnsi="Arial" w:cs="Arial"/>
          <w:sz w:val="20"/>
          <w:szCs w:val="20"/>
        </w:rPr>
        <w:t xml:space="preserve"> of $</w:t>
      </w:r>
      <w:r w:rsidR="002F20A8">
        <w:rPr>
          <w:rFonts w:ascii="Arial" w:hAnsi="Arial" w:cs="Arial"/>
          <w:sz w:val="20"/>
          <w:szCs w:val="20"/>
        </w:rPr>
        <w:t>126,542</w:t>
      </w:r>
      <w:r w:rsidRPr="00B150DF">
        <w:rPr>
          <w:rFonts w:ascii="Arial" w:hAnsi="Arial" w:cs="Arial"/>
          <w:sz w:val="20"/>
          <w:szCs w:val="20"/>
        </w:rPr>
        <w:t>, compared to $</w:t>
      </w:r>
      <w:r w:rsidR="0006562E">
        <w:rPr>
          <w:rFonts w:ascii="Arial" w:hAnsi="Arial" w:cs="Arial"/>
          <w:sz w:val="20"/>
          <w:szCs w:val="20"/>
        </w:rPr>
        <w:t>nil</w:t>
      </w:r>
      <w:r w:rsidR="0057186D">
        <w:rPr>
          <w:rFonts w:ascii="Arial" w:hAnsi="Arial" w:cs="Arial"/>
          <w:sz w:val="20"/>
          <w:szCs w:val="20"/>
        </w:rPr>
        <w:t xml:space="preserve"> </w:t>
      </w:r>
      <w:r w:rsidRPr="00B150DF">
        <w:rPr>
          <w:rFonts w:ascii="Arial" w:hAnsi="Arial" w:cs="Arial"/>
          <w:sz w:val="20"/>
          <w:szCs w:val="20"/>
        </w:rPr>
        <w:t>during Q</w:t>
      </w:r>
      <w:r w:rsidR="0057186D">
        <w:rPr>
          <w:rFonts w:ascii="Arial" w:hAnsi="Arial" w:cs="Arial"/>
          <w:sz w:val="20"/>
          <w:szCs w:val="20"/>
        </w:rPr>
        <w:t>3</w:t>
      </w:r>
      <w:r w:rsidRPr="00B150DF">
        <w:rPr>
          <w:rFonts w:ascii="Arial" w:hAnsi="Arial" w:cs="Arial"/>
          <w:sz w:val="20"/>
          <w:szCs w:val="20"/>
        </w:rPr>
        <w:t xml:space="preserve"> 201</w:t>
      </w:r>
      <w:r w:rsidR="003C5740" w:rsidRPr="00B150DF">
        <w:rPr>
          <w:rFonts w:ascii="Arial" w:hAnsi="Arial" w:cs="Arial"/>
          <w:sz w:val="20"/>
          <w:szCs w:val="20"/>
        </w:rPr>
        <w:t>8</w:t>
      </w:r>
      <w:r w:rsidRPr="00B150DF">
        <w:rPr>
          <w:rFonts w:ascii="Arial" w:hAnsi="Arial" w:cs="Arial"/>
          <w:sz w:val="20"/>
          <w:szCs w:val="20"/>
        </w:rPr>
        <w:t xml:space="preserve">. </w:t>
      </w:r>
      <w:r w:rsidR="000620B5" w:rsidRPr="00B150DF">
        <w:rPr>
          <w:rFonts w:ascii="Arial" w:hAnsi="Arial" w:cs="Arial"/>
          <w:sz w:val="20"/>
          <w:szCs w:val="20"/>
        </w:rPr>
        <w:t xml:space="preserve">The </w:t>
      </w:r>
      <w:r w:rsidR="00D64B7F" w:rsidRPr="00B150DF">
        <w:rPr>
          <w:rFonts w:ascii="Arial" w:hAnsi="Arial" w:cs="Arial"/>
          <w:sz w:val="20"/>
          <w:szCs w:val="20"/>
        </w:rPr>
        <w:t xml:space="preserve">conversion option is </w:t>
      </w:r>
      <w:r w:rsidR="00AD0529" w:rsidRPr="00B150DF">
        <w:rPr>
          <w:rFonts w:ascii="Arial" w:hAnsi="Arial" w:cs="Arial"/>
          <w:sz w:val="20"/>
          <w:szCs w:val="20"/>
        </w:rPr>
        <w:t xml:space="preserve">required to be revalued at every quarter end and the </w:t>
      </w:r>
      <w:r w:rsidR="00B150DF" w:rsidRPr="00B150DF">
        <w:rPr>
          <w:rFonts w:ascii="Arial" w:hAnsi="Arial" w:cs="Arial"/>
          <w:sz w:val="20"/>
          <w:szCs w:val="20"/>
        </w:rPr>
        <w:t>gain</w:t>
      </w:r>
      <w:r w:rsidR="000620B5" w:rsidRPr="00B150DF">
        <w:rPr>
          <w:rFonts w:ascii="Arial" w:hAnsi="Arial" w:cs="Arial"/>
          <w:sz w:val="20"/>
          <w:szCs w:val="20"/>
        </w:rPr>
        <w:t xml:space="preserve"> resulted from the </w:t>
      </w:r>
      <w:r w:rsidR="00B150DF" w:rsidRPr="00B150DF">
        <w:rPr>
          <w:rFonts w:ascii="Arial" w:hAnsi="Arial" w:cs="Arial"/>
          <w:sz w:val="20"/>
          <w:szCs w:val="20"/>
        </w:rPr>
        <w:t>de</w:t>
      </w:r>
      <w:r w:rsidR="000620B5" w:rsidRPr="00B150DF">
        <w:rPr>
          <w:rFonts w:ascii="Arial" w:hAnsi="Arial" w:cs="Arial"/>
          <w:sz w:val="20"/>
          <w:szCs w:val="20"/>
        </w:rPr>
        <w:t xml:space="preserve">crease in the Company’s share price </w:t>
      </w:r>
      <w:r w:rsidR="00AD0529" w:rsidRPr="00B150DF">
        <w:rPr>
          <w:rFonts w:ascii="Arial" w:hAnsi="Arial" w:cs="Arial"/>
          <w:sz w:val="20"/>
          <w:szCs w:val="20"/>
        </w:rPr>
        <w:t xml:space="preserve">during </w:t>
      </w:r>
      <w:r w:rsidR="000620B5" w:rsidRPr="00B150DF">
        <w:rPr>
          <w:rFonts w:ascii="Arial" w:hAnsi="Arial" w:cs="Arial"/>
          <w:sz w:val="20"/>
          <w:szCs w:val="20"/>
        </w:rPr>
        <w:t>Q</w:t>
      </w:r>
      <w:r w:rsidR="0057186D">
        <w:rPr>
          <w:rFonts w:ascii="Arial" w:hAnsi="Arial" w:cs="Arial"/>
          <w:sz w:val="20"/>
          <w:szCs w:val="20"/>
        </w:rPr>
        <w:t>3</w:t>
      </w:r>
      <w:r w:rsidR="000620B5" w:rsidRPr="00B150DF">
        <w:rPr>
          <w:rFonts w:ascii="Arial" w:hAnsi="Arial" w:cs="Arial"/>
          <w:sz w:val="20"/>
          <w:szCs w:val="20"/>
        </w:rPr>
        <w:t xml:space="preserve"> 201</w:t>
      </w:r>
      <w:r w:rsidR="003C5740" w:rsidRPr="00B150DF">
        <w:rPr>
          <w:rFonts w:ascii="Arial" w:hAnsi="Arial" w:cs="Arial"/>
          <w:sz w:val="20"/>
          <w:szCs w:val="20"/>
        </w:rPr>
        <w:t>9</w:t>
      </w:r>
      <w:r w:rsidR="000620B5" w:rsidRPr="00B150DF">
        <w:rPr>
          <w:rFonts w:ascii="Arial" w:hAnsi="Arial" w:cs="Arial"/>
          <w:sz w:val="20"/>
          <w:szCs w:val="20"/>
        </w:rPr>
        <w:t xml:space="preserve">, which is a variable in determining the fair value of the conversion option. </w:t>
      </w:r>
    </w:p>
    <w:p w14:paraId="09ADF5A4" w14:textId="7B82E7DE" w:rsidR="00B150DF" w:rsidRDefault="00B150DF" w:rsidP="003F6F1A">
      <w:pPr>
        <w:spacing w:after="0"/>
        <w:jc w:val="both"/>
        <w:rPr>
          <w:rFonts w:ascii="Arial" w:hAnsi="Arial" w:cs="Arial"/>
          <w:sz w:val="20"/>
          <w:szCs w:val="20"/>
          <w:u w:val="single"/>
        </w:rPr>
      </w:pPr>
    </w:p>
    <w:p w14:paraId="680625F5" w14:textId="5D295CB4" w:rsidR="003B6B96" w:rsidRDefault="003B6B96" w:rsidP="003F6F1A">
      <w:pPr>
        <w:spacing w:after="0"/>
        <w:jc w:val="both"/>
        <w:rPr>
          <w:rFonts w:ascii="Arial" w:hAnsi="Arial" w:cs="Arial"/>
          <w:sz w:val="20"/>
          <w:szCs w:val="20"/>
          <w:u w:val="single"/>
        </w:rPr>
      </w:pPr>
      <w:r>
        <w:rPr>
          <w:rFonts w:ascii="Arial" w:hAnsi="Arial" w:cs="Arial"/>
          <w:sz w:val="20"/>
          <w:szCs w:val="20"/>
          <w:u w:val="single"/>
        </w:rPr>
        <w:t>Restructuring</w:t>
      </w:r>
    </w:p>
    <w:p w14:paraId="16D63ABD" w14:textId="339813DE" w:rsidR="003B6B96" w:rsidRPr="003B6B96" w:rsidRDefault="003B6B96" w:rsidP="003F6F1A">
      <w:pPr>
        <w:spacing w:after="0"/>
        <w:jc w:val="both"/>
        <w:rPr>
          <w:rFonts w:ascii="Arial" w:hAnsi="Arial" w:cs="Arial"/>
          <w:sz w:val="20"/>
          <w:szCs w:val="20"/>
        </w:rPr>
      </w:pPr>
    </w:p>
    <w:p w14:paraId="6C3EEFC2" w14:textId="50817579" w:rsidR="003B6B96" w:rsidRDefault="003B6B96" w:rsidP="003F6F1A">
      <w:pPr>
        <w:spacing w:after="0"/>
        <w:jc w:val="both"/>
        <w:rPr>
          <w:rFonts w:ascii="Arial" w:hAnsi="Arial" w:cs="Arial"/>
          <w:bCs/>
          <w:sz w:val="20"/>
          <w:szCs w:val="20"/>
          <w:lang w:val="en-CA"/>
        </w:rPr>
      </w:pPr>
      <w:r w:rsidRPr="003B6B96">
        <w:rPr>
          <w:rFonts w:ascii="Arial" w:hAnsi="Arial" w:cs="Arial"/>
          <w:sz w:val="20"/>
          <w:szCs w:val="20"/>
        </w:rPr>
        <w:t>The Company recorded restructuring expense of $</w:t>
      </w:r>
      <w:r w:rsidRPr="003B6B96">
        <w:rPr>
          <w:rFonts w:ascii="Arial" w:hAnsi="Arial" w:cs="Arial"/>
          <w:bCs/>
          <w:sz w:val="20"/>
          <w:szCs w:val="20"/>
          <w:lang w:val="en-CA"/>
        </w:rPr>
        <w:t>169,606, compared to $nil during Q3 2018. The amount relates</w:t>
      </w:r>
      <w:r>
        <w:rPr>
          <w:rFonts w:ascii="Arial" w:hAnsi="Arial" w:cs="Arial"/>
          <w:bCs/>
          <w:sz w:val="20"/>
          <w:szCs w:val="20"/>
          <w:lang w:val="en-CA"/>
        </w:rPr>
        <w:t xml:space="preserve"> to a final termination settlement reached with the former CEO</w:t>
      </w:r>
      <w:r w:rsidR="006F10A5">
        <w:rPr>
          <w:rFonts w:ascii="Arial" w:hAnsi="Arial" w:cs="Arial"/>
          <w:bCs/>
          <w:sz w:val="20"/>
          <w:szCs w:val="20"/>
          <w:lang w:val="en-CA"/>
        </w:rPr>
        <w:t xml:space="preserve"> and other outgoing employees</w:t>
      </w:r>
      <w:r>
        <w:rPr>
          <w:rFonts w:ascii="Arial" w:hAnsi="Arial" w:cs="Arial"/>
          <w:bCs/>
          <w:sz w:val="20"/>
          <w:szCs w:val="20"/>
          <w:lang w:val="en-CA"/>
        </w:rPr>
        <w:t>.</w:t>
      </w:r>
    </w:p>
    <w:p w14:paraId="6438879B" w14:textId="77777777" w:rsidR="003B6B96" w:rsidRDefault="003B6B96" w:rsidP="003F6F1A">
      <w:pPr>
        <w:spacing w:after="0"/>
        <w:jc w:val="both"/>
        <w:rPr>
          <w:rFonts w:ascii="Arial" w:hAnsi="Arial" w:cs="Arial"/>
          <w:sz w:val="20"/>
          <w:szCs w:val="20"/>
          <w:u w:val="single"/>
        </w:rPr>
      </w:pPr>
    </w:p>
    <w:p w14:paraId="71B55AB5" w14:textId="77777777" w:rsidR="00B150DF" w:rsidRPr="00B150DF" w:rsidRDefault="00B150DF" w:rsidP="003F6F1A">
      <w:pPr>
        <w:spacing w:after="0"/>
        <w:jc w:val="both"/>
        <w:rPr>
          <w:rFonts w:ascii="Arial" w:hAnsi="Arial" w:cs="Arial"/>
          <w:sz w:val="20"/>
          <w:szCs w:val="20"/>
        </w:rPr>
      </w:pPr>
      <w:r w:rsidRPr="00B150DF">
        <w:rPr>
          <w:rFonts w:ascii="Arial" w:hAnsi="Arial" w:cs="Arial"/>
          <w:sz w:val="20"/>
          <w:szCs w:val="20"/>
          <w:u w:val="single"/>
        </w:rPr>
        <w:t>Other expense</w:t>
      </w:r>
    </w:p>
    <w:p w14:paraId="5565D28E" w14:textId="77777777" w:rsidR="00B150DF" w:rsidRPr="00B150DF" w:rsidRDefault="00B150DF" w:rsidP="003F6F1A">
      <w:pPr>
        <w:spacing w:after="0"/>
        <w:jc w:val="both"/>
        <w:rPr>
          <w:rFonts w:ascii="Arial" w:hAnsi="Arial" w:cs="Arial"/>
          <w:sz w:val="20"/>
          <w:szCs w:val="20"/>
        </w:rPr>
      </w:pPr>
    </w:p>
    <w:p w14:paraId="3E4B74B7" w14:textId="19FD56C6" w:rsidR="00EF2D2F" w:rsidRPr="00B150DF" w:rsidRDefault="00B150DF" w:rsidP="003F6F1A">
      <w:pPr>
        <w:spacing w:after="0"/>
        <w:jc w:val="both"/>
        <w:rPr>
          <w:rFonts w:ascii="Arial" w:hAnsi="Arial" w:cs="Arial"/>
          <w:sz w:val="20"/>
          <w:szCs w:val="20"/>
        </w:rPr>
      </w:pPr>
      <w:r w:rsidRPr="00B150DF">
        <w:rPr>
          <w:rFonts w:ascii="Arial" w:hAnsi="Arial" w:cs="Arial"/>
          <w:sz w:val="20"/>
          <w:szCs w:val="20"/>
        </w:rPr>
        <w:t>The Company recorded other expense of $</w:t>
      </w:r>
      <w:r w:rsidR="002F20A8">
        <w:rPr>
          <w:rFonts w:ascii="Arial" w:hAnsi="Arial" w:cs="Arial"/>
          <w:sz w:val="20"/>
          <w:szCs w:val="20"/>
        </w:rPr>
        <w:t>12,972</w:t>
      </w:r>
      <w:r w:rsidRPr="00B150DF">
        <w:rPr>
          <w:rFonts w:ascii="Arial" w:hAnsi="Arial" w:cs="Arial"/>
          <w:sz w:val="20"/>
          <w:szCs w:val="20"/>
        </w:rPr>
        <w:t>, compared to $</w:t>
      </w:r>
      <w:r w:rsidR="002F20A8">
        <w:rPr>
          <w:rFonts w:ascii="Arial" w:hAnsi="Arial" w:cs="Arial"/>
          <w:sz w:val="20"/>
          <w:szCs w:val="20"/>
        </w:rPr>
        <w:t>28,769</w:t>
      </w:r>
      <w:r w:rsidRPr="00B150DF">
        <w:rPr>
          <w:rFonts w:ascii="Arial" w:hAnsi="Arial" w:cs="Arial"/>
          <w:sz w:val="20"/>
          <w:szCs w:val="20"/>
        </w:rPr>
        <w:t xml:space="preserve"> during Q</w:t>
      </w:r>
      <w:r w:rsidR="0057186D">
        <w:rPr>
          <w:rFonts w:ascii="Arial" w:hAnsi="Arial" w:cs="Arial"/>
          <w:sz w:val="20"/>
          <w:szCs w:val="20"/>
        </w:rPr>
        <w:t>3</w:t>
      </w:r>
      <w:r w:rsidRPr="00B150DF">
        <w:rPr>
          <w:rFonts w:ascii="Arial" w:hAnsi="Arial" w:cs="Arial"/>
          <w:sz w:val="20"/>
          <w:szCs w:val="20"/>
        </w:rPr>
        <w:t xml:space="preserve"> 2018. The amount relates primarily to foreign exchange losses due to the </w:t>
      </w:r>
      <w:r w:rsidR="00436015">
        <w:rPr>
          <w:rFonts w:ascii="Arial" w:hAnsi="Arial" w:cs="Arial"/>
          <w:sz w:val="20"/>
          <w:szCs w:val="20"/>
        </w:rPr>
        <w:t>de</w:t>
      </w:r>
      <w:r w:rsidRPr="00B150DF">
        <w:rPr>
          <w:rFonts w:ascii="Arial" w:hAnsi="Arial" w:cs="Arial"/>
          <w:sz w:val="20"/>
          <w:szCs w:val="20"/>
        </w:rPr>
        <w:t>crease in the US dollar relative to the Canadian dollar during Q</w:t>
      </w:r>
      <w:r w:rsidR="0057186D">
        <w:rPr>
          <w:rFonts w:ascii="Arial" w:hAnsi="Arial" w:cs="Arial"/>
          <w:sz w:val="20"/>
          <w:szCs w:val="20"/>
        </w:rPr>
        <w:t>3</w:t>
      </w:r>
      <w:r w:rsidRPr="00B150DF">
        <w:rPr>
          <w:rFonts w:ascii="Arial" w:hAnsi="Arial" w:cs="Arial"/>
          <w:sz w:val="20"/>
          <w:szCs w:val="20"/>
        </w:rPr>
        <w:t xml:space="preserve"> 2018.</w:t>
      </w:r>
    </w:p>
    <w:p w14:paraId="792C9EAE" w14:textId="77777777" w:rsidR="00B150DF" w:rsidRPr="005F6D26" w:rsidRDefault="00B150DF" w:rsidP="003F6F1A">
      <w:pPr>
        <w:jc w:val="both"/>
        <w:rPr>
          <w:rFonts w:ascii="Arial" w:hAnsi="Arial" w:cs="Arial"/>
          <w:i/>
          <w:sz w:val="20"/>
          <w:u w:val="single"/>
        </w:rPr>
      </w:pPr>
      <w:r w:rsidRPr="00A86E9F">
        <w:rPr>
          <w:i/>
          <w:sz w:val="20"/>
          <w:highlight w:val="yellow"/>
          <w:u w:val="single"/>
        </w:rPr>
        <w:br/>
      </w:r>
      <w:r w:rsidRPr="005F6D26">
        <w:rPr>
          <w:rFonts w:ascii="Arial" w:hAnsi="Arial" w:cs="Arial"/>
          <w:i/>
          <w:sz w:val="20"/>
          <w:u w:val="single"/>
        </w:rPr>
        <w:t xml:space="preserve">Review of Consolidated Financial Information for </w:t>
      </w:r>
      <w:r w:rsidR="00A86E9F" w:rsidRPr="005F6D26">
        <w:rPr>
          <w:rFonts w:ascii="Arial" w:hAnsi="Arial" w:cs="Arial"/>
          <w:i/>
          <w:sz w:val="20"/>
          <w:u w:val="single"/>
        </w:rPr>
        <w:t xml:space="preserve">YTD </w:t>
      </w:r>
      <w:r w:rsidRPr="005F6D26">
        <w:rPr>
          <w:rFonts w:ascii="Arial" w:hAnsi="Arial" w:cs="Arial"/>
          <w:i/>
          <w:sz w:val="20"/>
          <w:u w:val="single"/>
        </w:rPr>
        <w:t xml:space="preserve">2019 compared to </w:t>
      </w:r>
      <w:r w:rsidR="00A86E9F" w:rsidRPr="005F6D26">
        <w:rPr>
          <w:rFonts w:ascii="Arial" w:hAnsi="Arial" w:cs="Arial"/>
          <w:i/>
          <w:sz w:val="20"/>
          <w:u w:val="single"/>
        </w:rPr>
        <w:t xml:space="preserve">YTD </w:t>
      </w:r>
      <w:r w:rsidRPr="005F6D26">
        <w:rPr>
          <w:rFonts w:ascii="Arial" w:hAnsi="Arial" w:cs="Arial"/>
          <w:i/>
          <w:sz w:val="20"/>
          <w:u w:val="single"/>
        </w:rPr>
        <w:t>2018</w:t>
      </w:r>
    </w:p>
    <w:tbl>
      <w:tblPr>
        <w:tblW w:w="9411" w:type="dxa"/>
        <w:tblInd w:w="18" w:type="dxa"/>
        <w:tblLayout w:type="fixed"/>
        <w:tblLook w:val="04A0" w:firstRow="1" w:lastRow="0" w:firstColumn="1" w:lastColumn="0" w:noHBand="0" w:noVBand="1"/>
      </w:tblPr>
      <w:tblGrid>
        <w:gridCol w:w="4762"/>
        <w:gridCol w:w="236"/>
        <w:gridCol w:w="2054"/>
        <w:gridCol w:w="236"/>
        <w:gridCol w:w="2123"/>
      </w:tblGrid>
      <w:tr w:rsidR="003E0848" w:rsidRPr="00DA4360" w14:paraId="522B95CA" w14:textId="77777777" w:rsidTr="004A1755">
        <w:tc>
          <w:tcPr>
            <w:tcW w:w="4762" w:type="dxa"/>
            <w:tcBorders>
              <w:top w:val="single" w:sz="4" w:space="0" w:color="auto"/>
              <w:bottom w:val="single" w:sz="12" w:space="0" w:color="auto"/>
            </w:tcBorders>
            <w:shd w:val="clear" w:color="auto" w:fill="auto"/>
          </w:tcPr>
          <w:p w14:paraId="3D7DD5DB"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290" w:type="dxa"/>
            <w:gridSpan w:val="2"/>
            <w:tcBorders>
              <w:top w:val="single" w:sz="4" w:space="0" w:color="auto"/>
              <w:bottom w:val="single" w:sz="12" w:space="0" w:color="auto"/>
            </w:tcBorders>
            <w:shd w:val="clear" w:color="auto" w:fill="auto"/>
            <w:vAlign w:val="bottom"/>
          </w:tcPr>
          <w:p w14:paraId="1F820E93" w14:textId="77777777" w:rsidR="00B150DF" w:rsidRPr="00DA4360" w:rsidRDefault="00A86E9F" w:rsidP="003F6F1A">
            <w:pPr>
              <w:keepNext/>
              <w:tabs>
                <w:tab w:val="left" w:pos="360"/>
              </w:tabs>
              <w:suppressAutoHyphens/>
              <w:spacing w:after="0" w:line="240" w:lineRule="auto"/>
              <w:jc w:val="right"/>
              <w:rPr>
                <w:rFonts w:ascii="Arial" w:hAnsi="Arial" w:cs="Arial"/>
                <w:b/>
                <w:i/>
                <w:sz w:val="20"/>
                <w:szCs w:val="20"/>
                <w:lang w:val="en-CA"/>
              </w:rPr>
            </w:pPr>
            <w:r w:rsidRPr="00DA4360">
              <w:rPr>
                <w:rFonts w:ascii="Arial" w:hAnsi="Arial" w:cs="Arial"/>
                <w:b/>
                <w:sz w:val="20"/>
                <w:szCs w:val="20"/>
                <w:lang w:val="en-CA"/>
              </w:rPr>
              <w:t xml:space="preserve">YTD </w:t>
            </w:r>
            <w:r w:rsidR="00B150DF" w:rsidRPr="00DA4360">
              <w:rPr>
                <w:rFonts w:ascii="Arial" w:hAnsi="Arial" w:cs="Arial"/>
                <w:b/>
                <w:sz w:val="20"/>
                <w:szCs w:val="20"/>
                <w:lang w:val="en-CA"/>
              </w:rPr>
              <w:t>2019</w:t>
            </w:r>
          </w:p>
        </w:tc>
        <w:tc>
          <w:tcPr>
            <w:tcW w:w="2359" w:type="dxa"/>
            <w:gridSpan w:val="2"/>
            <w:tcBorders>
              <w:top w:val="single" w:sz="4" w:space="0" w:color="auto"/>
              <w:bottom w:val="single" w:sz="12" w:space="0" w:color="auto"/>
            </w:tcBorders>
            <w:shd w:val="clear" w:color="auto" w:fill="auto"/>
            <w:vAlign w:val="bottom"/>
          </w:tcPr>
          <w:p w14:paraId="5B75D2FA" w14:textId="77777777" w:rsidR="00B150D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YTD </w:t>
            </w:r>
            <w:r w:rsidR="00B150DF" w:rsidRPr="00DA4360">
              <w:rPr>
                <w:rFonts w:ascii="Arial" w:hAnsi="Arial" w:cs="Arial"/>
                <w:sz w:val="20"/>
                <w:szCs w:val="20"/>
                <w:lang w:val="en-CA"/>
              </w:rPr>
              <w:t>2018</w:t>
            </w:r>
          </w:p>
        </w:tc>
      </w:tr>
      <w:tr w:rsidR="003E0848" w:rsidRPr="00DA4360" w14:paraId="6546A8B5" w14:textId="77777777" w:rsidTr="004A1755">
        <w:tc>
          <w:tcPr>
            <w:tcW w:w="4762" w:type="dxa"/>
            <w:tcBorders>
              <w:top w:val="single" w:sz="12" w:space="0" w:color="auto"/>
            </w:tcBorders>
            <w:shd w:val="clear" w:color="auto" w:fill="auto"/>
          </w:tcPr>
          <w:p w14:paraId="6D1E3F78"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12" w:space="0" w:color="auto"/>
            </w:tcBorders>
            <w:shd w:val="clear" w:color="auto" w:fill="auto"/>
          </w:tcPr>
          <w:p w14:paraId="3C75DDAC"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12" w:space="0" w:color="auto"/>
            </w:tcBorders>
            <w:shd w:val="clear" w:color="auto" w:fill="auto"/>
            <w:vAlign w:val="bottom"/>
          </w:tcPr>
          <w:p w14:paraId="10C5EBB9"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12" w:space="0" w:color="auto"/>
            </w:tcBorders>
            <w:shd w:val="clear" w:color="auto" w:fill="auto"/>
            <w:vAlign w:val="bottom"/>
          </w:tcPr>
          <w:p w14:paraId="13F0E2B0"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12" w:space="0" w:color="auto"/>
            </w:tcBorders>
            <w:shd w:val="clear" w:color="auto" w:fill="auto"/>
            <w:vAlign w:val="bottom"/>
          </w:tcPr>
          <w:p w14:paraId="1B35428C"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4ADB834E" w14:textId="77777777" w:rsidTr="004A1755">
        <w:tc>
          <w:tcPr>
            <w:tcW w:w="4762" w:type="dxa"/>
            <w:shd w:val="clear" w:color="auto" w:fill="auto"/>
          </w:tcPr>
          <w:p w14:paraId="62C31C44"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Clinic revenues</w:t>
            </w:r>
          </w:p>
        </w:tc>
        <w:tc>
          <w:tcPr>
            <w:tcW w:w="236" w:type="dxa"/>
            <w:shd w:val="clear" w:color="auto" w:fill="auto"/>
          </w:tcPr>
          <w:p w14:paraId="722047D9"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sz w:val="20"/>
                <w:szCs w:val="20"/>
                <w:lang w:bidi="th-TH"/>
              </w:rPr>
              <w:t>$</w:t>
            </w:r>
          </w:p>
        </w:tc>
        <w:tc>
          <w:tcPr>
            <w:tcW w:w="2054" w:type="dxa"/>
            <w:shd w:val="clear" w:color="auto" w:fill="auto"/>
            <w:vAlign w:val="bottom"/>
          </w:tcPr>
          <w:p w14:paraId="5B71464B" w14:textId="69ACEA3F" w:rsidR="00A86E9F" w:rsidRPr="00DA4360" w:rsidRDefault="002F20A8" w:rsidP="003F6F1A">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1,406,872</w:t>
            </w:r>
          </w:p>
        </w:tc>
        <w:tc>
          <w:tcPr>
            <w:tcW w:w="236" w:type="dxa"/>
            <w:shd w:val="clear" w:color="auto" w:fill="auto"/>
            <w:vAlign w:val="bottom"/>
          </w:tcPr>
          <w:p w14:paraId="23A28BD5"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bidi="th-TH"/>
              </w:rPr>
              <w:t>$</w:t>
            </w:r>
          </w:p>
        </w:tc>
        <w:tc>
          <w:tcPr>
            <w:tcW w:w="2123" w:type="dxa"/>
            <w:shd w:val="clear" w:color="auto" w:fill="auto"/>
            <w:vAlign w:val="bottom"/>
          </w:tcPr>
          <w:p w14:paraId="2DDB2307" w14:textId="00645118" w:rsidR="00A86E9F" w:rsidRPr="00A801DF" w:rsidRDefault="0006562E" w:rsidP="003F6F1A">
            <w:pPr>
              <w:keepNext/>
              <w:tabs>
                <w:tab w:val="left" w:pos="360"/>
              </w:tabs>
              <w:suppressAutoHyphens/>
              <w:spacing w:after="0" w:line="240" w:lineRule="auto"/>
              <w:jc w:val="right"/>
              <w:rPr>
                <w:rFonts w:ascii="Arial" w:hAnsi="Arial" w:cs="Arial"/>
                <w:sz w:val="20"/>
                <w:szCs w:val="20"/>
              </w:rPr>
            </w:pPr>
            <w:r w:rsidRPr="00A801DF">
              <w:rPr>
                <w:rFonts w:ascii="Arial" w:hAnsi="Arial" w:cs="Arial"/>
                <w:sz w:val="20"/>
                <w:szCs w:val="20"/>
              </w:rPr>
              <w:t xml:space="preserve">894,477               </w:t>
            </w:r>
          </w:p>
        </w:tc>
      </w:tr>
      <w:tr w:rsidR="003E0848" w:rsidRPr="00DA4360" w14:paraId="76D9D110" w14:textId="77777777" w:rsidTr="004A1755">
        <w:tc>
          <w:tcPr>
            <w:tcW w:w="4762" w:type="dxa"/>
            <w:shd w:val="clear" w:color="auto" w:fill="auto"/>
          </w:tcPr>
          <w:p w14:paraId="62493747" w14:textId="77777777" w:rsidR="00B150DF" w:rsidRPr="00DA4360" w:rsidRDefault="00B150DF" w:rsidP="003F6F1A">
            <w:pPr>
              <w:keepNext/>
              <w:tabs>
                <w:tab w:val="left" w:pos="360"/>
              </w:tabs>
              <w:suppressAutoHyphens/>
              <w:spacing w:after="0" w:line="240" w:lineRule="auto"/>
              <w:ind w:left="-310"/>
              <w:jc w:val="both"/>
              <w:rPr>
                <w:rFonts w:ascii="Arial" w:hAnsi="Arial" w:cs="Arial"/>
                <w:sz w:val="20"/>
                <w:szCs w:val="20"/>
                <w:lang w:val="en-CA"/>
              </w:rPr>
            </w:pPr>
          </w:p>
        </w:tc>
        <w:tc>
          <w:tcPr>
            <w:tcW w:w="236" w:type="dxa"/>
            <w:shd w:val="clear" w:color="auto" w:fill="auto"/>
          </w:tcPr>
          <w:p w14:paraId="2DDA86DF"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374D7F4"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248D754C"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1D9AD4A" w14:textId="77777777" w:rsidR="00B150DF" w:rsidRPr="00A801DF" w:rsidRDefault="00B150DF" w:rsidP="003F6F1A">
            <w:pPr>
              <w:keepNext/>
              <w:tabs>
                <w:tab w:val="left" w:pos="360"/>
              </w:tabs>
              <w:suppressAutoHyphens/>
              <w:spacing w:after="0" w:line="240" w:lineRule="auto"/>
              <w:jc w:val="right"/>
              <w:rPr>
                <w:rFonts w:ascii="Arial" w:hAnsi="Arial" w:cs="Arial"/>
                <w:sz w:val="20"/>
                <w:szCs w:val="20"/>
              </w:rPr>
            </w:pPr>
          </w:p>
        </w:tc>
      </w:tr>
      <w:tr w:rsidR="003E0848" w:rsidRPr="00DA4360" w14:paraId="120CA5EA" w14:textId="77777777" w:rsidTr="004A1755">
        <w:tc>
          <w:tcPr>
            <w:tcW w:w="4762" w:type="dxa"/>
            <w:tcBorders>
              <w:bottom w:val="single" w:sz="4" w:space="0" w:color="auto"/>
            </w:tcBorders>
            <w:shd w:val="clear" w:color="auto" w:fill="auto"/>
          </w:tcPr>
          <w:p w14:paraId="1D364335"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Direct clinic expenses</w:t>
            </w:r>
          </w:p>
        </w:tc>
        <w:tc>
          <w:tcPr>
            <w:tcW w:w="236" w:type="dxa"/>
            <w:tcBorders>
              <w:bottom w:val="single" w:sz="4" w:space="0" w:color="auto"/>
            </w:tcBorders>
            <w:shd w:val="clear" w:color="auto" w:fill="auto"/>
          </w:tcPr>
          <w:p w14:paraId="45BD0D6A"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00B86817" w14:textId="4ADE3920" w:rsidR="00A86E9F" w:rsidRPr="00DA4360" w:rsidRDefault="002F20A8" w:rsidP="00D547E2">
            <w:pPr>
              <w:keepNext/>
              <w:tabs>
                <w:tab w:val="left" w:pos="360"/>
              </w:tabs>
              <w:suppressAutoHyphens/>
              <w:spacing w:after="0" w:line="240" w:lineRule="auto"/>
              <w:ind w:right="-42"/>
              <w:jc w:val="right"/>
              <w:rPr>
                <w:rFonts w:ascii="Arial" w:hAnsi="Arial" w:cs="Arial"/>
                <w:b/>
                <w:sz w:val="20"/>
                <w:szCs w:val="20"/>
                <w:lang w:val="en-CA"/>
              </w:rPr>
            </w:pPr>
            <w:r>
              <w:rPr>
                <w:rFonts w:ascii="Arial" w:hAnsi="Arial" w:cs="Arial"/>
                <w:b/>
                <w:sz w:val="20"/>
                <w:szCs w:val="20"/>
                <w:lang w:val="en-CA"/>
              </w:rPr>
              <w:t>(177,560)</w:t>
            </w:r>
          </w:p>
        </w:tc>
        <w:tc>
          <w:tcPr>
            <w:tcW w:w="236" w:type="dxa"/>
            <w:tcBorders>
              <w:bottom w:val="single" w:sz="4" w:space="0" w:color="auto"/>
            </w:tcBorders>
            <w:shd w:val="clear" w:color="auto" w:fill="auto"/>
            <w:vAlign w:val="bottom"/>
          </w:tcPr>
          <w:p w14:paraId="3D7DDFE5"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bottom w:val="single" w:sz="4" w:space="0" w:color="auto"/>
            </w:tcBorders>
            <w:shd w:val="clear" w:color="auto" w:fill="auto"/>
            <w:vAlign w:val="bottom"/>
          </w:tcPr>
          <w:p w14:paraId="21032E1C" w14:textId="78F9F5D3" w:rsidR="00A86E9F"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(301,392)</w:t>
            </w:r>
          </w:p>
        </w:tc>
      </w:tr>
      <w:tr w:rsidR="003E0848" w:rsidRPr="00DA4360" w14:paraId="30DDF09E" w14:textId="77777777" w:rsidTr="004A1755">
        <w:tc>
          <w:tcPr>
            <w:tcW w:w="4762" w:type="dxa"/>
            <w:tcBorders>
              <w:top w:val="single" w:sz="4" w:space="0" w:color="auto"/>
            </w:tcBorders>
            <w:shd w:val="clear" w:color="auto" w:fill="auto"/>
          </w:tcPr>
          <w:p w14:paraId="0A45CF43"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332CFB3B"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5FAEE19F"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53126CC6"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4" w:space="0" w:color="auto"/>
            </w:tcBorders>
            <w:shd w:val="clear" w:color="auto" w:fill="auto"/>
            <w:vAlign w:val="bottom"/>
          </w:tcPr>
          <w:p w14:paraId="04E3C3DF" w14:textId="77777777" w:rsidR="00B150DF" w:rsidRPr="00A801DF" w:rsidRDefault="00B150DF" w:rsidP="003F6F1A">
            <w:pPr>
              <w:keepNext/>
              <w:tabs>
                <w:tab w:val="left" w:pos="360"/>
              </w:tabs>
              <w:suppressAutoHyphens/>
              <w:spacing w:after="0" w:line="240" w:lineRule="auto"/>
              <w:jc w:val="right"/>
              <w:rPr>
                <w:rFonts w:ascii="Arial" w:hAnsi="Arial" w:cs="Arial"/>
                <w:sz w:val="20"/>
                <w:szCs w:val="20"/>
              </w:rPr>
            </w:pPr>
          </w:p>
        </w:tc>
      </w:tr>
      <w:tr w:rsidR="003E0848" w:rsidRPr="00DA4360" w14:paraId="2EA1C76A" w14:textId="77777777" w:rsidTr="004A1755">
        <w:tc>
          <w:tcPr>
            <w:tcW w:w="4762" w:type="dxa"/>
            <w:shd w:val="clear" w:color="auto" w:fill="auto"/>
          </w:tcPr>
          <w:p w14:paraId="4D64B67D"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Earnings from clinic operations</w:t>
            </w:r>
          </w:p>
        </w:tc>
        <w:tc>
          <w:tcPr>
            <w:tcW w:w="236" w:type="dxa"/>
            <w:shd w:val="clear" w:color="auto" w:fill="auto"/>
          </w:tcPr>
          <w:p w14:paraId="2BB9B220"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0DF351DD" w14:textId="3D8F3CBC" w:rsidR="00A86E9F" w:rsidRPr="00DA4360" w:rsidRDefault="002F20A8" w:rsidP="003F6F1A">
            <w:pPr>
              <w:keepNext/>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1,229,312</w:t>
            </w:r>
          </w:p>
        </w:tc>
        <w:tc>
          <w:tcPr>
            <w:tcW w:w="236" w:type="dxa"/>
            <w:shd w:val="clear" w:color="auto" w:fill="auto"/>
            <w:vAlign w:val="bottom"/>
          </w:tcPr>
          <w:p w14:paraId="4A9855C3"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511F08CF" w14:textId="07695672" w:rsidR="00A86E9F" w:rsidRPr="00A801DF" w:rsidRDefault="0006562E" w:rsidP="003F6F1A">
            <w:pPr>
              <w:keepNext/>
              <w:tabs>
                <w:tab w:val="left" w:pos="360"/>
              </w:tabs>
              <w:suppressAutoHyphens/>
              <w:spacing w:after="0" w:line="240" w:lineRule="auto"/>
              <w:jc w:val="right"/>
              <w:rPr>
                <w:rFonts w:ascii="Arial" w:hAnsi="Arial" w:cs="Arial"/>
                <w:sz w:val="20"/>
                <w:szCs w:val="20"/>
              </w:rPr>
            </w:pPr>
            <w:r w:rsidRPr="00A801DF">
              <w:rPr>
                <w:rFonts w:ascii="Arial" w:hAnsi="Arial" w:cs="Arial"/>
                <w:sz w:val="20"/>
                <w:szCs w:val="20"/>
              </w:rPr>
              <w:t>593,085</w:t>
            </w:r>
          </w:p>
        </w:tc>
      </w:tr>
      <w:tr w:rsidR="003E0848" w:rsidRPr="00DA4360" w14:paraId="72F158FE" w14:textId="77777777" w:rsidTr="004A1755">
        <w:tc>
          <w:tcPr>
            <w:tcW w:w="4762" w:type="dxa"/>
            <w:shd w:val="clear" w:color="auto" w:fill="auto"/>
          </w:tcPr>
          <w:p w14:paraId="0F6BFBA9"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3CA2472E"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8917FCF"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40E108B5"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1417DFCC" w14:textId="77777777" w:rsidR="00A86E9F" w:rsidRPr="00A801DF" w:rsidRDefault="00A86E9F" w:rsidP="003F6F1A">
            <w:pPr>
              <w:keepNext/>
              <w:tabs>
                <w:tab w:val="left" w:pos="360"/>
              </w:tabs>
              <w:suppressAutoHyphens/>
              <w:spacing w:after="0" w:line="240" w:lineRule="auto"/>
              <w:jc w:val="right"/>
              <w:rPr>
                <w:rFonts w:ascii="Arial" w:hAnsi="Arial" w:cs="Arial"/>
                <w:sz w:val="20"/>
                <w:szCs w:val="20"/>
              </w:rPr>
            </w:pPr>
          </w:p>
        </w:tc>
      </w:tr>
      <w:tr w:rsidR="003E0848" w:rsidRPr="00DA4360" w14:paraId="7FAC3816" w14:textId="77777777" w:rsidTr="004A1755">
        <w:tc>
          <w:tcPr>
            <w:tcW w:w="4762" w:type="dxa"/>
            <w:shd w:val="clear" w:color="auto" w:fill="auto"/>
          </w:tcPr>
          <w:p w14:paraId="2FEFF7D8"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Operating expenses</w:t>
            </w:r>
          </w:p>
        </w:tc>
        <w:tc>
          <w:tcPr>
            <w:tcW w:w="236" w:type="dxa"/>
            <w:shd w:val="clear" w:color="auto" w:fill="auto"/>
          </w:tcPr>
          <w:p w14:paraId="2403DEC8"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438652CE" w14:textId="5B15B08A" w:rsidR="00A86E9F" w:rsidRPr="00DA4360" w:rsidRDefault="002F20A8" w:rsidP="00D547E2">
            <w:pPr>
              <w:keepNext/>
              <w:tabs>
                <w:tab w:val="left" w:pos="360"/>
              </w:tabs>
              <w:suppressAutoHyphens/>
              <w:spacing w:after="0" w:line="240" w:lineRule="auto"/>
              <w:ind w:right="-60"/>
              <w:jc w:val="right"/>
              <w:rPr>
                <w:rFonts w:ascii="Arial" w:hAnsi="Arial" w:cs="Arial"/>
                <w:b/>
                <w:sz w:val="20"/>
                <w:szCs w:val="20"/>
                <w:lang w:val="en-CA"/>
              </w:rPr>
            </w:pPr>
            <w:r>
              <w:rPr>
                <w:rFonts w:ascii="Arial" w:hAnsi="Arial" w:cs="Arial"/>
                <w:b/>
                <w:sz w:val="20"/>
                <w:szCs w:val="20"/>
                <w:lang w:val="en-CA"/>
              </w:rPr>
              <w:t>(2,343,660)</w:t>
            </w:r>
          </w:p>
        </w:tc>
        <w:tc>
          <w:tcPr>
            <w:tcW w:w="236" w:type="dxa"/>
            <w:shd w:val="clear" w:color="auto" w:fill="auto"/>
            <w:vAlign w:val="bottom"/>
          </w:tcPr>
          <w:p w14:paraId="132392DD"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56C5DC96" w14:textId="6065DF33" w:rsidR="00A86E9F"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(2,</w:t>
            </w:r>
            <w:r w:rsidR="002F20A8">
              <w:rPr>
                <w:rFonts w:ascii="Arial" w:hAnsi="Arial" w:cs="Arial"/>
                <w:sz w:val="20"/>
                <w:szCs w:val="20"/>
              </w:rPr>
              <w:t>523,318</w:t>
            </w:r>
            <w:r w:rsidRPr="00A801DF">
              <w:rPr>
                <w:rFonts w:ascii="Arial" w:hAnsi="Arial" w:cs="Arial"/>
                <w:sz w:val="20"/>
                <w:szCs w:val="20"/>
              </w:rPr>
              <w:t>)</w:t>
            </w:r>
          </w:p>
        </w:tc>
      </w:tr>
      <w:tr w:rsidR="0006562E" w:rsidRPr="00DA4360" w14:paraId="5D2BAF80" w14:textId="77777777" w:rsidTr="004A1755">
        <w:tc>
          <w:tcPr>
            <w:tcW w:w="4762" w:type="dxa"/>
            <w:shd w:val="clear" w:color="auto" w:fill="auto"/>
          </w:tcPr>
          <w:p w14:paraId="0CF09CC8"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Legal and professional fees</w:t>
            </w:r>
          </w:p>
        </w:tc>
        <w:tc>
          <w:tcPr>
            <w:tcW w:w="236" w:type="dxa"/>
            <w:shd w:val="clear" w:color="auto" w:fill="auto"/>
          </w:tcPr>
          <w:p w14:paraId="05BB50A5" w14:textId="77777777" w:rsidR="0006562E" w:rsidRPr="00DA4360" w:rsidRDefault="0006562E" w:rsidP="0006562E">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E116EF4" w14:textId="7120356D" w:rsidR="0006562E" w:rsidRPr="00DA4360" w:rsidRDefault="002F20A8" w:rsidP="00D547E2">
            <w:pPr>
              <w:keepNext/>
              <w:tabs>
                <w:tab w:val="left" w:pos="360"/>
              </w:tabs>
              <w:suppressAutoHyphens/>
              <w:spacing w:after="0" w:line="240" w:lineRule="auto"/>
              <w:ind w:right="-60"/>
              <w:jc w:val="right"/>
              <w:rPr>
                <w:rFonts w:ascii="Arial" w:hAnsi="Arial" w:cs="Arial"/>
                <w:b/>
                <w:sz w:val="20"/>
                <w:szCs w:val="20"/>
                <w:lang w:val="en-CA"/>
              </w:rPr>
            </w:pPr>
            <w:r>
              <w:rPr>
                <w:rFonts w:ascii="Arial" w:hAnsi="Arial" w:cs="Arial"/>
                <w:b/>
                <w:sz w:val="20"/>
                <w:szCs w:val="20"/>
                <w:lang w:val="en-CA"/>
              </w:rPr>
              <w:t>(755,514)</w:t>
            </w:r>
          </w:p>
        </w:tc>
        <w:tc>
          <w:tcPr>
            <w:tcW w:w="236" w:type="dxa"/>
            <w:shd w:val="clear" w:color="auto" w:fill="auto"/>
            <w:vAlign w:val="bottom"/>
          </w:tcPr>
          <w:p w14:paraId="7DDA7C80" w14:textId="77777777" w:rsidR="0006562E" w:rsidRPr="00DA4360" w:rsidRDefault="0006562E" w:rsidP="0006562E">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41E73010" w14:textId="13854AA6"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w:t>
            </w:r>
            <w:r w:rsidR="002F20A8">
              <w:rPr>
                <w:rFonts w:ascii="Arial" w:hAnsi="Arial" w:cs="Arial"/>
                <w:sz w:val="20"/>
                <w:szCs w:val="20"/>
              </w:rPr>
              <w:t>850,655</w:t>
            </w:r>
            <w:r w:rsidRPr="00A801DF">
              <w:rPr>
                <w:rFonts w:ascii="Arial" w:hAnsi="Arial" w:cs="Arial"/>
                <w:sz w:val="20"/>
                <w:szCs w:val="20"/>
              </w:rPr>
              <w:t>)</w:t>
            </w:r>
          </w:p>
        </w:tc>
      </w:tr>
      <w:tr w:rsidR="0006562E" w:rsidRPr="00DA4360" w14:paraId="26B4AF73" w14:textId="77777777" w:rsidTr="004A1755">
        <w:tc>
          <w:tcPr>
            <w:tcW w:w="4762" w:type="dxa"/>
            <w:shd w:val="clear" w:color="auto" w:fill="auto"/>
          </w:tcPr>
          <w:p w14:paraId="6FF8AB99"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Depreciation and amortization expense</w:t>
            </w:r>
          </w:p>
        </w:tc>
        <w:tc>
          <w:tcPr>
            <w:tcW w:w="236" w:type="dxa"/>
            <w:shd w:val="clear" w:color="auto" w:fill="auto"/>
          </w:tcPr>
          <w:p w14:paraId="31DBEE37" w14:textId="77777777" w:rsidR="0006562E" w:rsidRPr="00DA4360" w:rsidRDefault="0006562E" w:rsidP="0006562E">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5D4E8188" w14:textId="3DAAD046" w:rsidR="0006562E" w:rsidRPr="00DA4360" w:rsidRDefault="002F20A8" w:rsidP="00D547E2">
            <w:pPr>
              <w:keepNext/>
              <w:tabs>
                <w:tab w:val="left" w:pos="360"/>
              </w:tabs>
              <w:suppressAutoHyphens/>
              <w:spacing w:after="0" w:line="240" w:lineRule="auto"/>
              <w:ind w:right="-60"/>
              <w:jc w:val="right"/>
              <w:rPr>
                <w:rFonts w:ascii="Arial" w:hAnsi="Arial" w:cs="Arial"/>
                <w:b/>
                <w:sz w:val="20"/>
                <w:szCs w:val="20"/>
                <w:lang w:val="en-CA"/>
              </w:rPr>
            </w:pPr>
            <w:r>
              <w:rPr>
                <w:rFonts w:ascii="Arial" w:hAnsi="Arial" w:cs="Arial"/>
                <w:b/>
                <w:sz w:val="20"/>
                <w:szCs w:val="20"/>
                <w:lang w:val="en-CA"/>
              </w:rPr>
              <w:t>(197,906)</w:t>
            </w:r>
          </w:p>
        </w:tc>
        <w:tc>
          <w:tcPr>
            <w:tcW w:w="236" w:type="dxa"/>
            <w:shd w:val="clear" w:color="auto" w:fill="auto"/>
            <w:vAlign w:val="bottom"/>
          </w:tcPr>
          <w:p w14:paraId="27CC182C" w14:textId="77777777" w:rsidR="0006562E" w:rsidRPr="00DA4360" w:rsidRDefault="0006562E" w:rsidP="0006562E">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5BC81AB0" w14:textId="044815C1"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(43,169)</w:t>
            </w:r>
          </w:p>
        </w:tc>
      </w:tr>
      <w:tr w:rsidR="0006562E" w:rsidRPr="00DA4360" w14:paraId="26FDE6A8" w14:textId="77777777" w:rsidTr="004A1755">
        <w:tc>
          <w:tcPr>
            <w:tcW w:w="4762" w:type="dxa"/>
            <w:tcBorders>
              <w:bottom w:val="single" w:sz="4" w:space="0" w:color="auto"/>
            </w:tcBorders>
            <w:shd w:val="clear" w:color="auto" w:fill="auto"/>
          </w:tcPr>
          <w:p w14:paraId="7CBB9CA0"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 xml:space="preserve">Share-based payments </w:t>
            </w:r>
          </w:p>
        </w:tc>
        <w:tc>
          <w:tcPr>
            <w:tcW w:w="236" w:type="dxa"/>
            <w:tcBorders>
              <w:bottom w:val="single" w:sz="4" w:space="0" w:color="auto"/>
            </w:tcBorders>
            <w:shd w:val="clear" w:color="auto" w:fill="auto"/>
          </w:tcPr>
          <w:p w14:paraId="44749BC3"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tcBorders>
              <w:bottom w:val="single" w:sz="4" w:space="0" w:color="auto"/>
            </w:tcBorders>
            <w:shd w:val="clear" w:color="auto" w:fill="auto"/>
            <w:vAlign w:val="bottom"/>
          </w:tcPr>
          <w:p w14:paraId="48886892" w14:textId="2FA6F5BD" w:rsidR="0006562E" w:rsidRPr="00DA4360" w:rsidRDefault="002F20A8"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(479,508)</w:t>
            </w:r>
          </w:p>
        </w:tc>
        <w:tc>
          <w:tcPr>
            <w:tcW w:w="236" w:type="dxa"/>
            <w:tcBorders>
              <w:bottom w:val="single" w:sz="4" w:space="0" w:color="auto"/>
            </w:tcBorders>
            <w:shd w:val="clear" w:color="auto" w:fill="auto"/>
            <w:vAlign w:val="bottom"/>
          </w:tcPr>
          <w:p w14:paraId="342095FC"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tcBorders>
              <w:bottom w:val="single" w:sz="4" w:space="0" w:color="auto"/>
            </w:tcBorders>
            <w:shd w:val="clear" w:color="auto" w:fill="auto"/>
            <w:vAlign w:val="bottom"/>
          </w:tcPr>
          <w:p w14:paraId="6126C26E" w14:textId="359DC295"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w:t>
            </w:r>
            <w:r w:rsidR="002F20A8">
              <w:rPr>
                <w:rFonts w:ascii="Arial" w:hAnsi="Arial" w:cs="Arial"/>
                <w:sz w:val="20"/>
                <w:szCs w:val="20"/>
              </w:rPr>
              <w:t>892,417</w:t>
            </w:r>
            <w:r w:rsidRPr="00A801DF">
              <w:rPr>
                <w:rFonts w:ascii="Arial" w:hAnsi="Arial" w:cs="Arial"/>
                <w:sz w:val="20"/>
                <w:szCs w:val="20"/>
              </w:rPr>
              <w:t>)</w:t>
            </w:r>
          </w:p>
        </w:tc>
      </w:tr>
      <w:tr w:rsidR="0006562E" w:rsidRPr="00DA4360" w14:paraId="2F4572C8" w14:textId="77777777" w:rsidTr="004A1755">
        <w:tc>
          <w:tcPr>
            <w:tcW w:w="4762" w:type="dxa"/>
            <w:tcBorders>
              <w:top w:val="single" w:sz="4" w:space="0" w:color="auto"/>
            </w:tcBorders>
            <w:shd w:val="clear" w:color="auto" w:fill="auto"/>
          </w:tcPr>
          <w:p w14:paraId="758675B2"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425E367C"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tcBorders>
              <w:top w:val="single" w:sz="4" w:space="0" w:color="auto"/>
            </w:tcBorders>
            <w:shd w:val="clear" w:color="auto" w:fill="auto"/>
            <w:vAlign w:val="bottom"/>
          </w:tcPr>
          <w:p w14:paraId="335D0099" w14:textId="77777777" w:rsidR="0006562E" w:rsidRPr="00DA4360" w:rsidRDefault="0006562E" w:rsidP="00D547E2">
            <w:pPr>
              <w:keepNext/>
              <w:tabs>
                <w:tab w:val="left" w:pos="360"/>
              </w:tabs>
              <w:suppressAutoHyphens/>
              <w:spacing w:after="0" w:line="240" w:lineRule="auto"/>
              <w:ind w:right="-60"/>
              <w:jc w:val="right"/>
              <w:rPr>
                <w:rFonts w:ascii="Arial" w:hAnsi="Arial" w:cs="Arial"/>
                <w:b/>
                <w:sz w:val="18"/>
                <w:szCs w:val="18"/>
                <w:lang w:val="en-CA"/>
              </w:rPr>
            </w:pPr>
          </w:p>
        </w:tc>
        <w:tc>
          <w:tcPr>
            <w:tcW w:w="236" w:type="dxa"/>
            <w:tcBorders>
              <w:top w:val="single" w:sz="4" w:space="0" w:color="auto"/>
            </w:tcBorders>
            <w:shd w:val="clear" w:color="auto" w:fill="auto"/>
            <w:vAlign w:val="bottom"/>
          </w:tcPr>
          <w:p w14:paraId="11ECC759"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tcBorders>
              <w:top w:val="single" w:sz="4" w:space="0" w:color="auto"/>
            </w:tcBorders>
            <w:shd w:val="clear" w:color="auto" w:fill="auto"/>
            <w:vAlign w:val="bottom"/>
          </w:tcPr>
          <w:p w14:paraId="43A86C09" w14:textId="77777777"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p>
        </w:tc>
      </w:tr>
      <w:tr w:rsidR="0006562E" w:rsidRPr="00DA4360" w14:paraId="4C66699F" w14:textId="77777777" w:rsidTr="004A1755">
        <w:tc>
          <w:tcPr>
            <w:tcW w:w="4762" w:type="dxa"/>
            <w:shd w:val="clear" w:color="auto" w:fill="auto"/>
          </w:tcPr>
          <w:p w14:paraId="16513082"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from operations</w:t>
            </w:r>
          </w:p>
        </w:tc>
        <w:tc>
          <w:tcPr>
            <w:tcW w:w="236" w:type="dxa"/>
            <w:shd w:val="clear" w:color="auto" w:fill="auto"/>
          </w:tcPr>
          <w:p w14:paraId="43BEBA80"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0705A116" w14:textId="12ACB171" w:rsidR="0006562E" w:rsidRPr="00DA4360" w:rsidRDefault="002F20A8"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(2,547,276)</w:t>
            </w:r>
          </w:p>
        </w:tc>
        <w:tc>
          <w:tcPr>
            <w:tcW w:w="236" w:type="dxa"/>
            <w:shd w:val="clear" w:color="auto" w:fill="auto"/>
            <w:vAlign w:val="bottom"/>
          </w:tcPr>
          <w:p w14:paraId="7E0181A2"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AD73058" w14:textId="72093660"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(3,716,474)</w:t>
            </w:r>
          </w:p>
        </w:tc>
      </w:tr>
      <w:tr w:rsidR="0006562E" w:rsidRPr="00DA4360" w14:paraId="47D5FC19" w14:textId="77777777" w:rsidTr="004A1755">
        <w:tc>
          <w:tcPr>
            <w:tcW w:w="4762" w:type="dxa"/>
            <w:shd w:val="clear" w:color="auto" w:fill="auto"/>
          </w:tcPr>
          <w:p w14:paraId="0FEEE7CF"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5B3FAB04"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3490A8D9"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36" w:type="dxa"/>
            <w:shd w:val="clear" w:color="auto" w:fill="auto"/>
            <w:vAlign w:val="bottom"/>
          </w:tcPr>
          <w:p w14:paraId="2CAA51FE"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D1849DA" w14:textId="77777777"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p>
        </w:tc>
      </w:tr>
      <w:tr w:rsidR="0006562E" w:rsidRPr="00DA4360" w14:paraId="10C7069A" w14:textId="77777777" w:rsidTr="004A1755">
        <w:tc>
          <w:tcPr>
            <w:tcW w:w="4762" w:type="dxa"/>
            <w:shd w:val="clear" w:color="auto" w:fill="auto"/>
          </w:tcPr>
          <w:p w14:paraId="773524FE"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Listing fee</w:t>
            </w:r>
          </w:p>
        </w:tc>
        <w:tc>
          <w:tcPr>
            <w:tcW w:w="236" w:type="dxa"/>
            <w:shd w:val="clear" w:color="auto" w:fill="auto"/>
          </w:tcPr>
          <w:p w14:paraId="4CD92347"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412B3023" w14:textId="062007BB" w:rsidR="0006562E" w:rsidRPr="00DA4360" w:rsidRDefault="002F20A8" w:rsidP="0006562E">
            <w:pPr>
              <w:keepNext/>
              <w:tabs>
                <w:tab w:val="left" w:pos="360"/>
              </w:tabs>
              <w:suppressAutoHyphens/>
              <w:spacing w:after="0" w:line="240" w:lineRule="auto"/>
              <w:jc w:val="right"/>
              <w:rPr>
                <w:rFonts w:ascii="Arial" w:hAnsi="Arial" w:cs="Arial"/>
                <w:b/>
                <w:sz w:val="18"/>
                <w:szCs w:val="18"/>
                <w:lang w:val="en-CA"/>
              </w:rPr>
            </w:pPr>
            <w:r>
              <w:rPr>
                <w:rFonts w:ascii="Arial" w:hAnsi="Arial" w:cs="Arial"/>
                <w:b/>
                <w:sz w:val="18"/>
                <w:szCs w:val="18"/>
                <w:lang w:val="en-CA"/>
              </w:rPr>
              <w:t>-</w:t>
            </w:r>
          </w:p>
        </w:tc>
        <w:tc>
          <w:tcPr>
            <w:tcW w:w="236" w:type="dxa"/>
            <w:shd w:val="clear" w:color="auto" w:fill="auto"/>
            <w:vAlign w:val="bottom"/>
          </w:tcPr>
          <w:p w14:paraId="30E28449"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7CF9A8A0" w14:textId="20420277"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(1,143,660)</w:t>
            </w:r>
          </w:p>
        </w:tc>
      </w:tr>
      <w:tr w:rsidR="0006562E" w:rsidRPr="00DA4360" w14:paraId="0E694B42" w14:textId="77777777" w:rsidTr="004A1755">
        <w:tc>
          <w:tcPr>
            <w:tcW w:w="4762" w:type="dxa"/>
            <w:shd w:val="clear" w:color="auto" w:fill="auto"/>
          </w:tcPr>
          <w:p w14:paraId="3E54FAD1"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Accretion expense</w:t>
            </w:r>
          </w:p>
        </w:tc>
        <w:tc>
          <w:tcPr>
            <w:tcW w:w="236" w:type="dxa"/>
            <w:shd w:val="clear" w:color="auto" w:fill="auto"/>
          </w:tcPr>
          <w:p w14:paraId="5D26F898"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3B1BC2CD" w14:textId="5F4E6F26" w:rsidR="0006562E" w:rsidRPr="00DA4360" w:rsidRDefault="002F20A8"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(207,031)</w:t>
            </w:r>
          </w:p>
        </w:tc>
        <w:tc>
          <w:tcPr>
            <w:tcW w:w="236" w:type="dxa"/>
            <w:shd w:val="clear" w:color="auto" w:fill="auto"/>
            <w:vAlign w:val="bottom"/>
          </w:tcPr>
          <w:p w14:paraId="330CF54F"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32BB271" w14:textId="06C7EA76" w:rsidR="0006562E" w:rsidRPr="00A801DF" w:rsidRDefault="0006562E" w:rsidP="00D547E2">
            <w:pPr>
              <w:keepNext/>
              <w:tabs>
                <w:tab w:val="left" w:pos="360"/>
              </w:tabs>
              <w:suppressAutoHyphens/>
              <w:spacing w:after="0" w:line="240" w:lineRule="auto"/>
              <w:ind w:right="-42"/>
              <w:jc w:val="right"/>
              <w:rPr>
                <w:rFonts w:ascii="Arial" w:hAnsi="Arial" w:cs="Arial"/>
                <w:sz w:val="20"/>
                <w:szCs w:val="20"/>
              </w:rPr>
            </w:pPr>
            <w:r w:rsidRPr="00A801DF">
              <w:rPr>
                <w:rFonts w:ascii="Arial" w:hAnsi="Arial" w:cs="Arial"/>
                <w:sz w:val="20"/>
                <w:szCs w:val="20"/>
              </w:rPr>
              <w:t>(214,680)</w:t>
            </w:r>
          </w:p>
        </w:tc>
      </w:tr>
      <w:tr w:rsidR="0006562E" w:rsidRPr="00DA4360" w14:paraId="4C0B6ECE" w14:textId="77777777" w:rsidTr="004A1755">
        <w:tc>
          <w:tcPr>
            <w:tcW w:w="4762" w:type="dxa"/>
            <w:shd w:val="clear" w:color="auto" w:fill="auto"/>
          </w:tcPr>
          <w:p w14:paraId="7878CAE9"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income</w:t>
            </w:r>
          </w:p>
        </w:tc>
        <w:tc>
          <w:tcPr>
            <w:tcW w:w="236" w:type="dxa"/>
            <w:shd w:val="clear" w:color="auto" w:fill="auto"/>
          </w:tcPr>
          <w:p w14:paraId="4D0D45BA"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1138DECB" w14:textId="69114F3D" w:rsidR="0006562E" w:rsidRPr="00DA4360" w:rsidRDefault="002F20A8" w:rsidP="0006562E">
            <w:pPr>
              <w:keepNext/>
              <w:tabs>
                <w:tab w:val="left" w:pos="360"/>
              </w:tabs>
              <w:suppressAutoHyphens/>
              <w:spacing w:after="0" w:line="240" w:lineRule="auto"/>
              <w:jc w:val="right"/>
              <w:rPr>
                <w:rFonts w:ascii="Arial" w:hAnsi="Arial" w:cs="Arial"/>
                <w:b/>
                <w:sz w:val="18"/>
                <w:szCs w:val="18"/>
                <w:lang w:val="en-CA"/>
              </w:rPr>
            </w:pPr>
            <w:r>
              <w:rPr>
                <w:rFonts w:ascii="Arial" w:hAnsi="Arial" w:cs="Arial"/>
                <w:b/>
                <w:sz w:val="18"/>
                <w:szCs w:val="18"/>
                <w:lang w:val="en-CA"/>
              </w:rPr>
              <w:t>4</w:t>
            </w:r>
            <w:r w:rsidR="003B6B96">
              <w:rPr>
                <w:rFonts w:ascii="Arial" w:hAnsi="Arial" w:cs="Arial"/>
                <w:b/>
                <w:sz w:val="18"/>
                <w:szCs w:val="18"/>
                <w:lang w:val="en-CA"/>
              </w:rPr>
              <w:t>,771</w:t>
            </w:r>
          </w:p>
        </w:tc>
        <w:tc>
          <w:tcPr>
            <w:tcW w:w="236" w:type="dxa"/>
            <w:shd w:val="clear" w:color="auto" w:fill="auto"/>
            <w:vAlign w:val="bottom"/>
          </w:tcPr>
          <w:p w14:paraId="4DC7CCA4"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05028094" w14:textId="02726737" w:rsidR="0006562E" w:rsidRPr="00A801DF" w:rsidRDefault="00A801DF" w:rsidP="0006562E">
            <w:pPr>
              <w:keepNext/>
              <w:tabs>
                <w:tab w:val="left" w:pos="360"/>
              </w:tabs>
              <w:suppressAutoHyphens/>
              <w:spacing w:after="0" w:line="240" w:lineRule="auto"/>
              <w:jc w:val="right"/>
              <w:rPr>
                <w:rFonts w:ascii="Arial" w:hAnsi="Arial" w:cs="Arial"/>
                <w:sz w:val="20"/>
                <w:szCs w:val="20"/>
              </w:rPr>
            </w:pPr>
            <w:r w:rsidRPr="00A801DF">
              <w:rPr>
                <w:rFonts w:ascii="Arial" w:hAnsi="Arial" w:cs="Arial"/>
                <w:sz w:val="20"/>
                <w:szCs w:val="20"/>
              </w:rPr>
              <w:t>-</w:t>
            </w:r>
          </w:p>
        </w:tc>
      </w:tr>
      <w:tr w:rsidR="0006562E" w:rsidRPr="00DA4360" w14:paraId="516C63A9" w14:textId="77777777" w:rsidTr="004A1755">
        <w:tc>
          <w:tcPr>
            <w:tcW w:w="4762" w:type="dxa"/>
            <w:shd w:val="clear" w:color="auto" w:fill="auto"/>
          </w:tcPr>
          <w:p w14:paraId="6DA6A1C9"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expense</w:t>
            </w:r>
          </w:p>
        </w:tc>
        <w:tc>
          <w:tcPr>
            <w:tcW w:w="236" w:type="dxa"/>
            <w:shd w:val="clear" w:color="auto" w:fill="auto"/>
          </w:tcPr>
          <w:p w14:paraId="2C998AC4"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196D46AA" w14:textId="50638D62" w:rsidR="0006562E" w:rsidRPr="00DA4360" w:rsidRDefault="003B6B96"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(129,089)</w:t>
            </w:r>
          </w:p>
        </w:tc>
        <w:tc>
          <w:tcPr>
            <w:tcW w:w="236" w:type="dxa"/>
            <w:shd w:val="clear" w:color="auto" w:fill="auto"/>
            <w:vAlign w:val="bottom"/>
          </w:tcPr>
          <w:p w14:paraId="103CA9D9"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024CA541" w14:textId="52A0E3A1" w:rsidR="0006562E" w:rsidRPr="00A801DF" w:rsidRDefault="0006562E" w:rsidP="00D547E2">
            <w:pPr>
              <w:keepNext/>
              <w:tabs>
                <w:tab w:val="left" w:pos="360"/>
              </w:tabs>
              <w:suppressAutoHyphens/>
              <w:spacing w:after="0" w:line="240" w:lineRule="auto"/>
              <w:ind w:right="-51"/>
              <w:jc w:val="right"/>
              <w:rPr>
                <w:rFonts w:ascii="Arial" w:hAnsi="Arial" w:cs="Arial"/>
                <w:sz w:val="20"/>
                <w:szCs w:val="20"/>
              </w:rPr>
            </w:pPr>
            <w:r w:rsidRPr="00A801DF">
              <w:rPr>
                <w:rFonts w:ascii="Arial" w:hAnsi="Arial" w:cs="Arial"/>
                <w:sz w:val="20"/>
                <w:szCs w:val="20"/>
              </w:rPr>
              <w:t>(86,803)</w:t>
            </w:r>
          </w:p>
        </w:tc>
      </w:tr>
      <w:tr w:rsidR="0006562E" w:rsidRPr="00DA4360" w14:paraId="04A4562C" w14:textId="77777777" w:rsidTr="004A1755">
        <w:tc>
          <w:tcPr>
            <w:tcW w:w="4762" w:type="dxa"/>
            <w:shd w:val="clear" w:color="auto" w:fill="auto"/>
          </w:tcPr>
          <w:p w14:paraId="46383B50"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on disposal of property and equipment</w:t>
            </w:r>
          </w:p>
        </w:tc>
        <w:tc>
          <w:tcPr>
            <w:tcW w:w="236" w:type="dxa"/>
            <w:shd w:val="clear" w:color="auto" w:fill="auto"/>
          </w:tcPr>
          <w:p w14:paraId="764852A3"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4F972A9B" w14:textId="5172FC3A" w:rsidR="0006562E" w:rsidRPr="00DA4360" w:rsidRDefault="003B6B96" w:rsidP="00D547E2">
            <w:pPr>
              <w:keepNext/>
              <w:tabs>
                <w:tab w:val="left" w:pos="360"/>
              </w:tabs>
              <w:suppressAutoHyphens/>
              <w:spacing w:after="0" w:line="240" w:lineRule="auto"/>
              <w:ind w:right="-60"/>
              <w:jc w:val="right"/>
              <w:rPr>
                <w:rFonts w:ascii="Arial" w:hAnsi="Arial" w:cs="Arial"/>
                <w:b/>
                <w:bCs/>
                <w:sz w:val="18"/>
                <w:szCs w:val="18"/>
                <w:lang w:val="en-CA"/>
              </w:rPr>
            </w:pPr>
            <w:r>
              <w:rPr>
                <w:rFonts w:ascii="Arial" w:hAnsi="Arial" w:cs="Arial"/>
                <w:b/>
                <w:bCs/>
                <w:sz w:val="18"/>
                <w:szCs w:val="18"/>
                <w:lang w:val="en-CA"/>
              </w:rPr>
              <w:t>(114,516)</w:t>
            </w:r>
          </w:p>
        </w:tc>
        <w:tc>
          <w:tcPr>
            <w:tcW w:w="236" w:type="dxa"/>
            <w:shd w:val="clear" w:color="auto" w:fill="auto"/>
            <w:vAlign w:val="bottom"/>
          </w:tcPr>
          <w:p w14:paraId="754A4BA8"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3E455395" w14:textId="77C27CD5" w:rsidR="0006562E" w:rsidRPr="00A801DF" w:rsidRDefault="00A801DF" w:rsidP="0006562E">
            <w:pPr>
              <w:keepNext/>
              <w:tabs>
                <w:tab w:val="left" w:pos="360"/>
              </w:tabs>
              <w:suppressAutoHyphens/>
              <w:spacing w:after="0" w:line="240" w:lineRule="auto"/>
              <w:jc w:val="right"/>
              <w:rPr>
                <w:rFonts w:ascii="Arial" w:hAnsi="Arial" w:cs="Arial"/>
                <w:sz w:val="20"/>
                <w:szCs w:val="20"/>
              </w:rPr>
            </w:pPr>
            <w:r w:rsidRPr="00A801DF">
              <w:rPr>
                <w:rFonts w:ascii="Arial" w:hAnsi="Arial" w:cs="Arial"/>
                <w:sz w:val="20"/>
                <w:szCs w:val="20"/>
              </w:rPr>
              <w:t>-</w:t>
            </w:r>
          </w:p>
        </w:tc>
      </w:tr>
      <w:tr w:rsidR="0006562E" w:rsidRPr="00DA4360" w14:paraId="1B0CD6F0" w14:textId="77777777" w:rsidTr="004A1755">
        <w:tc>
          <w:tcPr>
            <w:tcW w:w="4762" w:type="dxa"/>
            <w:shd w:val="clear" w:color="auto" w:fill="auto"/>
          </w:tcPr>
          <w:p w14:paraId="2F8A7DB3"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 on change in fair value of warrant liability</w:t>
            </w:r>
          </w:p>
        </w:tc>
        <w:tc>
          <w:tcPr>
            <w:tcW w:w="236" w:type="dxa"/>
            <w:shd w:val="clear" w:color="auto" w:fill="auto"/>
          </w:tcPr>
          <w:p w14:paraId="6F04F9D7"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2CF1A7B1" w14:textId="04E1CC5C" w:rsidR="0006562E" w:rsidRPr="00DA4360" w:rsidRDefault="003B6B96" w:rsidP="0006562E">
            <w:pPr>
              <w:keepNext/>
              <w:tabs>
                <w:tab w:val="left" w:pos="360"/>
              </w:tabs>
              <w:suppressAutoHyphens/>
              <w:spacing w:after="0" w:line="240" w:lineRule="auto"/>
              <w:jc w:val="right"/>
              <w:rPr>
                <w:rFonts w:ascii="Arial" w:hAnsi="Arial" w:cs="Arial"/>
                <w:b/>
                <w:sz w:val="18"/>
                <w:szCs w:val="18"/>
                <w:lang w:val="en-CA"/>
              </w:rPr>
            </w:pPr>
            <w:r>
              <w:rPr>
                <w:rFonts w:ascii="Arial" w:hAnsi="Arial" w:cs="Arial"/>
                <w:b/>
                <w:sz w:val="18"/>
                <w:szCs w:val="18"/>
                <w:lang w:val="en-CA"/>
              </w:rPr>
              <w:t>673,289</w:t>
            </w:r>
          </w:p>
        </w:tc>
        <w:tc>
          <w:tcPr>
            <w:tcW w:w="236" w:type="dxa"/>
            <w:shd w:val="clear" w:color="auto" w:fill="auto"/>
            <w:vAlign w:val="bottom"/>
          </w:tcPr>
          <w:p w14:paraId="4DBAEB12"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6D8ED1B" w14:textId="7B3BF2B6" w:rsidR="0006562E" w:rsidRPr="00A801DF" w:rsidRDefault="00A801DF" w:rsidP="0006562E">
            <w:pPr>
              <w:keepNext/>
              <w:tabs>
                <w:tab w:val="left" w:pos="360"/>
              </w:tabs>
              <w:suppressAutoHyphens/>
              <w:spacing w:after="0" w:line="240" w:lineRule="auto"/>
              <w:jc w:val="right"/>
              <w:rPr>
                <w:rFonts w:ascii="Arial" w:hAnsi="Arial" w:cs="Arial"/>
                <w:sz w:val="20"/>
                <w:szCs w:val="20"/>
              </w:rPr>
            </w:pPr>
            <w:r w:rsidRPr="00A801DF">
              <w:rPr>
                <w:rFonts w:ascii="Arial" w:hAnsi="Arial" w:cs="Arial"/>
                <w:sz w:val="20"/>
                <w:szCs w:val="20"/>
              </w:rPr>
              <w:t>-</w:t>
            </w:r>
          </w:p>
        </w:tc>
      </w:tr>
      <w:tr w:rsidR="0006562E" w:rsidRPr="00DA4360" w14:paraId="2246F499" w14:textId="77777777" w:rsidTr="003B6B96">
        <w:tc>
          <w:tcPr>
            <w:tcW w:w="4762" w:type="dxa"/>
            <w:shd w:val="clear" w:color="auto" w:fill="auto"/>
          </w:tcPr>
          <w:p w14:paraId="569E7C85"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 on change in fair value of conversion option</w:t>
            </w:r>
          </w:p>
        </w:tc>
        <w:tc>
          <w:tcPr>
            <w:tcW w:w="236" w:type="dxa"/>
            <w:shd w:val="clear" w:color="auto" w:fill="auto"/>
          </w:tcPr>
          <w:p w14:paraId="191BD129"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5B33D960" w14:textId="59545A99" w:rsidR="0006562E" w:rsidRPr="00DA4360" w:rsidRDefault="003B6B96" w:rsidP="0006562E">
            <w:pPr>
              <w:keepNext/>
              <w:tabs>
                <w:tab w:val="left" w:pos="360"/>
              </w:tabs>
              <w:suppressAutoHyphens/>
              <w:spacing w:after="0" w:line="240" w:lineRule="auto"/>
              <w:jc w:val="right"/>
              <w:rPr>
                <w:rFonts w:ascii="Arial" w:hAnsi="Arial" w:cs="Arial"/>
                <w:b/>
                <w:sz w:val="18"/>
                <w:szCs w:val="18"/>
                <w:lang w:val="en-CA"/>
              </w:rPr>
            </w:pPr>
            <w:r>
              <w:rPr>
                <w:rFonts w:ascii="Arial" w:hAnsi="Arial" w:cs="Arial"/>
                <w:b/>
                <w:sz w:val="18"/>
                <w:szCs w:val="18"/>
                <w:lang w:val="en-CA"/>
              </w:rPr>
              <w:t>190,968</w:t>
            </w:r>
          </w:p>
        </w:tc>
        <w:tc>
          <w:tcPr>
            <w:tcW w:w="236" w:type="dxa"/>
            <w:shd w:val="clear" w:color="auto" w:fill="auto"/>
            <w:vAlign w:val="bottom"/>
          </w:tcPr>
          <w:p w14:paraId="6F271CA7"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4A831845" w14:textId="45DB2049" w:rsidR="0006562E" w:rsidRPr="00A801DF" w:rsidRDefault="00A801DF" w:rsidP="0006562E">
            <w:pPr>
              <w:keepNext/>
              <w:tabs>
                <w:tab w:val="left" w:pos="360"/>
              </w:tabs>
              <w:suppressAutoHyphens/>
              <w:spacing w:after="0" w:line="240" w:lineRule="auto"/>
              <w:jc w:val="right"/>
              <w:rPr>
                <w:rFonts w:ascii="Arial" w:hAnsi="Arial" w:cs="Arial"/>
                <w:sz w:val="20"/>
                <w:szCs w:val="20"/>
              </w:rPr>
            </w:pPr>
            <w:r w:rsidRPr="00A801DF">
              <w:rPr>
                <w:rFonts w:ascii="Arial" w:hAnsi="Arial" w:cs="Arial"/>
                <w:sz w:val="20"/>
                <w:szCs w:val="20"/>
              </w:rPr>
              <w:t>-</w:t>
            </w:r>
          </w:p>
        </w:tc>
      </w:tr>
      <w:tr w:rsidR="003B6B96" w:rsidRPr="00DA4360" w14:paraId="2E5BA648" w14:textId="77777777" w:rsidTr="003B6B96">
        <w:tc>
          <w:tcPr>
            <w:tcW w:w="4762" w:type="dxa"/>
            <w:shd w:val="clear" w:color="auto" w:fill="auto"/>
          </w:tcPr>
          <w:p w14:paraId="34312B7D" w14:textId="28D4392A" w:rsidR="003B6B96" w:rsidRPr="00DA4360" w:rsidRDefault="003B6B96" w:rsidP="0006562E">
            <w:pPr>
              <w:keepNext/>
              <w:tabs>
                <w:tab w:val="left" w:pos="360"/>
              </w:tabs>
              <w:suppressAutoHyphens/>
              <w:spacing w:after="0" w:line="240" w:lineRule="auto"/>
              <w:jc w:val="both"/>
              <w:rPr>
                <w:rFonts w:ascii="Arial" w:hAnsi="Arial" w:cs="Arial"/>
                <w:sz w:val="20"/>
                <w:szCs w:val="20"/>
                <w:lang w:val="en-CA"/>
              </w:rPr>
            </w:pPr>
            <w:r>
              <w:rPr>
                <w:rFonts w:ascii="Arial" w:hAnsi="Arial" w:cs="Arial"/>
                <w:sz w:val="20"/>
                <w:szCs w:val="20"/>
                <w:lang w:val="en-CA"/>
              </w:rPr>
              <w:t>Restructuring</w:t>
            </w:r>
          </w:p>
        </w:tc>
        <w:tc>
          <w:tcPr>
            <w:tcW w:w="236" w:type="dxa"/>
            <w:shd w:val="clear" w:color="auto" w:fill="auto"/>
          </w:tcPr>
          <w:p w14:paraId="5D5E251D" w14:textId="77777777" w:rsidR="003B6B96" w:rsidRPr="00DA4360" w:rsidRDefault="003B6B96" w:rsidP="0006562E">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7FC2A70B" w14:textId="081D87DE" w:rsidR="003B6B96" w:rsidRPr="00DA4360" w:rsidRDefault="003B6B96"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(169,606)</w:t>
            </w:r>
          </w:p>
        </w:tc>
        <w:tc>
          <w:tcPr>
            <w:tcW w:w="236" w:type="dxa"/>
            <w:shd w:val="clear" w:color="auto" w:fill="auto"/>
            <w:vAlign w:val="bottom"/>
          </w:tcPr>
          <w:p w14:paraId="698F4535" w14:textId="77777777" w:rsidR="003B6B96" w:rsidRPr="00DA4360" w:rsidRDefault="003B6B96" w:rsidP="0006562E">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385EF7F8" w14:textId="1FF70D67" w:rsidR="003B6B96" w:rsidRPr="00A801DF" w:rsidRDefault="00D547E2" w:rsidP="0006562E">
            <w:pPr>
              <w:keepNext/>
              <w:tabs>
                <w:tab w:val="left" w:pos="360"/>
              </w:tabs>
              <w:suppressAutoHyphens/>
              <w:spacing w:after="0" w:line="240" w:lineRule="auto"/>
              <w:jc w:val="right"/>
              <w:rPr>
                <w:rFonts w:ascii="Arial" w:hAnsi="Arial" w:cs="Arial"/>
                <w:sz w:val="20"/>
                <w:szCs w:val="20"/>
              </w:rPr>
            </w:pPr>
            <w:r>
              <w:rPr>
                <w:rFonts w:ascii="Arial" w:hAnsi="Arial" w:cs="Arial"/>
                <w:sz w:val="20"/>
                <w:szCs w:val="20"/>
              </w:rPr>
              <w:t>-</w:t>
            </w:r>
          </w:p>
        </w:tc>
      </w:tr>
      <w:tr w:rsidR="0006562E" w:rsidRPr="00DA4360" w14:paraId="03295F27" w14:textId="77777777" w:rsidTr="003B6B96">
        <w:tc>
          <w:tcPr>
            <w:tcW w:w="4762" w:type="dxa"/>
            <w:tcBorders>
              <w:bottom w:val="single" w:sz="4" w:space="0" w:color="auto"/>
            </w:tcBorders>
            <w:shd w:val="clear" w:color="auto" w:fill="auto"/>
          </w:tcPr>
          <w:p w14:paraId="172249C8"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Other expense, net</w:t>
            </w:r>
          </w:p>
        </w:tc>
        <w:tc>
          <w:tcPr>
            <w:tcW w:w="236" w:type="dxa"/>
            <w:tcBorders>
              <w:bottom w:val="single" w:sz="4" w:space="0" w:color="auto"/>
            </w:tcBorders>
            <w:shd w:val="clear" w:color="auto" w:fill="auto"/>
          </w:tcPr>
          <w:p w14:paraId="197539FA"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tcBorders>
              <w:bottom w:val="single" w:sz="4" w:space="0" w:color="auto"/>
            </w:tcBorders>
            <w:shd w:val="clear" w:color="auto" w:fill="auto"/>
            <w:vAlign w:val="bottom"/>
          </w:tcPr>
          <w:p w14:paraId="413DE7C3" w14:textId="6FF207D8" w:rsidR="0006562E" w:rsidRPr="00DA4360" w:rsidRDefault="003B6B96"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(61,089)</w:t>
            </w:r>
          </w:p>
        </w:tc>
        <w:tc>
          <w:tcPr>
            <w:tcW w:w="236" w:type="dxa"/>
            <w:tcBorders>
              <w:bottom w:val="single" w:sz="4" w:space="0" w:color="auto"/>
            </w:tcBorders>
            <w:shd w:val="clear" w:color="auto" w:fill="auto"/>
            <w:vAlign w:val="bottom"/>
          </w:tcPr>
          <w:p w14:paraId="7EF109AA"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tcBorders>
              <w:bottom w:val="single" w:sz="4" w:space="0" w:color="auto"/>
            </w:tcBorders>
            <w:shd w:val="clear" w:color="auto" w:fill="auto"/>
            <w:vAlign w:val="bottom"/>
          </w:tcPr>
          <w:p w14:paraId="000CB932" w14:textId="29465BFD" w:rsidR="0006562E" w:rsidRPr="00A801DF" w:rsidRDefault="0006562E" w:rsidP="00D547E2">
            <w:pPr>
              <w:keepNext/>
              <w:tabs>
                <w:tab w:val="left" w:pos="360"/>
              </w:tabs>
              <w:suppressAutoHyphens/>
              <w:spacing w:after="0" w:line="240" w:lineRule="auto"/>
              <w:ind w:right="-60"/>
              <w:jc w:val="right"/>
              <w:rPr>
                <w:rFonts w:ascii="Arial" w:hAnsi="Arial" w:cs="Arial"/>
                <w:sz w:val="20"/>
                <w:szCs w:val="20"/>
              </w:rPr>
            </w:pPr>
            <w:r w:rsidRPr="00A801DF">
              <w:rPr>
                <w:rFonts w:ascii="Arial" w:hAnsi="Arial" w:cs="Arial"/>
                <w:sz w:val="20"/>
                <w:szCs w:val="20"/>
              </w:rPr>
              <w:t xml:space="preserve">(28,769) </w:t>
            </w:r>
          </w:p>
        </w:tc>
      </w:tr>
      <w:tr w:rsidR="0006562E" w:rsidRPr="00DA4360" w14:paraId="648A7DC3" w14:textId="77777777" w:rsidTr="004A1755">
        <w:tc>
          <w:tcPr>
            <w:tcW w:w="4762" w:type="dxa"/>
            <w:tcBorders>
              <w:top w:val="single" w:sz="4" w:space="0" w:color="auto"/>
            </w:tcBorders>
            <w:shd w:val="clear" w:color="auto" w:fill="auto"/>
          </w:tcPr>
          <w:p w14:paraId="6534002F" w14:textId="77777777" w:rsidR="0006562E" w:rsidRPr="00DA4360" w:rsidRDefault="0006562E" w:rsidP="0006562E">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16F7E83B"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p>
        </w:tc>
        <w:tc>
          <w:tcPr>
            <w:tcW w:w="2054" w:type="dxa"/>
            <w:tcBorders>
              <w:top w:val="single" w:sz="4" w:space="0" w:color="auto"/>
            </w:tcBorders>
            <w:shd w:val="clear" w:color="auto" w:fill="auto"/>
            <w:vAlign w:val="bottom"/>
          </w:tcPr>
          <w:p w14:paraId="3F94E8F0" w14:textId="77777777" w:rsidR="0006562E" w:rsidRPr="00DA4360" w:rsidRDefault="0006562E" w:rsidP="00D547E2">
            <w:pPr>
              <w:keepNext/>
              <w:tabs>
                <w:tab w:val="left" w:pos="360"/>
              </w:tabs>
              <w:suppressAutoHyphens/>
              <w:spacing w:after="0" w:line="240" w:lineRule="auto"/>
              <w:ind w:right="-60"/>
              <w:jc w:val="right"/>
              <w:rPr>
                <w:rFonts w:ascii="Arial" w:hAnsi="Arial" w:cs="Arial"/>
                <w:b/>
                <w:sz w:val="18"/>
                <w:szCs w:val="18"/>
                <w:lang w:val="en-CA"/>
              </w:rPr>
            </w:pPr>
          </w:p>
        </w:tc>
        <w:tc>
          <w:tcPr>
            <w:tcW w:w="236" w:type="dxa"/>
            <w:tcBorders>
              <w:top w:val="single" w:sz="4" w:space="0" w:color="auto"/>
            </w:tcBorders>
            <w:shd w:val="clear" w:color="auto" w:fill="auto"/>
            <w:vAlign w:val="bottom"/>
          </w:tcPr>
          <w:p w14:paraId="4EB9204B"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p>
        </w:tc>
        <w:tc>
          <w:tcPr>
            <w:tcW w:w="2123" w:type="dxa"/>
            <w:tcBorders>
              <w:top w:val="single" w:sz="4" w:space="0" w:color="auto"/>
            </w:tcBorders>
            <w:shd w:val="clear" w:color="auto" w:fill="auto"/>
            <w:vAlign w:val="bottom"/>
          </w:tcPr>
          <w:p w14:paraId="2F18C6AC" w14:textId="77777777" w:rsidR="0006562E" w:rsidRPr="00A801DF" w:rsidRDefault="0006562E" w:rsidP="00D547E2">
            <w:pPr>
              <w:keepNext/>
              <w:tabs>
                <w:tab w:val="left" w:pos="360"/>
              </w:tabs>
              <w:suppressAutoHyphens/>
              <w:spacing w:after="0" w:line="240" w:lineRule="auto"/>
              <w:ind w:right="-60"/>
              <w:jc w:val="right"/>
              <w:rPr>
                <w:rFonts w:ascii="Arial" w:hAnsi="Arial" w:cs="Arial"/>
                <w:sz w:val="20"/>
                <w:szCs w:val="20"/>
              </w:rPr>
            </w:pPr>
          </w:p>
        </w:tc>
      </w:tr>
      <w:tr w:rsidR="0006562E" w:rsidRPr="00DA4360" w14:paraId="65337C4A" w14:textId="77777777" w:rsidTr="004A1755">
        <w:tc>
          <w:tcPr>
            <w:tcW w:w="4762" w:type="dxa"/>
            <w:tcBorders>
              <w:bottom w:val="single" w:sz="18" w:space="0" w:color="auto"/>
            </w:tcBorders>
            <w:shd w:val="clear" w:color="auto" w:fill="auto"/>
          </w:tcPr>
          <w:p w14:paraId="30079468" w14:textId="77777777" w:rsidR="0006562E" w:rsidRPr="00DA4360" w:rsidRDefault="0006562E" w:rsidP="0006562E">
            <w:pPr>
              <w:keepNext/>
              <w:tabs>
                <w:tab w:val="left" w:pos="360"/>
              </w:tabs>
              <w:suppressAutoHyphens/>
              <w:spacing w:after="0" w:line="240" w:lineRule="auto"/>
              <w:jc w:val="both"/>
              <w:rPr>
                <w:rFonts w:ascii="Arial" w:hAnsi="Arial" w:cs="Arial"/>
                <w:b/>
                <w:sz w:val="20"/>
                <w:szCs w:val="20"/>
                <w:lang w:val="en-CA"/>
              </w:rPr>
            </w:pPr>
            <w:r w:rsidRPr="00DA4360">
              <w:rPr>
                <w:rFonts w:ascii="Arial" w:hAnsi="Arial" w:cs="Arial"/>
                <w:b/>
                <w:sz w:val="20"/>
                <w:szCs w:val="20"/>
                <w:lang w:val="en-CA"/>
              </w:rPr>
              <w:t>Net loss and comprehensive loss for the period</w:t>
            </w:r>
          </w:p>
        </w:tc>
        <w:tc>
          <w:tcPr>
            <w:tcW w:w="236" w:type="dxa"/>
            <w:tcBorders>
              <w:bottom w:val="single" w:sz="18" w:space="0" w:color="auto"/>
            </w:tcBorders>
            <w:shd w:val="clear" w:color="auto" w:fill="auto"/>
          </w:tcPr>
          <w:p w14:paraId="2DD52935" w14:textId="77777777" w:rsidR="0006562E" w:rsidRPr="00DA4360" w:rsidRDefault="0006562E" w:rsidP="0006562E">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sz w:val="18"/>
                <w:szCs w:val="18"/>
                <w:lang w:val="en-CA"/>
              </w:rPr>
              <w:t>$</w:t>
            </w:r>
          </w:p>
        </w:tc>
        <w:tc>
          <w:tcPr>
            <w:tcW w:w="2054" w:type="dxa"/>
            <w:tcBorders>
              <w:bottom w:val="single" w:sz="18" w:space="0" w:color="auto"/>
            </w:tcBorders>
            <w:shd w:val="clear" w:color="auto" w:fill="auto"/>
            <w:vAlign w:val="bottom"/>
          </w:tcPr>
          <w:p w14:paraId="659A9E68" w14:textId="3323CC27" w:rsidR="0006562E" w:rsidRPr="00DA4360" w:rsidRDefault="003B6B96" w:rsidP="00D547E2">
            <w:pPr>
              <w:keepNext/>
              <w:tabs>
                <w:tab w:val="left" w:pos="360"/>
              </w:tabs>
              <w:suppressAutoHyphens/>
              <w:spacing w:after="0" w:line="240" w:lineRule="auto"/>
              <w:ind w:right="-60"/>
              <w:jc w:val="right"/>
              <w:rPr>
                <w:rFonts w:ascii="Arial" w:hAnsi="Arial" w:cs="Arial"/>
                <w:b/>
                <w:sz w:val="18"/>
                <w:szCs w:val="18"/>
                <w:lang w:val="en-CA"/>
              </w:rPr>
            </w:pPr>
            <w:r>
              <w:rPr>
                <w:rFonts w:ascii="Arial" w:hAnsi="Arial" w:cs="Arial"/>
                <w:b/>
                <w:sz w:val="18"/>
                <w:szCs w:val="18"/>
                <w:lang w:val="en-CA"/>
              </w:rPr>
              <w:t>(2,359,579)</w:t>
            </w:r>
          </w:p>
        </w:tc>
        <w:tc>
          <w:tcPr>
            <w:tcW w:w="236" w:type="dxa"/>
            <w:tcBorders>
              <w:bottom w:val="single" w:sz="18" w:space="0" w:color="auto"/>
            </w:tcBorders>
            <w:shd w:val="clear" w:color="auto" w:fill="auto"/>
            <w:vAlign w:val="bottom"/>
          </w:tcPr>
          <w:p w14:paraId="77BBF8E9" w14:textId="77777777" w:rsidR="0006562E" w:rsidRPr="00DA4360" w:rsidRDefault="0006562E" w:rsidP="0006562E">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w:t>
            </w:r>
          </w:p>
        </w:tc>
        <w:tc>
          <w:tcPr>
            <w:tcW w:w="2123" w:type="dxa"/>
            <w:tcBorders>
              <w:bottom w:val="single" w:sz="18" w:space="0" w:color="auto"/>
            </w:tcBorders>
            <w:shd w:val="clear" w:color="auto" w:fill="auto"/>
            <w:vAlign w:val="bottom"/>
          </w:tcPr>
          <w:p w14:paraId="0148E986" w14:textId="4415A021" w:rsidR="0006562E" w:rsidRPr="00A801DF" w:rsidRDefault="0006562E" w:rsidP="00D547E2">
            <w:pPr>
              <w:keepNext/>
              <w:tabs>
                <w:tab w:val="left" w:pos="360"/>
              </w:tabs>
              <w:suppressAutoHyphens/>
              <w:spacing w:after="0" w:line="240" w:lineRule="auto"/>
              <w:ind w:right="-60"/>
              <w:jc w:val="right"/>
              <w:rPr>
                <w:rFonts w:ascii="Arial" w:hAnsi="Arial" w:cs="Arial"/>
                <w:sz w:val="20"/>
                <w:szCs w:val="20"/>
              </w:rPr>
            </w:pPr>
            <w:r w:rsidRPr="00A801DF">
              <w:rPr>
                <w:rFonts w:ascii="Arial" w:hAnsi="Arial" w:cs="Arial"/>
                <w:sz w:val="20"/>
                <w:szCs w:val="20"/>
              </w:rPr>
              <w:t>(5,132,848)</w:t>
            </w:r>
          </w:p>
        </w:tc>
      </w:tr>
    </w:tbl>
    <w:p w14:paraId="116300FE" w14:textId="77777777" w:rsidR="005646CD" w:rsidRDefault="005646CD" w:rsidP="003F6F1A">
      <w:pPr>
        <w:spacing w:after="0"/>
        <w:rPr>
          <w:rFonts w:ascii="Arial" w:hAnsi="Arial" w:cs="Arial"/>
          <w:sz w:val="20"/>
          <w:szCs w:val="20"/>
          <w:u w:val="single"/>
        </w:rPr>
      </w:pPr>
    </w:p>
    <w:p w14:paraId="7F3362A8" w14:textId="6E140725" w:rsidR="00B150DF" w:rsidRPr="00A86E9F" w:rsidRDefault="00B150DF" w:rsidP="003F6F1A">
      <w:pPr>
        <w:spacing w:after="0"/>
        <w:rPr>
          <w:rFonts w:ascii="Arial" w:hAnsi="Arial" w:cs="Arial"/>
          <w:sz w:val="20"/>
          <w:szCs w:val="20"/>
          <w:u w:val="single"/>
        </w:rPr>
      </w:pPr>
      <w:r w:rsidRPr="00A86E9F">
        <w:rPr>
          <w:rFonts w:ascii="Arial" w:hAnsi="Arial" w:cs="Arial"/>
          <w:sz w:val="20"/>
          <w:szCs w:val="20"/>
          <w:u w:val="single"/>
        </w:rPr>
        <w:t xml:space="preserve">Clinic </w:t>
      </w:r>
      <w:r w:rsidR="00513D8E">
        <w:rPr>
          <w:rFonts w:ascii="Arial" w:hAnsi="Arial" w:cs="Arial"/>
          <w:sz w:val="20"/>
          <w:szCs w:val="20"/>
          <w:u w:val="single"/>
        </w:rPr>
        <w:t>r</w:t>
      </w:r>
      <w:r w:rsidRPr="00A86E9F">
        <w:rPr>
          <w:rFonts w:ascii="Arial" w:hAnsi="Arial" w:cs="Arial"/>
          <w:sz w:val="20"/>
          <w:szCs w:val="20"/>
          <w:u w:val="single"/>
        </w:rPr>
        <w:t>evenues</w:t>
      </w:r>
    </w:p>
    <w:p w14:paraId="715CB28E" w14:textId="77777777" w:rsidR="00B150DF" w:rsidRPr="00A86E9F" w:rsidRDefault="00B150DF" w:rsidP="003F6F1A">
      <w:pPr>
        <w:spacing w:after="0"/>
        <w:jc w:val="both"/>
        <w:rPr>
          <w:rFonts w:ascii="Arial" w:hAnsi="Arial" w:cs="Arial"/>
          <w:sz w:val="20"/>
          <w:szCs w:val="20"/>
        </w:rPr>
      </w:pPr>
    </w:p>
    <w:p w14:paraId="5EEB91A0" w14:textId="77777777" w:rsidR="005646CD" w:rsidRDefault="00B150DF" w:rsidP="003F6F1A">
      <w:pPr>
        <w:spacing w:after="0"/>
        <w:jc w:val="both"/>
        <w:rPr>
          <w:rFonts w:ascii="Arial" w:hAnsi="Arial" w:cs="Arial"/>
          <w:sz w:val="20"/>
          <w:szCs w:val="20"/>
        </w:rPr>
      </w:pPr>
      <w:r w:rsidRPr="00A86E9F">
        <w:rPr>
          <w:rFonts w:ascii="Arial" w:hAnsi="Arial" w:cs="Arial"/>
          <w:sz w:val="20"/>
          <w:szCs w:val="20"/>
        </w:rPr>
        <w:t>Revenues were $</w:t>
      </w:r>
      <w:r w:rsidR="00782D33">
        <w:rPr>
          <w:rFonts w:ascii="Arial" w:hAnsi="Arial" w:cs="Arial"/>
          <w:sz w:val="20"/>
          <w:szCs w:val="20"/>
        </w:rPr>
        <w:t>1,406,872</w:t>
      </w:r>
      <w:r w:rsidRPr="00A86E9F">
        <w:rPr>
          <w:rFonts w:ascii="Arial" w:hAnsi="Arial" w:cs="Arial"/>
          <w:sz w:val="20"/>
          <w:szCs w:val="20"/>
        </w:rPr>
        <w:t>, compared to $</w:t>
      </w:r>
      <w:r w:rsidR="00A801DF">
        <w:rPr>
          <w:rFonts w:ascii="Arial" w:hAnsi="Arial" w:cs="Arial"/>
          <w:sz w:val="20"/>
          <w:szCs w:val="20"/>
        </w:rPr>
        <w:t>894,477</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as the Company received </w:t>
      </w:r>
      <w:r w:rsidR="00782D33">
        <w:rPr>
          <w:rFonts w:ascii="Arial" w:hAnsi="Arial" w:cs="Arial"/>
          <w:sz w:val="20"/>
          <w:szCs w:val="20"/>
        </w:rPr>
        <w:t>11,304</w:t>
      </w:r>
      <w:r w:rsidRPr="00A86E9F">
        <w:rPr>
          <w:rFonts w:ascii="Arial" w:hAnsi="Arial" w:cs="Arial"/>
          <w:sz w:val="20"/>
          <w:szCs w:val="20"/>
        </w:rPr>
        <w:t xml:space="preserve"> patients spending on average $</w:t>
      </w:r>
      <w:r w:rsidR="00782D33">
        <w:rPr>
          <w:rFonts w:ascii="Arial" w:hAnsi="Arial" w:cs="Arial"/>
          <w:sz w:val="20"/>
          <w:szCs w:val="20"/>
        </w:rPr>
        <w:t>124</w:t>
      </w:r>
      <w:r w:rsidRPr="00A86E9F">
        <w:rPr>
          <w:rFonts w:ascii="Arial" w:hAnsi="Arial" w:cs="Arial"/>
          <w:sz w:val="20"/>
          <w:szCs w:val="20"/>
        </w:rPr>
        <w:t xml:space="preserve">, compared to </w:t>
      </w:r>
      <w:r w:rsidR="00782D33">
        <w:rPr>
          <w:rFonts w:ascii="Arial" w:hAnsi="Arial" w:cs="Arial"/>
          <w:sz w:val="20"/>
          <w:szCs w:val="20"/>
        </w:rPr>
        <w:t>6,293</w:t>
      </w:r>
      <w:r w:rsidRPr="00A86E9F">
        <w:rPr>
          <w:rFonts w:ascii="Arial" w:hAnsi="Arial" w:cs="Arial"/>
          <w:sz w:val="20"/>
          <w:szCs w:val="20"/>
        </w:rPr>
        <w:t xml:space="preserve"> patients spending on average </w:t>
      </w:r>
      <w:r w:rsidR="0057186D">
        <w:rPr>
          <w:rFonts w:ascii="Arial" w:hAnsi="Arial" w:cs="Arial"/>
          <w:sz w:val="20"/>
          <w:szCs w:val="20"/>
        </w:rPr>
        <w:t>$</w:t>
      </w:r>
      <w:r w:rsidR="003B6B96">
        <w:rPr>
          <w:rFonts w:ascii="Arial" w:hAnsi="Arial" w:cs="Arial"/>
          <w:sz w:val="20"/>
          <w:szCs w:val="20"/>
        </w:rPr>
        <w:t>142</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w:t>
      </w:r>
    </w:p>
    <w:p w14:paraId="1116DC30" w14:textId="77777777" w:rsidR="005646CD" w:rsidRDefault="005646CD" w:rsidP="003F6F1A">
      <w:pPr>
        <w:spacing w:after="0"/>
        <w:jc w:val="both"/>
        <w:rPr>
          <w:rFonts w:ascii="Arial" w:hAnsi="Arial" w:cs="Arial"/>
          <w:sz w:val="20"/>
          <w:szCs w:val="20"/>
        </w:rPr>
      </w:pPr>
    </w:p>
    <w:p w14:paraId="54DCCFF6" w14:textId="77777777" w:rsidR="005646CD" w:rsidRDefault="005646CD" w:rsidP="003F6F1A">
      <w:pPr>
        <w:spacing w:after="0"/>
        <w:jc w:val="both"/>
        <w:rPr>
          <w:rFonts w:ascii="Arial" w:hAnsi="Arial" w:cs="Arial"/>
          <w:sz w:val="20"/>
          <w:szCs w:val="20"/>
        </w:rPr>
      </w:pPr>
    </w:p>
    <w:p w14:paraId="0C3AD52B" w14:textId="3509D27D"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 xml:space="preserve">2018. The increase </w:t>
      </w:r>
      <w:r w:rsidR="00FC6657">
        <w:rPr>
          <w:rFonts w:ascii="Arial" w:hAnsi="Arial" w:cs="Arial"/>
          <w:sz w:val="20"/>
          <w:szCs w:val="20"/>
        </w:rPr>
        <w:t xml:space="preserve">in clinic revenues and patient count </w:t>
      </w:r>
      <w:r w:rsidRPr="00A86E9F">
        <w:rPr>
          <w:rFonts w:ascii="Arial" w:hAnsi="Arial" w:cs="Arial"/>
          <w:sz w:val="20"/>
          <w:szCs w:val="20"/>
        </w:rPr>
        <w:t xml:space="preserve">is primarily due to the addition of the Sun Valley clinics beginning May 1, 2019. </w:t>
      </w:r>
    </w:p>
    <w:p w14:paraId="48109588" w14:textId="77777777" w:rsidR="00B150DF" w:rsidRPr="00A86E9F" w:rsidRDefault="00B150DF" w:rsidP="003F6F1A">
      <w:pPr>
        <w:spacing w:after="0"/>
        <w:jc w:val="both"/>
        <w:rPr>
          <w:rFonts w:ascii="Arial" w:hAnsi="Arial" w:cs="Arial"/>
          <w:sz w:val="20"/>
          <w:szCs w:val="20"/>
        </w:rPr>
      </w:pPr>
    </w:p>
    <w:p w14:paraId="3986CBC1" w14:textId="1D988203" w:rsidR="00FC6657" w:rsidRPr="009F6DF3" w:rsidRDefault="00FC6657" w:rsidP="00FC6657">
      <w:pPr>
        <w:spacing w:after="0"/>
        <w:jc w:val="both"/>
        <w:rPr>
          <w:rFonts w:ascii="Arial" w:hAnsi="Arial" w:cs="Arial"/>
          <w:sz w:val="20"/>
          <w:szCs w:val="20"/>
        </w:rPr>
      </w:pPr>
      <w:r>
        <w:rPr>
          <w:rFonts w:ascii="Arial" w:hAnsi="Arial" w:cs="Arial"/>
          <w:sz w:val="20"/>
          <w:szCs w:val="20"/>
        </w:rPr>
        <w:t>T</w:t>
      </w:r>
      <w:r w:rsidRPr="009F6DF3">
        <w:rPr>
          <w:rFonts w:ascii="Arial" w:hAnsi="Arial" w:cs="Arial"/>
          <w:sz w:val="20"/>
          <w:szCs w:val="20"/>
        </w:rPr>
        <w:t>he Company receives revenue stream</w:t>
      </w:r>
      <w:r>
        <w:rPr>
          <w:rFonts w:ascii="Arial" w:hAnsi="Arial" w:cs="Arial"/>
          <w:sz w:val="20"/>
          <w:szCs w:val="20"/>
        </w:rPr>
        <w:t>s from</w:t>
      </w:r>
      <w:r w:rsidRPr="009F6DF3">
        <w:rPr>
          <w:rFonts w:ascii="Arial" w:hAnsi="Arial" w:cs="Arial"/>
          <w:sz w:val="20"/>
          <w:szCs w:val="20"/>
        </w:rPr>
        <w:t xml:space="preserve"> patient visits to existing clinics</w:t>
      </w:r>
      <w:r>
        <w:rPr>
          <w:rFonts w:ascii="Arial" w:hAnsi="Arial" w:cs="Arial"/>
          <w:sz w:val="20"/>
          <w:szCs w:val="20"/>
        </w:rPr>
        <w:t xml:space="preserve"> throughout the network, and the Company has expanded into CBD product sales and the sale of premium wellness products.</w:t>
      </w:r>
      <w:r w:rsidRPr="009F6DF3">
        <w:rPr>
          <w:rFonts w:ascii="Arial" w:hAnsi="Arial" w:cs="Arial"/>
          <w:sz w:val="20"/>
          <w:szCs w:val="20"/>
        </w:rPr>
        <w:t xml:space="preserve"> The Company expects to expand </w:t>
      </w:r>
      <w:r>
        <w:rPr>
          <w:rFonts w:ascii="Arial" w:hAnsi="Arial" w:cs="Arial"/>
          <w:sz w:val="20"/>
          <w:szCs w:val="20"/>
        </w:rPr>
        <w:t>its</w:t>
      </w:r>
      <w:r w:rsidRPr="009F6DF3">
        <w:rPr>
          <w:rFonts w:ascii="Arial" w:hAnsi="Arial" w:cs="Arial"/>
          <w:sz w:val="20"/>
          <w:szCs w:val="20"/>
        </w:rPr>
        <w:t xml:space="preserve"> revenue stream</w:t>
      </w:r>
      <w:r>
        <w:rPr>
          <w:rFonts w:ascii="Arial" w:hAnsi="Arial" w:cs="Arial"/>
          <w:sz w:val="20"/>
          <w:szCs w:val="20"/>
        </w:rPr>
        <w:t>s</w:t>
      </w:r>
      <w:r w:rsidRPr="009F6DF3">
        <w:rPr>
          <w:rFonts w:ascii="Arial" w:hAnsi="Arial" w:cs="Arial"/>
          <w:sz w:val="20"/>
          <w:szCs w:val="20"/>
        </w:rPr>
        <w:t xml:space="preserve"> as the </w:t>
      </w:r>
      <w:r>
        <w:rPr>
          <w:rFonts w:ascii="Arial" w:hAnsi="Arial" w:cs="Arial"/>
          <w:sz w:val="20"/>
          <w:szCs w:val="20"/>
        </w:rPr>
        <w:t>Company</w:t>
      </w:r>
      <w:r w:rsidRPr="009F6DF3">
        <w:rPr>
          <w:rFonts w:ascii="Arial" w:hAnsi="Arial" w:cs="Arial"/>
          <w:sz w:val="20"/>
          <w:szCs w:val="20"/>
        </w:rPr>
        <w:t xml:space="preserve"> patient base grows</w:t>
      </w:r>
      <w:r>
        <w:rPr>
          <w:rFonts w:ascii="Arial" w:hAnsi="Arial" w:cs="Arial"/>
          <w:sz w:val="20"/>
          <w:szCs w:val="20"/>
        </w:rPr>
        <w:t>, as branded CBD</w:t>
      </w:r>
      <w:r w:rsidRPr="009F6DF3">
        <w:rPr>
          <w:rFonts w:ascii="Arial" w:hAnsi="Arial" w:cs="Arial"/>
          <w:sz w:val="20"/>
          <w:szCs w:val="20"/>
        </w:rPr>
        <w:t xml:space="preserve"> product</w:t>
      </w:r>
      <w:r>
        <w:rPr>
          <w:rFonts w:ascii="Arial" w:hAnsi="Arial" w:cs="Arial"/>
          <w:sz w:val="20"/>
          <w:szCs w:val="20"/>
        </w:rPr>
        <w:t>s are further</w:t>
      </w:r>
      <w:r w:rsidRPr="009F6DF3">
        <w:rPr>
          <w:rFonts w:ascii="Arial" w:hAnsi="Arial" w:cs="Arial"/>
          <w:sz w:val="20"/>
          <w:szCs w:val="20"/>
        </w:rPr>
        <w:t xml:space="preserve"> rolled out</w:t>
      </w:r>
      <w:r>
        <w:rPr>
          <w:rFonts w:ascii="Arial" w:hAnsi="Arial" w:cs="Arial"/>
          <w:sz w:val="20"/>
          <w:szCs w:val="20"/>
        </w:rPr>
        <w:t xml:space="preserve"> and, the CBD extraction and product production facility becomes fully operational.</w:t>
      </w:r>
      <w:r w:rsidRPr="009F6DF3">
        <w:rPr>
          <w:rFonts w:ascii="Arial" w:hAnsi="Arial" w:cs="Arial"/>
          <w:sz w:val="20"/>
          <w:szCs w:val="20"/>
        </w:rPr>
        <w:t xml:space="preserve"> </w:t>
      </w:r>
    </w:p>
    <w:p w14:paraId="0146EBDD" w14:textId="77777777" w:rsidR="00B150DF" w:rsidRPr="00A86E9F" w:rsidRDefault="00B150DF" w:rsidP="003F6F1A">
      <w:pPr>
        <w:spacing w:after="0"/>
        <w:jc w:val="both"/>
        <w:rPr>
          <w:rFonts w:ascii="Arial" w:hAnsi="Arial" w:cs="Arial"/>
          <w:sz w:val="20"/>
          <w:szCs w:val="20"/>
          <w:u w:val="single"/>
        </w:rPr>
      </w:pPr>
    </w:p>
    <w:p w14:paraId="18D32620"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Direct clinic expenses</w:t>
      </w:r>
    </w:p>
    <w:p w14:paraId="776A4CE0" w14:textId="77777777" w:rsidR="00B150DF" w:rsidRPr="00A86E9F" w:rsidRDefault="00B150DF" w:rsidP="003F6F1A">
      <w:pPr>
        <w:spacing w:after="0"/>
        <w:jc w:val="both"/>
        <w:rPr>
          <w:rFonts w:ascii="Arial" w:hAnsi="Arial" w:cs="Arial"/>
          <w:sz w:val="20"/>
          <w:szCs w:val="20"/>
          <w:u w:val="single"/>
        </w:rPr>
      </w:pPr>
    </w:p>
    <w:p w14:paraId="7492E86A" w14:textId="4228CCD9" w:rsidR="00645A49" w:rsidRPr="009F6DF3" w:rsidRDefault="00B150DF" w:rsidP="003F6F1A">
      <w:pPr>
        <w:spacing w:after="0"/>
        <w:jc w:val="both"/>
        <w:rPr>
          <w:rFonts w:ascii="Arial" w:hAnsi="Arial" w:cs="Arial"/>
          <w:sz w:val="20"/>
          <w:szCs w:val="20"/>
        </w:rPr>
      </w:pPr>
      <w:r w:rsidRPr="00A86E9F">
        <w:rPr>
          <w:rFonts w:ascii="Arial" w:hAnsi="Arial" w:cs="Arial"/>
          <w:sz w:val="20"/>
          <w:szCs w:val="20"/>
        </w:rPr>
        <w:t>Direct clinic expenses were $</w:t>
      </w:r>
      <w:r w:rsidR="003B6B96">
        <w:rPr>
          <w:rFonts w:ascii="Arial" w:hAnsi="Arial" w:cs="Arial"/>
          <w:sz w:val="20"/>
          <w:szCs w:val="20"/>
        </w:rPr>
        <w:t>177,560</w:t>
      </w:r>
      <w:r w:rsidRPr="00A86E9F">
        <w:rPr>
          <w:rFonts w:ascii="Arial" w:hAnsi="Arial" w:cs="Arial"/>
          <w:sz w:val="20"/>
          <w:szCs w:val="20"/>
        </w:rPr>
        <w:t>, compared to $</w:t>
      </w:r>
      <w:r w:rsidR="00A801DF">
        <w:rPr>
          <w:rFonts w:ascii="Arial" w:hAnsi="Arial" w:cs="Arial"/>
          <w:sz w:val="20"/>
          <w:szCs w:val="20"/>
        </w:rPr>
        <w:t>301,392</w:t>
      </w:r>
      <w:r w:rsidRPr="00A86E9F">
        <w:rPr>
          <w:rFonts w:ascii="Arial" w:hAnsi="Arial" w:cs="Arial"/>
          <w:sz w:val="20"/>
          <w:szCs w:val="20"/>
        </w:rPr>
        <w:t xml:space="preserve"> during </w:t>
      </w:r>
      <w:r w:rsidR="00A86E9F" w:rsidRPr="00A86E9F">
        <w:rPr>
          <w:rFonts w:ascii="Arial" w:hAnsi="Arial" w:cs="Arial"/>
          <w:sz w:val="20"/>
          <w:szCs w:val="20"/>
        </w:rPr>
        <w:t xml:space="preserve">YTD </w:t>
      </w:r>
      <w:r w:rsidRPr="00A86E9F">
        <w:rPr>
          <w:rFonts w:ascii="Arial" w:hAnsi="Arial" w:cs="Arial"/>
          <w:sz w:val="20"/>
          <w:szCs w:val="20"/>
        </w:rPr>
        <w:t xml:space="preserve">2018. </w:t>
      </w:r>
      <w:r w:rsidR="00645A49" w:rsidRPr="009F6DF3">
        <w:rPr>
          <w:rFonts w:ascii="Arial" w:hAnsi="Arial" w:cs="Arial"/>
          <w:sz w:val="20"/>
          <w:szCs w:val="20"/>
        </w:rPr>
        <w:t xml:space="preserve">These costs </w:t>
      </w:r>
      <w:r w:rsidR="00645A49">
        <w:rPr>
          <w:rFonts w:ascii="Arial" w:hAnsi="Arial" w:cs="Arial"/>
          <w:sz w:val="20"/>
          <w:szCs w:val="20"/>
        </w:rPr>
        <w:t>represent physician and clinic support staff expenses that are required to operate the clinics and provide patient consulting services. These expenses declined despite the increase in revenues due to improved operational controls to align labor cost with direct patient consultations</w:t>
      </w:r>
      <w:r w:rsidR="00645A49" w:rsidRPr="009F6DF3">
        <w:rPr>
          <w:rFonts w:ascii="Arial" w:hAnsi="Arial" w:cs="Arial"/>
          <w:sz w:val="20"/>
          <w:szCs w:val="20"/>
        </w:rPr>
        <w:t xml:space="preserve">. The Company employs </w:t>
      </w:r>
      <w:r w:rsidR="00645A49">
        <w:rPr>
          <w:rFonts w:ascii="Arial" w:hAnsi="Arial" w:cs="Arial"/>
          <w:sz w:val="20"/>
          <w:szCs w:val="20"/>
        </w:rPr>
        <w:t>a diverse mix of physicians and practitioners</w:t>
      </w:r>
      <w:r w:rsidR="00645A49" w:rsidRPr="009F6DF3">
        <w:rPr>
          <w:rFonts w:ascii="Arial" w:hAnsi="Arial" w:cs="Arial"/>
          <w:sz w:val="20"/>
          <w:szCs w:val="20"/>
        </w:rPr>
        <w:t xml:space="preserve">. </w:t>
      </w:r>
    </w:p>
    <w:p w14:paraId="7C5FD083" w14:textId="77777777" w:rsidR="00AB647D" w:rsidRDefault="00AB647D" w:rsidP="003F6F1A">
      <w:pPr>
        <w:spacing w:after="0"/>
        <w:jc w:val="both"/>
        <w:rPr>
          <w:rFonts w:ascii="Arial" w:hAnsi="Arial" w:cs="Arial"/>
          <w:sz w:val="20"/>
          <w:szCs w:val="20"/>
          <w:u w:val="single"/>
        </w:rPr>
      </w:pPr>
    </w:p>
    <w:p w14:paraId="67A5EBF0" w14:textId="08AD4EC2"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Operating expenses</w:t>
      </w:r>
    </w:p>
    <w:p w14:paraId="63593C03" w14:textId="77777777" w:rsidR="00B150DF" w:rsidRPr="00A86E9F" w:rsidRDefault="00B150DF" w:rsidP="003F6F1A">
      <w:pPr>
        <w:spacing w:after="0"/>
        <w:rPr>
          <w:rFonts w:ascii="Arial" w:hAnsi="Arial" w:cs="Arial"/>
          <w:sz w:val="20"/>
          <w:szCs w:val="20"/>
        </w:rPr>
      </w:pPr>
    </w:p>
    <w:p w14:paraId="71603985" w14:textId="47DC50E7" w:rsidR="004E17E1" w:rsidRDefault="006F10A5" w:rsidP="003F6F1A">
      <w:pPr>
        <w:spacing w:after="0"/>
        <w:jc w:val="both"/>
        <w:rPr>
          <w:rFonts w:ascii="Arial" w:hAnsi="Arial" w:cs="Arial"/>
          <w:sz w:val="20"/>
          <w:szCs w:val="20"/>
        </w:rPr>
      </w:pPr>
      <w:r>
        <w:rPr>
          <w:rFonts w:ascii="Arial" w:hAnsi="Arial" w:cs="Arial"/>
          <w:sz w:val="20"/>
          <w:szCs w:val="20"/>
        </w:rPr>
        <w:t>O</w:t>
      </w:r>
      <w:r w:rsidR="00B150DF" w:rsidRPr="00A86E9F">
        <w:rPr>
          <w:rFonts w:ascii="Arial" w:hAnsi="Arial" w:cs="Arial"/>
          <w:sz w:val="20"/>
          <w:szCs w:val="20"/>
        </w:rPr>
        <w:t>perating expenses were $</w:t>
      </w:r>
      <w:r w:rsidR="003B6B96">
        <w:rPr>
          <w:rFonts w:ascii="Arial" w:hAnsi="Arial" w:cs="Arial"/>
          <w:sz w:val="20"/>
          <w:szCs w:val="20"/>
        </w:rPr>
        <w:t>2,343,660</w:t>
      </w:r>
      <w:r w:rsidR="00B150DF" w:rsidRPr="00A86E9F">
        <w:rPr>
          <w:rFonts w:ascii="Arial" w:hAnsi="Arial" w:cs="Arial"/>
          <w:sz w:val="20"/>
          <w:szCs w:val="20"/>
        </w:rPr>
        <w:t xml:space="preserve"> compared to $</w:t>
      </w:r>
      <w:r w:rsidR="00A801DF" w:rsidRPr="00A801DF">
        <w:rPr>
          <w:rFonts w:ascii="Arial" w:hAnsi="Arial" w:cs="Arial"/>
          <w:sz w:val="20"/>
          <w:szCs w:val="20"/>
        </w:rPr>
        <w:t>2,</w:t>
      </w:r>
      <w:r w:rsidR="003B6B96">
        <w:rPr>
          <w:rFonts w:ascii="Arial" w:hAnsi="Arial" w:cs="Arial"/>
          <w:sz w:val="20"/>
          <w:szCs w:val="20"/>
        </w:rPr>
        <w:t>523,318</w:t>
      </w:r>
      <w:r w:rsidR="00B150DF" w:rsidRPr="00A86E9F">
        <w:rPr>
          <w:rFonts w:ascii="Arial" w:hAnsi="Arial" w:cs="Arial"/>
          <w:sz w:val="20"/>
          <w:szCs w:val="20"/>
        </w:rPr>
        <w:t xml:space="preserve"> during </w:t>
      </w:r>
      <w:r w:rsidR="00A86E9F" w:rsidRPr="00A86E9F">
        <w:rPr>
          <w:rFonts w:ascii="Arial" w:hAnsi="Arial" w:cs="Arial"/>
          <w:sz w:val="20"/>
          <w:szCs w:val="20"/>
        </w:rPr>
        <w:t>YTD</w:t>
      </w:r>
      <w:r w:rsidR="00B150DF" w:rsidRPr="00A86E9F">
        <w:rPr>
          <w:rFonts w:ascii="Arial" w:hAnsi="Arial" w:cs="Arial"/>
          <w:sz w:val="20"/>
          <w:szCs w:val="20"/>
        </w:rPr>
        <w:t xml:space="preserve"> 2018</w:t>
      </w:r>
      <w:r>
        <w:rPr>
          <w:rFonts w:ascii="Arial" w:hAnsi="Arial" w:cs="Arial"/>
          <w:sz w:val="20"/>
          <w:szCs w:val="20"/>
        </w:rPr>
        <w:t xml:space="preserve"> and includes fully burdening the inclusion of the Sun Valley acquisition and Sun Valley Health Franchising start-ups costs. Key items </w:t>
      </w:r>
      <w:r w:rsidR="005646CD">
        <w:rPr>
          <w:rFonts w:ascii="Arial" w:hAnsi="Arial" w:cs="Arial"/>
          <w:sz w:val="20"/>
          <w:szCs w:val="20"/>
        </w:rPr>
        <w:t>include</w:t>
      </w:r>
      <w:r>
        <w:rPr>
          <w:rFonts w:ascii="Arial" w:hAnsi="Arial" w:cs="Arial"/>
          <w:sz w:val="20"/>
          <w:szCs w:val="20"/>
        </w:rPr>
        <w:t xml:space="preserve"> the following:</w:t>
      </w:r>
    </w:p>
    <w:p w14:paraId="138B9BE1" w14:textId="77777777" w:rsidR="001D7767" w:rsidRDefault="001D7767" w:rsidP="003F6F1A">
      <w:pPr>
        <w:spacing w:after="0"/>
        <w:jc w:val="both"/>
        <w:rPr>
          <w:rFonts w:ascii="Arial" w:hAnsi="Arial" w:cs="Arial"/>
          <w:sz w:val="20"/>
          <w:szCs w:val="20"/>
        </w:rPr>
      </w:pPr>
    </w:p>
    <w:p w14:paraId="6DE7C440" w14:textId="76DF1D8B" w:rsidR="00BD1255" w:rsidRPr="003B6B96" w:rsidRDefault="00BD1255" w:rsidP="003F6F1A">
      <w:pPr>
        <w:pStyle w:val="ColorfulList-Accent11"/>
        <w:numPr>
          <w:ilvl w:val="0"/>
          <w:numId w:val="38"/>
        </w:numPr>
        <w:spacing w:line="259" w:lineRule="auto"/>
        <w:jc w:val="both"/>
        <w:rPr>
          <w:rFonts w:ascii="Arial" w:hAnsi="Arial" w:cs="Arial"/>
          <w:sz w:val="20"/>
          <w:szCs w:val="20"/>
        </w:rPr>
      </w:pPr>
      <w:r w:rsidRPr="003B6B96">
        <w:rPr>
          <w:rFonts w:ascii="Arial" w:hAnsi="Arial" w:cs="Arial"/>
          <w:sz w:val="20"/>
          <w:szCs w:val="20"/>
        </w:rPr>
        <w:t xml:space="preserve">Lower operating costs </w:t>
      </w:r>
      <w:r w:rsidR="006F10A5">
        <w:rPr>
          <w:rFonts w:ascii="Arial" w:hAnsi="Arial" w:cs="Arial"/>
          <w:sz w:val="20"/>
          <w:szCs w:val="20"/>
        </w:rPr>
        <w:t>in Oregon and Washington state as a result of</w:t>
      </w:r>
      <w:r w:rsidRPr="003B6B96">
        <w:rPr>
          <w:rFonts w:ascii="Arial" w:hAnsi="Arial" w:cs="Arial"/>
          <w:sz w:val="20"/>
          <w:szCs w:val="20"/>
        </w:rPr>
        <w:t xml:space="preserve"> </w:t>
      </w:r>
      <w:r w:rsidRPr="003B6B96">
        <w:rPr>
          <w:rFonts w:ascii="Arial" w:eastAsia="Calibri" w:hAnsi="Arial" w:cs="Arial"/>
          <w:sz w:val="20"/>
          <w:szCs w:val="20"/>
        </w:rPr>
        <w:t>aggressive headcount cuts</w:t>
      </w:r>
      <w:r w:rsidRPr="003B6B96">
        <w:rPr>
          <w:rFonts w:ascii="Arial" w:hAnsi="Arial" w:cs="Arial"/>
          <w:sz w:val="20"/>
          <w:szCs w:val="20"/>
        </w:rPr>
        <w:t xml:space="preserve"> and</w:t>
      </w:r>
      <w:r w:rsidRPr="003B6B96">
        <w:rPr>
          <w:rFonts w:ascii="Arial" w:eastAsia="Calibri" w:hAnsi="Arial" w:cs="Arial"/>
          <w:sz w:val="20"/>
          <w:szCs w:val="20"/>
        </w:rPr>
        <w:t xml:space="preserve"> facility changes</w:t>
      </w:r>
      <w:r w:rsidRPr="003B6B96">
        <w:rPr>
          <w:rFonts w:ascii="Arial" w:hAnsi="Arial" w:cs="Arial"/>
          <w:sz w:val="20"/>
          <w:szCs w:val="20"/>
        </w:rPr>
        <w:t>.</w:t>
      </w:r>
    </w:p>
    <w:p w14:paraId="6F60D052" w14:textId="18B922F6" w:rsidR="004E17E1" w:rsidRPr="003B6B96" w:rsidRDefault="004E17E1" w:rsidP="003F6F1A">
      <w:pPr>
        <w:pStyle w:val="ColorfulList-Accent11"/>
        <w:numPr>
          <w:ilvl w:val="0"/>
          <w:numId w:val="38"/>
        </w:numPr>
        <w:spacing w:line="259" w:lineRule="auto"/>
        <w:jc w:val="both"/>
        <w:rPr>
          <w:rFonts w:ascii="Arial" w:hAnsi="Arial" w:cs="Arial"/>
          <w:sz w:val="20"/>
          <w:szCs w:val="20"/>
        </w:rPr>
      </w:pPr>
      <w:r w:rsidRPr="003B6B96">
        <w:rPr>
          <w:rFonts w:ascii="Arial" w:hAnsi="Arial" w:cs="Arial"/>
          <w:sz w:val="20"/>
          <w:szCs w:val="20"/>
        </w:rPr>
        <w:t>Compensation expense of $</w:t>
      </w:r>
      <w:r w:rsidR="003B6B96" w:rsidRPr="003B6B96">
        <w:rPr>
          <w:rFonts w:ascii="Arial" w:hAnsi="Arial" w:cs="Arial"/>
          <w:sz w:val="20"/>
          <w:szCs w:val="20"/>
        </w:rPr>
        <w:t>266,856</w:t>
      </w:r>
      <w:r w:rsidRPr="003B6B96">
        <w:rPr>
          <w:rFonts w:ascii="Arial" w:hAnsi="Arial" w:cs="Arial"/>
          <w:sz w:val="20"/>
          <w:szCs w:val="20"/>
        </w:rPr>
        <w:t xml:space="preserve"> in non-cash </w:t>
      </w:r>
      <w:r w:rsidR="00AB647D" w:rsidRPr="003B6B96">
        <w:rPr>
          <w:rFonts w:ascii="Arial" w:hAnsi="Arial" w:cs="Arial"/>
          <w:sz w:val="20"/>
          <w:szCs w:val="20"/>
        </w:rPr>
        <w:t>share-based</w:t>
      </w:r>
      <w:r w:rsidRPr="003B6B96">
        <w:rPr>
          <w:rFonts w:ascii="Arial" w:hAnsi="Arial" w:cs="Arial"/>
          <w:sz w:val="20"/>
          <w:szCs w:val="20"/>
        </w:rPr>
        <w:t xml:space="preserve"> payments to the CEO as compared to compensation expense of $</w:t>
      </w:r>
      <w:r w:rsidR="003B6B96" w:rsidRPr="003B6B96">
        <w:rPr>
          <w:rFonts w:ascii="Arial" w:hAnsi="Arial" w:cs="Arial"/>
          <w:sz w:val="20"/>
          <w:szCs w:val="20"/>
        </w:rPr>
        <w:t xml:space="preserve">892,417 </w:t>
      </w:r>
      <w:r w:rsidRPr="003B6B96">
        <w:rPr>
          <w:rFonts w:ascii="Arial" w:hAnsi="Arial" w:cs="Arial"/>
          <w:sz w:val="20"/>
          <w:szCs w:val="20"/>
        </w:rPr>
        <w:t xml:space="preserve">in non-cash </w:t>
      </w:r>
      <w:r w:rsidR="00AB647D" w:rsidRPr="003B6B96">
        <w:rPr>
          <w:rFonts w:ascii="Arial" w:hAnsi="Arial" w:cs="Arial"/>
          <w:sz w:val="20"/>
          <w:szCs w:val="20"/>
        </w:rPr>
        <w:t>share-based</w:t>
      </w:r>
      <w:r w:rsidRPr="003B6B96">
        <w:rPr>
          <w:rFonts w:ascii="Arial" w:hAnsi="Arial" w:cs="Arial"/>
          <w:sz w:val="20"/>
          <w:szCs w:val="20"/>
        </w:rPr>
        <w:t xml:space="preserve"> payments to the former CEO during </w:t>
      </w:r>
      <w:r w:rsidR="00962EE1">
        <w:rPr>
          <w:rFonts w:ascii="Arial" w:hAnsi="Arial" w:cs="Arial"/>
          <w:sz w:val="20"/>
          <w:szCs w:val="20"/>
        </w:rPr>
        <w:t>YTD</w:t>
      </w:r>
      <w:r w:rsidRPr="003B6B96">
        <w:rPr>
          <w:rFonts w:ascii="Arial" w:hAnsi="Arial" w:cs="Arial"/>
          <w:sz w:val="20"/>
          <w:szCs w:val="20"/>
        </w:rPr>
        <w:t xml:space="preserve"> 2018.</w:t>
      </w:r>
    </w:p>
    <w:p w14:paraId="7024CA67" w14:textId="77777777" w:rsidR="004E17E1" w:rsidRPr="003B6B96" w:rsidRDefault="004E17E1" w:rsidP="003F6F1A">
      <w:pPr>
        <w:pStyle w:val="ColorfulList-Accent11"/>
        <w:numPr>
          <w:ilvl w:val="0"/>
          <w:numId w:val="38"/>
        </w:numPr>
        <w:spacing w:line="259" w:lineRule="auto"/>
        <w:jc w:val="both"/>
        <w:rPr>
          <w:rFonts w:ascii="Arial" w:hAnsi="Arial" w:cs="Arial"/>
          <w:sz w:val="20"/>
          <w:szCs w:val="20"/>
        </w:rPr>
      </w:pPr>
      <w:r w:rsidRPr="003B6B96">
        <w:rPr>
          <w:rFonts w:ascii="Arial" w:hAnsi="Arial" w:cs="Arial"/>
          <w:sz w:val="20"/>
          <w:szCs w:val="20"/>
        </w:rPr>
        <w:t>Lower rent expense due to the adoption of IFRS 16 which resulted in a reclassification of rent expense from operating expenses to depreciation expense and interest expense.</w:t>
      </w:r>
    </w:p>
    <w:p w14:paraId="4E75D1EB" w14:textId="77777777" w:rsidR="00B150DF" w:rsidRPr="00A86E9F" w:rsidRDefault="00B150DF" w:rsidP="003F6F1A">
      <w:pPr>
        <w:spacing w:after="0"/>
        <w:jc w:val="both"/>
        <w:rPr>
          <w:rFonts w:ascii="Arial" w:hAnsi="Arial" w:cs="Arial"/>
          <w:sz w:val="20"/>
          <w:szCs w:val="20"/>
        </w:rPr>
      </w:pPr>
    </w:p>
    <w:p w14:paraId="190311FE"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 xml:space="preserve">Legal and professional fees </w:t>
      </w:r>
    </w:p>
    <w:p w14:paraId="25D60D26" w14:textId="77777777" w:rsidR="00B150DF" w:rsidRPr="00A86E9F" w:rsidRDefault="00B150DF" w:rsidP="003F6F1A">
      <w:pPr>
        <w:spacing w:after="0"/>
        <w:jc w:val="both"/>
        <w:rPr>
          <w:rFonts w:ascii="Arial" w:hAnsi="Arial" w:cs="Arial"/>
          <w:sz w:val="20"/>
          <w:szCs w:val="20"/>
        </w:rPr>
      </w:pPr>
    </w:p>
    <w:p w14:paraId="1FC33669" w14:textId="035EC3D1" w:rsidR="00B150DF" w:rsidRPr="00A86E9F" w:rsidRDefault="00B150DF" w:rsidP="003F6F1A">
      <w:pPr>
        <w:jc w:val="both"/>
        <w:rPr>
          <w:rFonts w:ascii="Arial" w:hAnsi="Arial" w:cs="Arial"/>
          <w:sz w:val="20"/>
          <w:szCs w:val="20"/>
        </w:rPr>
      </w:pPr>
      <w:r w:rsidRPr="00A86E9F">
        <w:rPr>
          <w:rFonts w:ascii="Arial" w:hAnsi="Arial" w:cs="Arial"/>
          <w:sz w:val="20"/>
          <w:szCs w:val="20"/>
        </w:rPr>
        <w:t>Legal and professional fees were $</w:t>
      </w:r>
      <w:r w:rsidR="003B6B96">
        <w:rPr>
          <w:rFonts w:ascii="Arial" w:hAnsi="Arial" w:cs="Arial"/>
          <w:sz w:val="20"/>
          <w:szCs w:val="20"/>
        </w:rPr>
        <w:t>755,514</w:t>
      </w:r>
      <w:r w:rsidRPr="00A86E9F">
        <w:rPr>
          <w:rFonts w:ascii="Arial" w:hAnsi="Arial" w:cs="Arial"/>
          <w:sz w:val="20"/>
          <w:szCs w:val="20"/>
        </w:rPr>
        <w:t>, compared to $</w:t>
      </w:r>
      <w:r w:rsidR="003B6B96">
        <w:rPr>
          <w:rFonts w:ascii="Arial" w:hAnsi="Arial" w:cs="Arial"/>
          <w:sz w:val="20"/>
          <w:szCs w:val="20"/>
        </w:rPr>
        <w:t>850,655</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Company expects professional service fees to </w:t>
      </w:r>
      <w:r w:rsidR="00700B1D">
        <w:rPr>
          <w:rFonts w:ascii="Arial" w:hAnsi="Arial" w:cs="Arial"/>
          <w:sz w:val="20"/>
          <w:szCs w:val="20"/>
        </w:rPr>
        <w:t>continue to be incurred as growth events are completed such as the Sun Valley Clinics acquisition and the required Business Acquisition Report that was filed, the Company also completed the Sun Valley Health franchise audit, an annual requirement of franchising.</w:t>
      </w:r>
      <w:r w:rsidRPr="00A86E9F">
        <w:rPr>
          <w:rFonts w:ascii="Arial" w:hAnsi="Arial" w:cs="Arial"/>
          <w:sz w:val="20"/>
          <w:szCs w:val="20"/>
        </w:rPr>
        <w:t xml:space="preserve"> </w:t>
      </w:r>
    </w:p>
    <w:p w14:paraId="1F0B1830"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Depreciation expense</w:t>
      </w:r>
    </w:p>
    <w:p w14:paraId="07ABAC34" w14:textId="77777777" w:rsidR="00B150DF" w:rsidRPr="00A86E9F" w:rsidRDefault="00B150DF" w:rsidP="003F6F1A">
      <w:pPr>
        <w:spacing w:after="0"/>
        <w:jc w:val="both"/>
        <w:rPr>
          <w:rFonts w:ascii="Arial" w:hAnsi="Arial" w:cs="Arial"/>
          <w:sz w:val="20"/>
          <w:szCs w:val="20"/>
        </w:rPr>
      </w:pPr>
    </w:p>
    <w:p w14:paraId="5FF9F44C" w14:textId="70AEE0B3"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Depreciation and amortization expense was $</w:t>
      </w:r>
      <w:r w:rsidR="003B6B96">
        <w:rPr>
          <w:rFonts w:ascii="Arial" w:hAnsi="Arial" w:cs="Arial"/>
          <w:sz w:val="20"/>
          <w:szCs w:val="20"/>
        </w:rPr>
        <w:t>197,906</w:t>
      </w:r>
      <w:r w:rsidRPr="00A86E9F">
        <w:rPr>
          <w:rFonts w:ascii="Arial" w:hAnsi="Arial" w:cs="Arial"/>
          <w:sz w:val="20"/>
          <w:szCs w:val="20"/>
        </w:rPr>
        <w:t>, compared to $</w:t>
      </w:r>
      <w:r w:rsidR="003B6B96">
        <w:rPr>
          <w:rFonts w:ascii="Arial" w:hAnsi="Arial" w:cs="Arial"/>
          <w:sz w:val="20"/>
          <w:szCs w:val="20"/>
        </w:rPr>
        <w:t>43,169</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increase relates primarily to the depreciation on the right-of-use asset resulting from the adoption of IFRS 16</w:t>
      </w:r>
      <w:r w:rsidR="00AB647D">
        <w:rPr>
          <w:rFonts w:ascii="Arial" w:hAnsi="Arial" w:cs="Arial"/>
          <w:sz w:val="20"/>
          <w:szCs w:val="20"/>
        </w:rPr>
        <w:t xml:space="preserve"> effective January 1, 2019</w:t>
      </w:r>
      <w:r w:rsidRPr="00A86E9F">
        <w:rPr>
          <w:rFonts w:ascii="Arial" w:hAnsi="Arial" w:cs="Arial"/>
          <w:sz w:val="20"/>
          <w:szCs w:val="20"/>
        </w:rPr>
        <w:t>.</w:t>
      </w:r>
    </w:p>
    <w:p w14:paraId="3EFEE789" w14:textId="77777777" w:rsidR="005646CD" w:rsidRPr="00A86E9F" w:rsidRDefault="005646CD" w:rsidP="003F6F1A">
      <w:pPr>
        <w:spacing w:after="0"/>
        <w:rPr>
          <w:rFonts w:ascii="Arial" w:hAnsi="Arial" w:cs="Arial"/>
          <w:sz w:val="20"/>
          <w:szCs w:val="20"/>
        </w:rPr>
      </w:pPr>
    </w:p>
    <w:p w14:paraId="7CCC0588"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Share-based payments</w:t>
      </w:r>
    </w:p>
    <w:p w14:paraId="39FD2F03" w14:textId="77777777" w:rsidR="00B150DF" w:rsidRPr="00A86E9F" w:rsidRDefault="00B150DF" w:rsidP="003F6F1A">
      <w:pPr>
        <w:spacing w:after="0"/>
        <w:jc w:val="both"/>
        <w:rPr>
          <w:rFonts w:ascii="Arial" w:hAnsi="Arial" w:cs="Arial"/>
          <w:sz w:val="20"/>
          <w:szCs w:val="20"/>
        </w:rPr>
      </w:pPr>
    </w:p>
    <w:p w14:paraId="410162A0" w14:textId="45CD8F95"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Share-based payments expense was $</w:t>
      </w:r>
      <w:r w:rsidR="003B6B96">
        <w:rPr>
          <w:rFonts w:ascii="Arial" w:hAnsi="Arial" w:cs="Arial"/>
          <w:sz w:val="20"/>
          <w:szCs w:val="20"/>
        </w:rPr>
        <w:t>479,508</w:t>
      </w:r>
      <w:r w:rsidRPr="00A86E9F">
        <w:rPr>
          <w:rFonts w:ascii="Arial" w:hAnsi="Arial" w:cs="Arial"/>
          <w:sz w:val="20"/>
          <w:szCs w:val="20"/>
        </w:rPr>
        <w:t>, compared to $</w:t>
      </w:r>
      <w:r w:rsidR="003B6B96">
        <w:rPr>
          <w:rFonts w:ascii="Arial" w:hAnsi="Arial" w:cs="Arial"/>
          <w:sz w:val="20"/>
          <w:szCs w:val="20"/>
        </w:rPr>
        <w:t>892,417</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share-based payments expense is the fair value of share options recognized as an expense during the </w:t>
      </w:r>
      <w:r w:rsidR="00A86E9F" w:rsidRPr="00A86E9F">
        <w:rPr>
          <w:rFonts w:ascii="Arial" w:hAnsi="Arial" w:cs="Arial"/>
          <w:sz w:val="20"/>
          <w:szCs w:val="20"/>
        </w:rPr>
        <w:t>year</w:t>
      </w:r>
      <w:r w:rsidRPr="00A86E9F">
        <w:rPr>
          <w:rFonts w:ascii="Arial" w:hAnsi="Arial" w:cs="Arial"/>
          <w:sz w:val="20"/>
          <w:szCs w:val="20"/>
        </w:rPr>
        <w:t xml:space="preserve"> based on the fair valued determined by the Black Scholes option pricing model valuation.</w:t>
      </w:r>
    </w:p>
    <w:p w14:paraId="24AD3FAE" w14:textId="77777777" w:rsidR="00ED07BC" w:rsidRPr="00A86E9F" w:rsidRDefault="00ED07BC" w:rsidP="003F6F1A">
      <w:pPr>
        <w:spacing w:after="0"/>
        <w:jc w:val="both"/>
        <w:rPr>
          <w:rFonts w:ascii="Arial" w:hAnsi="Arial" w:cs="Arial"/>
          <w:sz w:val="20"/>
          <w:szCs w:val="20"/>
        </w:rPr>
      </w:pPr>
    </w:p>
    <w:p w14:paraId="78B5B46D" w14:textId="77777777" w:rsidR="005646CD" w:rsidRDefault="005646CD" w:rsidP="003F6F1A">
      <w:pPr>
        <w:spacing w:after="0"/>
        <w:jc w:val="both"/>
        <w:rPr>
          <w:rFonts w:ascii="Arial" w:hAnsi="Arial" w:cs="Arial"/>
          <w:sz w:val="20"/>
          <w:szCs w:val="20"/>
          <w:u w:val="single"/>
        </w:rPr>
      </w:pPr>
    </w:p>
    <w:p w14:paraId="1E3478CF" w14:textId="3623064E"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 xml:space="preserve">Listing </w:t>
      </w:r>
      <w:r w:rsidR="00513D8E">
        <w:rPr>
          <w:rFonts w:ascii="Arial" w:hAnsi="Arial" w:cs="Arial"/>
          <w:sz w:val="20"/>
          <w:szCs w:val="20"/>
          <w:u w:val="single"/>
        </w:rPr>
        <w:t>f</w:t>
      </w:r>
      <w:r w:rsidRPr="00A86E9F">
        <w:rPr>
          <w:rFonts w:ascii="Arial" w:hAnsi="Arial" w:cs="Arial"/>
          <w:sz w:val="20"/>
          <w:szCs w:val="20"/>
          <w:u w:val="single"/>
        </w:rPr>
        <w:t>ee</w:t>
      </w:r>
    </w:p>
    <w:p w14:paraId="5E0B529F" w14:textId="77777777" w:rsidR="00A86E9F" w:rsidRPr="00A86E9F" w:rsidRDefault="00A86E9F" w:rsidP="003F6F1A">
      <w:pPr>
        <w:spacing w:after="0"/>
        <w:jc w:val="both"/>
        <w:rPr>
          <w:rFonts w:ascii="Arial" w:hAnsi="Arial" w:cs="Arial"/>
          <w:sz w:val="20"/>
          <w:szCs w:val="20"/>
          <w:u w:val="single"/>
        </w:rPr>
      </w:pPr>
    </w:p>
    <w:p w14:paraId="736D8B27" w14:textId="0C962708"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Listing fee expense was $</w:t>
      </w:r>
      <w:r w:rsidR="003B6B96">
        <w:rPr>
          <w:rFonts w:ascii="Arial" w:hAnsi="Arial" w:cs="Arial"/>
          <w:sz w:val="20"/>
          <w:szCs w:val="20"/>
        </w:rPr>
        <w:t>nil</w:t>
      </w:r>
      <w:r w:rsidRPr="00A86E9F">
        <w:rPr>
          <w:rFonts w:ascii="Arial" w:hAnsi="Arial" w:cs="Arial"/>
          <w:sz w:val="20"/>
          <w:szCs w:val="20"/>
        </w:rPr>
        <w:t>, compared to $</w:t>
      </w:r>
      <w:r w:rsidR="004D328F" w:rsidRPr="00A801DF">
        <w:rPr>
          <w:rFonts w:ascii="Arial" w:hAnsi="Arial" w:cs="Arial"/>
          <w:sz w:val="20"/>
          <w:szCs w:val="20"/>
        </w:rPr>
        <w:t>1,143,660</w:t>
      </w:r>
      <w:r w:rsidRPr="00A86E9F">
        <w:rPr>
          <w:rFonts w:ascii="Arial" w:hAnsi="Arial" w:cs="Arial"/>
          <w:sz w:val="20"/>
          <w:szCs w:val="20"/>
        </w:rPr>
        <w:t xml:space="preserve"> during </w:t>
      </w:r>
      <w:r w:rsidR="00AB647D">
        <w:rPr>
          <w:rFonts w:ascii="Arial" w:hAnsi="Arial" w:cs="Arial"/>
          <w:sz w:val="20"/>
          <w:szCs w:val="20"/>
        </w:rPr>
        <w:t>YTD</w:t>
      </w:r>
      <w:r w:rsidRPr="00A86E9F">
        <w:rPr>
          <w:rFonts w:ascii="Arial" w:hAnsi="Arial" w:cs="Arial"/>
          <w:sz w:val="20"/>
          <w:szCs w:val="20"/>
        </w:rPr>
        <w:t xml:space="preserve"> 2018, in connection with the Company’s acquisition with </w:t>
      </w:r>
      <w:proofErr w:type="spellStart"/>
      <w:r w:rsidRPr="00A86E9F">
        <w:rPr>
          <w:rFonts w:ascii="Arial" w:hAnsi="Arial" w:cs="Arial"/>
          <w:sz w:val="20"/>
          <w:szCs w:val="20"/>
        </w:rPr>
        <w:t>Adira</w:t>
      </w:r>
      <w:proofErr w:type="spellEnd"/>
      <w:r w:rsidRPr="00A86E9F">
        <w:rPr>
          <w:rFonts w:ascii="Arial" w:hAnsi="Arial" w:cs="Arial"/>
          <w:sz w:val="20"/>
          <w:szCs w:val="20"/>
        </w:rPr>
        <w:t xml:space="preserve"> Energy Ltd., which did not result in any charges during </w:t>
      </w:r>
      <w:r w:rsidR="00AB647D">
        <w:rPr>
          <w:rFonts w:ascii="Arial" w:hAnsi="Arial" w:cs="Arial"/>
          <w:sz w:val="20"/>
          <w:szCs w:val="20"/>
        </w:rPr>
        <w:t>YTD 2019</w:t>
      </w:r>
      <w:r w:rsidRPr="00A86E9F">
        <w:rPr>
          <w:rFonts w:ascii="Arial" w:hAnsi="Arial" w:cs="Arial"/>
          <w:sz w:val="20"/>
          <w:szCs w:val="20"/>
        </w:rPr>
        <w:t>.</w:t>
      </w:r>
    </w:p>
    <w:p w14:paraId="03F2EF4B" w14:textId="77777777" w:rsidR="00962EE1" w:rsidRPr="00A86E9F" w:rsidRDefault="00962EE1" w:rsidP="003F6F1A">
      <w:pPr>
        <w:spacing w:after="0"/>
        <w:jc w:val="both"/>
        <w:rPr>
          <w:rFonts w:ascii="Arial" w:hAnsi="Arial" w:cs="Arial"/>
          <w:sz w:val="20"/>
          <w:szCs w:val="20"/>
        </w:rPr>
      </w:pPr>
    </w:p>
    <w:p w14:paraId="73C41C53"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Accretion expense</w:t>
      </w:r>
    </w:p>
    <w:p w14:paraId="457F8667" w14:textId="77777777" w:rsidR="00B150DF" w:rsidRPr="00A86E9F" w:rsidRDefault="00B150DF" w:rsidP="003F6F1A">
      <w:pPr>
        <w:spacing w:after="0"/>
        <w:jc w:val="both"/>
        <w:rPr>
          <w:rFonts w:ascii="Arial" w:hAnsi="Arial" w:cs="Arial"/>
          <w:sz w:val="20"/>
          <w:szCs w:val="20"/>
        </w:rPr>
      </w:pPr>
    </w:p>
    <w:p w14:paraId="0A2E8402" w14:textId="3017916F" w:rsidR="003B6B96" w:rsidRPr="00B150DF" w:rsidRDefault="00B150DF" w:rsidP="003B6B96">
      <w:pPr>
        <w:spacing w:after="0"/>
        <w:jc w:val="both"/>
        <w:rPr>
          <w:rFonts w:ascii="Arial" w:hAnsi="Arial" w:cs="Arial"/>
          <w:sz w:val="20"/>
          <w:szCs w:val="20"/>
        </w:rPr>
      </w:pPr>
      <w:r w:rsidRPr="00A86E9F">
        <w:rPr>
          <w:rFonts w:ascii="Arial" w:hAnsi="Arial" w:cs="Arial"/>
          <w:sz w:val="20"/>
          <w:szCs w:val="20"/>
        </w:rPr>
        <w:t>Accretion expense was $</w:t>
      </w:r>
      <w:r w:rsidR="003B6B96">
        <w:rPr>
          <w:rFonts w:ascii="Arial" w:hAnsi="Arial" w:cs="Arial"/>
          <w:sz w:val="20"/>
          <w:szCs w:val="20"/>
        </w:rPr>
        <w:t>207,031</w:t>
      </w:r>
      <w:r w:rsidR="000A24FE">
        <w:rPr>
          <w:rFonts w:ascii="Arial" w:hAnsi="Arial" w:cs="Arial"/>
          <w:sz w:val="20"/>
          <w:szCs w:val="20"/>
        </w:rPr>
        <w:t>,</w:t>
      </w:r>
      <w:r w:rsidRPr="00A86E9F">
        <w:rPr>
          <w:rFonts w:ascii="Arial" w:hAnsi="Arial" w:cs="Arial"/>
          <w:sz w:val="20"/>
          <w:szCs w:val="20"/>
        </w:rPr>
        <w:t xml:space="preserve"> compared to $</w:t>
      </w:r>
      <w:r w:rsidR="004D328F" w:rsidRPr="00A801DF">
        <w:rPr>
          <w:rFonts w:ascii="Arial" w:hAnsi="Arial" w:cs="Arial"/>
          <w:sz w:val="20"/>
          <w:szCs w:val="20"/>
        </w:rPr>
        <w:t>214,680</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in connection with the Company’s convertible </w:t>
      </w:r>
      <w:r w:rsidR="000A24FE">
        <w:rPr>
          <w:rFonts w:ascii="Arial" w:hAnsi="Arial" w:cs="Arial"/>
          <w:sz w:val="20"/>
          <w:szCs w:val="20"/>
        </w:rPr>
        <w:t>debentures</w:t>
      </w:r>
      <w:r w:rsidRPr="00A86E9F">
        <w:rPr>
          <w:rFonts w:ascii="Arial" w:hAnsi="Arial" w:cs="Arial"/>
          <w:sz w:val="20"/>
          <w:szCs w:val="20"/>
        </w:rPr>
        <w:t xml:space="preserve">. The decrease is due to </w:t>
      </w:r>
      <w:r w:rsidR="00A86E9F" w:rsidRPr="00A86E9F">
        <w:rPr>
          <w:rFonts w:ascii="Arial" w:hAnsi="Arial" w:cs="Arial"/>
          <w:sz w:val="20"/>
          <w:szCs w:val="20"/>
        </w:rPr>
        <w:t>conversion</w:t>
      </w:r>
      <w:r w:rsidRPr="00A86E9F">
        <w:rPr>
          <w:rFonts w:ascii="Arial" w:hAnsi="Arial" w:cs="Arial"/>
          <w:sz w:val="20"/>
          <w:szCs w:val="20"/>
        </w:rPr>
        <w:t xml:space="preserve"> of convertible debentures during April </w:t>
      </w:r>
      <w:r w:rsidR="00A86E9F" w:rsidRPr="00A86E9F">
        <w:rPr>
          <w:rFonts w:ascii="Arial" w:hAnsi="Arial" w:cs="Arial"/>
          <w:sz w:val="20"/>
          <w:szCs w:val="20"/>
        </w:rPr>
        <w:t xml:space="preserve">2018 in connection with the Company’s acquisition of </w:t>
      </w:r>
      <w:proofErr w:type="spellStart"/>
      <w:r w:rsidR="00A86E9F" w:rsidRPr="00A86E9F">
        <w:rPr>
          <w:rFonts w:ascii="Arial" w:hAnsi="Arial" w:cs="Arial"/>
          <w:sz w:val="20"/>
          <w:szCs w:val="20"/>
        </w:rPr>
        <w:t>Adira</w:t>
      </w:r>
      <w:proofErr w:type="spellEnd"/>
      <w:r w:rsidR="00A86E9F" w:rsidRPr="00A86E9F">
        <w:rPr>
          <w:rFonts w:ascii="Arial" w:hAnsi="Arial" w:cs="Arial"/>
          <w:sz w:val="20"/>
          <w:szCs w:val="20"/>
        </w:rPr>
        <w:t xml:space="preserve"> Energy Ltd.</w:t>
      </w:r>
      <w:r w:rsidRPr="00A86E9F">
        <w:rPr>
          <w:rFonts w:ascii="Arial" w:hAnsi="Arial" w:cs="Arial"/>
          <w:sz w:val="20"/>
          <w:szCs w:val="20"/>
        </w:rPr>
        <w:t xml:space="preserve">, thereby leading to </w:t>
      </w:r>
      <w:r w:rsidR="00A86E9F" w:rsidRPr="00A86E9F">
        <w:rPr>
          <w:rFonts w:ascii="Arial" w:hAnsi="Arial" w:cs="Arial"/>
          <w:sz w:val="20"/>
          <w:szCs w:val="20"/>
        </w:rPr>
        <w:t>lower</w:t>
      </w:r>
      <w:r w:rsidRPr="00A86E9F">
        <w:rPr>
          <w:rFonts w:ascii="Arial" w:hAnsi="Arial" w:cs="Arial"/>
          <w:sz w:val="20"/>
          <w:szCs w:val="20"/>
        </w:rPr>
        <w:t xml:space="preserve"> accretion in </w:t>
      </w:r>
      <w:r w:rsidR="00A86E9F" w:rsidRPr="00A86E9F">
        <w:rPr>
          <w:rFonts w:ascii="Arial" w:hAnsi="Arial" w:cs="Arial"/>
          <w:sz w:val="20"/>
          <w:szCs w:val="20"/>
        </w:rPr>
        <w:t>YTD</w:t>
      </w:r>
      <w:r w:rsidRPr="00A86E9F">
        <w:rPr>
          <w:rFonts w:ascii="Arial" w:hAnsi="Arial" w:cs="Arial"/>
          <w:sz w:val="20"/>
          <w:szCs w:val="20"/>
        </w:rPr>
        <w:t xml:space="preserve"> 2019.</w:t>
      </w:r>
      <w:r w:rsidR="003B6B96">
        <w:rPr>
          <w:rFonts w:ascii="Arial" w:hAnsi="Arial" w:cs="Arial"/>
          <w:sz w:val="20"/>
          <w:szCs w:val="20"/>
        </w:rPr>
        <w:t xml:space="preserve"> This decrease was partially offset by </w:t>
      </w:r>
      <w:r w:rsidR="003B6B96" w:rsidRPr="00B150DF">
        <w:rPr>
          <w:rFonts w:ascii="Arial" w:hAnsi="Arial" w:cs="Arial"/>
          <w:sz w:val="20"/>
          <w:szCs w:val="20"/>
        </w:rPr>
        <w:t>the issuance of convertible debentures during April and May 2019, thereby leading to higher accretion in Q</w:t>
      </w:r>
      <w:r w:rsidR="003B6B96">
        <w:rPr>
          <w:rFonts w:ascii="Arial" w:hAnsi="Arial" w:cs="Arial"/>
          <w:sz w:val="20"/>
          <w:szCs w:val="20"/>
        </w:rPr>
        <w:t>3</w:t>
      </w:r>
      <w:r w:rsidR="003B6B96" w:rsidRPr="00B150DF">
        <w:rPr>
          <w:rFonts w:ascii="Arial" w:hAnsi="Arial" w:cs="Arial"/>
          <w:sz w:val="20"/>
          <w:szCs w:val="20"/>
        </w:rPr>
        <w:t xml:space="preserve"> 2019.</w:t>
      </w:r>
    </w:p>
    <w:p w14:paraId="55C90D19" w14:textId="77777777" w:rsidR="00B150DF" w:rsidRPr="00A86E9F" w:rsidRDefault="00B150DF" w:rsidP="003F6F1A">
      <w:pPr>
        <w:spacing w:after="0"/>
        <w:jc w:val="both"/>
        <w:rPr>
          <w:rFonts w:ascii="Arial" w:hAnsi="Arial" w:cs="Arial"/>
          <w:sz w:val="20"/>
          <w:szCs w:val="20"/>
        </w:rPr>
      </w:pPr>
    </w:p>
    <w:p w14:paraId="1D0869C0"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Interest income</w:t>
      </w:r>
    </w:p>
    <w:p w14:paraId="66CDB347" w14:textId="77777777" w:rsidR="00B150DF" w:rsidRPr="00EC5212" w:rsidRDefault="00B150DF" w:rsidP="003F6F1A">
      <w:pPr>
        <w:spacing w:after="0"/>
        <w:jc w:val="both"/>
        <w:rPr>
          <w:rFonts w:ascii="Arial" w:hAnsi="Arial" w:cs="Arial"/>
          <w:sz w:val="20"/>
          <w:szCs w:val="20"/>
        </w:rPr>
      </w:pPr>
    </w:p>
    <w:p w14:paraId="7C63A466" w14:textId="2D033F7A" w:rsidR="00B150DF" w:rsidRPr="00EC5212" w:rsidRDefault="00B150DF" w:rsidP="003F6F1A">
      <w:pPr>
        <w:spacing w:after="0"/>
        <w:jc w:val="both"/>
        <w:rPr>
          <w:rFonts w:ascii="Arial" w:hAnsi="Arial" w:cs="Arial"/>
          <w:sz w:val="20"/>
          <w:szCs w:val="20"/>
        </w:rPr>
      </w:pPr>
      <w:r w:rsidRPr="00EC5212">
        <w:rPr>
          <w:rFonts w:ascii="Arial" w:hAnsi="Arial" w:cs="Arial"/>
          <w:sz w:val="20"/>
          <w:szCs w:val="20"/>
        </w:rPr>
        <w:t>Interest income increased to $</w:t>
      </w:r>
      <w:r w:rsidR="003B6B96">
        <w:rPr>
          <w:rFonts w:ascii="Arial" w:hAnsi="Arial" w:cs="Arial"/>
          <w:sz w:val="20"/>
          <w:szCs w:val="20"/>
        </w:rPr>
        <w:t>4,771</w:t>
      </w:r>
      <w:r w:rsidRPr="00EC5212">
        <w:rPr>
          <w:rFonts w:ascii="Arial" w:hAnsi="Arial" w:cs="Arial"/>
          <w:sz w:val="20"/>
          <w:szCs w:val="20"/>
        </w:rPr>
        <w:t>, compared to $</w:t>
      </w:r>
      <w:r w:rsidR="004D328F">
        <w:rPr>
          <w:rFonts w:ascii="Arial" w:hAnsi="Arial" w:cs="Arial"/>
          <w:sz w:val="20"/>
          <w:szCs w:val="20"/>
        </w:rPr>
        <w:t>nil</w:t>
      </w:r>
      <w:r w:rsidRPr="00EC5212">
        <w:rPr>
          <w:rFonts w:ascii="Arial" w:hAnsi="Arial" w:cs="Arial"/>
          <w:sz w:val="20"/>
          <w:szCs w:val="20"/>
        </w:rPr>
        <w:t xml:space="preserve"> during </w:t>
      </w:r>
      <w:r w:rsidR="00A86E9F" w:rsidRPr="00EC5212">
        <w:rPr>
          <w:rFonts w:ascii="Arial" w:hAnsi="Arial" w:cs="Arial"/>
          <w:sz w:val="20"/>
          <w:szCs w:val="20"/>
        </w:rPr>
        <w:t>YTD</w:t>
      </w:r>
      <w:r w:rsidRPr="00EC5212">
        <w:rPr>
          <w:rFonts w:ascii="Arial" w:hAnsi="Arial" w:cs="Arial"/>
          <w:sz w:val="20"/>
          <w:szCs w:val="20"/>
        </w:rPr>
        <w:t xml:space="preserve"> 2018, owing to the increase in cash.</w:t>
      </w:r>
    </w:p>
    <w:p w14:paraId="15188C4C" w14:textId="77777777" w:rsidR="004E17E1" w:rsidRDefault="004E17E1" w:rsidP="003F6F1A">
      <w:pPr>
        <w:spacing w:after="0"/>
        <w:jc w:val="both"/>
        <w:rPr>
          <w:rFonts w:ascii="Arial" w:hAnsi="Arial" w:cs="Arial"/>
          <w:sz w:val="20"/>
          <w:szCs w:val="20"/>
        </w:rPr>
      </w:pPr>
    </w:p>
    <w:p w14:paraId="69CAF9E7" w14:textId="77777777" w:rsidR="00B150DF" w:rsidRPr="00EC5212" w:rsidRDefault="00B150DF" w:rsidP="003F6F1A">
      <w:pPr>
        <w:spacing w:after="0"/>
        <w:jc w:val="both"/>
        <w:rPr>
          <w:rFonts w:ascii="Arial" w:hAnsi="Arial" w:cs="Arial"/>
          <w:sz w:val="20"/>
          <w:szCs w:val="20"/>
          <w:u w:val="single"/>
        </w:rPr>
      </w:pPr>
      <w:r w:rsidRPr="00EC5212">
        <w:rPr>
          <w:rFonts w:ascii="Arial" w:hAnsi="Arial" w:cs="Arial"/>
          <w:sz w:val="20"/>
          <w:szCs w:val="20"/>
          <w:u w:val="single"/>
        </w:rPr>
        <w:t>Interest expense</w:t>
      </w:r>
    </w:p>
    <w:p w14:paraId="2AE1F8E6" w14:textId="77777777" w:rsidR="00B150DF" w:rsidRPr="00EC5212" w:rsidRDefault="00B150DF" w:rsidP="003F6F1A">
      <w:pPr>
        <w:spacing w:after="0"/>
        <w:jc w:val="both"/>
        <w:rPr>
          <w:rFonts w:ascii="Arial" w:hAnsi="Arial" w:cs="Arial"/>
          <w:sz w:val="20"/>
          <w:szCs w:val="20"/>
        </w:rPr>
      </w:pPr>
    </w:p>
    <w:p w14:paraId="3A164B33" w14:textId="23FD8863" w:rsidR="00B150DF" w:rsidRPr="00EC5212" w:rsidRDefault="00B150DF" w:rsidP="003B6B96">
      <w:pPr>
        <w:spacing w:after="0"/>
        <w:jc w:val="both"/>
        <w:rPr>
          <w:rFonts w:ascii="Arial" w:hAnsi="Arial" w:cs="Arial"/>
          <w:sz w:val="20"/>
          <w:szCs w:val="20"/>
        </w:rPr>
      </w:pPr>
      <w:r w:rsidRPr="00EC5212">
        <w:rPr>
          <w:rFonts w:ascii="Arial" w:hAnsi="Arial" w:cs="Arial"/>
          <w:sz w:val="20"/>
          <w:szCs w:val="20"/>
        </w:rPr>
        <w:t xml:space="preserve">Interest expense </w:t>
      </w:r>
      <w:r w:rsidR="003B6B96">
        <w:rPr>
          <w:rFonts w:ascii="Arial" w:hAnsi="Arial" w:cs="Arial"/>
          <w:sz w:val="20"/>
          <w:szCs w:val="20"/>
        </w:rPr>
        <w:t>in</w:t>
      </w:r>
      <w:r w:rsidRPr="00EC5212">
        <w:rPr>
          <w:rFonts w:ascii="Arial" w:hAnsi="Arial" w:cs="Arial"/>
          <w:sz w:val="20"/>
          <w:szCs w:val="20"/>
        </w:rPr>
        <w:t>creased to $</w:t>
      </w:r>
      <w:r w:rsidR="003B6B96">
        <w:rPr>
          <w:rFonts w:ascii="Arial" w:hAnsi="Arial" w:cs="Arial"/>
          <w:sz w:val="20"/>
          <w:szCs w:val="20"/>
        </w:rPr>
        <w:t>129,089</w:t>
      </w:r>
      <w:r w:rsidRPr="00EC5212">
        <w:rPr>
          <w:rFonts w:ascii="Arial" w:hAnsi="Arial" w:cs="Arial"/>
          <w:sz w:val="20"/>
          <w:szCs w:val="20"/>
        </w:rPr>
        <w:t>, compared to $</w:t>
      </w:r>
      <w:r w:rsidR="004D328F" w:rsidRPr="00A801DF">
        <w:rPr>
          <w:rFonts w:ascii="Arial" w:hAnsi="Arial" w:cs="Arial"/>
          <w:sz w:val="20"/>
          <w:szCs w:val="20"/>
        </w:rPr>
        <w:t>86,803</w:t>
      </w:r>
      <w:r w:rsidRPr="00EC5212">
        <w:rPr>
          <w:rFonts w:ascii="Arial" w:hAnsi="Arial" w:cs="Arial"/>
          <w:sz w:val="20"/>
          <w:szCs w:val="20"/>
        </w:rPr>
        <w:t xml:space="preserve"> during Q</w:t>
      </w:r>
      <w:r w:rsidR="00193B1B">
        <w:rPr>
          <w:rFonts w:ascii="Arial" w:hAnsi="Arial" w:cs="Arial"/>
          <w:sz w:val="20"/>
          <w:szCs w:val="20"/>
        </w:rPr>
        <w:t>3</w:t>
      </w:r>
      <w:r w:rsidRPr="00EC5212">
        <w:rPr>
          <w:rFonts w:ascii="Arial" w:hAnsi="Arial" w:cs="Arial"/>
          <w:sz w:val="20"/>
          <w:szCs w:val="20"/>
        </w:rPr>
        <w:t xml:space="preserve"> 2018, owing </w:t>
      </w:r>
      <w:r w:rsidR="00EC5212" w:rsidRPr="00EC5212">
        <w:rPr>
          <w:rFonts w:ascii="Arial" w:hAnsi="Arial" w:cs="Arial"/>
          <w:sz w:val="20"/>
          <w:szCs w:val="20"/>
        </w:rPr>
        <w:t xml:space="preserve">to the </w:t>
      </w:r>
      <w:r w:rsidR="003B6B96" w:rsidRPr="00B150DF">
        <w:rPr>
          <w:rFonts w:ascii="Arial" w:hAnsi="Arial" w:cs="Arial"/>
          <w:sz w:val="20"/>
          <w:szCs w:val="20"/>
        </w:rPr>
        <w:t>issuance of convertible debentures during April and May 2019</w:t>
      </w:r>
      <w:r w:rsidR="003B6B96">
        <w:rPr>
          <w:rFonts w:ascii="Arial" w:hAnsi="Arial" w:cs="Arial"/>
          <w:sz w:val="20"/>
          <w:szCs w:val="20"/>
        </w:rPr>
        <w:t xml:space="preserve"> and </w:t>
      </w:r>
      <w:r w:rsidRPr="00EC5212">
        <w:rPr>
          <w:rFonts w:ascii="Arial" w:hAnsi="Arial" w:cs="Arial"/>
          <w:sz w:val="20"/>
          <w:szCs w:val="20"/>
        </w:rPr>
        <w:t>increase</w:t>
      </w:r>
      <w:r w:rsidR="00EC5212" w:rsidRPr="00EC5212">
        <w:rPr>
          <w:rFonts w:ascii="Arial" w:hAnsi="Arial" w:cs="Arial"/>
          <w:sz w:val="20"/>
          <w:szCs w:val="20"/>
        </w:rPr>
        <w:t>d</w:t>
      </w:r>
      <w:r w:rsidRPr="00EC5212">
        <w:rPr>
          <w:rFonts w:ascii="Arial" w:hAnsi="Arial" w:cs="Arial"/>
          <w:sz w:val="20"/>
          <w:szCs w:val="20"/>
        </w:rPr>
        <w:t xml:space="preserve"> interest expense on the lease liability resulting from the adoption of IFRS 16</w:t>
      </w:r>
      <w:r w:rsidR="00AB647D">
        <w:rPr>
          <w:rFonts w:ascii="Arial" w:hAnsi="Arial" w:cs="Arial"/>
          <w:sz w:val="20"/>
          <w:szCs w:val="20"/>
        </w:rPr>
        <w:t xml:space="preserve"> effective January 1, 2019</w:t>
      </w:r>
      <w:r w:rsidRPr="00EC5212">
        <w:rPr>
          <w:rFonts w:ascii="Arial" w:hAnsi="Arial" w:cs="Arial"/>
          <w:sz w:val="20"/>
          <w:szCs w:val="20"/>
        </w:rPr>
        <w:t>.</w:t>
      </w:r>
      <w:r w:rsidR="003B6B96">
        <w:rPr>
          <w:rFonts w:ascii="Arial" w:hAnsi="Arial" w:cs="Arial"/>
          <w:sz w:val="20"/>
          <w:szCs w:val="20"/>
        </w:rPr>
        <w:t xml:space="preserve"> </w:t>
      </w:r>
    </w:p>
    <w:p w14:paraId="044FAD7C" w14:textId="77777777" w:rsidR="00B150DF" w:rsidRDefault="00B150DF" w:rsidP="003F6F1A">
      <w:pPr>
        <w:spacing w:after="0"/>
        <w:jc w:val="both"/>
        <w:rPr>
          <w:rFonts w:ascii="Arial" w:hAnsi="Arial" w:cs="Arial"/>
          <w:sz w:val="20"/>
          <w:szCs w:val="20"/>
          <w:highlight w:val="yellow"/>
        </w:rPr>
      </w:pPr>
    </w:p>
    <w:p w14:paraId="7FBF2C3C" w14:textId="77777777" w:rsidR="00BD1255" w:rsidRPr="00BD1255" w:rsidRDefault="00BD1255" w:rsidP="003F6F1A">
      <w:pPr>
        <w:spacing w:after="0"/>
        <w:jc w:val="both"/>
        <w:rPr>
          <w:rFonts w:ascii="Arial" w:hAnsi="Arial" w:cs="Arial"/>
          <w:sz w:val="20"/>
          <w:szCs w:val="20"/>
          <w:u w:val="single"/>
        </w:rPr>
      </w:pPr>
      <w:r w:rsidRPr="00BD1255">
        <w:rPr>
          <w:rFonts w:ascii="Arial" w:hAnsi="Arial" w:cs="Arial"/>
          <w:sz w:val="20"/>
          <w:szCs w:val="20"/>
          <w:u w:val="single"/>
        </w:rPr>
        <w:t>Loss on disposal of property and equipment</w:t>
      </w:r>
    </w:p>
    <w:p w14:paraId="6410F0DB" w14:textId="77777777" w:rsidR="00BD1255" w:rsidRDefault="00BD1255" w:rsidP="003F6F1A">
      <w:pPr>
        <w:spacing w:after="0"/>
        <w:jc w:val="both"/>
        <w:rPr>
          <w:rFonts w:ascii="Arial" w:hAnsi="Arial" w:cs="Arial"/>
          <w:sz w:val="20"/>
          <w:szCs w:val="20"/>
        </w:rPr>
      </w:pPr>
    </w:p>
    <w:p w14:paraId="78F4F385" w14:textId="7F48D05D" w:rsidR="00BD1255" w:rsidRPr="00B150DF" w:rsidRDefault="00BD1255" w:rsidP="003F6F1A">
      <w:pPr>
        <w:spacing w:after="0"/>
        <w:jc w:val="both"/>
        <w:rPr>
          <w:rFonts w:ascii="Arial" w:hAnsi="Arial" w:cs="Arial"/>
          <w:sz w:val="20"/>
          <w:szCs w:val="20"/>
        </w:rPr>
      </w:pPr>
      <w:r>
        <w:rPr>
          <w:rFonts w:ascii="Arial" w:hAnsi="Arial" w:cs="Arial"/>
          <w:sz w:val="20"/>
          <w:szCs w:val="20"/>
        </w:rPr>
        <w:t xml:space="preserve">The Company recorded a loss </w:t>
      </w:r>
      <w:r w:rsidR="00AB647D">
        <w:rPr>
          <w:rFonts w:ascii="Arial" w:hAnsi="Arial" w:cs="Arial"/>
          <w:sz w:val="20"/>
          <w:szCs w:val="20"/>
        </w:rPr>
        <w:t xml:space="preserve">of </w:t>
      </w:r>
      <w:r w:rsidR="00D547E2">
        <w:rPr>
          <w:rFonts w:ascii="Arial" w:hAnsi="Arial" w:cs="Arial"/>
          <w:sz w:val="20"/>
          <w:szCs w:val="20"/>
        </w:rPr>
        <w:t>$114,516</w:t>
      </w:r>
      <w:r w:rsidR="00F21869" w:rsidRPr="00B150DF">
        <w:rPr>
          <w:rFonts w:ascii="Arial" w:hAnsi="Arial" w:cs="Arial"/>
          <w:sz w:val="20"/>
          <w:szCs w:val="20"/>
        </w:rPr>
        <w:t>, compared to $</w:t>
      </w:r>
      <w:r w:rsidR="004D328F">
        <w:rPr>
          <w:rFonts w:ascii="Arial" w:hAnsi="Arial" w:cs="Arial"/>
          <w:sz w:val="20"/>
          <w:szCs w:val="20"/>
        </w:rPr>
        <w:t>nil</w:t>
      </w:r>
      <w:r w:rsidR="00F21869" w:rsidRPr="00B150DF">
        <w:rPr>
          <w:rFonts w:ascii="Arial" w:hAnsi="Arial" w:cs="Arial"/>
          <w:sz w:val="20"/>
          <w:szCs w:val="20"/>
        </w:rPr>
        <w:t xml:space="preserve"> during </w:t>
      </w:r>
      <w:r w:rsidR="00F21869">
        <w:rPr>
          <w:rFonts w:ascii="Arial" w:hAnsi="Arial" w:cs="Arial"/>
          <w:sz w:val="20"/>
          <w:szCs w:val="20"/>
        </w:rPr>
        <w:t>YTD</w:t>
      </w:r>
      <w:r w:rsidR="00F21869" w:rsidRPr="00B150DF">
        <w:rPr>
          <w:rFonts w:ascii="Arial" w:hAnsi="Arial" w:cs="Arial"/>
          <w:sz w:val="20"/>
          <w:szCs w:val="20"/>
        </w:rPr>
        <w:t xml:space="preserve"> 2018</w:t>
      </w:r>
      <w:r w:rsidR="00F21869">
        <w:rPr>
          <w:rFonts w:ascii="Arial" w:hAnsi="Arial" w:cs="Arial"/>
          <w:sz w:val="20"/>
          <w:szCs w:val="20"/>
        </w:rPr>
        <w:t xml:space="preserve">, </w:t>
      </w:r>
      <w:r w:rsidR="00AB647D">
        <w:rPr>
          <w:rFonts w:ascii="Arial" w:hAnsi="Arial" w:cs="Arial"/>
          <w:sz w:val="20"/>
          <w:szCs w:val="20"/>
        </w:rPr>
        <w:t xml:space="preserve">related to </w:t>
      </w:r>
      <w:r>
        <w:rPr>
          <w:rFonts w:ascii="Arial" w:hAnsi="Arial" w:cs="Arial"/>
          <w:sz w:val="20"/>
          <w:szCs w:val="20"/>
        </w:rPr>
        <w:t>leasehold improvements for the Chicago clinic when the lease was terminated in May 2019.</w:t>
      </w:r>
    </w:p>
    <w:p w14:paraId="682F4015" w14:textId="77777777" w:rsidR="00BD1255" w:rsidRPr="00B150DF" w:rsidRDefault="00BD1255" w:rsidP="003F6F1A">
      <w:pPr>
        <w:spacing w:after="0"/>
        <w:jc w:val="both"/>
        <w:rPr>
          <w:rFonts w:ascii="Arial" w:hAnsi="Arial" w:cs="Arial"/>
          <w:sz w:val="20"/>
          <w:szCs w:val="20"/>
          <w:highlight w:val="yellow"/>
        </w:rPr>
      </w:pPr>
    </w:p>
    <w:p w14:paraId="77BA4EC0" w14:textId="77777777" w:rsidR="00B150DF" w:rsidRPr="00EC5212" w:rsidRDefault="00B150DF" w:rsidP="003F6F1A">
      <w:pPr>
        <w:spacing w:after="0"/>
        <w:jc w:val="both"/>
        <w:rPr>
          <w:rFonts w:ascii="Arial" w:hAnsi="Arial" w:cs="Arial"/>
          <w:sz w:val="20"/>
          <w:szCs w:val="20"/>
        </w:rPr>
      </w:pPr>
      <w:r w:rsidRPr="00EC5212">
        <w:rPr>
          <w:rFonts w:ascii="Arial" w:hAnsi="Arial" w:cs="Arial"/>
          <w:sz w:val="20"/>
          <w:szCs w:val="20"/>
          <w:u w:val="single"/>
        </w:rPr>
        <w:t>Gain on change in fair value of warrant liability</w:t>
      </w:r>
    </w:p>
    <w:p w14:paraId="416C15E2" w14:textId="77777777" w:rsidR="00B150DF" w:rsidRPr="00EC5212" w:rsidRDefault="00B150DF" w:rsidP="003F6F1A">
      <w:pPr>
        <w:spacing w:after="0"/>
        <w:jc w:val="both"/>
        <w:rPr>
          <w:rFonts w:ascii="Arial" w:hAnsi="Arial" w:cs="Arial"/>
          <w:sz w:val="20"/>
          <w:szCs w:val="20"/>
          <w:u w:val="single"/>
        </w:rPr>
      </w:pPr>
    </w:p>
    <w:p w14:paraId="6A905BEF" w14:textId="1FB4D7DD" w:rsidR="00B150DF" w:rsidRPr="00EC5212" w:rsidRDefault="00B150DF" w:rsidP="003F6F1A">
      <w:pPr>
        <w:spacing w:after="0"/>
        <w:jc w:val="both"/>
        <w:rPr>
          <w:rFonts w:ascii="Arial" w:hAnsi="Arial" w:cs="Arial"/>
          <w:sz w:val="20"/>
          <w:szCs w:val="20"/>
        </w:rPr>
      </w:pPr>
      <w:r w:rsidRPr="00EC5212">
        <w:rPr>
          <w:rFonts w:ascii="Arial" w:hAnsi="Arial" w:cs="Arial"/>
          <w:sz w:val="20"/>
          <w:szCs w:val="20"/>
        </w:rPr>
        <w:t xml:space="preserve">The Company recorded a gain on the change in the fair value of the warrant liability of </w:t>
      </w:r>
      <w:r w:rsidR="00D547E2">
        <w:rPr>
          <w:rFonts w:ascii="Arial" w:hAnsi="Arial" w:cs="Arial"/>
          <w:sz w:val="20"/>
          <w:szCs w:val="20"/>
        </w:rPr>
        <w:t>$673</w:t>
      </w:r>
      <w:r w:rsidRPr="00EC5212">
        <w:rPr>
          <w:rFonts w:ascii="Arial" w:hAnsi="Arial" w:cs="Arial"/>
          <w:sz w:val="20"/>
          <w:szCs w:val="20"/>
        </w:rPr>
        <w:t>,</w:t>
      </w:r>
      <w:r w:rsidR="00D547E2">
        <w:rPr>
          <w:rFonts w:ascii="Arial" w:hAnsi="Arial" w:cs="Arial"/>
          <w:sz w:val="20"/>
          <w:szCs w:val="20"/>
        </w:rPr>
        <w:t>289</w:t>
      </w:r>
      <w:r w:rsidRPr="00EC5212">
        <w:rPr>
          <w:rFonts w:ascii="Arial" w:hAnsi="Arial" w:cs="Arial"/>
          <w:sz w:val="20"/>
          <w:szCs w:val="20"/>
        </w:rPr>
        <w:t xml:space="preserve"> compared to $</w:t>
      </w:r>
      <w:r w:rsidR="004D328F">
        <w:rPr>
          <w:rFonts w:ascii="Arial" w:hAnsi="Arial" w:cs="Arial"/>
          <w:sz w:val="20"/>
          <w:szCs w:val="20"/>
        </w:rPr>
        <w:t>nil</w:t>
      </w:r>
      <w:r w:rsidRPr="00EC5212">
        <w:rPr>
          <w:rFonts w:ascii="Arial" w:hAnsi="Arial" w:cs="Arial"/>
          <w:sz w:val="20"/>
          <w:szCs w:val="20"/>
        </w:rPr>
        <w:t xml:space="preserve"> during </w:t>
      </w:r>
      <w:r w:rsidR="00EC5212" w:rsidRPr="00EC5212">
        <w:rPr>
          <w:rFonts w:ascii="Arial" w:hAnsi="Arial" w:cs="Arial"/>
          <w:sz w:val="20"/>
          <w:szCs w:val="20"/>
        </w:rPr>
        <w:t>YTD</w:t>
      </w:r>
      <w:r w:rsidRPr="00EC5212">
        <w:rPr>
          <w:rFonts w:ascii="Arial" w:hAnsi="Arial" w:cs="Arial"/>
          <w:sz w:val="20"/>
          <w:szCs w:val="20"/>
        </w:rPr>
        <w:t xml:space="preserve"> 2018. The share purchase warrants are required to be revalued at every quarter end and the gain resulted from the decrease in the Company’s share price during </w:t>
      </w:r>
      <w:r w:rsidR="00EC5212" w:rsidRPr="00EC5212">
        <w:rPr>
          <w:rFonts w:ascii="Arial" w:hAnsi="Arial" w:cs="Arial"/>
          <w:sz w:val="20"/>
          <w:szCs w:val="20"/>
        </w:rPr>
        <w:t>YTD</w:t>
      </w:r>
      <w:r w:rsidRPr="00EC5212">
        <w:rPr>
          <w:rFonts w:ascii="Arial" w:hAnsi="Arial" w:cs="Arial"/>
          <w:sz w:val="20"/>
          <w:szCs w:val="20"/>
        </w:rPr>
        <w:t xml:space="preserve"> 2019, which is a variable in determining the fair value of the warrant liability per the Black-Scholes valuation model.</w:t>
      </w:r>
    </w:p>
    <w:p w14:paraId="3F23E20D" w14:textId="77777777" w:rsidR="00B150DF" w:rsidRPr="00EC5212" w:rsidRDefault="00B150DF" w:rsidP="003F6F1A">
      <w:pPr>
        <w:spacing w:after="0"/>
        <w:jc w:val="both"/>
        <w:rPr>
          <w:rFonts w:ascii="Arial" w:hAnsi="Arial" w:cs="Arial"/>
          <w:sz w:val="20"/>
          <w:szCs w:val="20"/>
          <w:u w:val="single"/>
        </w:rPr>
      </w:pPr>
    </w:p>
    <w:p w14:paraId="5EA3DAB9" w14:textId="77777777" w:rsidR="00B150DF" w:rsidRPr="00EC5212" w:rsidRDefault="00B150DF" w:rsidP="003F6F1A">
      <w:pPr>
        <w:spacing w:after="0"/>
        <w:jc w:val="both"/>
        <w:rPr>
          <w:rFonts w:ascii="Arial" w:hAnsi="Arial" w:cs="Arial"/>
          <w:sz w:val="20"/>
          <w:szCs w:val="20"/>
          <w:u w:val="single"/>
        </w:rPr>
      </w:pPr>
      <w:r w:rsidRPr="00EC5212">
        <w:rPr>
          <w:rFonts w:ascii="Arial" w:hAnsi="Arial" w:cs="Arial"/>
          <w:sz w:val="20"/>
          <w:szCs w:val="20"/>
          <w:u w:val="single"/>
        </w:rPr>
        <w:t>Gain on change in fair value of conversion option</w:t>
      </w:r>
    </w:p>
    <w:p w14:paraId="4F0AC86B" w14:textId="77777777" w:rsidR="00B150DF" w:rsidRPr="00EC5212" w:rsidRDefault="00B150DF" w:rsidP="003F6F1A">
      <w:pPr>
        <w:spacing w:after="0"/>
        <w:jc w:val="both"/>
        <w:rPr>
          <w:rFonts w:ascii="Arial" w:hAnsi="Arial" w:cs="Arial"/>
          <w:sz w:val="20"/>
          <w:szCs w:val="20"/>
          <w:u w:val="single"/>
        </w:rPr>
      </w:pPr>
    </w:p>
    <w:p w14:paraId="6BB78936" w14:textId="4F2DFA8F" w:rsidR="00B150DF" w:rsidRPr="00EC5212" w:rsidRDefault="00B150DF" w:rsidP="003F6F1A">
      <w:pPr>
        <w:spacing w:after="0"/>
        <w:jc w:val="both"/>
        <w:rPr>
          <w:rFonts w:ascii="Arial" w:hAnsi="Arial" w:cs="Arial"/>
          <w:sz w:val="20"/>
          <w:szCs w:val="20"/>
          <w:u w:val="single"/>
        </w:rPr>
      </w:pPr>
      <w:r w:rsidRPr="00EC5212">
        <w:rPr>
          <w:rFonts w:ascii="Arial" w:hAnsi="Arial" w:cs="Arial"/>
          <w:sz w:val="20"/>
          <w:szCs w:val="20"/>
        </w:rPr>
        <w:t xml:space="preserve">The Company recorded a gain on the change in the fair value of the conversion option of </w:t>
      </w:r>
      <w:r w:rsidR="00D547E2">
        <w:rPr>
          <w:rFonts w:ascii="Arial" w:hAnsi="Arial" w:cs="Arial"/>
          <w:sz w:val="20"/>
          <w:szCs w:val="20"/>
        </w:rPr>
        <w:t>$190,968</w:t>
      </w:r>
      <w:r w:rsidRPr="00EC5212">
        <w:rPr>
          <w:rFonts w:ascii="Arial" w:hAnsi="Arial" w:cs="Arial"/>
          <w:sz w:val="20"/>
          <w:szCs w:val="20"/>
        </w:rPr>
        <w:t>, compared to $</w:t>
      </w:r>
      <w:r w:rsidR="00D547E2">
        <w:rPr>
          <w:rFonts w:ascii="Arial" w:hAnsi="Arial" w:cs="Arial"/>
          <w:sz w:val="20"/>
          <w:szCs w:val="20"/>
        </w:rPr>
        <w:t>nil</w:t>
      </w:r>
      <w:r w:rsidR="001E2F98">
        <w:rPr>
          <w:rFonts w:ascii="Arial" w:hAnsi="Arial" w:cs="Arial"/>
          <w:sz w:val="20"/>
          <w:szCs w:val="20"/>
        </w:rPr>
        <w:t xml:space="preserve"> </w:t>
      </w:r>
      <w:r w:rsidRPr="00EC5212">
        <w:rPr>
          <w:rFonts w:ascii="Arial" w:hAnsi="Arial" w:cs="Arial"/>
          <w:sz w:val="20"/>
          <w:szCs w:val="20"/>
        </w:rPr>
        <w:t xml:space="preserve">during </w:t>
      </w:r>
      <w:r w:rsidR="00EC5212" w:rsidRPr="00EC5212">
        <w:rPr>
          <w:rFonts w:ascii="Arial" w:hAnsi="Arial" w:cs="Arial"/>
          <w:sz w:val="20"/>
          <w:szCs w:val="20"/>
        </w:rPr>
        <w:t xml:space="preserve">YTD </w:t>
      </w:r>
      <w:r w:rsidRPr="00EC5212">
        <w:rPr>
          <w:rFonts w:ascii="Arial" w:hAnsi="Arial" w:cs="Arial"/>
          <w:sz w:val="20"/>
          <w:szCs w:val="20"/>
        </w:rPr>
        <w:t xml:space="preserve">2018. The conversion option is required to be revalued at every quarter end and the gain resulted from the decrease in the Company’s share price during </w:t>
      </w:r>
      <w:r w:rsidR="00EC5212" w:rsidRPr="00EC5212">
        <w:rPr>
          <w:rFonts w:ascii="Arial" w:hAnsi="Arial" w:cs="Arial"/>
          <w:sz w:val="20"/>
          <w:szCs w:val="20"/>
        </w:rPr>
        <w:t>YTD</w:t>
      </w:r>
      <w:r w:rsidRPr="00EC5212">
        <w:rPr>
          <w:rFonts w:ascii="Arial" w:hAnsi="Arial" w:cs="Arial"/>
          <w:sz w:val="20"/>
          <w:szCs w:val="20"/>
        </w:rPr>
        <w:t xml:space="preserve"> 2019, which is a variable in determining the fair value of the conversion option. </w:t>
      </w:r>
    </w:p>
    <w:p w14:paraId="7B17BC5F" w14:textId="54053D79" w:rsidR="00B150DF" w:rsidRDefault="00B150DF" w:rsidP="003F6F1A">
      <w:pPr>
        <w:spacing w:after="0"/>
        <w:jc w:val="both"/>
        <w:rPr>
          <w:rFonts w:ascii="Arial" w:hAnsi="Arial" w:cs="Arial"/>
          <w:sz w:val="20"/>
          <w:szCs w:val="20"/>
          <w:u w:val="single"/>
        </w:rPr>
      </w:pPr>
    </w:p>
    <w:p w14:paraId="43A6E4D9" w14:textId="77777777" w:rsidR="003B6B96" w:rsidRDefault="003B6B96" w:rsidP="003B6B96">
      <w:pPr>
        <w:spacing w:after="0"/>
        <w:jc w:val="both"/>
        <w:rPr>
          <w:rFonts w:ascii="Arial" w:hAnsi="Arial" w:cs="Arial"/>
          <w:sz w:val="20"/>
          <w:szCs w:val="20"/>
          <w:u w:val="single"/>
        </w:rPr>
      </w:pPr>
      <w:r>
        <w:rPr>
          <w:rFonts w:ascii="Arial" w:hAnsi="Arial" w:cs="Arial"/>
          <w:sz w:val="20"/>
          <w:szCs w:val="20"/>
          <w:u w:val="single"/>
        </w:rPr>
        <w:t>Restructuring</w:t>
      </w:r>
    </w:p>
    <w:p w14:paraId="74A63E82" w14:textId="77777777" w:rsidR="003B6B96" w:rsidRPr="003B6B96" w:rsidRDefault="003B6B96" w:rsidP="003B6B96">
      <w:pPr>
        <w:spacing w:after="0"/>
        <w:jc w:val="both"/>
        <w:rPr>
          <w:rFonts w:ascii="Arial" w:hAnsi="Arial" w:cs="Arial"/>
          <w:sz w:val="20"/>
          <w:szCs w:val="20"/>
        </w:rPr>
      </w:pPr>
    </w:p>
    <w:p w14:paraId="28B8EDB9" w14:textId="36AFF46D" w:rsidR="003B6B96" w:rsidRDefault="003B6B96" w:rsidP="003B6B96">
      <w:pPr>
        <w:spacing w:after="0"/>
        <w:jc w:val="both"/>
        <w:rPr>
          <w:rFonts w:ascii="Arial" w:hAnsi="Arial" w:cs="Arial"/>
          <w:bCs/>
          <w:sz w:val="20"/>
          <w:szCs w:val="20"/>
          <w:lang w:val="en-CA"/>
        </w:rPr>
      </w:pPr>
      <w:r w:rsidRPr="003B6B96">
        <w:rPr>
          <w:rFonts w:ascii="Arial" w:hAnsi="Arial" w:cs="Arial"/>
          <w:sz w:val="20"/>
          <w:szCs w:val="20"/>
        </w:rPr>
        <w:t>The Company recorded restructuring expense of $</w:t>
      </w:r>
      <w:r w:rsidRPr="003B6B96">
        <w:rPr>
          <w:rFonts w:ascii="Arial" w:hAnsi="Arial" w:cs="Arial"/>
          <w:bCs/>
          <w:sz w:val="20"/>
          <w:szCs w:val="20"/>
          <w:lang w:val="en-CA"/>
        </w:rPr>
        <w:t xml:space="preserve">169,606, compared to $nil during </w:t>
      </w:r>
      <w:r>
        <w:rPr>
          <w:rFonts w:ascii="Arial" w:hAnsi="Arial" w:cs="Arial"/>
          <w:bCs/>
          <w:sz w:val="20"/>
          <w:szCs w:val="20"/>
          <w:lang w:val="en-CA"/>
        </w:rPr>
        <w:t>YTD</w:t>
      </w:r>
      <w:r w:rsidRPr="003B6B96">
        <w:rPr>
          <w:rFonts w:ascii="Arial" w:hAnsi="Arial" w:cs="Arial"/>
          <w:bCs/>
          <w:sz w:val="20"/>
          <w:szCs w:val="20"/>
          <w:lang w:val="en-CA"/>
        </w:rPr>
        <w:t xml:space="preserve"> 2018. The amount relates</w:t>
      </w:r>
      <w:r>
        <w:rPr>
          <w:rFonts w:ascii="Arial" w:hAnsi="Arial" w:cs="Arial"/>
          <w:bCs/>
          <w:sz w:val="20"/>
          <w:szCs w:val="20"/>
          <w:lang w:val="en-CA"/>
        </w:rPr>
        <w:t xml:space="preserve"> to a final termination settlement reached with the former CEO</w:t>
      </w:r>
      <w:r w:rsidR="006F10A5">
        <w:rPr>
          <w:rFonts w:ascii="Arial" w:hAnsi="Arial" w:cs="Arial"/>
          <w:bCs/>
          <w:sz w:val="20"/>
          <w:szCs w:val="20"/>
          <w:lang w:val="en-CA"/>
        </w:rPr>
        <w:t xml:space="preserve"> and other outgoing employees</w:t>
      </w:r>
      <w:r>
        <w:rPr>
          <w:rFonts w:ascii="Arial" w:hAnsi="Arial" w:cs="Arial"/>
          <w:bCs/>
          <w:sz w:val="20"/>
          <w:szCs w:val="20"/>
          <w:lang w:val="en-CA"/>
        </w:rPr>
        <w:t>.</w:t>
      </w:r>
    </w:p>
    <w:p w14:paraId="5E63ED94" w14:textId="6DD7AE7C" w:rsidR="00962EE1" w:rsidRDefault="00962EE1" w:rsidP="003F6F1A">
      <w:pPr>
        <w:spacing w:after="0"/>
        <w:jc w:val="both"/>
        <w:rPr>
          <w:rFonts w:ascii="Arial" w:hAnsi="Arial" w:cs="Arial"/>
          <w:sz w:val="20"/>
          <w:szCs w:val="20"/>
          <w:u w:val="single"/>
        </w:rPr>
      </w:pPr>
    </w:p>
    <w:p w14:paraId="064DB2AD" w14:textId="6DCC526A" w:rsidR="005646CD" w:rsidRDefault="005646CD" w:rsidP="003F6F1A">
      <w:pPr>
        <w:spacing w:after="0"/>
        <w:jc w:val="both"/>
        <w:rPr>
          <w:rFonts w:ascii="Arial" w:hAnsi="Arial" w:cs="Arial"/>
          <w:sz w:val="20"/>
          <w:szCs w:val="20"/>
          <w:u w:val="single"/>
        </w:rPr>
      </w:pPr>
    </w:p>
    <w:p w14:paraId="528295DB" w14:textId="76BBDB61" w:rsidR="005646CD" w:rsidRDefault="005646CD" w:rsidP="003F6F1A">
      <w:pPr>
        <w:spacing w:after="0"/>
        <w:jc w:val="both"/>
        <w:rPr>
          <w:rFonts w:ascii="Arial" w:hAnsi="Arial" w:cs="Arial"/>
          <w:sz w:val="20"/>
          <w:szCs w:val="20"/>
          <w:u w:val="single"/>
        </w:rPr>
      </w:pPr>
    </w:p>
    <w:p w14:paraId="1FDC1CDD" w14:textId="5A4C113E" w:rsidR="005646CD" w:rsidRDefault="005646CD" w:rsidP="003F6F1A">
      <w:pPr>
        <w:spacing w:after="0"/>
        <w:jc w:val="both"/>
        <w:rPr>
          <w:rFonts w:ascii="Arial" w:hAnsi="Arial" w:cs="Arial"/>
          <w:sz w:val="20"/>
          <w:szCs w:val="20"/>
          <w:u w:val="single"/>
        </w:rPr>
      </w:pPr>
    </w:p>
    <w:p w14:paraId="333E51E3" w14:textId="77777777" w:rsidR="005646CD" w:rsidRDefault="005646CD" w:rsidP="003F6F1A">
      <w:pPr>
        <w:spacing w:after="0"/>
        <w:jc w:val="both"/>
        <w:rPr>
          <w:rFonts w:ascii="Arial" w:hAnsi="Arial" w:cs="Arial"/>
          <w:sz w:val="20"/>
          <w:szCs w:val="20"/>
          <w:u w:val="single"/>
        </w:rPr>
      </w:pPr>
    </w:p>
    <w:p w14:paraId="58A28E1C" w14:textId="3F91FB56" w:rsidR="00B150DF" w:rsidRPr="00EC5212" w:rsidRDefault="00B150DF" w:rsidP="003F6F1A">
      <w:pPr>
        <w:spacing w:after="0"/>
        <w:jc w:val="both"/>
        <w:rPr>
          <w:rFonts w:ascii="Arial" w:hAnsi="Arial" w:cs="Arial"/>
          <w:sz w:val="20"/>
          <w:szCs w:val="20"/>
        </w:rPr>
      </w:pPr>
      <w:r w:rsidRPr="00EC5212">
        <w:rPr>
          <w:rFonts w:ascii="Arial" w:hAnsi="Arial" w:cs="Arial"/>
          <w:sz w:val="20"/>
          <w:szCs w:val="20"/>
          <w:u w:val="single"/>
        </w:rPr>
        <w:t>Other expense</w:t>
      </w:r>
    </w:p>
    <w:p w14:paraId="6F329CEA" w14:textId="77777777" w:rsidR="00B150DF" w:rsidRPr="00EC5212" w:rsidRDefault="00B150DF" w:rsidP="003F6F1A">
      <w:pPr>
        <w:spacing w:after="0"/>
        <w:jc w:val="both"/>
        <w:rPr>
          <w:rFonts w:ascii="Arial" w:hAnsi="Arial" w:cs="Arial"/>
          <w:sz w:val="20"/>
          <w:szCs w:val="20"/>
        </w:rPr>
      </w:pPr>
    </w:p>
    <w:p w14:paraId="03BAA78F" w14:textId="1BC1700C" w:rsidR="00B150DF" w:rsidRPr="00B150DF" w:rsidRDefault="00B150DF" w:rsidP="003F6F1A">
      <w:pPr>
        <w:spacing w:after="0"/>
        <w:jc w:val="both"/>
        <w:rPr>
          <w:rFonts w:ascii="Arial" w:hAnsi="Arial" w:cs="Arial"/>
          <w:sz w:val="20"/>
          <w:szCs w:val="20"/>
        </w:rPr>
      </w:pPr>
      <w:r w:rsidRPr="00EC5212">
        <w:rPr>
          <w:rFonts w:ascii="Arial" w:hAnsi="Arial" w:cs="Arial"/>
          <w:sz w:val="20"/>
          <w:szCs w:val="20"/>
        </w:rPr>
        <w:t xml:space="preserve">The Company recorded other </w:t>
      </w:r>
      <w:r w:rsidR="00D547E2">
        <w:rPr>
          <w:rFonts w:ascii="Arial" w:hAnsi="Arial" w:cs="Arial"/>
          <w:sz w:val="20"/>
          <w:szCs w:val="20"/>
        </w:rPr>
        <w:t xml:space="preserve">expense </w:t>
      </w:r>
      <w:r w:rsidRPr="00EC5212">
        <w:rPr>
          <w:rFonts w:ascii="Arial" w:hAnsi="Arial" w:cs="Arial"/>
          <w:sz w:val="20"/>
          <w:szCs w:val="20"/>
        </w:rPr>
        <w:t>of $</w:t>
      </w:r>
      <w:r w:rsidR="00D547E2">
        <w:rPr>
          <w:rFonts w:ascii="Arial" w:hAnsi="Arial" w:cs="Arial"/>
          <w:sz w:val="20"/>
          <w:szCs w:val="20"/>
        </w:rPr>
        <w:t>61,089</w:t>
      </w:r>
      <w:r w:rsidRPr="00EC5212">
        <w:rPr>
          <w:rFonts w:ascii="Arial" w:hAnsi="Arial" w:cs="Arial"/>
          <w:sz w:val="20"/>
          <w:szCs w:val="20"/>
        </w:rPr>
        <w:t>, compared to $</w:t>
      </w:r>
      <w:r w:rsidR="004D328F" w:rsidRPr="00A801DF">
        <w:rPr>
          <w:rFonts w:ascii="Arial" w:hAnsi="Arial" w:cs="Arial"/>
          <w:sz w:val="20"/>
          <w:szCs w:val="20"/>
        </w:rPr>
        <w:t>28,769</w:t>
      </w:r>
      <w:r w:rsidRPr="00EC5212">
        <w:rPr>
          <w:rFonts w:ascii="Arial" w:hAnsi="Arial" w:cs="Arial"/>
          <w:sz w:val="20"/>
          <w:szCs w:val="20"/>
        </w:rPr>
        <w:t xml:space="preserve"> during </w:t>
      </w:r>
      <w:r w:rsidR="00EC5212" w:rsidRPr="00EC5212">
        <w:rPr>
          <w:rFonts w:ascii="Arial" w:hAnsi="Arial" w:cs="Arial"/>
          <w:sz w:val="20"/>
          <w:szCs w:val="20"/>
        </w:rPr>
        <w:t>YTD</w:t>
      </w:r>
      <w:r w:rsidRPr="00EC5212">
        <w:rPr>
          <w:rFonts w:ascii="Arial" w:hAnsi="Arial" w:cs="Arial"/>
          <w:sz w:val="20"/>
          <w:szCs w:val="20"/>
        </w:rPr>
        <w:t xml:space="preserve"> 2018. The amount relates primarily to foreign exchange losses due to the </w:t>
      </w:r>
      <w:r w:rsidR="00436015">
        <w:rPr>
          <w:rFonts w:ascii="Arial" w:hAnsi="Arial" w:cs="Arial"/>
          <w:sz w:val="20"/>
          <w:szCs w:val="20"/>
        </w:rPr>
        <w:t>de</w:t>
      </w:r>
      <w:r w:rsidRPr="00EC5212">
        <w:rPr>
          <w:rFonts w:ascii="Arial" w:hAnsi="Arial" w:cs="Arial"/>
          <w:sz w:val="20"/>
          <w:szCs w:val="20"/>
        </w:rPr>
        <w:t xml:space="preserve">crease in the US dollar relative to the Canadian dollar during </w:t>
      </w:r>
      <w:r w:rsidR="00EC5212" w:rsidRPr="00EC5212">
        <w:rPr>
          <w:rFonts w:ascii="Arial" w:hAnsi="Arial" w:cs="Arial"/>
          <w:sz w:val="20"/>
          <w:szCs w:val="20"/>
        </w:rPr>
        <w:t>YTD</w:t>
      </w:r>
      <w:r w:rsidRPr="00EC5212">
        <w:rPr>
          <w:rFonts w:ascii="Arial" w:hAnsi="Arial" w:cs="Arial"/>
          <w:sz w:val="20"/>
          <w:szCs w:val="20"/>
        </w:rPr>
        <w:t xml:space="preserve"> 2018.</w:t>
      </w:r>
    </w:p>
    <w:p w14:paraId="2ABAD7D1" w14:textId="19D2C440" w:rsidR="001D7767" w:rsidRDefault="001D7767" w:rsidP="003F6F1A">
      <w:pPr>
        <w:pStyle w:val="NormalWeb"/>
        <w:pBdr>
          <w:bottom w:val="single" w:sz="12" w:space="1" w:color="auto"/>
        </w:pBdr>
        <w:spacing w:before="0" w:beforeAutospacing="0" w:after="0" w:afterAutospacing="0"/>
        <w:rPr>
          <w:rFonts w:ascii="Arial" w:hAnsi="Arial" w:cs="Arial"/>
          <w:b/>
          <w:sz w:val="20"/>
          <w:szCs w:val="20"/>
        </w:rPr>
      </w:pPr>
    </w:p>
    <w:p w14:paraId="5CF62F9C" w14:textId="77777777" w:rsidR="00453FBE" w:rsidRDefault="00623605"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LIQUIDITY, CASH FLOWS AND CAPITAL RESOURCES</w:t>
      </w:r>
    </w:p>
    <w:p w14:paraId="6B8D66D6" w14:textId="77777777" w:rsidR="00A353D2" w:rsidRPr="0061123D" w:rsidRDefault="00A353D2" w:rsidP="003F6F1A">
      <w:pPr>
        <w:pStyle w:val="NormalWeb"/>
        <w:spacing w:before="0" w:beforeAutospacing="0" w:after="0" w:afterAutospacing="0"/>
        <w:rPr>
          <w:rFonts w:ascii="Arial" w:hAnsi="Arial" w:cs="Arial"/>
          <w:b/>
          <w:sz w:val="20"/>
          <w:szCs w:val="20"/>
        </w:rPr>
      </w:pPr>
    </w:p>
    <w:p w14:paraId="2AAF008D" w14:textId="77777777" w:rsidR="00623605" w:rsidRPr="00623605" w:rsidRDefault="00623605" w:rsidP="003F6F1A">
      <w:pPr>
        <w:pStyle w:val="Heading7"/>
        <w:tabs>
          <w:tab w:val="left" w:pos="540"/>
        </w:tabs>
        <w:rPr>
          <w:i/>
          <w:color w:val="000000"/>
          <w:sz w:val="20"/>
          <w:u w:val="single"/>
        </w:rPr>
      </w:pPr>
      <w:r w:rsidRPr="00623605">
        <w:rPr>
          <w:i/>
          <w:color w:val="000000"/>
          <w:sz w:val="20"/>
          <w:u w:val="single"/>
        </w:rPr>
        <w:t xml:space="preserve">Liquidity </w:t>
      </w:r>
    </w:p>
    <w:p w14:paraId="16B4EEC7" w14:textId="77777777" w:rsidR="00623605" w:rsidRDefault="00623605" w:rsidP="003F6F1A">
      <w:pPr>
        <w:pStyle w:val="Heading7"/>
        <w:tabs>
          <w:tab w:val="left" w:pos="540"/>
        </w:tabs>
      </w:pPr>
    </w:p>
    <w:p w14:paraId="3638FBB2" w14:textId="77777777" w:rsidR="00623605" w:rsidRDefault="00623605" w:rsidP="003F6F1A">
      <w:pPr>
        <w:spacing w:after="0"/>
        <w:jc w:val="both"/>
        <w:rPr>
          <w:rFonts w:ascii="Arial" w:hAnsi="Arial" w:cs="Arial"/>
          <w:sz w:val="20"/>
          <w:szCs w:val="20"/>
        </w:rPr>
      </w:pPr>
      <w:r w:rsidRPr="00623605">
        <w:rPr>
          <w:rFonts w:ascii="Arial" w:hAnsi="Arial" w:cs="Arial"/>
          <w:sz w:val="20"/>
          <w:szCs w:val="20"/>
        </w:rPr>
        <w:t xml:space="preserve">Liquidity risk is the risk that the Company will encounter difficulties in meeting obligations associated with its financial liabilities and other contractual obligations. The Company’s strategy for managing liquidity is based on achieving positive cash flows from operations to internally fund operating and capital requirements. </w:t>
      </w:r>
    </w:p>
    <w:p w14:paraId="431CA65E" w14:textId="77777777" w:rsidR="00623605" w:rsidRDefault="00623605" w:rsidP="003F6F1A">
      <w:pPr>
        <w:spacing w:after="0"/>
        <w:jc w:val="both"/>
        <w:rPr>
          <w:rFonts w:ascii="Arial" w:hAnsi="Arial" w:cs="Arial"/>
          <w:sz w:val="20"/>
          <w:szCs w:val="20"/>
        </w:rPr>
      </w:pPr>
    </w:p>
    <w:p w14:paraId="3D2741A9" w14:textId="77777777" w:rsidR="00DA05F7" w:rsidRDefault="00623605" w:rsidP="003F6F1A">
      <w:pPr>
        <w:spacing w:after="0"/>
        <w:jc w:val="both"/>
        <w:rPr>
          <w:rFonts w:ascii="Arial" w:hAnsi="Arial" w:cs="Arial"/>
          <w:sz w:val="20"/>
          <w:szCs w:val="20"/>
        </w:rPr>
      </w:pPr>
      <w:r w:rsidRPr="00623605">
        <w:rPr>
          <w:rFonts w:ascii="Arial" w:hAnsi="Arial" w:cs="Arial"/>
          <w:sz w:val="20"/>
          <w:szCs w:val="20"/>
        </w:rPr>
        <w:t xml:space="preserve">Factors that may affect the Company’s liquidity are continuously monitored. These factors include the </w:t>
      </w:r>
      <w:r w:rsidR="007D3CB8">
        <w:rPr>
          <w:rFonts w:ascii="Arial" w:hAnsi="Arial" w:cs="Arial"/>
          <w:sz w:val="20"/>
          <w:szCs w:val="20"/>
        </w:rPr>
        <w:t>number of patient visits</w:t>
      </w:r>
      <w:r w:rsidRPr="00623605">
        <w:rPr>
          <w:rFonts w:ascii="Arial" w:hAnsi="Arial" w:cs="Arial"/>
          <w:sz w:val="20"/>
          <w:szCs w:val="20"/>
        </w:rPr>
        <w:t xml:space="preserve">, </w:t>
      </w:r>
      <w:r w:rsidR="007D3CB8">
        <w:rPr>
          <w:rFonts w:ascii="Arial" w:hAnsi="Arial" w:cs="Arial"/>
          <w:sz w:val="20"/>
          <w:szCs w:val="20"/>
        </w:rPr>
        <w:t>average patient spend per visit</w:t>
      </w:r>
      <w:r w:rsidRPr="00623605">
        <w:rPr>
          <w:rFonts w:ascii="Arial" w:hAnsi="Arial" w:cs="Arial"/>
          <w:sz w:val="20"/>
          <w:szCs w:val="20"/>
        </w:rPr>
        <w:t>, operating costs, capital costs, income tax refunds,</w:t>
      </w:r>
      <w:r w:rsidR="007D3CB8">
        <w:rPr>
          <w:rFonts w:ascii="Arial" w:hAnsi="Arial" w:cs="Arial"/>
          <w:sz w:val="20"/>
          <w:szCs w:val="20"/>
        </w:rPr>
        <w:t xml:space="preserve"> </w:t>
      </w:r>
      <w:r w:rsidRPr="00623605">
        <w:rPr>
          <w:rFonts w:ascii="Arial" w:hAnsi="Arial" w:cs="Arial"/>
          <w:sz w:val="20"/>
          <w:szCs w:val="20"/>
        </w:rPr>
        <w:t>foreign currency fluctuations</w:t>
      </w:r>
      <w:r w:rsidR="007D3CB8">
        <w:rPr>
          <w:rFonts w:ascii="Arial" w:hAnsi="Arial" w:cs="Arial"/>
          <w:sz w:val="20"/>
          <w:szCs w:val="20"/>
        </w:rPr>
        <w:t xml:space="preserve">, </w:t>
      </w:r>
      <w:r w:rsidR="007D3CB8" w:rsidRPr="00C90A0A">
        <w:rPr>
          <w:rFonts w:ascii="Arial" w:hAnsi="Arial" w:cs="Arial"/>
          <w:sz w:val="20"/>
          <w:szCs w:val="20"/>
        </w:rPr>
        <w:t>seasonality, market immaturity and a highly fluid environment related to state and federal law passage and regulations</w:t>
      </w:r>
      <w:r w:rsidRPr="00623605">
        <w:rPr>
          <w:rFonts w:ascii="Arial" w:hAnsi="Arial" w:cs="Arial"/>
          <w:sz w:val="20"/>
          <w:szCs w:val="20"/>
        </w:rPr>
        <w:t xml:space="preserve">. </w:t>
      </w:r>
    </w:p>
    <w:p w14:paraId="260EBE3F" w14:textId="77777777" w:rsidR="00DA05F7" w:rsidRDefault="00DA05F7" w:rsidP="003F6F1A">
      <w:pPr>
        <w:spacing w:after="0"/>
        <w:jc w:val="both"/>
        <w:rPr>
          <w:rFonts w:ascii="Arial" w:hAnsi="Arial" w:cs="Arial"/>
          <w:sz w:val="20"/>
          <w:szCs w:val="20"/>
        </w:rPr>
      </w:pPr>
    </w:p>
    <w:p w14:paraId="5BC96F64" w14:textId="2B4D3F09" w:rsidR="007D3CB8" w:rsidRDefault="00623605" w:rsidP="003F6F1A">
      <w:pPr>
        <w:spacing w:after="0"/>
        <w:jc w:val="both"/>
        <w:rPr>
          <w:rFonts w:ascii="Arial" w:hAnsi="Arial" w:cs="Arial"/>
          <w:sz w:val="20"/>
          <w:szCs w:val="20"/>
        </w:rPr>
      </w:pPr>
      <w:r w:rsidRPr="00623605">
        <w:rPr>
          <w:rFonts w:ascii="Arial" w:hAnsi="Arial" w:cs="Arial"/>
          <w:sz w:val="20"/>
          <w:szCs w:val="20"/>
        </w:rPr>
        <w:t xml:space="preserve">In the event that the Company is adversely affected by any of these factors and, as a result, the operating cash flows are not sufficient to meet the Company’s working capital requirements there is no guarantee that the Company would be able to raise additional capital on acceptable terms to fund a potential cash shortfall. Consequently, the Company is subject to liquidity risk. </w:t>
      </w:r>
    </w:p>
    <w:p w14:paraId="59C334A1" w14:textId="77777777" w:rsidR="004E17E1" w:rsidRDefault="004E17E1" w:rsidP="003F6F1A">
      <w:pPr>
        <w:spacing w:after="0"/>
        <w:jc w:val="both"/>
        <w:rPr>
          <w:rFonts w:ascii="Arial" w:hAnsi="Arial" w:cs="Arial"/>
          <w:sz w:val="20"/>
          <w:szCs w:val="20"/>
        </w:rPr>
      </w:pPr>
    </w:p>
    <w:p w14:paraId="30C6F482" w14:textId="77777777" w:rsidR="007D3CB8" w:rsidRPr="00C90A0A" w:rsidRDefault="007D3CB8" w:rsidP="003F6F1A">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will need to procure additional financing in order to fund its ongoing operation. The </w:t>
      </w:r>
      <w:r>
        <w:rPr>
          <w:rFonts w:ascii="Arial" w:hAnsi="Arial" w:cs="Arial"/>
          <w:sz w:val="20"/>
          <w:szCs w:val="20"/>
        </w:rPr>
        <w:t>C</w:t>
      </w:r>
      <w:r w:rsidRPr="00C90A0A">
        <w:rPr>
          <w:rFonts w:ascii="Arial" w:hAnsi="Arial" w:cs="Arial"/>
          <w:sz w:val="20"/>
          <w:szCs w:val="20"/>
        </w:rPr>
        <w:t xml:space="preserve">ompany intends to obtain such financing through equity financing, and there can be no assurance that the </w:t>
      </w:r>
      <w:r>
        <w:rPr>
          <w:rFonts w:ascii="Arial" w:hAnsi="Arial" w:cs="Arial"/>
          <w:sz w:val="20"/>
          <w:szCs w:val="20"/>
        </w:rPr>
        <w:t>C</w:t>
      </w:r>
      <w:r w:rsidRPr="00C90A0A">
        <w:rPr>
          <w:rFonts w:ascii="Arial" w:hAnsi="Arial" w:cs="Arial"/>
          <w:sz w:val="20"/>
          <w:szCs w:val="20"/>
        </w:rPr>
        <w:t xml:space="preserve">ompany can raise the required capital it needs to build and expand as expected, nor that the capital markets will fund the business of the </w:t>
      </w:r>
      <w:r>
        <w:rPr>
          <w:rFonts w:ascii="Arial" w:hAnsi="Arial" w:cs="Arial"/>
          <w:sz w:val="20"/>
          <w:szCs w:val="20"/>
        </w:rPr>
        <w:t>C</w:t>
      </w:r>
      <w:r w:rsidRPr="00C90A0A">
        <w:rPr>
          <w:rFonts w:ascii="Arial" w:hAnsi="Arial" w:cs="Arial"/>
          <w:sz w:val="20"/>
          <w:szCs w:val="20"/>
        </w:rPr>
        <w:t xml:space="preserve">ompany. Without this additional financing, the </w:t>
      </w:r>
      <w:r>
        <w:rPr>
          <w:rFonts w:ascii="Arial" w:hAnsi="Arial" w:cs="Arial"/>
          <w:sz w:val="20"/>
          <w:szCs w:val="20"/>
        </w:rPr>
        <w:t>C</w:t>
      </w:r>
      <w:r w:rsidRPr="00C90A0A">
        <w:rPr>
          <w:rFonts w:ascii="Arial" w:hAnsi="Arial" w:cs="Arial"/>
          <w:sz w:val="20"/>
          <w:szCs w:val="20"/>
        </w:rPr>
        <w:t xml:space="preserve">ompany may be unable to achieve positive cash flow and earnings as quickly as anticipated, these uncertainties cast a significant doubt about the </w:t>
      </w:r>
      <w:r w:rsidR="001C7200">
        <w:rPr>
          <w:rFonts w:ascii="Arial" w:hAnsi="Arial" w:cs="Arial"/>
          <w:sz w:val="20"/>
          <w:szCs w:val="20"/>
        </w:rPr>
        <w:t>C</w:t>
      </w:r>
      <w:r w:rsidR="001C7200" w:rsidRPr="00C90A0A">
        <w:rPr>
          <w:rFonts w:ascii="Arial" w:hAnsi="Arial" w:cs="Arial"/>
          <w:sz w:val="20"/>
          <w:szCs w:val="20"/>
        </w:rPr>
        <w:t xml:space="preserve">ompany’s </w:t>
      </w:r>
      <w:r w:rsidRPr="00C90A0A">
        <w:rPr>
          <w:rFonts w:ascii="Arial" w:hAnsi="Arial" w:cs="Arial"/>
          <w:sz w:val="20"/>
          <w:szCs w:val="20"/>
        </w:rPr>
        <w:t xml:space="preserve">ability to continue as a going concern. </w:t>
      </w:r>
    </w:p>
    <w:p w14:paraId="5B9EE7E8" w14:textId="77777777" w:rsidR="007D3CB8" w:rsidRDefault="007D3CB8" w:rsidP="003F6F1A">
      <w:pPr>
        <w:spacing w:after="0"/>
        <w:jc w:val="both"/>
        <w:rPr>
          <w:rFonts w:ascii="Arial" w:hAnsi="Arial" w:cs="Arial"/>
          <w:sz w:val="20"/>
          <w:szCs w:val="20"/>
        </w:rPr>
      </w:pPr>
    </w:p>
    <w:p w14:paraId="7A339076" w14:textId="51029B2D" w:rsidR="001A7E6B" w:rsidRPr="00EC5212" w:rsidRDefault="00623605" w:rsidP="003F6F1A">
      <w:pPr>
        <w:spacing w:after="0"/>
        <w:jc w:val="both"/>
        <w:rPr>
          <w:rFonts w:ascii="Arial" w:hAnsi="Arial" w:cs="Arial"/>
          <w:sz w:val="20"/>
          <w:szCs w:val="20"/>
        </w:rPr>
      </w:pPr>
      <w:r w:rsidRPr="00EC5212">
        <w:rPr>
          <w:rFonts w:ascii="Arial" w:hAnsi="Arial" w:cs="Arial"/>
          <w:sz w:val="20"/>
          <w:szCs w:val="20"/>
        </w:rPr>
        <w:t xml:space="preserve">At </w:t>
      </w:r>
      <w:r w:rsidR="001E2F98">
        <w:rPr>
          <w:rFonts w:ascii="Arial" w:hAnsi="Arial" w:cs="Arial"/>
          <w:sz w:val="20"/>
          <w:szCs w:val="20"/>
        </w:rPr>
        <w:t xml:space="preserve">September </w:t>
      </w:r>
      <w:r w:rsidR="00EC5212" w:rsidRPr="00EC5212">
        <w:rPr>
          <w:rFonts w:ascii="Arial" w:hAnsi="Arial" w:cs="Arial"/>
          <w:sz w:val="20"/>
          <w:szCs w:val="20"/>
        </w:rPr>
        <w:t>30</w:t>
      </w:r>
      <w:r w:rsidR="003C5740" w:rsidRPr="00EC5212">
        <w:rPr>
          <w:rFonts w:ascii="Arial" w:hAnsi="Arial" w:cs="Arial"/>
          <w:sz w:val="20"/>
          <w:szCs w:val="20"/>
        </w:rPr>
        <w:t xml:space="preserve">, </w:t>
      </w:r>
      <w:r w:rsidRPr="00EC5212">
        <w:rPr>
          <w:rFonts w:ascii="Arial" w:hAnsi="Arial" w:cs="Arial"/>
          <w:sz w:val="20"/>
          <w:szCs w:val="20"/>
        </w:rPr>
        <w:t>201</w:t>
      </w:r>
      <w:r w:rsidR="003C5740" w:rsidRPr="00EC5212">
        <w:rPr>
          <w:rFonts w:ascii="Arial" w:hAnsi="Arial" w:cs="Arial"/>
          <w:sz w:val="20"/>
          <w:szCs w:val="20"/>
        </w:rPr>
        <w:t>9</w:t>
      </w:r>
      <w:r w:rsidRPr="00EC5212">
        <w:rPr>
          <w:rFonts w:ascii="Arial" w:hAnsi="Arial" w:cs="Arial"/>
          <w:sz w:val="20"/>
          <w:szCs w:val="20"/>
        </w:rPr>
        <w:t xml:space="preserve">, the Company </w:t>
      </w:r>
      <w:r w:rsidR="007D3CB8" w:rsidRPr="00EC5212">
        <w:rPr>
          <w:rFonts w:ascii="Arial" w:hAnsi="Arial" w:cs="Arial"/>
          <w:sz w:val="20"/>
          <w:szCs w:val="20"/>
        </w:rPr>
        <w:t>had a working capital deficit</w:t>
      </w:r>
      <w:r w:rsidRPr="00EC5212">
        <w:rPr>
          <w:rFonts w:ascii="Arial" w:hAnsi="Arial" w:cs="Arial"/>
          <w:sz w:val="20"/>
          <w:szCs w:val="20"/>
        </w:rPr>
        <w:t xml:space="preserve"> of $</w:t>
      </w:r>
      <w:r w:rsidR="00D547E2">
        <w:rPr>
          <w:rFonts w:ascii="Arial" w:hAnsi="Arial" w:cs="Arial"/>
          <w:sz w:val="20"/>
          <w:szCs w:val="20"/>
        </w:rPr>
        <w:t>3,396,730</w:t>
      </w:r>
      <w:r w:rsidR="007D3CB8" w:rsidRPr="00EC5212">
        <w:rPr>
          <w:rFonts w:ascii="Arial" w:hAnsi="Arial" w:cs="Arial"/>
          <w:sz w:val="20"/>
          <w:szCs w:val="20"/>
        </w:rPr>
        <w:t>, as follows:</w:t>
      </w:r>
    </w:p>
    <w:p w14:paraId="2739EF43" w14:textId="77777777" w:rsidR="00FC3890" w:rsidRPr="00EC5212" w:rsidRDefault="00FC3890" w:rsidP="003F6F1A">
      <w:pPr>
        <w:spacing w:after="0"/>
        <w:jc w:val="both"/>
        <w:rPr>
          <w:rFonts w:ascii="Arial" w:hAnsi="Arial" w:cs="Arial"/>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5093"/>
        <w:gridCol w:w="328"/>
        <w:gridCol w:w="1832"/>
        <w:gridCol w:w="328"/>
        <w:gridCol w:w="1767"/>
      </w:tblGrid>
      <w:tr w:rsidR="003E0848" w:rsidRPr="00DA4360" w14:paraId="21020747" w14:textId="77777777" w:rsidTr="004A1755">
        <w:tc>
          <w:tcPr>
            <w:tcW w:w="5093" w:type="dxa"/>
            <w:tcBorders>
              <w:top w:val="single" w:sz="4" w:space="0" w:color="auto"/>
              <w:bottom w:val="single" w:sz="12" w:space="0" w:color="auto"/>
            </w:tcBorders>
            <w:shd w:val="clear" w:color="auto" w:fill="auto"/>
          </w:tcPr>
          <w:p w14:paraId="749CA27F" w14:textId="77777777" w:rsidR="00FC3890" w:rsidRPr="00DA4360" w:rsidRDefault="00FC3890" w:rsidP="003F6F1A">
            <w:pPr>
              <w:spacing w:after="0" w:line="240" w:lineRule="auto"/>
              <w:jc w:val="both"/>
              <w:rPr>
                <w:rFonts w:ascii="Arial" w:hAnsi="Arial" w:cs="Arial"/>
                <w:sz w:val="20"/>
                <w:szCs w:val="20"/>
                <w:lang w:val="en-CA"/>
              </w:rPr>
            </w:pPr>
            <w:r w:rsidRPr="00DA4360">
              <w:rPr>
                <w:rFonts w:ascii="Arial" w:hAnsi="Arial" w:cs="Arial"/>
                <w:i/>
                <w:sz w:val="20"/>
                <w:szCs w:val="20"/>
                <w:lang w:val="en-CA"/>
              </w:rPr>
              <w:t>As at</w:t>
            </w:r>
          </w:p>
        </w:tc>
        <w:tc>
          <w:tcPr>
            <w:tcW w:w="2160" w:type="dxa"/>
            <w:gridSpan w:val="2"/>
            <w:tcBorders>
              <w:top w:val="single" w:sz="4" w:space="0" w:color="auto"/>
              <w:bottom w:val="single" w:sz="12" w:space="0" w:color="auto"/>
            </w:tcBorders>
            <w:shd w:val="clear" w:color="auto" w:fill="auto"/>
            <w:vAlign w:val="bottom"/>
          </w:tcPr>
          <w:p w14:paraId="3812D514" w14:textId="6BBDF5C8" w:rsidR="00FC3890" w:rsidRPr="00DA4360" w:rsidRDefault="001E2F98" w:rsidP="003F6F1A">
            <w:pPr>
              <w:spacing w:after="0" w:line="240" w:lineRule="auto"/>
              <w:jc w:val="right"/>
              <w:rPr>
                <w:rFonts w:ascii="Arial" w:hAnsi="Arial" w:cs="Arial"/>
                <w:sz w:val="20"/>
                <w:szCs w:val="20"/>
                <w:lang w:val="en-CA"/>
              </w:rPr>
            </w:pPr>
            <w:r>
              <w:rPr>
                <w:rFonts w:ascii="Arial" w:hAnsi="Arial" w:cs="Arial"/>
                <w:b/>
                <w:sz w:val="20"/>
                <w:szCs w:val="20"/>
                <w:lang w:val="en-CA"/>
              </w:rPr>
              <w:t>September</w:t>
            </w:r>
            <w:r w:rsidR="00EC5212" w:rsidRPr="00DA4360">
              <w:rPr>
                <w:rFonts w:ascii="Arial" w:hAnsi="Arial" w:cs="Arial"/>
                <w:b/>
                <w:sz w:val="20"/>
                <w:szCs w:val="20"/>
                <w:lang w:val="en-CA"/>
              </w:rPr>
              <w:t xml:space="preserve"> 30, 2019</w:t>
            </w:r>
          </w:p>
        </w:tc>
        <w:tc>
          <w:tcPr>
            <w:tcW w:w="2095" w:type="dxa"/>
            <w:gridSpan w:val="2"/>
            <w:tcBorders>
              <w:top w:val="single" w:sz="4" w:space="0" w:color="auto"/>
              <w:bottom w:val="single" w:sz="12" w:space="0" w:color="auto"/>
            </w:tcBorders>
            <w:shd w:val="clear" w:color="auto" w:fill="auto"/>
            <w:vAlign w:val="bottom"/>
          </w:tcPr>
          <w:p w14:paraId="45852C51" w14:textId="77777777" w:rsidR="00FC3890" w:rsidRPr="00DA4360" w:rsidRDefault="003C5740"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December 31, 2018</w:t>
            </w:r>
          </w:p>
        </w:tc>
      </w:tr>
      <w:tr w:rsidR="003E0848" w:rsidRPr="00DA4360" w14:paraId="1807FCC6" w14:textId="77777777" w:rsidTr="004A1755">
        <w:tc>
          <w:tcPr>
            <w:tcW w:w="5093" w:type="dxa"/>
            <w:tcBorders>
              <w:top w:val="single" w:sz="12" w:space="0" w:color="auto"/>
              <w:bottom w:val="nil"/>
            </w:tcBorders>
            <w:shd w:val="clear" w:color="auto" w:fill="auto"/>
          </w:tcPr>
          <w:p w14:paraId="65DDFF30" w14:textId="77777777" w:rsidR="00FC3890" w:rsidRPr="00DA4360" w:rsidRDefault="00FC3890" w:rsidP="003F6F1A">
            <w:pPr>
              <w:spacing w:after="0" w:line="240" w:lineRule="auto"/>
              <w:jc w:val="both"/>
              <w:rPr>
                <w:rFonts w:ascii="Arial" w:hAnsi="Arial" w:cs="Arial"/>
                <w:sz w:val="20"/>
                <w:szCs w:val="20"/>
                <w:lang w:val="en-CA"/>
              </w:rPr>
            </w:pPr>
          </w:p>
        </w:tc>
        <w:tc>
          <w:tcPr>
            <w:tcW w:w="328" w:type="dxa"/>
            <w:tcBorders>
              <w:top w:val="single" w:sz="12" w:space="0" w:color="auto"/>
              <w:bottom w:val="nil"/>
            </w:tcBorders>
            <w:shd w:val="clear" w:color="auto" w:fill="auto"/>
          </w:tcPr>
          <w:p w14:paraId="1093D0D2" w14:textId="77777777" w:rsidR="00FC3890" w:rsidRPr="00DA4360" w:rsidRDefault="00FC3890" w:rsidP="003F6F1A">
            <w:pPr>
              <w:spacing w:after="0" w:line="240" w:lineRule="auto"/>
              <w:jc w:val="both"/>
              <w:rPr>
                <w:rFonts w:ascii="Arial" w:hAnsi="Arial" w:cs="Arial"/>
                <w:sz w:val="20"/>
                <w:szCs w:val="20"/>
                <w:lang w:val="en-CA"/>
              </w:rPr>
            </w:pPr>
          </w:p>
        </w:tc>
        <w:tc>
          <w:tcPr>
            <w:tcW w:w="1832" w:type="dxa"/>
            <w:tcBorders>
              <w:top w:val="single" w:sz="12" w:space="0" w:color="auto"/>
              <w:bottom w:val="nil"/>
            </w:tcBorders>
            <w:shd w:val="clear" w:color="auto" w:fill="auto"/>
            <w:vAlign w:val="bottom"/>
          </w:tcPr>
          <w:p w14:paraId="11BECFD9" w14:textId="77777777" w:rsidR="00FC3890" w:rsidRPr="00DA4360" w:rsidRDefault="00FC3890" w:rsidP="003F6F1A">
            <w:pPr>
              <w:spacing w:after="0" w:line="240" w:lineRule="auto"/>
              <w:jc w:val="right"/>
              <w:rPr>
                <w:rFonts w:ascii="Arial" w:hAnsi="Arial" w:cs="Arial"/>
                <w:sz w:val="20"/>
                <w:szCs w:val="20"/>
                <w:lang w:val="en-CA"/>
              </w:rPr>
            </w:pPr>
          </w:p>
        </w:tc>
        <w:tc>
          <w:tcPr>
            <w:tcW w:w="328" w:type="dxa"/>
            <w:tcBorders>
              <w:top w:val="single" w:sz="12" w:space="0" w:color="auto"/>
              <w:bottom w:val="nil"/>
            </w:tcBorders>
            <w:shd w:val="clear" w:color="auto" w:fill="auto"/>
          </w:tcPr>
          <w:p w14:paraId="60387D37" w14:textId="77777777" w:rsidR="00FC3890" w:rsidRPr="00DA4360" w:rsidRDefault="00FC3890" w:rsidP="003F6F1A">
            <w:pPr>
              <w:spacing w:after="0" w:line="240" w:lineRule="auto"/>
              <w:jc w:val="both"/>
              <w:rPr>
                <w:rFonts w:ascii="Arial" w:hAnsi="Arial" w:cs="Arial"/>
                <w:sz w:val="20"/>
                <w:szCs w:val="20"/>
                <w:lang w:val="en-CA"/>
              </w:rPr>
            </w:pPr>
          </w:p>
        </w:tc>
        <w:tc>
          <w:tcPr>
            <w:tcW w:w="1767" w:type="dxa"/>
            <w:tcBorders>
              <w:top w:val="single" w:sz="12" w:space="0" w:color="auto"/>
              <w:bottom w:val="nil"/>
            </w:tcBorders>
            <w:shd w:val="clear" w:color="auto" w:fill="auto"/>
            <w:vAlign w:val="bottom"/>
          </w:tcPr>
          <w:p w14:paraId="72288876" w14:textId="77777777" w:rsidR="00FC3890" w:rsidRPr="00DA4360" w:rsidRDefault="00FC3890" w:rsidP="003F6F1A">
            <w:pPr>
              <w:spacing w:after="0" w:line="240" w:lineRule="auto"/>
              <w:jc w:val="right"/>
              <w:rPr>
                <w:rFonts w:ascii="Arial" w:hAnsi="Arial" w:cs="Arial"/>
                <w:sz w:val="20"/>
                <w:szCs w:val="20"/>
                <w:lang w:val="en-CA"/>
              </w:rPr>
            </w:pPr>
          </w:p>
        </w:tc>
      </w:tr>
      <w:tr w:rsidR="003E0848" w:rsidRPr="00DA4360" w14:paraId="2A4272CA" w14:textId="77777777" w:rsidTr="004A1755">
        <w:tc>
          <w:tcPr>
            <w:tcW w:w="5093" w:type="dxa"/>
            <w:tcBorders>
              <w:top w:val="nil"/>
              <w:bottom w:val="nil"/>
            </w:tcBorders>
            <w:shd w:val="clear" w:color="auto" w:fill="auto"/>
          </w:tcPr>
          <w:p w14:paraId="0578EC9C"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 xml:space="preserve">Cash </w:t>
            </w:r>
          </w:p>
        </w:tc>
        <w:tc>
          <w:tcPr>
            <w:tcW w:w="328" w:type="dxa"/>
            <w:tcBorders>
              <w:top w:val="nil"/>
              <w:bottom w:val="nil"/>
            </w:tcBorders>
            <w:shd w:val="clear" w:color="auto" w:fill="auto"/>
          </w:tcPr>
          <w:p w14:paraId="0B19C463" w14:textId="77777777" w:rsidR="003052EF" w:rsidRPr="00DA4360" w:rsidRDefault="003052EF"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1832" w:type="dxa"/>
            <w:tcBorders>
              <w:top w:val="nil"/>
              <w:bottom w:val="nil"/>
            </w:tcBorders>
            <w:shd w:val="clear" w:color="auto" w:fill="auto"/>
            <w:vAlign w:val="bottom"/>
          </w:tcPr>
          <w:p w14:paraId="768FC7C7" w14:textId="2F9521B2"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178,578</w:t>
            </w:r>
          </w:p>
        </w:tc>
        <w:tc>
          <w:tcPr>
            <w:tcW w:w="328" w:type="dxa"/>
            <w:tcBorders>
              <w:top w:val="nil"/>
              <w:bottom w:val="nil"/>
            </w:tcBorders>
            <w:shd w:val="clear" w:color="auto" w:fill="auto"/>
          </w:tcPr>
          <w:p w14:paraId="04F017E1"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767" w:type="dxa"/>
            <w:tcBorders>
              <w:top w:val="nil"/>
              <w:bottom w:val="nil"/>
            </w:tcBorders>
            <w:shd w:val="clear" w:color="auto" w:fill="auto"/>
            <w:vAlign w:val="bottom"/>
          </w:tcPr>
          <w:p w14:paraId="09D0CC83"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157,668</w:t>
            </w:r>
          </w:p>
        </w:tc>
      </w:tr>
      <w:tr w:rsidR="003E0848" w:rsidRPr="00DA4360" w14:paraId="20E02676" w14:textId="77777777" w:rsidTr="004A1755">
        <w:tc>
          <w:tcPr>
            <w:tcW w:w="5093" w:type="dxa"/>
            <w:tcBorders>
              <w:top w:val="nil"/>
              <w:bottom w:val="nil"/>
            </w:tcBorders>
            <w:shd w:val="clear" w:color="auto" w:fill="auto"/>
          </w:tcPr>
          <w:p w14:paraId="523A87DF"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Accounts receivable</w:t>
            </w:r>
          </w:p>
        </w:tc>
        <w:tc>
          <w:tcPr>
            <w:tcW w:w="328" w:type="dxa"/>
            <w:tcBorders>
              <w:top w:val="nil"/>
              <w:bottom w:val="nil"/>
            </w:tcBorders>
            <w:shd w:val="clear" w:color="auto" w:fill="auto"/>
          </w:tcPr>
          <w:p w14:paraId="2A7B63B5"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5AACED98" w14:textId="526907B5"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67,300</w:t>
            </w:r>
          </w:p>
        </w:tc>
        <w:tc>
          <w:tcPr>
            <w:tcW w:w="328" w:type="dxa"/>
            <w:tcBorders>
              <w:top w:val="nil"/>
              <w:bottom w:val="nil"/>
            </w:tcBorders>
            <w:shd w:val="clear" w:color="auto" w:fill="auto"/>
          </w:tcPr>
          <w:p w14:paraId="3723CE11"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73A52097"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299A1BE1" w14:textId="77777777" w:rsidTr="004A1755">
        <w:tc>
          <w:tcPr>
            <w:tcW w:w="5093" w:type="dxa"/>
            <w:tcBorders>
              <w:top w:val="nil"/>
              <w:bottom w:val="single" w:sz="4" w:space="0" w:color="auto"/>
            </w:tcBorders>
            <w:shd w:val="clear" w:color="auto" w:fill="auto"/>
          </w:tcPr>
          <w:p w14:paraId="52303C0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Prepaid expenses</w:t>
            </w:r>
          </w:p>
        </w:tc>
        <w:tc>
          <w:tcPr>
            <w:tcW w:w="328" w:type="dxa"/>
            <w:tcBorders>
              <w:top w:val="nil"/>
              <w:bottom w:val="single" w:sz="4" w:space="0" w:color="auto"/>
            </w:tcBorders>
            <w:shd w:val="clear" w:color="auto" w:fill="auto"/>
          </w:tcPr>
          <w:p w14:paraId="1F7BDD78"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single" w:sz="4" w:space="0" w:color="auto"/>
            </w:tcBorders>
            <w:shd w:val="clear" w:color="auto" w:fill="auto"/>
            <w:vAlign w:val="bottom"/>
          </w:tcPr>
          <w:p w14:paraId="6DEC00E9" w14:textId="18FB477C"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71,667</w:t>
            </w:r>
          </w:p>
        </w:tc>
        <w:tc>
          <w:tcPr>
            <w:tcW w:w="328" w:type="dxa"/>
            <w:tcBorders>
              <w:top w:val="nil"/>
              <w:bottom w:val="single" w:sz="4" w:space="0" w:color="auto"/>
            </w:tcBorders>
            <w:shd w:val="clear" w:color="auto" w:fill="auto"/>
          </w:tcPr>
          <w:p w14:paraId="11EBCCF4"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single" w:sz="4" w:space="0" w:color="auto"/>
            </w:tcBorders>
            <w:shd w:val="clear" w:color="auto" w:fill="auto"/>
            <w:vAlign w:val="bottom"/>
          </w:tcPr>
          <w:p w14:paraId="1E226C1B"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29,475</w:t>
            </w:r>
          </w:p>
        </w:tc>
      </w:tr>
      <w:tr w:rsidR="003E0848" w:rsidRPr="00DA4360" w14:paraId="237DCF75" w14:textId="77777777" w:rsidTr="004A1755">
        <w:tc>
          <w:tcPr>
            <w:tcW w:w="5093" w:type="dxa"/>
            <w:tcBorders>
              <w:top w:val="single" w:sz="4" w:space="0" w:color="auto"/>
            </w:tcBorders>
            <w:shd w:val="clear" w:color="auto" w:fill="auto"/>
          </w:tcPr>
          <w:p w14:paraId="182C58F0"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Total Current Assets</w:t>
            </w:r>
          </w:p>
        </w:tc>
        <w:tc>
          <w:tcPr>
            <w:tcW w:w="328" w:type="dxa"/>
            <w:tcBorders>
              <w:top w:val="single" w:sz="4" w:space="0" w:color="auto"/>
            </w:tcBorders>
            <w:shd w:val="clear" w:color="auto" w:fill="auto"/>
          </w:tcPr>
          <w:p w14:paraId="785CACA0"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single" w:sz="4" w:space="0" w:color="auto"/>
            </w:tcBorders>
            <w:shd w:val="clear" w:color="auto" w:fill="auto"/>
            <w:vAlign w:val="bottom"/>
          </w:tcPr>
          <w:p w14:paraId="1657743B" w14:textId="392BF485"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317,545</w:t>
            </w:r>
          </w:p>
        </w:tc>
        <w:tc>
          <w:tcPr>
            <w:tcW w:w="328" w:type="dxa"/>
            <w:tcBorders>
              <w:top w:val="single" w:sz="4" w:space="0" w:color="auto"/>
            </w:tcBorders>
            <w:shd w:val="clear" w:color="auto" w:fill="auto"/>
          </w:tcPr>
          <w:p w14:paraId="3412C9E2"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single" w:sz="4" w:space="0" w:color="auto"/>
            </w:tcBorders>
            <w:shd w:val="clear" w:color="auto" w:fill="auto"/>
            <w:vAlign w:val="bottom"/>
          </w:tcPr>
          <w:p w14:paraId="4FD7C3C2"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187,143</w:t>
            </w:r>
          </w:p>
        </w:tc>
      </w:tr>
      <w:tr w:rsidR="003E0848" w:rsidRPr="00DA4360" w14:paraId="3A03842E" w14:textId="77777777" w:rsidTr="004A1755">
        <w:tc>
          <w:tcPr>
            <w:tcW w:w="5093" w:type="dxa"/>
            <w:tcBorders>
              <w:bottom w:val="nil"/>
            </w:tcBorders>
            <w:shd w:val="clear" w:color="auto" w:fill="auto"/>
          </w:tcPr>
          <w:p w14:paraId="2C8C7726" w14:textId="77777777" w:rsidR="003C5740" w:rsidRPr="00DA4360" w:rsidRDefault="003C5740" w:rsidP="003F6F1A">
            <w:pPr>
              <w:spacing w:after="0" w:line="240" w:lineRule="auto"/>
              <w:jc w:val="both"/>
              <w:rPr>
                <w:rFonts w:ascii="Arial" w:hAnsi="Arial" w:cs="Arial"/>
                <w:sz w:val="20"/>
                <w:szCs w:val="20"/>
                <w:lang w:val="en-CA"/>
              </w:rPr>
            </w:pPr>
          </w:p>
        </w:tc>
        <w:tc>
          <w:tcPr>
            <w:tcW w:w="328" w:type="dxa"/>
            <w:tcBorders>
              <w:bottom w:val="nil"/>
            </w:tcBorders>
            <w:shd w:val="clear" w:color="auto" w:fill="auto"/>
          </w:tcPr>
          <w:p w14:paraId="23C3B6C3" w14:textId="77777777" w:rsidR="003C5740" w:rsidRPr="00DA4360" w:rsidRDefault="003C5740" w:rsidP="003F6F1A">
            <w:pPr>
              <w:spacing w:after="0" w:line="240" w:lineRule="auto"/>
              <w:jc w:val="both"/>
              <w:rPr>
                <w:rFonts w:ascii="Arial" w:hAnsi="Arial" w:cs="Arial"/>
                <w:b/>
                <w:sz w:val="20"/>
                <w:szCs w:val="20"/>
                <w:lang w:val="en-CA"/>
              </w:rPr>
            </w:pPr>
          </w:p>
        </w:tc>
        <w:tc>
          <w:tcPr>
            <w:tcW w:w="1832" w:type="dxa"/>
            <w:tcBorders>
              <w:bottom w:val="nil"/>
            </w:tcBorders>
            <w:shd w:val="clear" w:color="auto" w:fill="auto"/>
            <w:vAlign w:val="bottom"/>
          </w:tcPr>
          <w:p w14:paraId="26471508" w14:textId="77777777" w:rsidR="003C5740" w:rsidRPr="00DA4360" w:rsidRDefault="003C5740" w:rsidP="003F6F1A">
            <w:pPr>
              <w:spacing w:after="0" w:line="240" w:lineRule="auto"/>
              <w:jc w:val="right"/>
              <w:rPr>
                <w:rFonts w:ascii="Arial" w:hAnsi="Arial" w:cs="Arial"/>
                <w:b/>
                <w:sz w:val="20"/>
                <w:szCs w:val="20"/>
                <w:lang w:val="en-CA"/>
              </w:rPr>
            </w:pPr>
          </w:p>
        </w:tc>
        <w:tc>
          <w:tcPr>
            <w:tcW w:w="328" w:type="dxa"/>
            <w:tcBorders>
              <w:bottom w:val="nil"/>
            </w:tcBorders>
            <w:shd w:val="clear" w:color="auto" w:fill="auto"/>
          </w:tcPr>
          <w:p w14:paraId="0FFEA49B" w14:textId="77777777" w:rsidR="003C5740" w:rsidRPr="00DA4360" w:rsidRDefault="003C5740" w:rsidP="003F6F1A">
            <w:pPr>
              <w:spacing w:after="0" w:line="240" w:lineRule="auto"/>
              <w:jc w:val="both"/>
              <w:rPr>
                <w:rFonts w:ascii="Arial" w:hAnsi="Arial" w:cs="Arial"/>
                <w:sz w:val="20"/>
                <w:szCs w:val="20"/>
                <w:lang w:val="en-CA"/>
              </w:rPr>
            </w:pPr>
          </w:p>
        </w:tc>
        <w:tc>
          <w:tcPr>
            <w:tcW w:w="1767" w:type="dxa"/>
            <w:tcBorders>
              <w:bottom w:val="nil"/>
            </w:tcBorders>
            <w:shd w:val="clear" w:color="auto" w:fill="auto"/>
            <w:vAlign w:val="bottom"/>
          </w:tcPr>
          <w:p w14:paraId="36FD99D6" w14:textId="77777777" w:rsidR="003C5740" w:rsidRPr="00DA4360" w:rsidRDefault="003C5740" w:rsidP="003F6F1A">
            <w:pPr>
              <w:spacing w:after="0" w:line="240" w:lineRule="auto"/>
              <w:jc w:val="right"/>
              <w:rPr>
                <w:rFonts w:ascii="Arial" w:hAnsi="Arial" w:cs="Arial"/>
                <w:sz w:val="20"/>
                <w:szCs w:val="20"/>
                <w:lang w:val="en-CA"/>
              </w:rPr>
            </w:pPr>
          </w:p>
        </w:tc>
      </w:tr>
      <w:tr w:rsidR="003E0848" w:rsidRPr="00DA4360" w14:paraId="4BF0AE5C" w14:textId="77777777" w:rsidTr="004A1755">
        <w:tc>
          <w:tcPr>
            <w:tcW w:w="5093" w:type="dxa"/>
            <w:tcBorders>
              <w:top w:val="nil"/>
              <w:bottom w:val="nil"/>
            </w:tcBorders>
            <w:shd w:val="clear" w:color="auto" w:fill="auto"/>
          </w:tcPr>
          <w:p w14:paraId="33F29F9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Accounts payable and accrued liabilities</w:t>
            </w:r>
          </w:p>
        </w:tc>
        <w:tc>
          <w:tcPr>
            <w:tcW w:w="328" w:type="dxa"/>
            <w:tcBorders>
              <w:top w:val="nil"/>
              <w:bottom w:val="nil"/>
            </w:tcBorders>
            <w:shd w:val="clear" w:color="auto" w:fill="auto"/>
          </w:tcPr>
          <w:p w14:paraId="7DE15D9C"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49D1303E" w14:textId="2333A184"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1,262,106</w:t>
            </w:r>
          </w:p>
        </w:tc>
        <w:tc>
          <w:tcPr>
            <w:tcW w:w="328" w:type="dxa"/>
            <w:tcBorders>
              <w:top w:val="nil"/>
              <w:bottom w:val="nil"/>
            </w:tcBorders>
            <w:shd w:val="clear" w:color="auto" w:fill="auto"/>
          </w:tcPr>
          <w:p w14:paraId="79349D0D"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7279F674"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1,554,892</w:t>
            </w:r>
          </w:p>
        </w:tc>
      </w:tr>
      <w:tr w:rsidR="003E0848" w:rsidRPr="00DA4360" w14:paraId="2BE00F15" w14:textId="77777777" w:rsidTr="004A1755">
        <w:tc>
          <w:tcPr>
            <w:tcW w:w="5093" w:type="dxa"/>
            <w:tcBorders>
              <w:top w:val="nil"/>
              <w:bottom w:val="nil"/>
            </w:tcBorders>
            <w:shd w:val="clear" w:color="auto" w:fill="auto"/>
          </w:tcPr>
          <w:p w14:paraId="6B5DE0C0"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Share subscriptions</w:t>
            </w:r>
          </w:p>
        </w:tc>
        <w:tc>
          <w:tcPr>
            <w:tcW w:w="328" w:type="dxa"/>
            <w:tcBorders>
              <w:top w:val="nil"/>
              <w:bottom w:val="nil"/>
            </w:tcBorders>
            <w:shd w:val="clear" w:color="auto" w:fill="auto"/>
          </w:tcPr>
          <w:p w14:paraId="0B842415"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6768F6B2" w14:textId="0EC80159"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w:t>
            </w:r>
          </w:p>
        </w:tc>
        <w:tc>
          <w:tcPr>
            <w:tcW w:w="328" w:type="dxa"/>
            <w:tcBorders>
              <w:top w:val="nil"/>
              <w:bottom w:val="nil"/>
            </w:tcBorders>
            <w:shd w:val="clear" w:color="auto" w:fill="auto"/>
          </w:tcPr>
          <w:p w14:paraId="40CCE5ED"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0F9D9815"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61,167</w:t>
            </w:r>
          </w:p>
        </w:tc>
      </w:tr>
      <w:tr w:rsidR="003E0848" w:rsidRPr="00DA4360" w14:paraId="6E715FB6" w14:textId="77777777" w:rsidTr="004A1755">
        <w:tc>
          <w:tcPr>
            <w:tcW w:w="5093" w:type="dxa"/>
            <w:tcBorders>
              <w:top w:val="nil"/>
              <w:bottom w:val="nil"/>
            </w:tcBorders>
            <w:shd w:val="clear" w:color="auto" w:fill="auto"/>
          </w:tcPr>
          <w:p w14:paraId="4DAF6DF9"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Notes payable</w:t>
            </w:r>
          </w:p>
        </w:tc>
        <w:tc>
          <w:tcPr>
            <w:tcW w:w="328" w:type="dxa"/>
            <w:tcBorders>
              <w:top w:val="nil"/>
              <w:bottom w:val="nil"/>
            </w:tcBorders>
            <w:shd w:val="clear" w:color="auto" w:fill="auto"/>
          </w:tcPr>
          <w:p w14:paraId="5E1ABF06"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431F33A7" w14:textId="7F4AE246"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767,085</w:t>
            </w:r>
          </w:p>
        </w:tc>
        <w:tc>
          <w:tcPr>
            <w:tcW w:w="328" w:type="dxa"/>
            <w:tcBorders>
              <w:top w:val="nil"/>
              <w:bottom w:val="nil"/>
            </w:tcBorders>
            <w:shd w:val="clear" w:color="auto" w:fill="auto"/>
          </w:tcPr>
          <w:p w14:paraId="1F0D6BC8"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60EC9086"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610,444</w:t>
            </w:r>
          </w:p>
        </w:tc>
      </w:tr>
      <w:tr w:rsidR="003E0848" w:rsidRPr="00DA4360" w14:paraId="72536EE5" w14:textId="77777777" w:rsidTr="004A1755">
        <w:tc>
          <w:tcPr>
            <w:tcW w:w="5093" w:type="dxa"/>
            <w:tcBorders>
              <w:top w:val="nil"/>
              <w:bottom w:val="nil"/>
            </w:tcBorders>
            <w:shd w:val="clear" w:color="auto" w:fill="auto"/>
          </w:tcPr>
          <w:p w14:paraId="0E71ACB3"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Due to related parties</w:t>
            </w:r>
          </w:p>
        </w:tc>
        <w:tc>
          <w:tcPr>
            <w:tcW w:w="328" w:type="dxa"/>
            <w:tcBorders>
              <w:top w:val="nil"/>
              <w:bottom w:val="nil"/>
            </w:tcBorders>
            <w:shd w:val="clear" w:color="auto" w:fill="auto"/>
          </w:tcPr>
          <w:p w14:paraId="39FB11F0"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6FEC05E4" w14:textId="76D7A38B"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w:t>
            </w:r>
          </w:p>
        </w:tc>
        <w:tc>
          <w:tcPr>
            <w:tcW w:w="328" w:type="dxa"/>
            <w:tcBorders>
              <w:top w:val="nil"/>
              <w:bottom w:val="nil"/>
            </w:tcBorders>
            <w:shd w:val="clear" w:color="auto" w:fill="auto"/>
          </w:tcPr>
          <w:p w14:paraId="4CAAF6A3"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55C499F7"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12,575</w:t>
            </w:r>
          </w:p>
        </w:tc>
      </w:tr>
      <w:tr w:rsidR="003E0848" w:rsidRPr="00DA4360" w14:paraId="7891E873" w14:textId="77777777" w:rsidTr="004A1755">
        <w:tc>
          <w:tcPr>
            <w:tcW w:w="5093" w:type="dxa"/>
            <w:tcBorders>
              <w:top w:val="nil"/>
              <w:bottom w:val="nil"/>
            </w:tcBorders>
            <w:shd w:val="clear" w:color="auto" w:fill="auto"/>
          </w:tcPr>
          <w:p w14:paraId="05D2430D"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Convertible debentures payable</w:t>
            </w:r>
          </w:p>
        </w:tc>
        <w:tc>
          <w:tcPr>
            <w:tcW w:w="328" w:type="dxa"/>
            <w:tcBorders>
              <w:top w:val="nil"/>
              <w:bottom w:val="nil"/>
            </w:tcBorders>
            <w:shd w:val="clear" w:color="auto" w:fill="auto"/>
          </w:tcPr>
          <w:p w14:paraId="6E6306F0"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680E0E62" w14:textId="41B6C5C2"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724,705</w:t>
            </w:r>
          </w:p>
        </w:tc>
        <w:tc>
          <w:tcPr>
            <w:tcW w:w="328" w:type="dxa"/>
            <w:tcBorders>
              <w:top w:val="nil"/>
              <w:bottom w:val="nil"/>
            </w:tcBorders>
            <w:shd w:val="clear" w:color="auto" w:fill="auto"/>
          </w:tcPr>
          <w:p w14:paraId="7E4AC6B3"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15B5BFF5"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274,466</w:t>
            </w:r>
          </w:p>
        </w:tc>
      </w:tr>
      <w:tr w:rsidR="003E0848" w:rsidRPr="00DA4360" w14:paraId="2CE7C362" w14:textId="77777777" w:rsidTr="004A1755">
        <w:tc>
          <w:tcPr>
            <w:tcW w:w="5093" w:type="dxa"/>
            <w:tcBorders>
              <w:top w:val="nil"/>
              <w:bottom w:val="nil"/>
            </w:tcBorders>
            <w:shd w:val="clear" w:color="auto" w:fill="auto"/>
          </w:tcPr>
          <w:p w14:paraId="108F8ACD"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Secured loan payable</w:t>
            </w:r>
          </w:p>
        </w:tc>
        <w:tc>
          <w:tcPr>
            <w:tcW w:w="328" w:type="dxa"/>
            <w:tcBorders>
              <w:top w:val="nil"/>
              <w:bottom w:val="nil"/>
            </w:tcBorders>
            <w:shd w:val="clear" w:color="auto" w:fill="auto"/>
          </w:tcPr>
          <w:p w14:paraId="6DCC9A3C"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5D45DFBD" w14:textId="66A063C4"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750,307</w:t>
            </w:r>
          </w:p>
        </w:tc>
        <w:tc>
          <w:tcPr>
            <w:tcW w:w="328" w:type="dxa"/>
            <w:tcBorders>
              <w:top w:val="nil"/>
              <w:bottom w:val="nil"/>
            </w:tcBorders>
            <w:shd w:val="clear" w:color="auto" w:fill="auto"/>
          </w:tcPr>
          <w:p w14:paraId="5CA53DE2"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4A43FA57"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717,460</w:t>
            </w:r>
          </w:p>
        </w:tc>
      </w:tr>
      <w:tr w:rsidR="003E0848" w:rsidRPr="00DA4360" w14:paraId="5B2DFD1B" w14:textId="77777777" w:rsidTr="004A1755">
        <w:tc>
          <w:tcPr>
            <w:tcW w:w="5093" w:type="dxa"/>
            <w:tcBorders>
              <w:top w:val="nil"/>
              <w:bottom w:val="nil"/>
            </w:tcBorders>
            <w:shd w:val="clear" w:color="auto" w:fill="auto"/>
          </w:tcPr>
          <w:p w14:paraId="523F500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Current portion of lease liability</w:t>
            </w:r>
          </w:p>
        </w:tc>
        <w:tc>
          <w:tcPr>
            <w:tcW w:w="328" w:type="dxa"/>
            <w:tcBorders>
              <w:top w:val="nil"/>
              <w:bottom w:val="nil"/>
            </w:tcBorders>
            <w:shd w:val="clear" w:color="auto" w:fill="auto"/>
          </w:tcPr>
          <w:p w14:paraId="61EE1D0B"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06DD1C8C" w14:textId="3C257F19"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210,072</w:t>
            </w:r>
          </w:p>
        </w:tc>
        <w:tc>
          <w:tcPr>
            <w:tcW w:w="328" w:type="dxa"/>
            <w:tcBorders>
              <w:top w:val="nil"/>
              <w:bottom w:val="nil"/>
            </w:tcBorders>
            <w:shd w:val="clear" w:color="auto" w:fill="auto"/>
          </w:tcPr>
          <w:p w14:paraId="6B9CC966"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78E74423"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0C320930" w14:textId="77777777" w:rsidTr="004A1755">
        <w:tc>
          <w:tcPr>
            <w:tcW w:w="5093" w:type="dxa"/>
            <w:tcBorders>
              <w:top w:val="single" w:sz="4" w:space="0" w:color="auto"/>
              <w:bottom w:val="single" w:sz="4" w:space="0" w:color="auto"/>
            </w:tcBorders>
            <w:shd w:val="clear" w:color="auto" w:fill="auto"/>
          </w:tcPr>
          <w:p w14:paraId="0E53E18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Total Current Liabilities</w:t>
            </w:r>
          </w:p>
        </w:tc>
        <w:tc>
          <w:tcPr>
            <w:tcW w:w="328" w:type="dxa"/>
            <w:tcBorders>
              <w:top w:val="single" w:sz="4" w:space="0" w:color="auto"/>
              <w:bottom w:val="single" w:sz="4" w:space="0" w:color="auto"/>
            </w:tcBorders>
            <w:shd w:val="clear" w:color="auto" w:fill="auto"/>
          </w:tcPr>
          <w:p w14:paraId="42FFE763"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single" w:sz="4" w:space="0" w:color="auto"/>
              <w:bottom w:val="single" w:sz="4" w:space="0" w:color="auto"/>
            </w:tcBorders>
            <w:shd w:val="clear" w:color="auto" w:fill="auto"/>
            <w:vAlign w:val="bottom"/>
          </w:tcPr>
          <w:p w14:paraId="6E5C97A8" w14:textId="176BD117" w:rsidR="003052EF"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3,714,275</w:t>
            </w:r>
          </w:p>
        </w:tc>
        <w:tc>
          <w:tcPr>
            <w:tcW w:w="328" w:type="dxa"/>
            <w:tcBorders>
              <w:top w:val="single" w:sz="4" w:space="0" w:color="auto"/>
              <w:bottom w:val="single" w:sz="4" w:space="0" w:color="auto"/>
            </w:tcBorders>
            <w:shd w:val="clear" w:color="auto" w:fill="auto"/>
          </w:tcPr>
          <w:p w14:paraId="7132E7F0"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single" w:sz="4" w:space="0" w:color="auto"/>
              <w:bottom w:val="single" w:sz="4" w:space="0" w:color="auto"/>
            </w:tcBorders>
            <w:shd w:val="clear" w:color="auto" w:fill="auto"/>
            <w:vAlign w:val="bottom"/>
          </w:tcPr>
          <w:p w14:paraId="48F8CF35"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3,</w:t>
            </w:r>
            <w:r w:rsidR="00BD1255" w:rsidRPr="00DA4360">
              <w:rPr>
                <w:rFonts w:ascii="Arial" w:hAnsi="Arial" w:cs="Arial"/>
                <w:bCs/>
                <w:sz w:val="20"/>
                <w:szCs w:val="20"/>
                <w:lang w:val="en-CA"/>
              </w:rPr>
              <w:t>231,004</w:t>
            </w:r>
          </w:p>
        </w:tc>
      </w:tr>
      <w:tr w:rsidR="003E0848" w:rsidRPr="00DA4360" w14:paraId="48EBBFA7" w14:textId="77777777" w:rsidTr="004A1755">
        <w:tc>
          <w:tcPr>
            <w:tcW w:w="5093" w:type="dxa"/>
            <w:tcBorders>
              <w:top w:val="single" w:sz="4" w:space="0" w:color="auto"/>
            </w:tcBorders>
            <w:shd w:val="clear" w:color="auto" w:fill="auto"/>
          </w:tcPr>
          <w:p w14:paraId="76971D3F" w14:textId="77777777" w:rsidR="003C5740" w:rsidRPr="00DA4360" w:rsidRDefault="003C5740" w:rsidP="003F6F1A">
            <w:pPr>
              <w:spacing w:after="0" w:line="240" w:lineRule="auto"/>
              <w:jc w:val="both"/>
              <w:rPr>
                <w:rFonts w:ascii="Arial" w:hAnsi="Arial" w:cs="Arial"/>
                <w:sz w:val="20"/>
                <w:szCs w:val="20"/>
                <w:lang w:val="en-CA"/>
              </w:rPr>
            </w:pPr>
          </w:p>
        </w:tc>
        <w:tc>
          <w:tcPr>
            <w:tcW w:w="328" w:type="dxa"/>
            <w:tcBorders>
              <w:top w:val="single" w:sz="4" w:space="0" w:color="auto"/>
            </w:tcBorders>
            <w:shd w:val="clear" w:color="auto" w:fill="auto"/>
          </w:tcPr>
          <w:p w14:paraId="1E49FD8A" w14:textId="77777777" w:rsidR="003C5740" w:rsidRPr="00DA4360" w:rsidRDefault="003C5740" w:rsidP="003F6F1A">
            <w:pPr>
              <w:spacing w:after="0" w:line="240" w:lineRule="auto"/>
              <w:jc w:val="both"/>
              <w:rPr>
                <w:rFonts w:ascii="Arial" w:hAnsi="Arial" w:cs="Arial"/>
                <w:b/>
                <w:sz w:val="20"/>
                <w:szCs w:val="20"/>
                <w:lang w:val="en-CA"/>
              </w:rPr>
            </w:pPr>
          </w:p>
        </w:tc>
        <w:tc>
          <w:tcPr>
            <w:tcW w:w="1832" w:type="dxa"/>
            <w:tcBorders>
              <w:top w:val="single" w:sz="4" w:space="0" w:color="auto"/>
            </w:tcBorders>
            <w:shd w:val="clear" w:color="auto" w:fill="auto"/>
            <w:vAlign w:val="bottom"/>
          </w:tcPr>
          <w:p w14:paraId="17905028" w14:textId="77777777" w:rsidR="003C5740" w:rsidRPr="00DA4360" w:rsidRDefault="003C5740" w:rsidP="003F6F1A">
            <w:pPr>
              <w:spacing w:after="0" w:line="240" w:lineRule="auto"/>
              <w:jc w:val="right"/>
              <w:rPr>
                <w:rFonts w:ascii="Arial" w:hAnsi="Arial" w:cs="Arial"/>
                <w:b/>
                <w:sz w:val="20"/>
                <w:szCs w:val="20"/>
                <w:lang w:val="en-CA"/>
              </w:rPr>
            </w:pPr>
          </w:p>
        </w:tc>
        <w:tc>
          <w:tcPr>
            <w:tcW w:w="328" w:type="dxa"/>
            <w:tcBorders>
              <w:top w:val="single" w:sz="4" w:space="0" w:color="auto"/>
            </w:tcBorders>
            <w:shd w:val="clear" w:color="auto" w:fill="auto"/>
          </w:tcPr>
          <w:p w14:paraId="165FCAC7" w14:textId="77777777" w:rsidR="003C5740" w:rsidRPr="00DA4360" w:rsidRDefault="003C5740" w:rsidP="003F6F1A">
            <w:pPr>
              <w:spacing w:after="0" w:line="240" w:lineRule="auto"/>
              <w:jc w:val="both"/>
              <w:rPr>
                <w:rFonts w:ascii="Arial" w:hAnsi="Arial" w:cs="Arial"/>
                <w:sz w:val="20"/>
                <w:szCs w:val="20"/>
                <w:lang w:val="en-CA"/>
              </w:rPr>
            </w:pPr>
          </w:p>
        </w:tc>
        <w:tc>
          <w:tcPr>
            <w:tcW w:w="1767" w:type="dxa"/>
            <w:tcBorders>
              <w:top w:val="single" w:sz="4" w:space="0" w:color="auto"/>
            </w:tcBorders>
            <w:shd w:val="clear" w:color="auto" w:fill="auto"/>
            <w:vAlign w:val="bottom"/>
          </w:tcPr>
          <w:p w14:paraId="73F2E944" w14:textId="77777777" w:rsidR="003C5740" w:rsidRPr="00DA4360" w:rsidRDefault="003C5740" w:rsidP="003F6F1A">
            <w:pPr>
              <w:spacing w:after="0" w:line="240" w:lineRule="auto"/>
              <w:jc w:val="right"/>
              <w:rPr>
                <w:rFonts w:ascii="Arial" w:hAnsi="Arial" w:cs="Arial"/>
                <w:sz w:val="20"/>
                <w:szCs w:val="20"/>
                <w:lang w:val="en-CA"/>
              </w:rPr>
            </w:pPr>
          </w:p>
        </w:tc>
      </w:tr>
      <w:tr w:rsidR="003E0848" w:rsidRPr="00DA4360" w14:paraId="2FE903D8" w14:textId="77777777" w:rsidTr="004A1755">
        <w:tc>
          <w:tcPr>
            <w:tcW w:w="5093" w:type="dxa"/>
            <w:shd w:val="clear" w:color="auto" w:fill="auto"/>
          </w:tcPr>
          <w:p w14:paraId="17243D84" w14:textId="77777777" w:rsidR="003C5740" w:rsidRPr="00DA4360" w:rsidRDefault="003C5740"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Working Capital</w:t>
            </w:r>
          </w:p>
        </w:tc>
        <w:tc>
          <w:tcPr>
            <w:tcW w:w="328" w:type="dxa"/>
            <w:shd w:val="clear" w:color="auto" w:fill="auto"/>
          </w:tcPr>
          <w:p w14:paraId="6458AE3E" w14:textId="77777777" w:rsidR="003C5740" w:rsidRPr="00DA4360" w:rsidRDefault="003C5740"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1832" w:type="dxa"/>
            <w:shd w:val="clear" w:color="auto" w:fill="auto"/>
            <w:vAlign w:val="bottom"/>
          </w:tcPr>
          <w:p w14:paraId="392170B1" w14:textId="30ECE8E6" w:rsidR="003C5740" w:rsidRPr="00DA4360" w:rsidRDefault="00D547E2" w:rsidP="00D547E2">
            <w:pPr>
              <w:spacing w:after="0" w:line="240" w:lineRule="auto"/>
              <w:ind w:right="-66"/>
              <w:jc w:val="right"/>
              <w:rPr>
                <w:rFonts w:ascii="Arial" w:hAnsi="Arial" w:cs="Arial"/>
                <w:b/>
                <w:sz w:val="20"/>
                <w:szCs w:val="20"/>
                <w:lang w:val="en-CA"/>
              </w:rPr>
            </w:pPr>
            <w:r>
              <w:rPr>
                <w:rFonts w:ascii="Arial" w:hAnsi="Arial" w:cs="Arial"/>
                <w:b/>
                <w:sz w:val="20"/>
                <w:szCs w:val="20"/>
                <w:lang w:val="en-CA"/>
              </w:rPr>
              <w:t>(3,396,730)</w:t>
            </w:r>
          </w:p>
        </w:tc>
        <w:tc>
          <w:tcPr>
            <w:tcW w:w="328" w:type="dxa"/>
            <w:shd w:val="clear" w:color="auto" w:fill="auto"/>
          </w:tcPr>
          <w:p w14:paraId="52ED0CEB" w14:textId="77777777" w:rsidR="003C5740" w:rsidRPr="00DA4360" w:rsidRDefault="003C5740"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767" w:type="dxa"/>
            <w:shd w:val="clear" w:color="auto" w:fill="auto"/>
            <w:vAlign w:val="bottom"/>
          </w:tcPr>
          <w:p w14:paraId="6B156C4F" w14:textId="77777777" w:rsidR="003C5740" w:rsidRPr="00DA4360" w:rsidRDefault="003A2C50" w:rsidP="00D547E2">
            <w:pPr>
              <w:spacing w:after="0" w:line="240" w:lineRule="auto"/>
              <w:ind w:right="-66"/>
              <w:jc w:val="right"/>
              <w:rPr>
                <w:rFonts w:ascii="Arial" w:hAnsi="Arial" w:cs="Arial"/>
                <w:bCs/>
                <w:sz w:val="20"/>
                <w:szCs w:val="20"/>
                <w:lang w:val="en-CA"/>
              </w:rPr>
            </w:pPr>
            <w:r w:rsidRPr="00DA4360">
              <w:rPr>
                <w:rFonts w:ascii="Arial" w:hAnsi="Arial" w:cs="Arial"/>
                <w:bCs/>
                <w:sz w:val="20"/>
                <w:szCs w:val="20"/>
                <w:lang w:val="en-CA"/>
              </w:rPr>
              <w:t>(3,</w:t>
            </w:r>
            <w:r w:rsidR="00BD1255" w:rsidRPr="00DA4360">
              <w:rPr>
                <w:rFonts w:ascii="Arial" w:hAnsi="Arial" w:cs="Arial"/>
                <w:bCs/>
                <w:sz w:val="20"/>
                <w:szCs w:val="20"/>
                <w:lang w:val="en-CA"/>
              </w:rPr>
              <w:t>043,861</w:t>
            </w:r>
            <w:r w:rsidRPr="00DA4360">
              <w:rPr>
                <w:rFonts w:ascii="Arial" w:hAnsi="Arial" w:cs="Arial"/>
                <w:bCs/>
                <w:sz w:val="20"/>
                <w:szCs w:val="20"/>
                <w:lang w:val="en-CA"/>
              </w:rPr>
              <w:t>)</w:t>
            </w:r>
          </w:p>
        </w:tc>
      </w:tr>
    </w:tbl>
    <w:p w14:paraId="194533BD" w14:textId="691CB664" w:rsidR="00B043B6" w:rsidRDefault="00B043B6" w:rsidP="003F6F1A">
      <w:pPr>
        <w:keepNext/>
        <w:tabs>
          <w:tab w:val="left" w:pos="540"/>
        </w:tabs>
        <w:suppressAutoHyphens/>
        <w:spacing w:after="0"/>
        <w:jc w:val="both"/>
        <w:rPr>
          <w:rFonts w:ascii="Arial" w:hAnsi="Arial" w:cs="Arial"/>
          <w:b/>
          <w:i/>
          <w:sz w:val="20"/>
          <w:szCs w:val="20"/>
          <w:u w:val="single"/>
        </w:rPr>
      </w:pPr>
    </w:p>
    <w:p w14:paraId="0EDE8AF7" w14:textId="08B2ABD7" w:rsidR="00FC3890" w:rsidRPr="003052EF" w:rsidRDefault="00453FBE" w:rsidP="003F6F1A">
      <w:pPr>
        <w:rPr>
          <w:rFonts w:ascii="Arial" w:eastAsia="Times New Roman" w:hAnsi="Arial" w:cs="Arial"/>
          <w:b/>
          <w:bCs/>
          <w:i/>
          <w:color w:val="000000"/>
          <w:sz w:val="20"/>
          <w:szCs w:val="20"/>
          <w:u w:val="single"/>
        </w:rPr>
      </w:pPr>
      <w:r w:rsidRPr="003052EF">
        <w:rPr>
          <w:rFonts w:ascii="Arial" w:eastAsia="Times New Roman" w:hAnsi="Arial" w:cs="Arial"/>
          <w:b/>
          <w:bCs/>
          <w:i/>
          <w:color w:val="000000"/>
          <w:sz w:val="20"/>
          <w:szCs w:val="20"/>
          <w:u w:val="single"/>
        </w:rPr>
        <w:t>Cash Flow</w:t>
      </w:r>
    </w:p>
    <w:tbl>
      <w:tblPr>
        <w:tblW w:w="9333" w:type="dxa"/>
        <w:tblLayout w:type="fixed"/>
        <w:tblLook w:val="04A0" w:firstRow="1" w:lastRow="0" w:firstColumn="1" w:lastColumn="0" w:noHBand="0" w:noVBand="1"/>
      </w:tblPr>
      <w:tblGrid>
        <w:gridCol w:w="2256"/>
        <w:gridCol w:w="323"/>
        <w:gridCol w:w="1688"/>
        <w:gridCol w:w="323"/>
        <w:gridCol w:w="504"/>
        <w:gridCol w:w="323"/>
        <w:gridCol w:w="1837"/>
        <w:gridCol w:w="324"/>
        <w:gridCol w:w="1755"/>
      </w:tblGrid>
      <w:tr w:rsidR="003E0848" w:rsidRPr="00DA4360" w14:paraId="16E011C2" w14:textId="77777777" w:rsidTr="004A1755">
        <w:trPr>
          <w:trHeight w:val="113"/>
        </w:trPr>
        <w:tc>
          <w:tcPr>
            <w:tcW w:w="2256" w:type="dxa"/>
            <w:tcBorders>
              <w:top w:val="single" w:sz="4" w:space="0" w:color="auto"/>
              <w:bottom w:val="single" w:sz="12" w:space="0" w:color="auto"/>
            </w:tcBorders>
            <w:shd w:val="clear" w:color="auto" w:fill="auto"/>
          </w:tcPr>
          <w:p w14:paraId="0A85ED24"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tcBorders>
              <w:top w:val="single" w:sz="4" w:space="0" w:color="auto"/>
              <w:bottom w:val="single" w:sz="12" w:space="0" w:color="auto"/>
            </w:tcBorders>
            <w:shd w:val="clear" w:color="auto" w:fill="auto"/>
          </w:tcPr>
          <w:p w14:paraId="4EE73586" w14:textId="77777777" w:rsidR="00732B04" w:rsidRPr="00DA4360" w:rsidRDefault="00732B04" w:rsidP="003F6F1A">
            <w:pPr>
              <w:tabs>
                <w:tab w:val="left" w:pos="360"/>
              </w:tabs>
              <w:suppressAutoHyphens/>
              <w:spacing w:after="0" w:line="240" w:lineRule="auto"/>
              <w:jc w:val="both"/>
              <w:rPr>
                <w:rFonts w:ascii="Arial" w:hAnsi="Arial" w:cs="Arial"/>
                <w:b/>
                <w:sz w:val="20"/>
                <w:szCs w:val="20"/>
                <w:lang w:val="en-CA"/>
              </w:rPr>
            </w:pPr>
          </w:p>
        </w:tc>
        <w:tc>
          <w:tcPr>
            <w:tcW w:w="1688" w:type="dxa"/>
            <w:tcBorders>
              <w:top w:val="single" w:sz="4" w:space="0" w:color="auto"/>
              <w:bottom w:val="single" w:sz="12" w:space="0" w:color="auto"/>
            </w:tcBorders>
            <w:shd w:val="clear" w:color="auto" w:fill="auto"/>
          </w:tcPr>
          <w:p w14:paraId="16FD3F68"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tcBorders>
              <w:top w:val="single" w:sz="4" w:space="0" w:color="auto"/>
              <w:bottom w:val="single" w:sz="12" w:space="0" w:color="auto"/>
            </w:tcBorders>
            <w:shd w:val="clear" w:color="auto" w:fill="auto"/>
          </w:tcPr>
          <w:p w14:paraId="0C763793"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504" w:type="dxa"/>
            <w:tcBorders>
              <w:top w:val="single" w:sz="4" w:space="0" w:color="auto"/>
              <w:bottom w:val="single" w:sz="12" w:space="0" w:color="auto"/>
            </w:tcBorders>
            <w:shd w:val="clear" w:color="auto" w:fill="auto"/>
          </w:tcPr>
          <w:p w14:paraId="2E3EBE1F"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tcBorders>
              <w:top w:val="single" w:sz="4" w:space="0" w:color="auto"/>
              <w:bottom w:val="single" w:sz="12" w:space="0" w:color="auto"/>
            </w:tcBorders>
            <w:shd w:val="clear" w:color="auto" w:fill="auto"/>
          </w:tcPr>
          <w:p w14:paraId="38107C2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tcBorders>
              <w:top w:val="single" w:sz="4" w:space="0" w:color="auto"/>
              <w:bottom w:val="single" w:sz="12" w:space="0" w:color="auto"/>
            </w:tcBorders>
            <w:shd w:val="clear" w:color="auto" w:fill="auto"/>
            <w:vAlign w:val="bottom"/>
          </w:tcPr>
          <w:p w14:paraId="6B78F781" w14:textId="77777777" w:rsidR="00732B04" w:rsidRPr="00DA4360" w:rsidRDefault="003052EF"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YTD</w:t>
            </w:r>
            <w:r w:rsidR="003C5740" w:rsidRPr="00DA4360">
              <w:rPr>
                <w:rFonts w:ascii="Arial" w:hAnsi="Arial" w:cs="Arial"/>
                <w:b/>
                <w:sz w:val="20"/>
                <w:szCs w:val="20"/>
                <w:lang w:val="en-CA"/>
              </w:rPr>
              <w:t xml:space="preserve"> 2019</w:t>
            </w:r>
          </w:p>
        </w:tc>
        <w:tc>
          <w:tcPr>
            <w:tcW w:w="324" w:type="dxa"/>
            <w:tcBorders>
              <w:top w:val="single" w:sz="4" w:space="0" w:color="auto"/>
              <w:bottom w:val="single" w:sz="12" w:space="0" w:color="auto"/>
            </w:tcBorders>
            <w:shd w:val="clear" w:color="auto" w:fill="auto"/>
          </w:tcPr>
          <w:p w14:paraId="1ABC074D"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755" w:type="dxa"/>
            <w:tcBorders>
              <w:top w:val="single" w:sz="4" w:space="0" w:color="auto"/>
              <w:bottom w:val="single" w:sz="12" w:space="0" w:color="auto"/>
            </w:tcBorders>
            <w:shd w:val="clear" w:color="auto" w:fill="auto"/>
            <w:vAlign w:val="bottom"/>
          </w:tcPr>
          <w:p w14:paraId="3A70DD21" w14:textId="77777777" w:rsidR="00732B04" w:rsidRPr="00DA4360" w:rsidRDefault="003052EF"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YTD</w:t>
            </w:r>
            <w:r w:rsidR="003C5740" w:rsidRPr="00DA4360">
              <w:rPr>
                <w:rFonts w:ascii="Arial" w:hAnsi="Arial" w:cs="Arial"/>
                <w:sz w:val="20"/>
                <w:szCs w:val="20"/>
                <w:lang w:val="en-CA"/>
              </w:rPr>
              <w:t xml:space="preserve"> 2018</w:t>
            </w:r>
          </w:p>
        </w:tc>
      </w:tr>
      <w:tr w:rsidR="003E0848" w:rsidRPr="00DA4360" w14:paraId="2C5CF6D5" w14:textId="77777777" w:rsidTr="004A1755">
        <w:trPr>
          <w:trHeight w:val="113"/>
        </w:trPr>
        <w:tc>
          <w:tcPr>
            <w:tcW w:w="2256" w:type="dxa"/>
            <w:tcBorders>
              <w:top w:val="single" w:sz="12" w:space="0" w:color="auto"/>
            </w:tcBorders>
            <w:shd w:val="clear" w:color="auto" w:fill="auto"/>
          </w:tcPr>
          <w:p w14:paraId="2D15FFFE"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tcBorders>
              <w:top w:val="single" w:sz="12" w:space="0" w:color="auto"/>
            </w:tcBorders>
            <w:shd w:val="clear" w:color="auto" w:fill="auto"/>
          </w:tcPr>
          <w:p w14:paraId="400A75CF"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1688" w:type="dxa"/>
            <w:tcBorders>
              <w:top w:val="single" w:sz="12" w:space="0" w:color="auto"/>
            </w:tcBorders>
            <w:shd w:val="clear" w:color="auto" w:fill="auto"/>
          </w:tcPr>
          <w:p w14:paraId="6C566B6D"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323" w:type="dxa"/>
            <w:tcBorders>
              <w:top w:val="single" w:sz="12" w:space="0" w:color="auto"/>
            </w:tcBorders>
            <w:shd w:val="clear" w:color="auto" w:fill="auto"/>
          </w:tcPr>
          <w:p w14:paraId="4A641DA6"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504" w:type="dxa"/>
            <w:tcBorders>
              <w:top w:val="single" w:sz="12" w:space="0" w:color="auto"/>
            </w:tcBorders>
            <w:shd w:val="clear" w:color="auto" w:fill="auto"/>
          </w:tcPr>
          <w:p w14:paraId="7DD23641"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323" w:type="dxa"/>
            <w:tcBorders>
              <w:top w:val="single" w:sz="12" w:space="0" w:color="auto"/>
            </w:tcBorders>
            <w:shd w:val="clear" w:color="auto" w:fill="auto"/>
          </w:tcPr>
          <w:p w14:paraId="04784A5C"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1837" w:type="dxa"/>
            <w:tcBorders>
              <w:top w:val="single" w:sz="12" w:space="0" w:color="auto"/>
            </w:tcBorders>
            <w:shd w:val="clear" w:color="auto" w:fill="auto"/>
            <w:vAlign w:val="bottom"/>
          </w:tcPr>
          <w:p w14:paraId="15C970E2" w14:textId="77777777" w:rsidR="00732B04" w:rsidRPr="00DA4360" w:rsidRDefault="00732B04" w:rsidP="004A1755">
            <w:pPr>
              <w:tabs>
                <w:tab w:val="left" w:pos="360"/>
              </w:tabs>
              <w:suppressAutoHyphens/>
              <w:spacing w:after="0" w:line="240" w:lineRule="auto"/>
              <w:jc w:val="right"/>
              <w:rPr>
                <w:rFonts w:ascii="Arial" w:hAnsi="Arial" w:cs="Arial"/>
                <w:sz w:val="20"/>
                <w:szCs w:val="20"/>
                <w:lang w:val="en-CA"/>
              </w:rPr>
            </w:pPr>
          </w:p>
        </w:tc>
        <w:tc>
          <w:tcPr>
            <w:tcW w:w="324" w:type="dxa"/>
            <w:tcBorders>
              <w:top w:val="single" w:sz="12" w:space="0" w:color="auto"/>
            </w:tcBorders>
            <w:shd w:val="clear" w:color="auto" w:fill="auto"/>
          </w:tcPr>
          <w:p w14:paraId="6BFC5030"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1755" w:type="dxa"/>
            <w:tcBorders>
              <w:top w:val="single" w:sz="12" w:space="0" w:color="auto"/>
            </w:tcBorders>
            <w:shd w:val="clear" w:color="auto" w:fill="auto"/>
            <w:vAlign w:val="bottom"/>
          </w:tcPr>
          <w:p w14:paraId="499D2338" w14:textId="77777777" w:rsidR="00732B04" w:rsidRPr="00DA4360" w:rsidRDefault="00732B04" w:rsidP="004A1755">
            <w:pPr>
              <w:tabs>
                <w:tab w:val="left" w:pos="360"/>
              </w:tabs>
              <w:suppressAutoHyphens/>
              <w:spacing w:after="0" w:line="240" w:lineRule="auto"/>
              <w:jc w:val="right"/>
              <w:rPr>
                <w:rFonts w:ascii="Arial" w:hAnsi="Arial" w:cs="Arial"/>
                <w:sz w:val="20"/>
                <w:szCs w:val="20"/>
                <w:lang w:val="en-CA"/>
              </w:rPr>
            </w:pPr>
          </w:p>
        </w:tc>
      </w:tr>
      <w:tr w:rsidR="003E0848" w:rsidRPr="00DA4360" w14:paraId="3F12A792" w14:textId="77777777" w:rsidTr="004A1755">
        <w:trPr>
          <w:trHeight w:val="113"/>
        </w:trPr>
        <w:tc>
          <w:tcPr>
            <w:tcW w:w="4590" w:type="dxa"/>
            <w:gridSpan w:val="4"/>
            <w:shd w:val="clear" w:color="auto" w:fill="auto"/>
          </w:tcPr>
          <w:p w14:paraId="05761AE8" w14:textId="77777777" w:rsidR="00770FCE" w:rsidRPr="00DA4360" w:rsidRDefault="00770FCE" w:rsidP="003F6F1A">
            <w:pPr>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Net cash used in operating activities</w:t>
            </w:r>
          </w:p>
        </w:tc>
        <w:tc>
          <w:tcPr>
            <w:tcW w:w="504" w:type="dxa"/>
            <w:shd w:val="clear" w:color="auto" w:fill="auto"/>
          </w:tcPr>
          <w:p w14:paraId="1EF2DB60"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65D6A1FA"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1837" w:type="dxa"/>
            <w:shd w:val="clear" w:color="auto" w:fill="auto"/>
            <w:vAlign w:val="bottom"/>
          </w:tcPr>
          <w:p w14:paraId="7610E52F" w14:textId="0B9F8FAA" w:rsidR="00770FCE" w:rsidRPr="00DA4360" w:rsidRDefault="001A0D67" w:rsidP="001A0D67">
            <w:pPr>
              <w:tabs>
                <w:tab w:val="left" w:pos="360"/>
              </w:tabs>
              <w:suppressAutoHyphens/>
              <w:spacing w:after="0" w:line="240" w:lineRule="auto"/>
              <w:ind w:right="-48"/>
              <w:jc w:val="right"/>
              <w:rPr>
                <w:rFonts w:ascii="Arial" w:hAnsi="Arial" w:cs="Arial"/>
                <w:b/>
                <w:sz w:val="20"/>
                <w:szCs w:val="20"/>
                <w:lang w:val="en-CA"/>
              </w:rPr>
            </w:pPr>
            <w:r>
              <w:rPr>
                <w:rFonts w:ascii="Arial" w:hAnsi="Arial" w:cs="Arial"/>
                <w:b/>
                <w:sz w:val="20"/>
                <w:szCs w:val="20"/>
                <w:lang w:val="en-CA"/>
              </w:rPr>
              <w:t xml:space="preserve">  </w:t>
            </w:r>
            <w:r w:rsidR="00D547E2">
              <w:rPr>
                <w:rFonts w:ascii="Arial" w:hAnsi="Arial" w:cs="Arial"/>
                <w:b/>
                <w:sz w:val="20"/>
                <w:szCs w:val="20"/>
                <w:lang w:val="en-CA"/>
              </w:rPr>
              <w:t>(1,819,670)</w:t>
            </w:r>
          </w:p>
        </w:tc>
        <w:tc>
          <w:tcPr>
            <w:tcW w:w="324" w:type="dxa"/>
            <w:shd w:val="clear" w:color="auto" w:fill="auto"/>
          </w:tcPr>
          <w:p w14:paraId="01353576"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c>
          <w:tcPr>
            <w:tcW w:w="1755" w:type="dxa"/>
            <w:shd w:val="clear" w:color="auto" w:fill="auto"/>
            <w:vAlign w:val="bottom"/>
          </w:tcPr>
          <w:p w14:paraId="7150AD3B" w14:textId="37436D1F" w:rsidR="00770FCE" w:rsidRPr="00DA4360" w:rsidRDefault="00D547E2" w:rsidP="001A0D67">
            <w:pPr>
              <w:tabs>
                <w:tab w:val="left" w:pos="360"/>
              </w:tabs>
              <w:suppressAutoHyphens/>
              <w:spacing w:after="0" w:line="240" w:lineRule="auto"/>
              <w:ind w:right="-55"/>
              <w:jc w:val="right"/>
              <w:rPr>
                <w:rFonts w:ascii="Arial" w:hAnsi="Arial" w:cs="Arial"/>
                <w:sz w:val="20"/>
                <w:szCs w:val="20"/>
                <w:lang w:val="en-CA"/>
              </w:rPr>
            </w:pPr>
            <w:r>
              <w:rPr>
                <w:rFonts w:ascii="Arial" w:hAnsi="Arial" w:cs="Arial"/>
                <w:sz w:val="20"/>
                <w:szCs w:val="20"/>
                <w:lang w:val="en-CA"/>
              </w:rPr>
              <w:t>(3,129,583)</w:t>
            </w:r>
          </w:p>
        </w:tc>
      </w:tr>
      <w:tr w:rsidR="003E0848" w:rsidRPr="00DA4360" w14:paraId="3C56A271" w14:textId="77777777" w:rsidTr="004A1755">
        <w:trPr>
          <w:trHeight w:val="113"/>
        </w:trPr>
        <w:tc>
          <w:tcPr>
            <w:tcW w:w="2256" w:type="dxa"/>
            <w:shd w:val="clear" w:color="auto" w:fill="auto"/>
          </w:tcPr>
          <w:p w14:paraId="49B36A13" w14:textId="77777777" w:rsidR="00732B04" w:rsidRPr="00DA4360" w:rsidRDefault="00732B04" w:rsidP="003F6F1A">
            <w:pPr>
              <w:pStyle w:val="ColorfulList-Accent11"/>
              <w:tabs>
                <w:tab w:val="left" w:pos="360"/>
              </w:tabs>
              <w:suppressAutoHyphens/>
              <w:ind w:left="360"/>
              <w:rPr>
                <w:rFonts w:ascii="Arial" w:hAnsi="Arial" w:cs="Arial"/>
                <w:sz w:val="20"/>
                <w:szCs w:val="20"/>
                <w:lang w:val="en-CA"/>
              </w:rPr>
            </w:pPr>
          </w:p>
        </w:tc>
        <w:tc>
          <w:tcPr>
            <w:tcW w:w="323" w:type="dxa"/>
            <w:shd w:val="clear" w:color="auto" w:fill="auto"/>
          </w:tcPr>
          <w:p w14:paraId="02F9332C"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688" w:type="dxa"/>
            <w:shd w:val="clear" w:color="auto" w:fill="auto"/>
          </w:tcPr>
          <w:p w14:paraId="2D2CD16A"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shd w:val="clear" w:color="auto" w:fill="auto"/>
          </w:tcPr>
          <w:p w14:paraId="2B6A8C5A"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504" w:type="dxa"/>
            <w:shd w:val="clear" w:color="auto" w:fill="auto"/>
          </w:tcPr>
          <w:p w14:paraId="3197360F"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11019D5E"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shd w:val="clear" w:color="auto" w:fill="auto"/>
            <w:vAlign w:val="bottom"/>
          </w:tcPr>
          <w:p w14:paraId="05FED04E"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4" w:type="dxa"/>
            <w:shd w:val="clear" w:color="auto" w:fill="auto"/>
          </w:tcPr>
          <w:p w14:paraId="1B89F9CF"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1755" w:type="dxa"/>
            <w:shd w:val="clear" w:color="auto" w:fill="auto"/>
            <w:vAlign w:val="bottom"/>
          </w:tcPr>
          <w:p w14:paraId="174139E4"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r>
      <w:tr w:rsidR="003E0848" w:rsidRPr="00DA4360" w14:paraId="4E328BA4" w14:textId="77777777" w:rsidTr="004A1755">
        <w:trPr>
          <w:trHeight w:val="113"/>
        </w:trPr>
        <w:tc>
          <w:tcPr>
            <w:tcW w:w="4267" w:type="dxa"/>
            <w:gridSpan w:val="3"/>
            <w:shd w:val="clear" w:color="auto" w:fill="auto"/>
            <w:vAlign w:val="bottom"/>
          </w:tcPr>
          <w:p w14:paraId="62A28EE2" w14:textId="77777777" w:rsidR="00770FCE" w:rsidRPr="00DA4360" w:rsidRDefault="00770FCE" w:rsidP="003F6F1A">
            <w:pPr>
              <w:tabs>
                <w:tab w:val="left" w:pos="360"/>
              </w:tabs>
              <w:suppressAutoHyphens/>
              <w:spacing w:after="0" w:line="240" w:lineRule="auto"/>
              <w:rPr>
                <w:rFonts w:ascii="Arial" w:hAnsi="Arial" w:cs="Arial"/>
                <w:b/>
                <w:sz w:val="20"/>
                <w:szCs w:val="20"/>
                <w:lang w:val="en-CA"/>
              </w:rPr>
            </w:pPr>
            <w:r w:rsidRPr="00DA4360">
              <w:rPr>
                <w:rFonts w:ascii="Arial" w:hAnsi="Arial" w:cs="Arial"/>
                <w:sz w:val="20"/>
                <w:szCs w:val="20"/>
                <w:lang w:val="en-CA"/>
              </w:rPr>
              <w:t>Net cash used in investing activities</w:t>
            </w:r>
          </w:p>
        </w:tc>
        <w:tc>
          <w:tcPr>
            <w:tcW w:w="323" w:type="dxa"/>
            <w:shd w:val="clear" w:color="auto" w:fill="auto"/>
          </w:tcPr>
          <w:p w14:paraId="11505908"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504" w:type="dxa"/>
            <w:shd w:val="clear" w:color="auto" w:fill="auto"/>
          </w:tcPr>
          <w:p w14:paraId="52745515"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53F0E3EA"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p>
        </w:tc>
        <w:tc>
          <w:tcPr>
            <w:tcW w:w="1837" w:type="dxa"/>
            <w:shd w:val="clear" w:color="auto" w:fill="auto"/>
            <w:vAlign w:val="bottom"/>
          </w:tcPr>
          <w:p w14:paraId="5B646751" w14:textId="6396DDDA" w:rsidR="00770FCE" w:rsidRPr="00DA4360" w:rsidRDefault="00D547E2" w:rsidP="001A0D67">
            <w:pPr>
              <w:tabs>
                <w:tab w:val="left" w:pos="360"/>
              </w:tabs>
              <w:suppressAutoHyphens/>
              <w:spacing w:after="0" w:line="240" w:lineRule="auto"/>
              <w:ind w:right="-57"/>
              <w:jc w:val="right"/>
              <w:rPr>
                <w:rFonts w:ascii="Arial" w:hAnsi="Arial" w:cs="Arial"/>
                <w:b/>
                <w:sz w:val="20"/>
                <w:szCs w:val="20"/>
                <w:lang w:val="en-CA"/>
              </w:rPr>
            </w:pPr>
            <w:r>
              <w:rPr>
                <w:rFonts w:ascii="Arial" w:hAnsi="Arial" w:cs="Arial"/>
                <w:b/>
                <w:sz w:val="20"/>
                <w:szCs w:val="20"/>
                <w:lang w:val="en-CA"/>
              </w:rPr>
              <w:t>(629,636)</w:t>
            </w:r>
          </w:p>
        </w:tc>
        <w:tc>
          <w:tcPr>
            <w:tcW w:w="324" w:type="dxa"/>
            <w:shd w:val="clear" w:color="auto" w:fill="auto"/>
          </w:tcPr>
          <w:p w14:paraId="35DC6A10"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1755" w:type="dxa"/>
            <w:shd w:val="clear" w:color="auto" w:fill="auto"/>
            <w:vAlign w:val="bottom"/>
          </w:tcPr>
          <w:p w14:paraId="63DDC745" w14:textId="7D9A4944" w:rsidR="00770FCE" w:rsidRPr="00DA4360" w:rsidRDefault="00D547E2" w:rsidP="001A0D67">
            <w:pPr>
              <w:tabs>
                <w:tab w:val="left" w:pos="360"/>
              </w:tabs>
              <w:suppressAutoHyphens/>
              <w:spacing w:after="0" w:line="240" w:lineRule="auto"/>
              <w:ind w:right="-46"/>
              <w:jc w:val="right"/>
              <w:rPr>
                <w:rFonts w:ascii="Arial" w:hAnsi="Arial" w:cs="Arial"/>
                <w:sz w:val="20"/>
                <w:szCs w:val="20"/>
                <w:lang w:val="en-CA"/>
              </w:rPr>
            </w:pPr>
            <w:r>
              <w:rPr>
                <w:rFonts w:ascii="Arial" w:hAnsi="Arial" w:cs="Arial"/>
                <w:sz w:val="20"/>
                <w:szCs w:val="20"/>
                <w:lang w:val="en-CA"/>
              </w:rPr>
              <w:t>(100,227</w:t>
            </w:r>
            <w:bookmarkStart w:id="4" w:name="_GoBack"/>
            <w:bookmarkEnd w:id="4"/>
            <w:r>
              <w:rPr>
                <w:rFonts w:ascii="Arial" w:hAnsi="Arial" w:cs="Arial"/>
                <w:sz w:val="20"/>
                <w:szCs w:val="20"/>
                <w:lang w:val="en-CA"/>
              </w:rPr>
              <w:t>)</w:t>
            </w:r>
          </w:p>
        </w:tc>
      </w:tr>
      <w:tr w:rsidR="003E0848" w:rsidRPr="00DA4360" w14:paraId="55E01EDF" w14:textId="77777777" w:rsidTr="004A1755">
        <w:trPr>
          <w:trHeight w:val="113"/>
        </w:trPr>
        <w:tc>
          <w:tcPr>
            <w:tcW w:w="2256" w:type="dxa"/>
            <w:shd w:val="clear" w:color="auto" w:fill="auto"/>
          </w:tcPr>
          <w:p w14:paraId="0423E9CC"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shd w:val="clear" w:color="auto" w:fill="auto"/>
          </w:tcPr>
          <w:p w14:paraId="70CCFB11"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688" w:type="dxa"/>
            <w:shd w:val="clear" w:color="auto" w:fill="auto"/>
          </w:tcPr>
          <w:p w14:paraId="02C8B1B7"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shd w:val="clear" w:color="auto" w:fill="auto"/>
          </w:tcPr>
          <w:p w14:paraId="68567ABE"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504" w:type="dxa"/>
            <w:shd w:val="clear" w:color="auto" w:fill="auto"/>
          </w:tcPr>
          <w:p w14:paraId="58AFACE2"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66882D1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shd w:val="clear" w:color="auto" w:fill="auto"/>
            <w:vAlign w:val="bottom"/>
          </w:tcPr>
          <w:p w14:paraId="1137E1F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4" w:type="dxa"/>
            <w:shd w:val="clear" w:color="auto" w:fill="auto"/>
          </w:tcPr>
          <w:p w14:paraId="27E59E0C"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1755" w:type="dxa"/>
            <w:shd w:val="clear" w:color="auto" w:fill="auto"/>
            <w:vAlign w:val="bottom"/>
          </w:tcPr>
          <w:p w14:paraId="2EED04DB"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r>
      <w:tr w:rsidR="003E0848" w:rsidRPr="00DA4360" w14:paraId="24684AFD" w14:textId="77777777" w:rsidTr="004A1755">
        <w:trPr>
          <w:trHeight w:val="113"/>
        </w:trPr>
        <w:tc>
          <w:tcPr>
            <w:tcW w:w="4267" w:type="dxa"/>
            <w:gridSpan w:val="3"/>
            <w:tcBorders>
              <w:bottom w:val="single" w:sz="4" w:space="0" w:color="auto"/>
            </w:tcBorders>
            <w:shd w:val="clear" w:color="auto" w:fill="auto"/>
            <w:vAlign w:val="bottom"/>
          </w:tcPr>
          <w:p w14:paraId="120D3EA3" w14:textId="77777777" w:rsidR="00770FCE" w:rsidRPr="00DA4360" w:rsidRDefault="00770FCE" w:rsidP="003F6F1A">
            <w:pPr>
              <w:tabs>
                <w:tab w:val="left" w:pos="360"/>
              </w:tabs>
              <w:suppressAutoHyphens/>
              <w:spacing w:after="0" w:line="240" w:lineRule="auto"/>
              <w:rPr>
                <w:rFonts w:ascii="Arial" w:hAnsi="Arial" w:cs="Arial"/>
                <w:b/>
                <w:sz w:val="20"/>
                <w:szCs w:val="20"/>
                <w:lang w:val="en-CA"/>
              </w:rPr>
            </w:pPr>
            <w:r w:rsidRPr="00DA4360">
              <w:rPr>
                <w:rFonts w:ascii="Arial" w:hAnsi="Arial" w:cs="Arial"/>
                <w:sz w:val="20"/>
                <w:szCs w:val="20"/>
                <w:lang w:val="en-CA"/>
              </w:rPr>
              <w:t>Net cash provided by financing activities</w:t>
            </w:r>
          </w:p>
        </w:tc>
        <w:tc>
          <w:tcPr>
            <w:tcW w:w="323" w:type="dxa"/>
            <w:tcBorders>
              <w:bottom w:val="single" w:sz="4" w:space="0" w:color="auto"/>
            </w:tcBorders>
            <w:shd w:val="clear" w:color="auto" w:fill="auto"/>
          </w:tcPr>
          <w:p w14:paraId="21289CBA"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504" w:type="dxa"/>
            <w:tcBorders>
              <w:bottom w:val="single" w:sz="4" w:space="0" w:color="auto"/>
            </w:tcBorders>
            <w:shd w:val="clear" w:color="auto" w:fill="auto"/>
          </w:tcPr>
          <w:p w14:paraId="2E11572D"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323" w:type="dxa"/>
            <w:tcBorders>
              <w:bottom w:val="single" w:sz="4" w:space="0" w:color="auto"/>
            </w:tcBorders>
            <w:shd w:val="clear" w:color="auto" w:fill="auto"/>
          </w:tcPr>
          <w:p w14:paraId="6A4A1763"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p>
        </w:tc>
        <w:tc>
          <w:tcPr>
            <w:tcW w:w="1837" w:type="dxa"/>
            <w:tcBorders>
              <w:bottom w:val="single" w:sz="4" w:space="0" w:color="auto"/>
            </w:tcBorders>
            <w:shd w:val="clear" w:color="auto" w:fill="auto"/>
            <w:vAlign w:val="bottom"/>
          </w:tcPr>
          <w:p w14:paraId="37701A17" w14:textId="61ECB97E" w:rsidR="00770FCE" w:rsidRPr="00DA4360" w:rsidRDefault="00D547E2" w:rsidP="003F6F1A">
            <w:pPr>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2,470,216</w:t>
            </w:r>
          </w:p>
        </w:tc>
        <w:tc>
          <w:tcPr>
            <w:tcW w:w="324" w:type="dxa"/>
            <w:tcBorders>
              <w:bottom w:val="single" w:sz="4" w:space="0" w:color="auto"/>
            </w:tcBorders>
            <w:shd w:val="clear" w:color="auto" w:fill="auto"/>
          </w:tcPr>
          <w:p w14:paraId="62A5B820"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w:t>
            </w:r>
          </w:p>
        </w:tc>
        <w:tc>
          <w:tcPr>
            <w:tcW w:w="1755" w:type="dxa"/>
            <w:tcBorders>
              <w:bottom w:val="single" w:sz="4" w:space="0" w:color="auto"/>
            </w:tcBorders>
            <w:shd w:val="clear" w:color="auto" w:fill="auto"/>
            <w:vAlign w:val="bottom"/>
          </w:tcPr>
          <w:p w14:paraId="0A958051" w14:textId="22D7C49E" w:rsidR="00770FCE" w:rsidRPr="00DA4360" w:rsidRDefault="00D547E2" w:rsidP="003F6F1A">
            <w:pPr>
              <w:tabs>
                <w:tab w:val="left" w:pos="360"/>
              </w:tabs>
              <w:suppressAutoHyphens/>
              <w:spacing w:after="0" w:line="240" w:lineRule="auto"/>
              <w:jc w:val="right"/>
              <w:rPr>
                <w:rFonts w:ascii="Arial" w:hAnsi="Arial" w:cs="Arial"/>
                <w:sz w:val="20"/>
                <w:szCs w:val="20"/>
                <w:lang w:val="en-CA"/>
              </w:rPr>
            </w:pPr>
            <w:r>
              <w:rPr>
                <w:rFonts w:ascii="Arial" w:hAnsi="Arial" w:cs="Arial"/>
                <w:sz w:val="20"/>
                <w:szCs w:val="20"/>
                <w:lang w:val="en-CA"/>
              </w:rPr>
              <w:t>3,509,602</w:t>
            </w:r>
          </w:p>
        </w:tc>
      </w:tr>
      <w:tr w:rsidR="003E0848" w:rsidRPr="00DA4360" w14:paraId="3DC88D03" w14:textId="77777777" w:rsidTr="004A1755">
        <w:tc>
          <w:tcPr>
            <w:tcW w:w="2256" w:type="dxa"/>
            <w:tcBorders>
              <w:top w:val="single" w:sz="4" w:space="0" w:color="auto"/>
            </w:tcBorders>
            <w:shd w:val="clear" w:color="auto" w:fill="auto"/>
          </w:tcPr>
          <w:p w14:paraId="5011A227"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tcBorders>
              <w:top w:val="single" w:sz="4" w:space="0" w:color="auto"/>
            </w:tcBorders>
            <w:shd w:val="clear" w:color="auto" w:fill="auto"/>
          </w:tcPr>
          <w:p w14:paraId="4F868EA1"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688" w:type="dxa"/>
            <w:tcBorders>
              <w:top w:val="single" w:sz="4" w:space="0" w:color="auto"/>
            </w:tcBorders>
            <w:shd w:val="clear" w:color="auto" w:fill="auto"/>
          </w:tcPr>
          <w:p w14:paraId="781A95DE"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tcBorders>
              <w:top w:val="single" w:sz="4" w:space="0" w:color="auto"/>
            </w:tcBorders>
            <w:shd w:val="clear" w:color="auto" w:fill="auto"/>
          </w:tcPr>
          <w:p w14:paraId="2EF46E9E"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504" w:type="dxa"/>
            <w:tcBorders>
              <w:top w:val="single" w:sz="4" w:space="0" w:color="auto"/>
            </w:tcBorders>
            <w:shd w:val="clear" w:color="auto" w:fill="auto"/>
          </w:tcPr>
          <w:p w14:paraId="72447EBC"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tcBorders>
              <w:top w:val="single" w:sz="4" w:space="0" w:color="auto"/>
            </w:tcBorders>
            <w:shd w:val="clear" w:color="auto" w:fill="auto"/>
          </w:tcPr>
          <w:p w14:paraId="48BEDC3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tcBorders>
              <w:top w:val="single" w:sz="4" w:space="0" w:color="auto"/>
            </w:tcBorders>
            <w:shd w:val="clear" w:color="auto" w:fill="auto"/>
            <w:vAlign w:val="bottom"/>
          </w:tcPr>
          <w:p w14:paraId="5D1430BB"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4" w:type="dxa"/>
            <w:tcBorders>
              <w:top w:val="single" w:sz="4" w:space="0" w:color="auto"/>
            </w:tcBorders>
            <w:shd w:val="clear" w:color="auto" w:fill="auto"/>
          </w:tcPr>
          <w:p w14:paraId="6A9E5996"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1755" w:type="dxa"/>
            <w:tcBorders>
              <w:top w:val="single" w:sz="4" w:space="0" w:color="auto"/>
            </w:tcBorders>
            <w:shd w:val="clear" w:color="auto" w:fill="auto"/>
            <w:vAlign w:val="bottom"/>
          </w:tcPr>
          <w:p w14:paraId="57DFBFA9"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r>
      <w:tr w:rsidR="003E0848" w:rsidRPr="00DA4360" w14:paraId="10C25B80" w14:textId="77777777" w:rsidTr="004A1755">
        <w:tc>
          <w:tcPr>
            <w:tcW w:w="2256" w:type="dxa"/>
            <w:tcBorders>
              <w:bottom w:val="single" w:sz="18" w:space="0" w:color="auto"/>
            </w:tcBorders>
            <w:shd w:val="clear" w:color="auto" w:fill="auto"/>
          </w:tcPr>
          <w:p w14:paraId="51D68507" w14:textId="77777777" w:rsidR="00732B04" w:rsidRPr="00DA4360" w:rsidRDefault="00C112A5" w:rsidP="003F6F1A">
            <w:pPr>
              <w:tabs>
                <w:tab w:val="left" w:pos="360"/>
              </w:tabs>
              <w:spacing w:after="0" w:line="240" w:lineRule="auto"/>
              <w:rPr>
                <w:rFonts w:ascii="Arial" w:hAnsi="Arial" w:cs="Arial"/>
                <w:sz w:val="20"/>
                <w:szCs w:val="20"/>
                <w:lang w:val="en-CA"/>
              </w:rPr>
            </w:pPr>
            <w:r w:rsidRPr="00DA4360">
              <w:rPr>
                <w:rFonts w:ascii="Arial" w:hAnsi="Arial" w:cs="Arial"/>
                <w:sz w:val="20"/>
                <w:szCs w:val="20"/>
                <w:lang w:val="en-CA"/>
              </w:rPr>
              <w:t>Increase</w:t>
            </w:r>
            <w:r w:rsidR="00732B04" w:rsidRPr="00DA4360">
              <w:rPr>
                <w:rFonts w:ascii="Arial" w:hAnsi="Arial" w:cs="Arial"/>
                <w:sz w:val="20"/>
                <w:szCs w:val="20"/>
                <w:lang w:val="en-CA"/>
              </w:rPr>
              <w:t xml:space="preserve"> in cash</w:t>
            </w:r>
          </w:p>
        </w:tc>
        <w:tc>
          <w:tcPr>
            <w:tcW w:w="323" w:type="dxa"/>
            <w:tcBorders>
              <w:bottom w:val="single" w:sz="18" w:space="0" w:color="auto"/>
            </w:tcBorders>
            <w:shd w:val="clear" w:color="auto" w:fill="auto"/>
          </w:tcPr>
          <w:p w14:paraId="2DBA4EB0" w14:textId="77777777" w:rsidR="00732B04" w:rsidRPr="00DA4360" w:rsidRDefault="00732B04" w:rsidP="003F6F1A">
            <w:pPr>
              <w:spacing w:after="0" w:line="240" w:lineRule="auto"/>
              <w:jc w:val="both"/>
              <w:rPr>
                <w:rFonts w:ascii="Arial" w:hAnsi="Arial" w:cs="Arial"/>
                <w:b/>
                <w:sz w:val="20"/>
                <w:szCs w:val="20"/>
                <w:lang w:val="en-CA"/>
              </w:rPr>
            </w:pPr>
          </w:p>
        </w:tc>
        <w:tc>
          <w:tcPr>
            <w:tcW w:w="1688" w:type="dxa"/>
            <w:tcBorders>
              <w:bottom w:val="single" w:sz="18" w:space="0" w:color="auto"/>
            </w:tcBorders>
            <w:shd w:val="clear" w:color="auto" w:fill="auto"/>
          </w:tcPr>
          <w:p w14:paraId="5F69740D" w14:textId="77777777" w:rsidR="00732B04" w:rsidRPr="00DA4360" w:rsidRDefault="00732B04" w:rsidP="003F6F1A">
            <w:pPr>
              <w:spacing w:after="0" w:line="240" w:lineRule="auto"/>
              <w:jc w:val="right"/>
              <w:rPr>
                <w:rFonts w:ascii="Arial" w:hAnsi="Arial" w:cs="Arial"/>
                <w:b/>
                <w:sz w:val="20"/>
                <w:szCs w:val="20"/>
                <w:lang w:val="en-CA"/>
              </w:rPr>
            </w:pPr>
          </w:p>
        </w:tc>
        <w:tc>
          <w:tcPr>
            <w:tcW w:w="323" w:type="dxa"/>
            <w:tcBorders>
              <w:bottom w:val="single" w:sz="18" w:space="0" w:color="auto"/>
            </w:tcBorders>
            <w:shd w:val="clear" w:color="auto" w:fill="auto"/>
          </w:tcPr>
          <w:p w14:paraId="6B9606D0" w14:textId="77777777" w:rsidR="00732B04" w:rsidRPr="00DA4360" w:rsidRDefault="00732B04" w:rsidP="003F6F1A">
            <w:pPr>
              <w:spacing w:after="0" w:line="240" w:lineRule="auto"/>
              <w:jc w:val="both"/>
              <w:rPr>
                <w:rFonts w:ascii="Arial" w:hAnsi="Arial" w:cs="Arial"/>
                <w:sz w:val="20"/>
                <w:szCs w:val="20"/>
                <w:lang w:val="en-CA"/>
              </w:rPr>
            </w:pPr>
          </w:p>
        </w:tc>
        <w:tc>
          <w:tcPr>
            <w:tcW w:w="504" w:type="dxa"/>
            <w:tcBorders>
              <w:bottom w:val="single" w:sz="18" w:space="0" w:color="auto"/>
            </w:tcBorders>
            <w:shd w:val="clear" w:color="auto" w:fill="auto"/>
          </w:tcPr>
          <w:p w14:paraId="75904F92"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tcBorders>
              <w:bottom w:val="single" w:sz="18" w:space="0" w:color="auto"/>
            </w:tcBorders>
            <w:shd w:val="clear" w:color="auto" w:fill="auto"/>
          </w:tcPr>
          <w:p w14:paraId="3C49978A" w14:textId="77777777" w:rsidR="00732B04" w:rsidRPr="00DA4360" w:rsidRDefault="00732B04" w:rsidP="003F6F1A">
            <w:pPr>
              <w:tabs>
                <w:tab w:val="left" w:pos="360"/>
              </w:tabs>
              <w:suppressAutoHyphens/>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1837" w:type="dxa"/>
            <w:tcBorders>
              <w:bottom w:val="single" w:sz="18" w:space="0" w:color="auto"/>
            </w:tcBorders>
            <w:shd w:val="clear" w:color="auto" w:fill="auto"/>
            <w:vAlign w:val="bottom"/>
          </w:tcPr>
          <w:p w14:paraId="6E475A94" w14:textId="238493F2" w:rsidR="00732B04" w:rsidRPr="00DA4360" w:rsidRDefault="00D547E2" w:rsidP="003F6F1A">
            <w:pPr>
              <w:tabs>
                <w:tab w:val="left" w:pos="360"/>
              </w:tabs>
              <w:suppressAutoHyphens/>
              <w:spacing w:after="0" w:line="240" w:lineRule="auto"/>
              <w:jc w:val="right"/>
              <w:rPr>
                <w:rFonts w:ascii="Arial" w:hAnsi="Arial" w:cs="Arial"/>
                <w:b/>
                <w:sz w:val="20"/>
                <w:szCs w:val="20"/>
                <w:lang w:val="en-CA"/>
              </w:rPr>
            </w:pPr>
            <w:r>
              <w:rPr>
                <w:rFonts w:ascii="Arial" w:hAnsi="Arial" w:cs="Arial"/>
                <w:b/>
                <w:sz w:val="20"/>
                <w:szCs w:val="20"/>
                <w:lang w:val="en-CA"/>
              </w:rPr>
              <w:t>20,910</w:t>
            </w:r>
          </w:p>
        </w:tc>
        <w:tc>
          <w:tcPr>
            <w:tcW w:w="324" w:type="dxa"/>
            <w:tcBorders>
              <w:bottom w:val="single" w:sz="18" w:space="0" w:color="auto"/>
            </w:tcBorders>
            <w:shd w:val="clear" w:color="auto" w:fill="auto"/>
          </w:tcPr>
          <w:p w14:paraId="426ACA9D"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755" w:type="dxa"/>
            <w:tcBorders>
              <w:bottom w:val="single" w:sz="18" w:space="0" w:color="auto"/>
            </w:tcBorders>
            <w:shd w:val="clear" w:color="auto" w:fill="auto"/>
            <w:vAlign w:val="bottom"/>
          </w:tcPr>
          <w:p w14:paraId="15EBC3C7" w14:textId="712EEBEA" w:rsidR="00732B04" w:rsidRPr="00DA4360" w:rsidRDefault="00D547E2" w:rsidP="003F6F1A">
            <w:pPr>
              <w:tabs>
                <w:tab w:val="left" w:pos="360"/>
              </w:tabs>
              <w:suppressAutoHyphens/>
              <w:spacing w:after="0" w:line="240" w:lineRule="auto"/>
              <w:jc w:val="right"/>
              <w:rPr>
                <w:rFonts w:ascii="Arial" w:hAnsi="Arial" w:cs="Arial"/>
                <w:sz w:val="20"/>
                <w:szCs w:val="20"/>
                <w:lang w:val="en-CA"/>
              </w:rPr>
            </w:pPr>
            <w:r>
              <w:rPr>
                <w:rFonts w:ascii="Arial" w:hAnsi="Arial" w:cs="Arial"/>
                <w:sz w:val="20"/>
                <w:szCs w:val="20"/>
                <w:lang w:val="en-CA"/>
              </w:rPr>
              <w:t>279,792</w:t>
            </w:r>
          </w:p>
        </w:tc>
      </w:tr>
    </w:tbl>
    <w:p w14:paraId="0B3CE571" w14:textId="77777777" w:rsidR="00FC3890" w:rsidRPr="003052EF" w:rsidRDefault="00FC3890" w:rsidP="003F6F1A">
      <w:pPr>
        <w:spacing w:after="0"/>
        <w:jc w:val="both"/>
        <w:rPr>
          <w:rFonts w:ascii="Arial" w:hAnsi="Arial" w:cs="Arial"/>
          <w:color w:val="000000"/>
          <w:sz w:val="20"/>
          <w:szCs w:val="20"/>
        </w:rPr>
      </w:pPr>
    </w:p>
    <w:p w14:paraId="3A3ACC69" w14:textId="3F24B3DA" w:rsidR="00732B04" w:rsidRPr="003052EF" w:rsidRDefault="00732B04" w:rsidP="003F6F1A">
      <w:pPr>
        <w:keepNext/>
        <w:tabs>
          <w:tab w:val="left" w:pos="540"/>
        </w:tabs>
        <w:suppressAutoHyphens/>
        <w:spacing w:line="276" w:lineRule="auto"/>
        <w:rPr>
          <w:rFonts w:ascii="Arial" w:hAnsi="Arial" w:cs="Arial"/>
          <w:sz w:val="20"/>
          <w:szCs w:val="20"/>
          <w:u w:val="single"/>
        </w:rPr>
      </w:pPr>
      <w:r w:rsidRPr="003052EF">
        <w:rPr>
          <w:rFonts w:ascii="Arial" w:hAnsi="Arial" w:cs="Arial"/>
          <w:sz w:val="20"/>
          <w:szCs w:val="20"/>
          <w:u w:val="single"/>
        </w:rPr>
        <w:t xml:space="preserve">Review of cash flow </w:t>
      </w:r>
      <w:r w:rsidR="003052EF" w:rsidRPr="003052EF">
        <w:rPr>
          <w:rFonts w:ascii="Arial" w:hAnsi="Arial" w:cs="Arial"/>
          <w:sz w:val="20"/>
          <w:szCs w:val="20"/>
          <w:u w:val="single"/>
        </w:rPr>
        <w:t xml:space="preserve">YTD </w:t>
      </w:r>
      <w:r w:rsidRPr="003052EF">
        <w:rPr>
          <w:rFonts w:ascii="Arial" w:hAnsi="Arial" w:cs="Arial"/>
          <w:sz w:val="20"/>
          <w:szCs w:val="20"/>
          <w:u w:val="single"/>
        </w:rPr>
        <w:t>201</w:t>
      </w:r>
      <w:r w:rsidR="003C5740" w:rsidRPr="003052EF">
        <w:rPr>
          <w:rFonts w:ascii="Arial" w:hAnsi="Arial" w:cs="Arial"/>
          <w:sz w:val="20"/>
          <w:szCs w:val="20"/>
          <w:u w:val="single"/>
        </w:rPr>
        <w:t>9</w:t>
      </w:r>
      <w:r w:rsidRPr="003052EF">
        <w:rPr>
          <w:rFonts w:ascii="Arial" w:hAnsi="Arial" w:cs="Arial"/>
          <w:sz w:val="20"/>
          <w:szCs w:val="20"/>
          <w:u w:val="single"/>
        </w:rPr>
        <w:t xml:space="preserve"> compared to </w:t>
      </w:r>
      <w:r w:rsidR="003052EF" w:rsidRPr="003052EF">
        <w:rPr>
          <w:rFonts w:ascii="Arial" w:hAnsi="Arial" w:cs="Arial"/>
          <w:sz w:val="20"/>
          <w:szCs w:val="20"/>
          <w:u w:val="single"/>
        </w:rPr>
        <w:t>YTD</w:t>
      </w:r>
      <w:r w:rsidRPr="003052EF">
        <w:rPr>
          <w:rFonts w:ascii="Arial" w:hAnsi="Arial" w:cs="Arial"/>
          <w:sz w:val="20"/>
          <w:szCs w:val="20"/>
          <w:u w:val="single"/>
        </w:rPr>
        <w:t xml:space="preserve"> 201</w:t>
      </w:r>
      <w:r w:rsidR="003C5740" w:rsidRPr="003052EF">
        <w:rPr>
          <w:rFonts w:ascii="Arial" w:hAnsi="Arial" w:cs="Arial"/>
          <w:sz w:val="20"/>
          <w:szCs w:val="20"/>
          <w:u w:val="single"/>
        </w:rPr>
        <w:t>8</w:t>
      </w:r>
      <w:r w:rsidR="00987B43" w:rsidRPr="003052EF">
        <w:rPr>
          <w:rFonts w:ascii="Arial" w:hAnsi="Arial" w:cs="Arial"/>
          <w:sz w:val="20"/>
          <w:szCs w:val="20"/>
          <w:u w:val="single"/>
        </w:rPr>
        <w:t>:</w:t>
      </w:r>
      <w:r w:rsidR="003052EF" w:rsidRPr="003052EF">
        <w:rPr>
          <w:rFonts w:ascii="Arial" w:hAnsi="Arial" w:cs="Arial"/>
          <w:sz w:val="20"/>
          <w:szCs w:val="20"/>
          <w:u w:val="single"/>
        </w:rPr>
        <w:br/>
      </w:r>
      <w:r w:rsidR="003052EF" w:rsidRPr="003052EF">
        <w:rPr>
          <w:rFonts w:ascii="Arial" w:hAnsi="Arial" w:cs="Arial"/>
          <w:sz w:val="20"/>
          <w:szCs w:val="20"/>
          <w:u w:val="single"/>
        </w:rPr>
        <w:br/>
      </w:r>
      <w:r w:rsidRPr="003052EF">
        <w:rPr>
          <w:rFonts w:ascii="Arial" w:hAnsi="Arial" w:cs="Arial"/>
          <w:color w:val="000000"/>
          <w:sz w:val="20"/>
          <w:szCs w:val="20"/>
        </w:rPr>
        <w:t xml:space="preserve">Cash </w:t>
      </w:r>
      <w:r w:rsidR="003052EF" w:rsidRPr="003052EF">
        <w:rPr>
          <w:rFonts w:ascii="Arial" w:hAnsi="Arial" w:cs="Arial"/>
          <w:color w:val="000000"/>
          <w:sz w:val="20"/>
          <w:szCs w:val="20"/>
        </w:rPr>
        <w:t xml:space="preserve">used in </w:t>
      </w:r>
      <w:r w:rsidRPr="003052EF">
        <w:rPr>
          <w:rFonts w:ascii="Arial" w:hAnsi="Arial" w:cs="Arial"/>
          <w:color w:val="000000"/>
          <w:sz w:val="20"/>
          <w:szCs w:val="20"/>
        </w:rPr>
        <w:t>operating activities was $</w:t>
      </w:r>
      <w:r w:rsidR="00D547E2">
        <w:rPr>
          <w:rFonts w:ascii="Arial" w:hAnsi="Arial" w:cs="Arial"/>
          <w:color w:val="000000"/>
          <w:sz w:val="20"/>
          <w:szCs w:val="20"/>
        </w:rPr>
        <w:t>1,819,670</w:t>
      </w:r>
      <w:r w:rsidRPr="003052EF">
        <w:rPr>
          <w:rFonts w:ascii="Arial" w:hAnsi="Arial" w:cs="Arial"/>
          <w:color w:val="000000"/>
          <w:sz w:val="20"/>
          <w:szCs w:val="20"/>
        </w:rPr>
        <w:t>, compared to $</w:t>
      </w:r>
      <w:r w:rsidR="001E24AE">
        <w:rPr>
          <w:rFonts w:ascii="Arial" w:hAnsi="Arial" w:cs="Arial"/>
          <w:color w:val="000000"/>
          <w:sz w:val="20"/>
          <w:szCs w:val="20"/>
        </w:rPr>
        <w:t>3,129,583</w:t>
      </w:r>
      <w:r w:rsidR="00D547E2">
        <w:rPr>
          <w:rFonts w:ascii="Arial" w:hAnsi="Arial" w:cs="Arial"/>
          <w:color w:val="000000"/>
          <w:sz w:val="20"/>
          <w:szCs w:val="20"/>
        </w:rPr>
        <w:t xml:space="preserve"> </w:t>
      </w:r>
      <w:r w:rsidRPr="003052EF">
        <w:rPr>
          <w:rFonts w:ascii="Arial" w:hAnsi="Arial" w:cs="Arial"/>
          <w:color w:val="000000"/>
          <w:sz w:val="20"/>
          <w:szCs w:val="20"/>
        </w:rPr>
        <w:t xml:space="preserve">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00E64A88" w:rsidRPr="003052EF">
        <w:rPr>
          <w:rFonts w:ascii="Arial" w:hAnsi="Arial" w:cs="Arial"/>
          <w:color w:val="000000"/>
          <w:sz w:val="20"/>
          <w:szCs w:val="20"/>
        </w:rPr>
        <w:t>:</w:t>
      </w:r>
    </w:p>
    <w:p w14:paraId="7CC09FFF" w14:textId="2B959C77" w:rsidR="00732B04" w:rsidRPr="00D547E2" w:rsidRDefault="00105B24" w:rsidP="00D547E2">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Net loss</w:t>
      </w:r>
      <w:r w:rsidR="00FE5B48" w:rsidRPr="003052EF">
        <w:rPr>
          <w:rFonts w:ascii="Arial" w:hAnsi="Arial" w:cs="Arial"/>
          <w:color w:val="000000"/>
          <w:sz w:val="20"/>
          <w:szCs w:val="20"/>
        </w:rPr>
        <w:t xml:space="preserve"> was $</w:t>
      </w:r>
      <w:r w:rsidR="00D547E2">
        <w:rPr>
          <w:rFonts w:ascii="Arial" w:hAnsi="Arial" w:cs="Arial"/>
          <w:color w:val="000000"/>
          <w:sz w:val="20"/>
          <w:szCs w:val="20"/>
        </w:rPr>
        <w:t>2,359,579</w:t>
      </w:r>
      <w:r w:rsidR="000A24FE">
        <w:rPr>
          <w:rFonts w:ascii="Arial" w:hAnsi="Arial" w:cs="Arial"/>
          <w:color w:val="000000"/>
          <w:sz w:val="20"/>
          <w:szCs w:val="20"/>
        </w:rPr>
        <w:t>,</w:t>
      </w:r>
      <w:r w:rsidR="00FE5B48" w:rsidRPr="003052EF">
        <w:rPr>
          <w:rFonts w:ascii="Arial" w:hAnsi="Arial" w:cs="Arial"/>
          <w:color w:val="000000"/>
          <w:sz w:val="20"/>
          <w:szCs w:val="20"/>
        </w:rPr>
        <w:t xml:space="preserve"> compared to $</w:t>
      </w:r>
      <w:r w:rsidR="00D547E2">
        <w:rPr>
          <w:rFonts w:ascii="Arial" w:hAnsi="Arial" w:cs="Arial"/>
          <w:color w:val="000000"/>
          <w:sz w:val="20"/>
          <w:szCs w:val="20"/>
        </w:rPr>
        <w:t>5,132,848</w:t>
      </w:r>
      <w:r w:rsidR="00FE5B48" w:rsidRPr="003052EF">
        <w:rPr>
          <w:rFonts w:ascii="Arial" w:hAnsi="Arial" w:cs="Arial"/>
          <w:color w:val="000000"/>
          <w:sz w:val="20"/>
          <w:szCs w:val="20"/>
        </w:rPr>
        <w:t>.</w:t>
      </w:r>
      <w:r w:rsidR="0079090E" w:rsidRPr="003052EF">
        <w:rPr>
          <w:rFonts w:ascii="Arial" w:hAnsi="Arial" w:cs="Arial"/>
          <w:color w:val="000000"/>
          <w:sz w:val="20"/>
          <w:szCs w:val="20"/>
        </w:rPr>
        <w:t xml:space="preserve"> Included in </w:t>
      </w:r>
      <w:r w:rsidRPr="003052EF">
        <w:rPr>
          <w:rFonts w:ascii="Arial" w:hAnsi="Arial" w:cs="Arial"/>
          <w:color w:val="000000"/>
          <w:sz w:val="20"/>
          <w:szCs w:val="20"/>
        </w:rPr>
        <w:t xml:space="preserve">net </w:t>
      </w:r>
      <w:r w:rsidR="0079090E" w:rsidRPr="003052EF">
        <w:rPr>
          <w:rFonts w:ascii="Arial" w:hAnsi="Arial" w:cs="Arial"/>
          <w:color w:val="000000"/>
          <w:sz w:val="20"/>
          <w:szCs w:val="20"/>
        </w:rPr>
        <w:t>loss are non-cash items of $</w:t>
      </w:r>
      <w:r w:rsidR="00D547E2">
        <w:rPr>
          <w:rFonts w:ascii="Arial" w:hAnsi="Arial" w:cs="Arial"/>
          <w:color w:val="000000"/>
          <w:sz w:val="20"/>
          <w:szCs w:val="20"/>
        </w:rPr>
        <w:t>876,701</w:t>
      </w:r>
      <w:r w:rsidR="004E17E1">
        <w:rPr>
          <w:rFonts w:ascii="Arial" w:hAnsi="Arial" w:cs="Arial"/>
          <w:color w:val="000000"/>
          <w:sz w:val="20"/>
          <w:szCs w:val="20"/>
        </w:rPr>
        <w:t xml:space="preserve"> </w:t>
      </w:r>
      <w:r w:rsidR="0079090E" w:rsidRPr="003052EF">
        <w:rPr>
          <w:rFonts w:ascii="Arial" w:hAnsi="Arial" w:cs="Arial"/>
          <w:color w:val="000000"/>
          <w:sz w:val="20"/>
          <w:szCs w:val="20"/>
        </w:rPr>
        <w:t xml:space="preserve">for </w:t>
      </w:r>
      <w:r w:rsidR="003052EF" w:rsidRPr="003052EF">
        <w:rPr>
          <w:rFonts w:ascii="Arial" w:hAnsi="Arial" w:cs="Arial"/>
          <w:color w:val="000000"/>
          <w:sz w:val="20"/>
          <w:szCs w:val="20"/>
        </w:rPr>
        <w:t>YTD</w:t>
      </w:r>
      <w:r w:rsidR="0079090E" w:rsidRPr="003052EF">
        <w:rPr>
          <w:rFonts w:ascii="Arial" w:hAnsi="Arial" w:cs="Arial"/>
          <w:color w:val="000000"/>
          <w:sz w:val="20"/>
          <w:szCs w:val="20"/>
        </w:rPr>
        <w:t xml:space="preserve"> 2019 as compared to $</w:t>
      </w:r>
      <w:r w:rsidR="00D547E2">
        <w:rPr>
          <w:rFonts w:ascii="Arial" w:hAnsi="Arial" w:cs="Arial"/>
          <w:color w:val="000000"/>
          <w:sz w:val="20"/>
          <w:szCs w:val="20"/>
        </w:rPr>
        <w:t>2,932,197</w:t>
      </w:r>
      <w:r w:rsidR="00424A47" w:rsidRPr="00D547E2">
        <w:rPr>
          <w:rFonts w:ascii="Arial" w:hAnsi="Arial" w:cs="Arial"/>
          <w:color w:val="000000"/>
          <w:sz w:val="20"/>
          <w:szCs w:val="20"/>
        </w:rPr>
        <w:t xml:space="preserve"> </w:t>
      </w:r>
      <w:r w:rsidR="0079090E" w:rsidRPr="00D547E2">
        <w:rPr>
          <w:rFonts w:ascii="Arial" w:hAnsi="Arial" w:cs="Arial"/>
          <w:color w:val="000000"/>
          <w:sz w:val="20"/>
          <w:szCs w:val="20"/>
        </w:rPr>
        <w:t xml:space="preserve">for </w:t>
      </w:r>
      <w:r w:rsidR="003052EF" w:rsidRPr="00D547E2">
        <w:rPr>
          <w:rFonts w:ascii="Arial" w:hAnsi="Arial" w:cs="Arial"/>
          <w:color w:val="000000"/>
          <w:sz w:val="20"/>
          <w:szCs w:val="20"/>
        </w:rPr>
        <w:t>YTD</w:t>
      </w:r>
      <w:r w:rsidR="0079090E" w:rsidRPr="00D547E2">
        <w:rPr>
          <w:rFonts w:ascii="Arial" w:hAnsi="Arial" w:cs="Arial"/>
          <w:color w:val="000000"/>
          <w:sz w:val="20"/>
          <w:szCs w:val="20"/>
        </w:rPr>
        <w:t xml:space="preserve"> 2018.</w:t>
      </w:r>
    </w:p>
    <w:p w14:paraId="3C2C249A" w14:textId="5AD63977" w:rsidR="00732B04" w:rsidRPr="005265E3" w:rsidRDefault="00FE5B48" w:rsidP="003F6F1A">
      <w:pPr>
        <w:pStyle w:val="ColorfulList-Accent11"/>
        <w:numPr>
          <w:ilvl w:val="0"/>
          <w:numId w:val="28"/>
        </w:numPr>
        <w:spacing w:line="276" w:lineRule="auto"/>
        <w:jc w:val="both"/>
        <w:rPr>
          <w:rFonts w:ascii="Arial" w:hAnsi="Arial" w:cs="Arial"/>
          <w:color w:val="000000"/>
          <w:sz w:val="20"/>
          <w:szCs w:val="20"/>
        </w:rPr>
      </w:pPr>
      <w:r w:rsidRPr="005265E3">
        <w:rPr>
          <w:rFonts w:ascii="Arial" w:hAnsi="Arial" w:cs="Arial"/>
          <w:color w:val="000000"/>
          <w:sz w:val="20"/>
          <w:szCs w:val="20"/>
        </w:rPr>
        <w:t xml:space="preserve">Movements in accounts receivables </w:t>
      </w:r>
      <w:r w:rsidR="003052EF" w:rsidRPr="005265E3">
        <w:rPr>
          <w:rFonts w:ascii="Arial" w:hAnsi="Arial" w:cs="Arial"/>
          <w:color w:val="000000"/>
          <w:sz w:val="20"/>
          <w:szCs w:val="20"/>
        </w:rPr>
        <w:t>decreased cash by $</w:t>
      </w:r>
      <w:r w:rsidR="00D547E2">
        <w:rPr>
          <w:rFonts w:ascii="Arial" w:hAnsi="Arial" w:cs="Arial"/>
          <w:color w:val="000000"/>
          <w:sz w:val="20"/>
          <w:szCs w:val="20"/>
        </w:rPr>
        <w:t>66,934</w:t>
      </w:r>
      <w:r w:rsidR="000A24FE">
        <w:rPr>
          <w:rFonts w:ascii="Arial" w:hAnsi="Arial" w:cs="Arial"/>
          <w:color w:val="000000"/>
          <w:sz w:val="20"/>
          <w:szCs w:val="20"/>
        </w:rPr>
        <w:t>,</w:t>
      </w:r>
      <w:r w:rsidR="003052EF" w:rsidRPr="005265E3">
        <w:rPr>
          <w:rFonts w:ascii="Arial" w:hAnsi="Arial" w:cs="Arial"/>
          <w:color w:val="000000"/>
          <w:sz w:val="20"/>
          <w:szCs w:val="20"/>
        </w:rPr>
        <w:t xml:space="preserve"> </w:t>
      </w:r>
      <w:r w:rsidRPr="005265E3">
        <w:rPr>
          <w:rFonts w:ascii="Arial" w:hAnsi="Arial" w:cs="Arial"/>
          <w:color w:val="000000"/>
          <w:sz w:val="20"/>
          <w:szCs w:val="20"/>
        </w:rPr>
        <w:t xml:space="preserve">compared to </w:t>
      </w:r>
      <w:r w:rsidR="0079090E" w:rsidRPr="005265E3">
        <w:rPr>
          <w:rFonts w:ascii="Arial" w:hAnsi="Arial" w:cs="Arial"/>
          <w:color w:val="000000"/>
          <w:sz w:val="20"/>
          <w:szCs w:val="20"/>
        </w:rPr>
        <w:t>in</w:t>
      </w:r>
      <w:r w:rsidRPr="005265E3">
        <w:rPr>
          <w:rFonts w:ascii="Arial" w:hAnsi="Arial" w:cs="Arial"/>
          <w:color w:val="000000"/>
          <w:sz w:val="20"/>
          <w:szCs w:val="20"/>
        </w:rPr>
        <w:t>creasing cash by $</w:t>
      </w:r>
      <w:r w:rsidR="00D547E2">
        <w:rPr>
          <w:rFonts w:ascii="Arial" w:hAnsi="Arial" w:cs="Arial"/>
          <w:color w:val="000000"/>
          <w:sz w:val="20"/>
          <w:szCs w:val="20"/>
        </w:rPr>
        <w:t>10,541</w:t>
      </w:r>
      <w:r w:rsidRPr="005265E3">
        <w:rPr>
          <w:rFonts w:ascii="Arial" w:hAnsi="Arial" w:cs="Arial"/>
          <w:color w:val="000000"/>
          <w:sz w:val="20"/>
          <w:szCs w:val="20"/>
        </w:rPr>
        <w:t xml:space="preserve"> during </w:t>
      </w:r>
      <w:r w:rsidR="003052EF" w:rsidRPr="005265E3">
        <w:rPr>
          <w:rFonts w:ascii="Arial" w:hAnsi="Arial" w:cs="Arial"/>
          <w:color w:val="000000"/>
          <w:sz w:val="20"/>
          <w:szCs w:val="20"/>
        </w:rPr>
        <w:t>YTD</w:t>
      </w:r>
      <w:r w:rsidR="003C5740" w:rsidRPr="005265E3">
        <w:rPr>
          <w:rFonts w:ascii="Arial" w:hAnsi="Arial" w:cs="Arial"/>
          <w:color w:val="000000"/>
          <w:sz w:val="20"/>
          <w:szCs w:val="20"/>
        </w:rPr>
        <w:t xml:space="preserve"> </w:t>
      </w:r>
      <w:r w:rsidRPr="005265E3">
        <w:rPr>
          <w:rFonts w:ascii="Arial" w:hAnsi="Arial" w:cs="Arial"/>
          <w:color w:val="000000"/>
          <w:sz w:val="20"/>
          <w:szCs w:val="20"/>
        </w:rPr>
        <w:t>201</w:t>
      </w:r>
      <w:r w:rsidR="003C5740" w:rsidRPr="005265E3">
        <w:rPr>
          <w:rFonts w:ascii="Arial" w:hAnsi="Arial" w:cs="Arial"/>
          <w:color w:val="000000"/>
          <w:sz w:val="20"/>
          <w:szCs w:val="20"/>
        </w:rPr>
        <w:t>8</w:t>
      </w:r>
      <w:r w:rsidRPr="005265E3">
        <w:rPr>
          <w:rFonts w:ascii="Arial" w:hAnsi="Arial" w:cs="Arial"/>
          <w:color w:val="000000"/>
          <w:sz w:val="20"/>
          <w:szCs w:val="20"/>
        </w:rPr>
        <w:t>.</w:t>
      </w:r>
    </w:p>
    <w:p w14:paraId="0484ECA9" w14:textId="39EAF88B" w:rsidR="00FE5B48" w:rsidRPr="003052EF" w:rsidRDefault="00FE5B48"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Movements in prepaid expenses </w:t>
      </w:r>
      <w:r w:rsidR="003052EF" w:rsidRPr="003052EF">
        <w:rPr>
          <w:rFonts w:ascii="Arial" w:hAnsi="Arial" w:cs="Arial"/>
          <w:color w:val="000000"/>
          <w:sz w:val="20"/>
          <w:szCs w:val="20"/>
        </w:rPr>
        <w:t>de</w:t>
      </w:r>
      <w:r w:rsidRPr="003052EF">
        <w:rPr>
          <w:rFonts w:ascii="Arial" w:hAnsi="Arial" w:cs="Arial"/>
          <w:color w:val="000000"/>
          <w:sz w:val="20"/>
          <w:szCs w:val="20"/>
        </w:rPr>
        <w:t>creased cash by $</w:t>
      </w:r>
      <w:r w:rsidR="00D547E2">
        <w:rPr>
          <w:rFonts w:ascii="Arial" w:hAnsi="Arial" w:cs="Arial"/>
          <w:color w:val="000000"/>
          <w:sz w:val="20"/>
          <w:szCs w:val="20"/>
        </w:rPr>
        <w:t>22,439</w:t>
      </w:r>
      <w:r w:rsidR="000A24FE">
        <w:rPr>
          <w:rFonts w:ascii="Arial" w:hAnsi="Arial" w:cs="Arial"/>
          <w:color w:val="000000"/>
          <w:sz w:val="20"/>
          <w:szCs w:val="20"/>
        </w:rPr>
        <w:t>,</w:t>
      </w:r>
      <w:r w:rsidR="003052EF" w:rsidRPr="003052EF">
        <w:rPr>
          <w:rFonts w:ascii="Arial" w:hAnsi="Arial" w:cs="Arial"/>
          <w:color w:val="000000"/>
          <w:sz w:val="20"/>
          <w:szCs w:val="20"/>
        </w:rPr>
        <w:t xml:space="preserve"> </w:t>
      </w:r>
      <w:r w:rsidRPr="003052EF">
        <w:rPr>
          <w:rFonts w:ascii="Arial" w:hAnsi="Arial" w:cs="Arial"/>
          <w:color w:val="000000"/>
          <w:sz w:val="20"/>
          <w:szCs w:val="20"/>
        </w:rPr>
        <w:t xml:space="preserve">compared to </w:t>
      </w:r>
      <w:r w:rsidR="0079090E" w:rsidRPr="003052EF">
        <w:rPr>
          <w:rFonts w:ascii="Arial" w:hAnsi="Arial" w:cs="Arial"/>
          <w:color w:val="000000"/>
          <w:sz w:val="20"/>
          <w:szCs w:val="20"/>
        </w:rPr>
        <w:t xml:space="preserve">decreasing cash by </w:t>
      </w:r>
      <w:r w:rsidRPr="003052EF">
        <w:rPr>
          <w:rFonts w:ascii="Arial" w:hAnsi="Arial" w:cs="Arial"/>
          <w:color w:val="000000"/>
          <w:sz w:val="20"/>
          <w:szCs w:val="20"/>
        </w:rPr>
        <w:t>$</w:t>
      </w:r>
      <w:r w:rsidR="00D547E2">
        <w:rPr>
          <w:rFonts w:ascii="Arial" w:hAnsi="Arial" w:cs="Arial"/>
          <w:color w:val="000000"/>
          <w:sz w:val="20"/>
          <w:szCs w:val="20"/>
        </w:rPr>
        <w:t>589,463</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Pr="003052EF">
        <w:rPr>
          <w:rFonts w:ascii="Arial" w:hAnsi="Arial" w:cs="Arial"/>
          <w:color w:val="000000"/>
          <w:sz w:val="20"/>
          <w:szCs w:val="20"/>
        </w:rPr>
        <w:t>.</w:t>
      </w:r>
    </w:p>
    <w:p w14:paraId="7A77B228" w14:textId="449D8BB8" w:rsidR="00FE5B48" w:rsidRPr="003052EF" w:rsidRDefault="00FE5B48"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Movements in accounts payable and accrued liabilities </w:t>
      </w:r>
      <w:r w:rsidR="003052EF" w:rsidRPr="003052EF">
        <w:rPr>
          <w:rFonts w:ascii="Arial" w:hAnsi="Arial" w:cs="Arial"/>
          <w:color w:val="000000"/>
          <w:sz w:val="20"/>
          <w:szCs w:val="20"/>
        </w:rPr>
        <w:t>de</w:t>
      </w:r>
      <w:r w:rsidRPr="003052EF">
        <w:rPr>
          <w:rFonts w:ascii="Arial" w:hAnsi="Arial" w:cs="Arial"/>
          <w:color w:val="000000"/>
          <w:sz w:val="20"/>
          <w:szCs w:val="20"/>
        </w:rPr>
        <w:t>creased cash by $</w:t>
      </w:r>
      <w:r w:rsidR="00D547E2">
        <w:rPr>
          <w:rFonts w:ascii="Arial" w:hAnsi="Arial" w:cs="Arial"/>
          <w:color w:val="000000"/>
          <w:sz w:val="20"/>
          <w:szCs w:val="20"/>
        </w:rPr>
        <w:t>247,419</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sidR="003052EF" w:rsidRPr="003052EF">
        <w:rPr>
          <w:rFonts w:ascii="Arial" w:hAnsi="Arial" w:cs="Arial"/>
          <w:color w:val="000000"/>
          <w:sz w:val="20"/>
          <w:szCs w:val="20"/>
        </w:rPr>
        <w:t>de</w:t>
      </w:r>
      <w:r w:rsidRPr="003052EF">
        <w:rPr>
          <w:rFonts w:ascii="Arial" w:hAnsi="Arial" w:cs="Arial"/>
          <w:color w:val="000000"/>
          <w:sz w:val="20"/>
          <w:szCs w:val="20"/>
        </w:rPr>
        <w:t>creasing cash by $</w:t>
      </w:r>
      <w:r w:rsidR="00D547E2">
        <w:rPr>
          <w:rFonts w:ascii="Arial" w:hAnsi="Arial" w:cs="Arial"/>
          <w:color w:val="000000"/>
          <w:sz w:val="20"/>
          <w:szCs w:val="20"/>
        </w:rPr>
        <w:t>350,010</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Pr="003052EF">
        <w:rPr>
          <w:rFonts w:ascii="Arial" w:hAnsi="Arial" w:cs="Arial"/>
          <w:color w:val="000000"/>
          <w:sz w:val="20"/>
          <w:szCs w:val="20"/>
        </w:rPr>
        <w:t>.</w:t>
      </w:r>
    </w:p>
    <w:p w14:paraId="5CFAB386" w14:textId="77777777" w:rsidR="00FE5B48" w:rsidRPr="003052EF" w:rsidRDefault="00FE5B48" w:rsidP="003F6F1A">
      <w:pPr>
        <w:pStyle w:val="ColorfulList-Accent11"/>
        <w:jc w:val="both"/>
        <w:rPr>
          <w:rFonts w:ascii="Arial" w:hAnsi="Arial" w:cs="Arial"/>
          <w:color w:val="000000"/>
          <w:sz w:val="20"/>
          <w:szCs w:val="20"/>
        </w:rPr>
      </w:pPr>
    </w:p>
    <w:p w14:paraId="18C5F36C" w14:textId="0FD5DFAE" w:rsidR="00732B04" w:rsidRPr="003052EF" w:rsidRDefault="00732B04" w:rsidP="003F6F1A">
      <w:pPr>
        <w:spacing w:after="0"/>
        <w:jc w:val="both"/>
        <w:rPr>
          <w:rFonts w:ascii="Arial" w:hAnsi="Arial" w:cs="Arial"/>
          <w:color w:val="000000"/>
          <w:sz w:val="20"/>
          <w:szCs w:val="20"/>
        </w:rPr>
      </w:pPr>
      <w:r w:rsidRPr="003052EF">
        <w:rPr>
          <w:rFonts w:ascii="Arial" w:hAnsi="Arial" w:cs="Arial"/>
          <w:color w:val="000000"/>
          <w:sz w:val="20"/>
          <w:szCs w:val="20"/>
        </w:rPr>
        <w:t>Cash used in investing activities was $</w:t>
      </w:r>
      <w:r w:rsidR="00D547E2">
        <w:rPr>
          <w:rFonts w:ascii="Arial" w:hAnsi="Arial" w:cs="Arial"/>
          <w:color w:val="000000"/>
          <w:sz w:val="20"/>
          <w:szCs w:val="20"/>
        </w:rPr>
        <w:t>629,636</w:t>
      </w:r>
      <w:r w:rsidRPr="003052EF">
        <w:rPr>
          <w:rFonts w:ascii="Arial" w:hAnsi="Arial" w:cs="Arial"/>
          <w:color w:val="000000"/>
          <w:sz w:val="20"/>
          <w:szCs w:val="20"/>
        </w:rPr>
        <w:t>, compared to $</w:t>
      </w:r>
      <w:r w:rsidR="00D547E2">
        <w:rPr>
          <w:rFonts w:ascii="Arial" w:hAnsi="Arial" w:cs="Arial"/>
          <w:color w:val="000000"/>
          <w:sz w:val="20"/>
          <w:szCs w:val="20"/>
        </w:rPr>
        <w:t>100,227</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00770FCE" w:rsidRPr="003052EF">
        <w:rPr>
          <w:rFonts w:ascii="Arial" w:hAnsi="Arial" w:cs="Arial"/>
          <w:color w:val="000000"/>
          <w:sz w:val="20"/>
          <w:szCs w:val="20"/>
        </w:rPr>
        <w:t xml:space="preserve">, as a result of </w:t>
      </w:r>
      <w:r w:rsidR="003052EF" w:rsidRPr="003052EF">
        <w:rPr>
          <w:rFonts w:ascii="Arial" w:hAnsi="Arial" w:cs="Arial"/>
          <w:color w:val="000000"/>
          <w:sz w:val="20"/>
          <w:szCs w:val="20"/>
        </w:rPr>
        <w:t>cash spend on the acquisition of Sun Valley</w:t>
      </w:r>
      <w:r w:rsidR="00FE5B48" w:rsidRPr="003052EF">
        <w:rPr>
          <w:rFonts w:ascii="Arial" w:hAnsi="Arial" w:cs="Arial"/>
          <w:color w:val="000000"/>
          <w:sz w:val="20"/>
          <w:szCs w:val="20"/>
        </w:rPr>
        <w:t>.</w:t>
      </w:r>
    </w:p>
    <w:p w14:paraId="7D18449B" w14:textId="77777777" w:rsidR="003052EF" w:rsidRPr="003052EF" w:rsidRDefault="003052EF" w:rsidP="003F6F1A">
      <w:pPr>
        <w:spacing w:after="0"/>
        <w:jc w:val="both"/>
        <w:rPr>
          <w:rFonts w:ascii="Arial" w:hAnsi="Arial" w:cs="Arial"/>
          <w:color w:val="000000"/>
          <w:sz w:val="20"/>
          <w:szCs w:val="20"/>
        </w:rPr>
      </w:pPr>
    </w:p>
    <w:p w14:paraId="270CEE5D" w14:textId="173394C6" w:rsidR="00732B04" w:rsidRPr="003052EF" w:rsidRDefault="00732B04" w:rsidP="003F6F1A">
      <w:pPr>
        <w:spacing w:after="0" w:line="276" w:lineRule="auto"/>
        <w:jc w:val="both"/>
        <w:rPr>
          <w:rFonts w:ascii="Arial" w:hAnsi="Arial" w:cs="Arial"/>
          <w:color w:val="000000"/>
          <w:sz w:val="20"/>
          <w:szCs w:val="20"/>
        </w:rPr>
      </w:pPr>
      <w:r w:rsidRPr="003052EF">
        <w:rPr>
          <w:rFonts w:ascii="Arial" w:hAnsi="Arial" w:cs="Arial"/>
          <w:color w:val="000000"/>
          <w:sz w:val="20"/>
          <w:szCs w:val="20"/>
        </w:rPr>
        <w:t xml:space="preserve">Cash </w:t>
      </w:r>
      <w:r w:rsidR="00D547E2">
        <w:rPr>
          <w:rFonts w:ascii="Arial" w:hAnsi="Arial" w:cs="Arial"/>
          <w:color w:val="000000"/>
          <w:sz w:val="20"/>
          <w:szCs w:val="20"/>
        </w:rPr>
        <w:t xml:space="preserve">provided </w:t>
      </w:r>
      <w:r w:rsidRPr="003052EF">
        <w:rPr>
          <w:rFonts w:ascii="Arial" w:hAnsi="Arial" w:cs="Arial"/>
          <w:color w:val="000000"/>
          <w:sz w:val="20"/>
          <w:szCs w:val="20"/>
        </w:rPr>
        <w:t>by financing activities was $</w:t>
      </w:r>
      <w:r w:rsidR="00D547E2">
        <w:rPr>
          <w:rFonts w:ascii="Arial" w:hAnsi="Arial" w:cs="Arial"/>
          <w:color w:val="000000"/>
          <w:sz w:val="20"/>
          <w:szCs w:val="20"/>
        </w:rPr>
        <w:t>2,470,216</w:t>
      </w:r>
      <w:r w:rsidRPr="003052EF">
        <w:rPr>
          <w:rFonts w:ascii="Arial" w:hAnsi="Arial" w:cs="Arial"/>
          <w:color w:val="000000"/>
          <w:sz w:val="20"/>
          <w:szCs w:val="20"/>
        </w:rPr>
        <w:t xml:space="preserve">, compared to </w:t>
      </w:r>
      <w:r w:rsidR="003645BC" w:rsidRPr="003052EF">
        <w:rPr>
          <w:rFonts w:ascii="Arial" w:hAnsi="Arial" w:cs="Arial"/>
          <w:color w:val="000000"/>
          <w:sz w:val="20"/>
          <w:szCs w:val="20"/>
        </w:rPr>
        <w:t xml:space="preserve">cash </w:t>
      </w:r>
      <w:r w:rsidR="00C94605" w:rsidRPr="003052EF">
        <w:rPr>
          <w:rFonts w:ascii="Arial" w:hAnsi="Arial" w:cs="Arial"/>
          <w:color w:val="000000"/>
          <w:sz w:val="20"/>
          <w:szCs w:val="20"/>
        </w:rPr>
        <w:t>provided by financing activities of</w:t>
      </w:r>
      <w:r w:rsidR="003645BC" w:rsidRPr="003052EF">
        <w:rPr>
          <w:rFonts w:ascii="Arial" w:hAnsi="Arial" w:cs="Arial"/>
          <w:color w:val="000000"/>
          <w:sz w:val="20"/>
          <w:szCs w:val="20"/>
        </w:rPr>
        <w:t xml:space="preserve"> </w:t>
      </w:r>
      <w:r w:rsidRPr="003052EF">
        <w:rPr>
          <w:rFonts w:ascii="Arial" w:hAnsi="Arial" w:cs="Arial"/>
          <w:color w:val="000000"/>
          <w:sz w:val="20"/>
          <w:szCs w:val="20"/>
        </w:rPr>
        <w:t>$</w:t>
      </w:r>
      <w:r w:rsidR="00D547E2">
        <w:rPr>
          <w:rFonts w:ascii="Arial" w:hAnsi="Arial" w:cs="Arial"/>
          <w:color w:val="000000"/>
          <w:sz w:val="20"/>
          <w:szCs w:val="20"/>
        </w:rPr>
        <w:t>3,509,602</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00FE5B48" w:rsidRPr="003052EF">
        <w:rPr>
          <w:rFonts w:ascii="Arial" w:hAnsi="Arial" w:cs="Arial"/>
          <w:color w:val="000000"/>
          <w:sz w:val="20"/>
          <w:szCs w:val="20"/>
        </w:rPr>
        <w:t>:</w:t>
      </w:r>
    </w:p>
    <w:p w14:paraId="36212999" w14:textId="77777777" w:rsidR="00F56B6B" w:rsidRPr="003052EF" w:rsidRDefault="00F56B6B" w:rsidP="003F6F1A">
      <w:pPr>
        <w:spacing w:after="0" w:line="276" w:lineRule="auto"/>
        <w:jc w:val="both"/>
        <w:rPr>
          <w:rFonts w:ascii="Arial" w:hAnsi="Arial" w:cs="Arial"/>
          <w:color w:val="000000"/>
          <w:sz w:val="20"/>
          <w:szCs w:val="20"/>
        </w:rPr>
      </w:pPr>
    </w:p>
    <w:p w14:paraId="314594D2" w14:textId="19606221" w:rsidR="00324616" w:rsidRPr="003052EF" w:rsidRDefault="00946F74" w:rsidP="003F6F1A">
      <w:pPr>
        <w:pStyle w:val="ColorfulList-Accent11"/>
        <w:numPr>
          <w:ilvl w:val="0"/>
          <w:numId w:val="28"/>
        </w:numPr>
        <w:spacing w:line="276" w:lineRule="auto"/>
        <w:jc w:val="both"/>
        <w:rPr>
          <w:rFonts w:ascii="Arial" w:hAnsi="Arial" w:cs="Arial"/>
          <w:color w:val="000000"/>
          <w:sz w:val="20"/>
          <w:szCs w:val="20"/>
        </w:rPr>
      </w:pPr>
      <w:r>
        <w:rPr>
          <w:rFonts w:ascii="Arial" w:hAnsi="Arial" w:cs="Arial"/>
          <w:color w:val="000000"/>
          <w:sz w:val="20"/>
          <w:szCs w:val="20"/>
        </w:rPr>
        <w:t>Common s</w:t>
      </w:r>
      <w:r w:rsidR="00324616" w:rsidRPr="003052EF">
        <w:rPr>
          <w:rFonts w:ascii="Arial" w:hAnsi="Arial" w:cs="Arial"/>
          <w:color w:val="000000"/>
          <w:sz w:val="20"/>
          <w:szCs w:val="20"/>
        </w:rPr>
        <w:t>hares issued for cash increased cash by $</w:t>
      </w:r>
      <w:r w:rsidR="00D547E2">
        <w:rPr>
          <w:rFonts w:ascii="Arial" w:hAnsi="Arial" w:cs="Arial"/>
          <w:color w:val="000000"/>
          <w:sz w:val="20"/>
          <w:szCs w:val="20"/>
        </w:rPr>
        <w:t>1,825,214</w:t>
      </w:r>
      <w:r w:rsidR="000A24FE">
        <w:rPr>
          <w:rFonts w:ascii="Arial" w:hAnsi="Arial" w:cs="Arial"/>
          <w:color w:val="000000"/>
          <w:sz w:val="20"/>
          <w:szCs w:val="20"/>
        </w:rPr>
        <w:t>,</w:t>
      </w:r>
      <w:r w:rsidR="00324616" w:rsidRPr="003052EF">
        <w:rPr>
          <w:rFonts w:ascii="Arial" w:hAnsi="Arial" w:cs="Arial"/>
          <w:color w:val="000000"/>
          <w:sz w:val="20"/>
          <w:szCs w:val="20"/>
        </w:rPr>
        <w:t xml:space="preserve"> compared to $</w:t>
      </w:r>
      <w:r w:rsidR="00D547E2">
        <w:rPr>
          <w:rFonts w:ascii="Arial" w:hAnsi="Arial" w:cs="Arial"/>
          <w:color w:val="000000"/>
          <w:sz w:val="20"/>
          <w:szCs w:val="20"/>
        </w:rPr>
        <w:t>2,801,996</w:t>
      </w:r>
      <w:r w:rsidR="00324616" w:rsidRPr="003052EF">
        <w:rPr>
          <w:rFonts w:ascii="Arial" w:hAnsi="Arial" w:cs="Arial"/>
          <w:color w:val="000000"/>
          <w:sz w:val="20"/>
          <w:szCs w:val="20"/>
        </w:rPr>
        <w:t xml:space="preserve"> during YTD 2018.</w:t>
      </w:r>
    </w:p>
    <w:p w14:paraId="556B05A5" w14:textId="362681DA" w:rsidR="00732B04" w:rsidRPr="00D547E2" w:rsidRDefault="00FE5B48" w:rsidP="00D547E2">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Advances from </w:t>
      </w:r>
      <w:r w:rsidR="003052EF" w:rsidRPr="003052EF">
        <w:rPr>
          <w:rFonts w:ascii="Arial" w:hAnsi="Arial" w:cs="Arial"/>
          <w:color w:val="000000"/>
          <w:sz w:val="20"/>
          <w:szCs w:val="20"/>
        </w:rPr>
        <w:t xml:space="preserve">convertible debentures </w:t>
      </w:r>
      <w:r w:rsidRPr="003052EF">
        <w:rPr>
          <w:rFonts w:ascii="Arial" w:hAnsi="Arial" w:cs="Arial"/>
          <w:color w:val="000000"/>
          <w:sz w:val="20"/>
          <w:szCs w:val="20"/>
        </w:rPr>
        <w:t xml:space="preserve">increased cash </w:t>
      </w:r>
      <w:r w:rsidR="003052EF" w:rsidRPr="003052EF">
        <w:rPr>
          <w:rFonts w:ascii="Arial" w:hAnsi="Arial" w:cs="Arial"/>
          <w:color w:val="000000"/>
          <w:sz w:val="20"/>
          <w:szCs w:val="20"/>
        </w:rPr>
        <w:t xml:space="preserve">by </w:t>
      </w:r>
      <w:r w:rsidRPr="003052EF">
        <w:rPr>
          <w:rFonts w:ascii="Arial" w:hAnsi="Arial" w:cs="Arial"/>
          <w:color w:val="000000"/>
          <w:sz w:val="20"/>
          <w:szCs w:val="20"/>
        </w:rPr>
        <w:t>$</w:t>
      </w:r>
      <w:r w:rsidR="00D547E2">
        <w:rPr>
          <w:rFonts w:ascii="Arial" w:hAnsi="Arial" w:cs="Arial"/>
          <w:color w:val="000000"/>
          <w:sz w:val="20"/>
          <w:szCs w:val="20"/>
        </w:rPr>
        <w:t>717,851</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sidR="00D547E2">
        <w:rPr>
          <w:rFonts w:ascii="Arial" w:hAnsi="Arial" w:cs="Arial"/>
          <w:color w:val="000000"/>
          <w:sz w:val="20"/>
          <w:szCs w:val="20"/>
        </w:rPr>
        <w:t>373,504</w:t>
      </w:r>
      <w:r w:rsidRPr="00D547E2">
        <w:rPr>
          <w:rFonts w:ascii="Arial" w:hAnsi="Arial" w:cs="Arial"/>
          <w:color w:val="000000"/>
          <w:sz w:val="20"/>
          <w:szCs w:val="20"/>
        </w:rPr>
        <w:t xml:space="preserve"> during </w:t>
      </w:r>
      <w:r w:rsidR="003052EF" w:rsidRPr="00D547E2">
        <w:rPr>
          <w:rFonts w:ascii="Arial" w:hAnsi="Arial" w:cs="Arial"/>
          <w:color w:val="000000"/>
          <w:sz w:val="20"/>
          <w:szCs w:val="20"/>
        </w:rPr>
        <w:t>YTD</w:t>
      </w:r>
      <w:r w:rsidRPr="00D547E2">
        <w:rPr>
          <w:rFonts w:ascii="Arial" w:hAnsi="Arial" w:cs="Arial"/>
          <w:color w:val="000000"/>
          <w:sz w:val="20"/>
          <w:szCs w:val="20"/>
        </w:rPr>
        <w:t xml:space="preserve"> 201</w:t>
      </w:r>
      <w:r w:rsidR="003C5740" w:rsidRPr="00D547E2">
        <w:rPr>
          <w:rFonts w:ascii="Arial" w:hAnsi="Arial" w:cs="Arial"/>
          <w:color w:val="000000"/>
          <w:sz w:val="20"/>
          <w:szCs w:val="20"/>
        </w:rPr>
        <w:t>8</w:t>
      </w:r>
      <w:r w:rsidRPr="00D547E2">
        <w:rPr>
          <w:rFonts w:ascii="Arial" w:hAnsi="Arial" w:cs="Arial"/>
          <w:color w:val="000000"/>
          <w:sz w:val="20"/>
          <w:szCs w:val="20"/>
        </w:rPr>
        <w:t>.</w:t>
      </w:r>
    </w:p>
    <w:p w14:paraId="05C45E1E" w14:textId="0DAAF5ED" w:rsidR="00324616" w:rsidRPr="003052EF" w:rsidRDefault="00324616"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Cash acquired in the acquisition of Sun Valley increased cash by $</w:t>
      </w:r>
      <w:r w:rsidR="00D547E2">
        <w:rPr>
          <w:rFonts w:ascii="Arial" w:hAnsi="Arial" w:cs="Arial"/>
          <w:color w:val="000000"/>
          <w:sz w:val="20"/>
          <w:szCs w:val="20"/>
        </w:rPr>
        <w:t>94,090</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sidR="00D547E2">
        <w:rPr>
          <w:rFonts w:ascii="Arial" w:hAnsi="Arial" w:cs="Arial"/>
          <w:color w:val="000000"/>
          <w:sz w:val="20"/>
          <w:szCs w:val="20"/>
        </w:rPr>
        <w:t>nil</w:t>
      </w:r>
      <w:r w:rsidRPr="003052EF">
        <w:rPr>
          <w:rFonts w:ascii="Arial" w:hAnsi="Arial" w:cs="Arial"/>
          <w:color w:val="000000"/>
          <w:sz w:val="20"/>
          <w:szCs w:val="20"/>
        </w:rPr>
        <w:t xml:space="preserve"> during YTD 2018</w:t>
      </w:r>
      <w:r>
        <w:rPr>
          <w:rFonts w:ascii="Arial" w:hAnsi="Arial" w:cs="Arial"/>
          <w:color w:val="000000"/>
          <w:sz w:val="20"/>
          <w:szCs w:val="20"/>
        </w:rPr>
        <w:t xml:space="preserve"> related to the acquisition of </w:t>
      </w:r>
      <w:proofErr w:type="spellStart"/>
      <w:r>
        <w:rPr>
          <w:rFonts w:ascii="Arial" w:hAnsi="Arial" w:cs="Arial"/>
          <w:color w:val="000000"/>
          <w:sz w:val="20"/>
          <w:szCs w:val="20"/>
        </w:rPr>
        <w:t>Adira</w:t>
      </w:r>
      <w:proofErr w:type="spellEnd"/>
      <w:r>
        <w:rPr>
          <w:rFonts w:ascii="Arial" w:hAnsi="Arial" w:cs="Arial"/>
          <w:color w:val="000000"/>
          <w:sz w:val="20"/>
          <w:szCs w:val="20"/>
        </w:rPr>
        <w:t xml:space="preserve"> Energy Ltd.</w:t>
      </w:r>
    </w:p>
    <w:p w14:paraId="595B49D6" w14:textId="5D883318" w:rsidR="003052EF" w:rsidRPr="003052EF" w:rsidRDefault="003052EF"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Advances from notes payable increased cash by $</w:t>
      </w:r>
      <w:r w:rsidR="00D547E2">
        <w:rPr>
          <w:rFonts w:ascii="Arial" w:hAnsi="Arial" w:cs="Arial"/>
          <w:color w:val="000000"/>
          <w:sz w:val="20"/>
          <w:szCs w:val="20"/>
        </w:rPr>
        <w:t>33,842</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sidR="00D547E2">
        <w:rPr>
          <w:rFonts w:ascii="Arial" w:hAnsi="Arial" w:cs="Arial"/>
          <w:color w:val="000000"/>
          <w:sz w:val="20"/>
          <w:szCs w:val="20"/>
        </w:rPr>
        <w:t>345,000</w:t>
      </w:r>
      <w:r w:rsidRPr="003052EF">
        <w:rPr>
          <w:rFonts w:ascii="Arial" w:hAnsi="Arial" w:cs="Arial"/>
          <w:color w:val="000000"/>
          <w:sz w:val="20"/>
          <w:szCs w:val="20"/>
        </w:rPr>
        <w:t xml:space="preserve"> during YTD 2018.</w:t>
      </w:r>
    </w:p>
    <w:p w14:paraId="1E2C85A3" w14:textId="1970A19A" w:rsidR="003052EF" w:rsidRPr="003052EF" w:rsidRDefault="003052EF"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Share issue costs decreased cash by $</w:t>
      </w:r>
      <w:r w:rsidR="00D547E2">
        <w:rPr>
          <w:rFonts w:ascii="Arial" w:hAnsi="Arial" w:cs="Arial"/>
          <w:color w:val="000000"/>
          <w:sz w:val="20"/>
          <w:szCs w:val="20"/>
        </w:rPr>
        <w:t>70,097</w:t>
      </w:r>
      <w:r w:rsidRPr="003052EF">
        <w:rPr>
          <w:rFonts w:ascii="Arial" w:hAnsi="Arial" w:cs="Arial"/>
          <w:color w:val="000000"/>
          <w:sz w:val="20"/>
          <w:szCs w:val="20"/>
        </w:rPr>
        <w:t xml:space="preserve"> compared to $nil during YTD 2018.</w:t>
      </w:r>
    </w:p>
    <w:p w14:paraId="2D0F9176" w14:textId="48960D4B" w:rsidR="00732B04" w:rsidRPr="003052EF" w:rsidRDefault="0079090E"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Payment of lease liability</w:t>
      </w:r>
      <w:r w:rsidR="004E17E1">
        <w:rPr>
          <w:rFonts w:ascii="Arial" w:hAnsi="Arial" w:cs="Arial"/>
          <w:color w:val="000000"/>
          <w:sz w:val="20"/>
          <w:szCs w:val="20"/>
        </w:rPr>
        <w:t xml:space="preserve"> </w:t>
      </w:r>
      <w:r w:rsidRPr="003052EF">
        <w:rPr>
          <w:rFonts w:ascii="Arial" w:hAnsi="Arial" w:cs="Arial"/>
          <w:color w:val="000000"/>
          <w:sz w:val="20"/>
          <w:szCs w:val="20"/>
        </w:rPr>
        <w:t>decreased cash by $</w:t>
      </w:r>
      <w:r w:rsidR="00D547E2">
        <w:rPr>
          <w:rFonts w:ascii="Arial" w:hAnsi="Arial" w:cs="Arial"/>
          <w:color w:val="000000"/>
          <w:sz w:val="20"/>
          <w:szCs w:val="20"/>
        </w:rPr>
        <w:t>136,156</w:t>
      </w:r>
      <w:r w:rsidRPr="003052EF">
        <w:rPr>
          <w:rFonts w:ascii="Arial" w:hAnsi="Arial" w:cs="Arial"/>
          <w:color w:val="000000"/>
          <w:sz w:val="20"/>
          <w:szCs w:val="20"/>
        </w:rPr>
        <w:t xml:space="preserve"> resulting from the adoption of IFRS 16</w:t>
      </w:r>
      <w:r w:rsidR="00BF0B28">
        <w:rPr>
          <w:rFonts w:ascii="Arial" w:hAnsi="Arial" w:cs="Arial"/>
          <w:color w:val="000000"/>
          <w:sz w:val="20"/>
          <w:szCs w:val="20"/>
        </w:rPr>
        <w:t xml:space="preserve"> effective January 1, 2019</w:t>
      </w:r>
      <w:r w:rsidRPr="003052EF">
        <w:rPr>
          <w:rFonts w:ascii="Arial" w:hAnsi="Arial" w:cs="Arial"/>
          <w:color w:val="000000"/>
          <w:sz w:val="20"/>
          <w:szCs w:val="20"/>
        </w:rPr>
        <w:t>.</w:t>
      </w:r>
    </w:p>
    <w:p w14:paraId="113A55C3" w14:textId="77777777" w:rsidR="00ED07BC" w:rsidRDefault="00ED07BC" w:rsidP="003F6F1A">
      <w:pPr>
        <w:jc w:val="both"/>
        <w:rPr>
          <w:rFonts w:ascii="Arial" w:hAnsi="Arial" w:cs="Arial"/>
          <w:b/>
          <w:bCs/>
          <w:i/>
          <w:color w:val="000000"/>
          <w:sz w:val="20"/>
          <w:szCs w:val="20"/>
          <w:u w:val="single"/>
        </w:rPr>
      </w:pPr>
    </w:p>
    <w:p w14:paraId="37F74AEC" w14:textId="77777777" w:rsidR="00ED07BC" w:rsidRDefault="00ED07BC" w:rsidP="003F6F1A">
      <w:pPr>
        <w:jc w:val="both"/>
        <w:rPr>
          <w:rFonts w:ascii="Arial" w:hAnsi="Arial" w:cs="Arial"/>
          <w:b/>
          <w:bCs/>
          <w:i/>
          <w:color w:val="000000"/>
          <w:sz w:val="20"/>
          <w:szCs w:val="20"/>
          <w:u w:val="single"/>
        </w:rPr>
      </w:pPr>
    </w:p>
    <w:p w14:paraId="5B48BD55" w14:textId="77777777" w:rsidR="00ED07BC" w:rsidRDefault="00ED07BC" w:rsidP="003F6F1A">
      <w:pPr>
        <w:jc w:val="both"/>
        <w:rPr>
          <w:rFonts w:ascii="Arial" w:hAnsi="Arial" w:cs="Arial"/>
          <w:b/>
          <w:bCs/>
          <w:i/>
          <w:color w:val="000000"/>
          <w:sz w:val="20"/>
          <w:szCs w:val="20"/>
          <w:u w:val="single"/>
        </w:rPr>
      </w:pPr>
    </w:p>
    <w:p w14:paraId="262E9B8C" w14:textId="77777777" w:rsidR="00ED07BC" w:rsidRDefault="00ED07BC" w:rsidP="003F6F1A">
      <w:pPr>
        <w:jc w:val="both"/>
        <w:rPr>
          <w:rFonts w:ascii="Arial" w:hAnsi="Arial" w:cs="Arial"/>
          <w:b/>
          <w:bCs/>
          <w:i/>
          <w:color w:val="000000"/>
          <w:sz w:val="20"/>
          <w:szCs w:val="20"/>
          <w:u w:val="single"/>
        </w:rPr>
      </w:pPr>
    </w:p>
    <w:p w14:paraId="00DCBF23" w14:textId="77777777" w:rsidR="00ED07BC" w:rsidRDefault="00ED07BC" w:rsidP="003F6F1A">
      <w:pPr>
        <w:jc w:val="both"/>
        <w:rPr>
          <w:rFonts w:ascii="Arial" w:hAnsi="Arial" w:cs="Arial"/>
          <w:b/>
          <w:bCs/>
          <w:i/>
          <w:color w:val="000000"/>
          <w:sz w:val="20"/>
          <w:szCs w:val="20"/>
          <w:u w:val="single"/>
        </w:rPr>
      </w:pPr>
    </w:p>
    <w:p w14:paraId="494C2E23" w14:textId="65120F2B" w:rsidR="00FA6D64" w:rsidRPr="00DA05F7" w:rsidRDefault="00CC1970" w:rsidP="003F6F1A">
      <w:pPr>
        <w:jc w:val="both"/>
        <w:rPr>
          <w:rFonts w:ascii="Arial" w:eastAsia="Times New Roman" w:hAnsi="Arial" w:cs="Arial"/>
          <w:b/>
          <w:bCs/>
          <w:i/>
          <w:color w:val="000000"/>
          <w:sz w:val="20"/>
          <w:szCs w:val="20"/>
          <w:u w:val="single"/>
        </w:rPr>
      </w:pPr>
      <w:r>
        <w:rPr>
          <w:rFonts w:ascii="Arial" w:hAnsi="Arial" w:cs="Arial"/>
          <w:b/>
          <w:bCs/>
          <w:i/>
          <w:color w:val="000000"/>
          <w:sz w:val="20"/>
          <w:szCs w:val="20"/>
          <w:u w:val="single"/>
        </w:rPr>
        <w:lastRenderedPageBreak/>
        <w:br/>
      </w:r>
      <w:r w:rsidR="0079090E">
        <w:rPr>
          <w:rFonts w:ascii="Arial" w:hAnsi="Arial" w:cs="Arial"/>
          <w:b/>
          <w:bCs/>
          <w:i/>
          <w:color w:val="000000"/>
          <w:sz w:val="20"/>
          <w:szCs w:val="20"/>
          <w:u w:val="single"/>
        </w:rPr>
        <w:t>C</w:t>
      </w:r>
      <w:r w:rsidR="00FA6D64" w:rsidRPr="00732B04">
        <w:rPr>
          <w:rFonts w:ascii="Arial" w:hAnsi="Arial" w:cs="Arial"/>
          <w:b/>
          <w:bCs/>
          <w:i/>
          <w:color w:val="000000"/>
          <w:sz w:val="20"/>
          <w:szCs w:val="20"/>
          <w:u w:val="single"/>
        </w:rPr>
        <w:t xml:space="preserve">apital Resources </w:t>
      </w:r>
    </w:p>
    <w:p w14:paraId="0A92DF7E" w14:textId="77777777" w:rsidR="00DA05F7" w:rsidRDefault="00A353D2" w:rsidP="003F6F1A">
      <w:pPr>
        <w:tabs>
          <w:tab w:val="left" w:pos="360"/>
        </w:tabs>
        <w:suppressAutoHyphens/>
        <w:spacing w:after="0"/>
        <w:jc w:val="both"/>
        <w:rPr>
          <w:rFonts w:ascii="Arial" w:hAnsi="Arial" w:cs="Arial"/>
          <w:color w:val="000000"/>
          <w:sz w:val="20"/>
          <w:szCs w:val="20"/>
        </w:rPr>
      </w:pPr>
      <w:r>
        <w:rPr>
          <w:rFonts w:ascii="Arial" w:hAnsi="Arial" w:cs="Arial"/>
          <w:color w:val="000000"/>
          <w:sz w:val="20"/>
          <w:szCs w:val="20"/>
        </w:rPr>
        <w:t xml:space="preserve">The capital of the Company consists of </w:t>
      </w:r>
      <w:r w:rsidR="00A5565C">
        <w:rPr>
          <w:rFonts w:ascii="Arial" w:hAnsi="Arial" w:cs="Arial"/>
          <w:color w:val="000000"/>
          <w:sz w:val="20"/>
          <w:szCs w:val="20"/>
        </w:rPr>
        <w:t>consolidated equity</w:t>
      </w:r>
      <w:r>
        <w:rPr>
          <w:rFonts w:ascii="Arial" w:hAnsi="Arial" w:cs="Arial"/>
          <w:color w:val="000000"/>
          <w:sz w:val="20"/>
          <w:szCs w:val="20"/>
        </w:rPr>
        <w:t xml:space="preserve">, </w:t>
      </w:r>
      <w:r w:rsidR="00A5565C">
        <w:rPr>
          <w:rFonts w:ascii="Arial" w:hAnsi="Arial" w:cs="Arial"/>
          <w:color w:val="000000"/>
          <w:sz w:val="20"/>
          <w:szCs w:val="20"/>
        </w:rPr>
        <w:t>notes payable, convertible debentures</w:t>
      </w:r>
      <w:r>
        <w:rPr>
          <w:rFonts w:ascii="Arial" w:hAnsi="Arial" w:cs="Arial"/>
          <w:color w:val="000000"/>
          <w:sz w:val="20"/>
          <w:szCs w:val="20"/>
        </w:rPr>
        <w:t xml:space="preserve"> and </w:t>
      </w:r>
      <w:r w:rsidR="00A5565C">
        <w:rPr>
          <w:rFonts w:ascii="Arial" w:hAnsi="Arial" w:cs="Arial"/>
          <w:color w:val="000000"/>
          <w:sz w:val="20"/>
          <w:szCs w:val="20"/>
        </w:rPr>
        <w:t>secured loan payable</w:t>
      </w:r>
      <w:r>
        <w:rPr>
          <w:rFonts w:ascii="Arial" w:hAnsi="Arial" w:cs="Arial"/>
          <w:color w:val="000000"/>
          <w:sz w:val="20"/>
          <w:szCs w:val="20"/>
        </w:rPr>
        <w:t>, net of cash.</w:t>
      </w:r>
    </w:p>
    <w:p w14:paraId="3F949208" w14:textId="77777777" w:rsidR="00DA05F7" w:rsidRDefault="00DA05F7" w:rsidP="003F6F1A">
      <w:pPr>
        <w:tabs>
          <w:tab w:val="left" w:pos="360"/>
        </w:tabs>
        <w:suppressAutoHyphens/>
        <w:spacing w:after="0"/>
        <w:rPr>
          <w:rFonts w:ascii="Arial" w:hAnsi="Arial" w:cs="Arial"/>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128"/>
        <w:gridCol w:w="328"/>
        <w:gridCol w:w="2358"/>
        <w:gridCol w:w="328"/>
        <w:gridCol w:w="2218"/>
      </w:tblGrid>
      <w:tr w:rsidR="003E0848" w:rsidRPr="00DA4360" w14:paraId="53C08752" w14:textId="77777777" w:rsidTr="004A1755">
        <w:tc>
          <w:tcPr>
            <w:tcW w:w="4128" w:type="dxa"/>
            <w:tcBorders>
              <w:top w:val="single" w:sz="4" w:space="0" w:color="auto"/>
              <w:bottom w:val="single" w:sz="12" w:space="0" w:color="auto"/>
            </w:tcBorders>
            <w:shd w:val="clear" w:color="auto" w:fill="auto"/>
          </w:tcPr>
          <w:p w14:paraId="41B30BA8" w14:textId="77777777" w:rsidR="00A353D2" w:rsidRPr="00DA4360" w:rsidRDefault="00A353D2" w:rsidP="003F6F1A">
            <w:pPr>
              <w:spacing w:after="0" w:line="240" w:lineRule="auto"/>
              <w:jc w:val="both"/>
              <w:rPr>
                <w:rFonts w:ascii="Arial" w:hAnsi="Arial" w:cs="Arial"/>
                <w:sz w:val="20"/>
                <w:szCs w:val="20"/>
                <w:lang w:val="en-CA"/>
              </w:rPr>
            </w:pPr>
            <w:r w:rsidRPr="00DA4360">
              <w:rPr>
                <w:rFonts w:ascii="Arial" w:hAnsi="Arial" w:cs="Arial"/>
                <w:i/>
                <w:sz w:val="20"/>
                <w:szCs w:val="20"/>
                <w:lang w:val="en-CA"/>
              </w:rPr>
              <w:t xml:space="preserve">As at </w:t>
            </w:r>
          </w:p>
        </w:tc>
        <w:tc>
          <w:tcPr>
            <w:tcW w:w="2686" w:type="dxa"/>
            <w:gridSpan w:val="2"/>
            <w:tcBorders>
              <w:top w:val="single" w:sz="4" w:space="0" w:color="auto"/>
              <w:bottom w:val="single" w:sz="12" w:space="0" w:color="auto"/>
            </w:tcBorders>
            <w:shd w:val="clear" w:color="auto" w:fill="auto"/>
            <w:vAlign w:val="bottom"/>
          </w:tcPr>
          <w:p w14:paraId="0CD30234" w14:textId="5F70A127" w:rsidR="00A353D2" w:rsidRPr="00DA4360" w:rsidRDefault="001E2F98" w:rsidP="003F6F1A">
            <w:pPr>
              <w:spacing w:after="0" w:line="240" w:lineRule="auto"/>
              <w:jc w:val="right"/>
              <w:rPr>
                <w:rFonts w:ascii="Arial" w:hAnsi="Arial" w:cs="Arial"/>
                <w:b/>
                <w:sz w:val="20"/>
                <w:szCs w:val="20"/>
                <w:lang w:val="en-CA"/>
              </w:rPr>
            </w:pPr>
            <w:r>
              <w:rPr>
                <w:rFonts w:ascii="Arial" w:hAnsi="Arial" w:cs="Arial"/>
                <w:b/>
                <w:sz w:val="20"/>
                <w:szCs w:val="20"/>
                <w:lang w:val="en-CA"/>
              </w:rPr>
              <w:t>September</w:t>
            </w:r>
            <w:r w:rsidR="003052EF" w:rsidRPr="00DA4360">
              <w:rPr>
                <w:rFonts w:ascii="Arial" w:hAnsi="Arial" w:cs="Arial"/>
                <w:b/>
                <w:sz w:val="20"/>
                <w:szCs w:val="20"/>
                <w:lang w:val="en-CA"/>
              </w:rPr>
              <w:t xml:space="preserve"> 30</w:t>
            </w:r>
            <w:r w:rsidR="003C5740" w:rsidRPr="00DA4360">
              <w:rPr>
                <w:rFonts w:ascii="Arial" w:hAnsi="Arial" w:cs="Arial"/>
                <w:b/>
                <w:sz w:val="20"/>
                <w:szCs w:val="20"/>
                <w:lang w:val="en-CA"/>
              </w:rPr>
              <w:t xml:space="preserve">, </w:t>
            </w:r>
            <w:r w:rsidR="00A353D2" w:rsidRPr="00DA4360">
              <w:rPr>
                <w:rFonts w:ascii="Arial" w:hAnsi="Arial" w:cs="Arial"/>
                <w:b/>
                <w:sz w:val="20"/>
                <w:szCs w:val="20"/>
                <w:lang w:val="en-CA"/>
              </w:rPr>
              <w:t>201</w:t>
            </w:r>
            <w:r w:rsidR="003C5740" w:rsidRPr="00DA4360">
              <w:rPr>
                <w:rFonts w:ascii="Arial" w:hAnsi="Arial" w:cs="Arial"/>
                <w:b/>
                <w:sz w:val="20"/>
                <w:szCs w:val="20"/>
                <w:lang w:val="en-CA"/>
              </w:rPr>
              <w:t>9</w:t>
            </w:r>
          </w:p>
        </w:tc>
        <w:tc>
          <w:tcPr>
            <w:tcW w:w="2546" w:type="dxa"/>
            <w:gridSpan w:val="2"/>
            <w:tcBorders>
              <w:top w:val="single" w:sz="4" w:space="0" w:color="auto"/>
              <w:bottom w:val="single" w:sz="12" w:space="0" w:color="auto"/>
            </w:tcBorders>
            <w:shd w:val="clear" w:color="auto" w:fill="auto"/>
            <w:vAlign w:val="bottom"/>
          </w:tcPr>
          <w:p w14:paraId="16083406" w14:textId="77777777" w:rsidR="00A353D2" w:rsidRPr="00DA4360" w:rsidRDefault="003C5740"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December 31, 2018</w:t>
            </w:r>
          </w:p>
        </w:tc>
      </w:tr>
      <w:tr w:rsidR="003E0848" w:rsidRPr="00DA4360" w14:paraId="6D74A193" w14:textId="77777777" w:rsidTr="004A1755">
        <w:tc>
          <w:tcPr>
            <w:tcW w:w="4128" w:type="dxa"/>
            <w:tcBorders>
              <w:top w:val="single" w:sz="12" w:space="0" w:color="auto"/>
              <w:bottom w:val="nil"/>
            </w:tcBorders>
            <w:shd w:val="clear" w:color="auto" w:fill="auto"/>
          </w:tcPr>
          <w:p w14:paraId="1C143706" w14:textId="77777777" w:rsidR="00A353D2" w:rsidRPr="00DA4360" w:rsidRDefault="00A353D2" w:rsidP="003F6F1A">
            <w:pPr>
              <w:spacing w:after="0" w:line="240" w:lineRule="auto"/>
              <w:jc w:val="both"/>
              <w:rPr>
                <w:rFonts w:ascii="Arial" w:hAnsi="Arial" w:cs="Arial"/>
                <w:sz w:val="20"/>
                <w:szCs w:val="20"/>
                <w:lang w:val="en-CA"/>
              </w:rPr>
            </w:pPr>
          </w:p>
        </w:tc>
        <w:tc>
          <w:tcPr>
            <w:tcW w:w="328" w:type="dxa"/>
            <w:tcBorders>
              <w:top w:val="single" w:sz="12" w:space="0" w:color="auto"/>
              <w:bottom w:val="nil"/>
            </w:tcBorders>
            <w:shd w:val="clear" w:color="auto" w:fill="auto"/>
          </w:tcPr>
          <w:p w14:paraId="4E8F99AD" w14:textId="77777777" w:rsidR="00A353D2" w:rsidRPr="00DA4360" w:rsidRDefault="00A353D2" w:rsidP="003F6F1A">
            <w:pPr>
              <w:spacing w:after="0" w:line="240" w:lineRule="auto"/>
              <w:jc w:val="both"/>
              <w:rPr>
                <w:rFonts w:ascii="Arial" w:hAnsi="Arial" w:cs="Arial"/>
                <w:b/>
                <w:sz w:val="20"/>
                <w:szCs w:val="20"/>
                <w:lang w:val="en-CA"/>
              </w:rPr>
            </w:pPr>
          </w:p>
        </w:tc>
        <w:tc>
          <w:tcPr>
            <w:tcW w:w="2358" w:type="dxa"/>
            <w:tcBorders>
              <w:top w:val="single" w:sz="12" w:space="0" w:color="auto"/>
              <w:bottom w:val="nil"/>
            </w:tcBorders>
            <w:shd w:val="clear" w:color="auto" w:fill="auto"/>
            <w:vAlign w:val="bottom"/>
          </w:tcPr>
          <w:p w14:paraId="76075A09" w14:textId="77777777" w:rsidR="00A353D2" w:rsidRPr="00DA4360" w:rsidRDefault="00A353D2" w:rsidP="003F6F1A">
            <w:pPr>
              <w:spacing w:after="0" w:line="240" w:lineRule="auto"/>
              <w:jc w:val="right"/>
              <w:rPr>
                <w:rFonts w:ascii="Arial" w:hAnsi="Arial" w:cs="Arial"/>
                <w:b/>
                <w:sz w:val="20"/>
                <w:szCs w:val="20"/>
                <w:lang w:val="en-CA"/>
              </w:rPr>
            </w:pPr>
          </w:p>
        </w:tc>
        <w:tc>
          <w:tcPr>
            <w:tcW w:w="328" w:type="dxa"/>
            <w:tcBorders>
              <w:top w:val="single" w:sz="12" w:space="0" w:color="auto"/>
              <w:bottom w:val="nil"/>
            </w:tcBorders>
            <w:shd w:val="clear" w:color="auto" w:fill="auto"/>
          </w:tcPr>
          <w:p w14:paraId="13160375" w14:textId="77777777" w:rsidR="00A353D2" w:rsidRPr="00DA4360" w:rsidRDefault="00A353D2" w:rsidP="003F6F1A">
            <w:pPr>
              <w:spacing w:after="0" w:line="240" w:lineRule="auto"/>
              <w:jc w:val="both"/>
              <w:rPr>
                <w:rFonts w:ascii="Arial" w:hAnsi="Arial" w:cs="Arial"/>
                <w:sz w:val="20"/>
                <w:szCs w:val="20"/>
                <w:lang w:val="en-CA"/>
              </w:rPr>
            </w:pPr>
          </w:p>
        </w:tc>
        <w:tc>
          <w:tcPr>
            <w:tcW w:w="2218" w:type="dxa"/>
            <w:tcBorders>
              <w:top w:val="single" w:sz="12" w:space="0" w:color="auto"/>
              <w:bottom w:val="nil"/>
            </w:tcBorders>
            <w:shd w:val="clear" w:color="auto" w:fill="auto"/>
            <w:vAlign w:val="bottom"/>
          </w:tcPr>
          <w:p w14:paraId="4E8F6077" w14:textId="77777777" w:rsidR="00A353D2" w:rsidRPr="00DA4360" w:rsidRDefault="00A353D2" w:rsidP="003F6F1A">
            <w:pPr>
              <w:spacing w:after="0" w:line="240" w:lineRule="auto"/>
              <w:jc w:val="right"/>
              <w:rPr>
                <w:rFonts w:ascii="Arial" w:hAnsi="Arial" w:cs="Arial"/>
                <w:sz w:val="20"/>
                <w:szCs w:val="20"/>
                <w:lang w:val="en-CA"/>
              </w:rPr>
            </w:pPr>
          </w:p>
        </w:tc>
      </w:tr>
      <w:tr w:rsidR="003E0848" w:rsidRPr="00DA4360" w14:paraId="0476BE66" w14:textId="77777777" w:rsidTr="004A1755">
        <w:tc>
          <w:tcPr>
            <w:tcW w:w="4128" w:type="dxa"/>
            <w:tcBorders>
              <w:top w:val="nil"/>
              <w:bottom w:val="nil"/>
            </w:tcBorders>
            <w:shd w:val="clear" w:color="auto" w:fill="auto"/>
          </w:tcPr>
          <w:p w14:paraId="2E677745" w14:textId="7FA88E72"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Equity</w:t>
            </w:r>
          </w:p>
        </w:tc>
        <w:tc>
          <w:tcPr>
            <w:tcW w:w="328" w:type="dxa"/>
            <w:tcBorders>
              <w:top w:val="nil"/>
              <w:bottom w:val="nil"/>
            </w:tcBorders>
            <w:shd w:val="clear" w:color="auto" w:fill="auto"/>
          </w:tcPr>
          <w:p w14:paraId="52575713" w14:textId="77777777" w:rsidR="003F5DC9" w:rsidRPr="00DA4360" w:rsidRDefault="003F5DC9"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2358" w:type="dxa"/>
            <w:tcBorders>
              <w:top w:val="nil"/>
              <w:bottom w:val="nil"/>
            </w:tcBorders>
            <w:shd w:val="clear" w:color="auto" w:fill="auto"/>
            <w:vAlign w:val="bottom"/>
          </w:tcPr>
          <w:p w14:paraId="7BB458E7" w14:textId="0C012C36" w:rsidR="003F5DC9"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213,713</w:t>
            </w:r>
          </w:p>
        </w:tc>
        <w:tc>
          <w:tcPr>
            <w:tcW w:w="328" w:type="dxa"/>
            <w:tcBorders>
              <w:top w:val="nil"/>
              <w:bottom w:val="nil"/>
            </w:tcBorders>
            <w:shd w:val="clear" w:color="auto" w:fill="auto"/>
          </w:tcPr>
          <w:p w14:paraId="50C3906D"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2218" w:type="dxa"/>
            <w:tcBorders>
              <w:top w:val="nil"/>
              <w:bottom w:val="nil"/>
            </w:tcBorders>
            <w:shd w:val="clear" w:color="auto" w:fill="auto"/>
            <w:vAlign w:val="bottom"/>
          </w:tcPr>
          <w:p w14:paraId="79887ED6" w14:textId="77777777" w:rsidR="003F5DC9" w:rsidRPr="00DA4360" w:rsidRDefault="003F5DC9" w:rsidP="001A0D67">
            <w:pPr>
              <w:spacing w:after="0" w:line="240" w:lineRule="auto"/>
              <w:ind w:right="-71"/>
              <w:jc w:val="right"/>
              <w:rPr>
                <w:rFonts w:ascii="Arial" w:hAnsi="Arial" w:cs="Arial"/>
                <w:bCs/>
                <w:sz w:val="20"/>
                <w:szCs w:val="20"/>
                <w:lang w:val="en-CA"/>
              </w:rPr>
            </w:pPr>
            <w:r w:rsidRPr="00DA4360">
              <w:rPr>
                <w:rFonts w:ascii="Arial" w:hAnsi="Arial" w:cs="Arial"/>
                <w:bCs/>
                <w:sz w:val="20"/>
                <w:szCs w:val="20"/>
                <w:lang w:val="en-CA"/>
              </w:rPr>
              <w:t>(2,996,220)</w:t>
            </w:r>
          </w:p>
        </w:tc>
      </w:tr>
      <w:tr w:rsidR="003E0848" w:rsidRPr="00DA4360" w14:paraId="51C55018" w14:textId="77777777" w:rsidTr="004A1755">
        <w:tc>
          <w:tcPr>
            <w:tcW w:w="4128" w:type="dxa"/>
            <w:tcBorders>
              <w:top w:val="nil"/>
              <w:bottom w:val="nil"/>
            </w:tcBorders>
            <w:shd w:val="clear" w:color="auto" w:fill="auto"/>
          </w:tcPr>
          <w:p w14:paraId="5A72FCD6"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Notes payable</w:t>
            </w:r>
          </w:p>
        </w:tc>
        <w:tc>
          <w:tcPr>
            <w:tcW w:w="328" w:type="dxa"/>
            <w:tcBorders>
              <w:top w:val="nil"/>
              <w:bottom w:val="nil"/>
            </w:tcBorders>
            <w:shd w:val="clear" w:color="auto" w:fill="auto"/>
          </w:tcPr>
          <w:p w14:paraId="085A76E9"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nil"/>
            </w:tcBorders>
            <w:shd w:val="clear" w:color="auto" w:fill="auto"/>
            <w:vAlign w:val="bottom"/>
          </w:tcPr>
          <w:p w14:paraId="119081F8" w14:textId="2ECBFB38" w:rsidR="003F5DC9"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767,085</w:t>
            </w:r>
          </w:p>
        </w:tc>
        <w:tc>
          <w:tcPr>
            <w:tcW w:w="328" w:type="dxa"/>
            <w:tcBorders>
              <w:top w:val="nil"/>
              <w:bottom w:val="nil"/>
            </w:tcBorders>
            <w:shd w:val="clear" w:color="auto" w:fill="auto"/>
          </w:tcPr>
          <w:p w14:paraId="6FD6B8D8"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nil"/>
            </w:tcBorders>
            <w:shd w:val="clear" w:color="auto" w:fill="auto"/>
            <w:vAlign w:val="bottom"/>
          </w:tcPr>
          <w:p w14:paraId="1B7E27B0"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760,715</w:t>
            </w:r>
          </w:p>
        </w:tc>
      </w:tr>
      <w:tr w:rsidR="003E0848" w:rsidRPr="00DA4360" w14:paraId="470244EB" w14:textId="77777777" w:rsidTr="004A1755">
        <w:tc>
          <w:tcPr>
            <w:tcW w:w="4128" w:type="dxa"/>
            <w:tcBorders>
              <w:top w:val="nil"/>
              <w:bottom w:val="nil"/>
            </w:tcBorders>
            <w:shd w:val="clear" w:color="auto" w:fill="auto"/>
          </w:tcPr>
          <w:p w14:paraId="199E9BA9"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Convertible debentures</w:t>
            </w:r>
          </w:p>
        </w:tc>
        <w:tc>
          <w:tcPr>
            <w:tcW w:w="328" w:type="dxa"/>
            <w:tcBorders>
              <w:top w:val="nil"/>
              <w:bottom w:val="nil"/>
            </w:tcBorders>
            <w:shd w:val="clear" w:color="auto" w:fill="auto"/>
          </w:tcPr>
          <w:p w14:paraId="74C66E4B"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nil"/>
            </w:tcBorders>
            <w:shd w:val="clear" w:color="auto" w:fill="auto"/>
            <w:vAlign w:val="bottom"/>
          </w:tcPr>
          <w:p w14:paraId="7B823385" w14:textId="05342D48" w:rsidR="003F5DC9"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724,705</w:t>
            </w:r>
          </w:p>
        </w:tc>
        <w:tc>
          <w:tcPr>
            <w:tcW w:w="328" w:type="dxa"/>
            <w:tcBorders>
              <w:top w:val="nil"/>
              <w:bottom w:val="nil"/>
            </w:tcBorders>
            <w:shd w:val="clear" w:color="auto" w:fill="auto"/>
          </w:tcPr>
          <w:p w14:paraId="4CFF7452"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nil"/>
            </w:tcBorders>
            <w:shd w:val="clear" w:color="auto" w:fill="auto"/>
            <w:vAlign w:val="bottom"/>
          </w:tcPr>
          <w:p w14:paraId="7F1E4321"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274,466</w:t>
            </w:r>
          </w:p>
        </w:tc>
      </w:tr>
      <w:tr w:rsidR="003E0848" w:rsidRPr="00DA4360" w14:paraId="3226BB0A" w14:textId="77777777" w:rsidTr="004A1755">
        <w:tc>
          <w:tcPr>
            <w:tcW w:w="4128" w:type="dxa"/>
            <w:tcBorders>
              <w:top w:val="nil"/>
              <w:bottom w:val="single" w:sz="4" w:space="0" w:color="auto"/>
            </w:tcBorders>
            <w:shd w:val="clear" w:color="auto" w:fill="auto"/>
          </w:tcPr>
          <w:p w14:paraId="3D1AD5FF"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Secured loan payable</w:t>
            </w:r>
          </w:p>
        </w:tc>
        <w:tc>
          <w:tcPr>
            <w:tcW w:w="328" w:type="dxa"/>
            <w:tcBorders>
              <w:top w:val="nil"/>
              <w:bottom w:val="single" w:sz="4" w:space="0" w:color="auto"/>
            </w:tcBorders>
            <w:shd w:val="clear" w:color="auto" w:fill="auto"/>
          </w:tcPr>
          <w:p w14:paraId="49905D52"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single" w:sz="4" w:space="0" w:color="auto"/>
            </w:tcBorders>
            <w:shd w:val="clear" w:color="auto" w:fill="auto"/>
            <w:vAlign w:val="bottom"/>
          </w:tcPr>
          <w:p w14:paraId="4258E9C8" w14:textId="14AA43A8" w:rsidR="003F5DC9" w:rsidRPr="00DA4360" w:rsidRDefault="00D547E2" w:rsidP="003F6F1A">
            <w:pPr>
              <w:spacing w:after="0" w:line="240" w:lineRule="auto"/>
              <w:jc w:val="right"/>
              <w:rPr>
                <w:rFonts w:ascii="Arial" w:hAnsi="Arial" w:cs="Arial"/>
                <w:b/>
                <w:sz w:val="20"/>
                <w:szCs w:val="20"/>
                <w:lang w:val="en-CA"/>
              </w:rPr>
            </w:pPr>
            <w:r>
              <w:rPr>
                <w:rFonts w:ascii="Arial" w:hAnsi="Arial" w:cs="Arial"/>
                <w:b/>
                <w:sz w:val="20"/>
                <w:szCs w:val="20"/>
                <w:lang w:val="en-CA"/>
              </w:rPr>
              <w:t>750,307</w:t>
            </w:r>
          </w:p>
        </w:tc>
        <w:tc>
          <w:tcPr>
            <w:tcW w:w="328" w:type="dxa"/>
            <w:tcBorders>
              <w:top w:val="nil"/>
              <w:bottom w:val="single" w:sz="4" w:space="0" w:color="auto"/>
            </w:tcBorders>
            <w:shd w:val="clear" w:color="auto" w:fill="auto"/>
          </w:tcPr>
          <w:p w14:paraId="680D7313"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single" w:sz="4" w:space="0" w:color="auto"/>
            </w:tcBorders>
            <w:shd w:val="clear" w:color="auto" w:fill="auto"/>
            <w:vAlign w:val="bottom"/>
          </w:tcPr>
          <w:p w14:paraId="67047C70"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717,460</w:t>
            </w:r>
          </w:p>
        </w:tc>
      </w:tr>
      <w:tr w:rsidR="003E0848" w:rsidRPr="00DA4360" w14:paraId="0A141D3A" w14:textId="77777777" w:rsidTr="004A1755">
        <w:trPr>
          <w:trHeight w:val="242"/>
        </w:trPr>
        <w:tc>
          <w:tcPr>
            <w:tcW w:w="4128" w:type="dxa"/>
            <w:tcBorders>
              <w:top w:val="single" w:sz="4" w:space="0" w:color="auto"/>
              <w:bottom w:val="nil"/>
            </w:tcBorders>
            <w:shd w:val="clear" w:color="auto" w:fill="auto"/>
          </w:tcPr>
          <w:p w14:paraId="12E24D1F" w14:textId="77777777" w:rsidR="003F5DC9" w:rsidRPr="00DA4360" w:rsidRDefault="003F5DC9" w:rsidP="003F6F1A">
            <w:pPr>
              <w:spacing w:after="0" w:line="240" w:lineRule="auto"/>
              <w:jc w:val="both"/>
              <w:rPr>
                <w:rFonts w:ascii="Arial" w:hAnsi="Arial" w:cs="Arial"/>
                <w:sz w:val="20"/>
                <w:szCs w:val="20"/>
                <w:lang w:val="en-CA"/>
              </w:rPr>
            </w:pPr>
          </w:p>
        </w:tc>
        <w:tc>
          <w:tcPr>
            <w:tcW w:w="328" w:type="dxa"/>
            <w:tcBorders>
              <w:top w:val="single" w:sz="4" w:space="0" w:color="auto"/>
              <w:bottom w:val="nil"/>
            </w:tcBorders>
            <w:shd w:val="clear" w:color="auto" w:fill="auto"/>
          </w:tcPr>
          <w:p w14:paraId="0EB5539D"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single" w:sz="4" w:space="0" w:color="auto"/>
              <w:bottom w:val="nil"/>
            </w:tcBorders>
            <w:shd w:val="clear" w:color="auto" w:fill="auto"/>
            <w:vAlign w:val="bottom"/>
          </w:tcPr>
          <w:p w14:paraId="5D556E19" w14:textId="19D997D8" w:rsidR="00FD6918" w:rsidRPr="00DA4360" w:rsidRDefault="00D547E2" w:rsidP="001A0D67">
            <w:pPr>
              <w:spacing w:after="0" w:line="240" w:lineRule="auto"/>
              <w:ind w:right="-60"/>
              <w:jc w:val="right"/>
              <w:rPr>
                <w:rFonts w:ascii="Arial" w:hAnsi="Arial" w:cs="Arial"/>
                <w:b/>
                <w:sz w:val="20"/>
                <w:szCs w:val="20"/>
                <w:lang w:val="en-CA"/>
              </w:rPr>
            </w:pPr>
            <w:r>
              <w:rPr>
                <w:rFonts w:ascii="Arial" w:hAnsi="Arial" w:cs="Arial"/>
                <w:b/>
                <w:sz w:val="20"/>
                <w:szCs w:val="20"/>
                <w:lang w:val="en-CA"/>
              </w:rPr>
              <w:t>(2,455,810)</w:t>
            </w:r>
          </w:p>
        </w:tc>
        <w:tc>
          <w:tcPr>
            <w:tcW w:w="328" w:type="dxa"/>
            <w:tcBorders>
              <w:top w:val="single" w:sz="4" w:space="0" w:color="auto"/>
              <w:bottom w:val="nil"/>
            </w:tcBorders>
            <w:shd w:val="clear" w:color="auto" w:fill="auto"/>
            <w:vAlign w:val="bottom"/>
          </w:tcPr>
          <w:p w14:paraId="316D9A89" w14:textId="77777777" w:rsidR="003F5DC9" w:rsidRPr="00DA4360" w:rsidRDefault="003F5DC9" w:rsidP="003F6F1A">
            <w:pPr>
              <w:spacing w:after="0" w:line="240" w:lineRule="auto"/>
              <w:jc w:val="both"/>
              <w:rPr>
                <w:rFonts w:ascii="Arial" w:hAnsi="Arial" w:cs="Arial"/>
                <w:b/>
                <w:sz w:val="20"/>
                <w:szCs w:val="20"/>
                <w:lang w:val="en-CA"/>
              </w:rPr>
            </w:pPr>
          </w:p>
        </w:tc>
        <w:tc>
          <w:tcPr>
            <w:tcW w:w="2218" w:type="dxa"/>
            <w:tcBorders>
              <w:top w:val="single" w:sz="4" w:space="0" w:color="auto"/>
              <w:bottom w:val="nil"/>
            </w:tcBorders>
            <w:shd w:val="clear" w:color="auto" w:fill="auto"/>
            <w:vAlign w:val="bottom"/>
          </w:tcPr>
          <w:p w14:paraId="54CE515C" w14:textId="77777777" w:rsidR="003F5DC9" w:rsidRPr="00DA4360" w:rsidRDefault="003F5DC9" w:rsidP="001A0D67">
            <w:pPr>
              <w:spacing w:after="0" w:line="240" w:lineRule="auto"/>
              <w:ind w:right="-53"/>
              <w:jc w:val="right"/>
              <w:rPr>
                <w:rFonts w:ascii="Arial" w:hAnsi="Arial" w:cs="Arial"/>
                <w:bCs/>
                <w:sz w:val="20"/>
                <w:szCs w:val="20"/>
                <w:lang w:val="en-CA"/>
              </w:rPr>
            </w:pPr>
            <w:r w:rsidRPr="00DA4360">
              <w:rPr>
                <w:rFonts w:ascii="Arial" w:hAnsi="Arial" w:cs="Arial"/>
                <w:bCs/>
                <w:sz w:val="20"/>
                <w:szCs w:val="20"/>
                <w:lang w:val="en-CA"/>
              </w:rPr>
              <w:t>(1,243,579)</w:t>
            </w:r>
          </w:p>
        </w:tc>
      </w:tr>
      <w:tr w:rsidR="003E0848" w:rsidRPr="00DA4360" w14:paraId="78D3E982" w14:textId="77777777" w:rsidTr="004A1755">
        <w:tc>
          <w:tcPr>
            <w:tcW w:w="4128" w:type="dxa"/>
            <w:tcBorders>
              <w:top w:val="nil"/>
              <w:bottom w:val="nil"/>
            </w:tcBorders>
            <w:shd w:val="clear" w:color="auto" w:fill="auto"/>
          </w:tcPr>
          <w:p w14:paraId="40B1F5A3" w14:textId="77777777" w:rsidR="00A5074B" w:rsidRPr="00DA4360" w:rsidRDefault="00A5074B" w:rsidP="003F6F1A">
            <w:pPr>
              <w:spacing w:after="0" w:line="240" w:lineRule="auto"/>
              <w:jc w:val="both"/>
              <w:rPr>
                <w:rFonts w:ascii="Arial" w:hAnsi="Arial" w:cs="Arial"/>
                <w:sz w:val="20"/>
                <w:szCs w:val="20"/>
                <w:lang w:val="en-CA"/>
              </w:rPr>
            </w:pPr>
          </w:p>
        </w:tc>
        <w:tc>
          <w:tcPr>
            <w:tcW w:w="328" w:type="dxa"/>
            <w:tcBorders>
              <w:top w:val="nil"/>
              <w:bottom w:val="nil"/>
            </w:tcBorders>
            <w:shd w:val="clear" w:color="auto" w:fill="auto"/>
          </w:tcPr>
          <w:p w14:paraId="06295791" w14:textId="77777777" w:rsidR="00A5074B" w:rsidRPr="00DA4360" w:rsidRDefault="00A5074B" w:rsidP="003F6F1A">
            <w:pPr>
              <w:spacing w:after="0" w:line="240" w:lineRule="auto"/>
              <w:jc w:val="both"/>
              <w:rPr>
                <w:rFonts w:ascii="Arial" w:hAnsi="Arial" w:cs="Arial"/>
                <w:b/>
                <w:sz w:val="20"/>
                <w:szCs w:val="20"/>
                <w:lang w:val="en-CA"/>
              </w:rPr>
            </w:pPr>
          </w:p>
        </w:tc>
        <w:tc>
          <w:tcPr>
            <w:tcW w:w="2358" w:type="dxa"/>
            <w:tcBorders>
              <w:top w:val="nil"/>
              <w:bottom w:val="nil"/>
            </w:tcBorders>
            <w:shd w:val="clear" w:color="auto" w:fill="auto"/>
            <w:vAlign w:val="bottom"/>
          </w:tcPr>
          <w:p w14:paraId="7B1117FC" w14:textId="77777777" w:rsidR="00A5074B" w:rsidRPr="00DA4360" w:rsidRDefault="00A5074B" w:rsidP="001A0D67">
            <w:pPr>
              <w:spacing w:after="0" w:line="240" w:lineRule="auto"/>
              <w:ind w:right="-60"/>
              <w:jc w:val="right"/>
              <w:rPr>
                <w:rFonts w:ascii="Arial" w:hAnsi="Arial" w:cs="Arial"/>
                <w:b/>
                <w:sz w:val="20"/>
                <w:szCs w:val="20"/>
                <w:lang w:val="en-CA"/>
              </w:rPr>
            </w:pPr>
          </w:p>
        </w:tc>
        <w:tc>
          <w:tcPr>
            <w:tcW w:w="328" w:type="dxa"/>
            <w:tcBorders>
              <w:top w:val="nil"/>
              <w:bottom w:val="nil"/>
            </w:tcBorders>
            <w:shd w:val="clear" w:color="auto" w:fill="auto"/>
            <w:vAlign w:val="bottom"/>
          </w:tcPr>
          <w:p w14:paraId="59D2153B" w14:textId="77777777" w:rsidR="00A5074B" w:rsidRPr="00DA4360" w:rsidRDefault="00A5074B" w:rsidP="003F6F1A">
            <w:pPr>
              <w:spacing w:after="0" w:line="240" w:lineRule="auto"/>
              <w:jc w:val="both"/>
              <w:rPr>
                <w:rFonts w:ascii="Arial" w:hAnsi="Arial" w:cs="Arial"/>
                <w:b/>
                <w:sz w:val="20"/>
                <w:szCs w:val="20"/>
                <w:lang w:val="en-CA"/>
              </w:rPr>
            </w:pPr>
          </w:p>
        </w:tc>
        <w:tc>
          <w:tcPr>
            <w:tcW w:w="2218" w:type="dxa"/>
            <w:tcBorders>
              <w:top w:val="nil"/>
              <w:bottom w:val="nil"/>
            </w:tcBorders>
            <w:shd w:val="clear" w:color="auto" w:fill="auto"/>
            <w:vAlign w:val="bottom"/>
          </w:tcPr>
          <w:p w14:paraId="6B856DD8" w14:textId="77777777" w:rsidR="00A5074B" w:rsidRPr="00DA4360" w:rsidRDefault="00A5074B" w:rsidP="001A0D67">
            <w:pPr>
              <w:spacing w:after="0" w:line="240" w:lineRule="auto"/>
              <w:ind w:right="-53"/>
              <w:jc w:val="right"/>
              <w:rPr>
                <w:rFonts w:ascii="Arial" w:hAnsi="Arial" w:cs="Arial"/>
                <w:bCs/>
                <w:sz w:val="20"/>
                <w:szCs w:val="20"/>
                <w:lang w:val="en-CA"/>
              </w:rPr>
            </w:pPr>
          </w:p>
        </w:tc>
      </w:tr>
      <w:tr w:rsidR="003E0848" w:rsidRPr="00DA4360" w14:paraId="18CF1200" w14:textId="77777777" w:rsidTr="004A1755">
        <w:tc>
          <w:tcPr>
            <w:tcW w:w="4128" w:type="dxa"/>
            <w:tcBorders>
              <w:top w:val="nil"/>
              <w:bottom w:val="single" w:sz="4" w:space="0" w:color="auto"/>
            </w:tcBorders>
            <w:shd w:val="clear" w:color="auto" w:fill="auto"/>
          </w:tcPr>
          <w:p w14:paraId="74B20BBF"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 xml:space="preserve">Less: cash </w:t>
            </w:r>
          </w:p>
        </w:tc>
        <w:tc>
          <w:tcPr>
            <w:tcW w:w="328" w:type="dxa"/>
            <w:tcBorders>
              <w:top w:val="nil"/>
              <w:bottom w:val="single" w:sz="4" w:space="0" w:color="auto"/>
            </w:tcBorders>
            <w:shd w:val="clear" w:color="auto" w:fill="auto"/>
          </w:tcPr>
          <w:p w14:paraId="6D799166"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single" w:sz="4" w:space="0" w:color="auto"/>
            </w:tcBorders>
            <w:shd w:val="clear" w:color="auto" w:fill="auto"/>
            <w:vAlign w:val="bottom"/>
          </w:tcPr>
          <w:p w14:paraId="6BCBEF5C" w14:textId="3269CD18" w:rsidR="003F5DC9" w:rsidRPr="00DA4360" w:rsidRDefault="00D547E2" w:rsidP="001A0D67">
            <w:pPr>
              <w:spacing w:after="0" w:line="240" w:lineRule="auto"/>
              <w:ind w:right="-60"/>
              <w:jc w:val="right"/>
              <w:rPr>
                <w:rFonts w:ascii="Arial" w:hAnsi="Arial" w:cs="Arial"/>
                <w:b/>
                <w:sz w:val="20"/>
                <w:szCs w:val="20"/>
                <w:lang w:val="en-CA"/>
              </w:rPr>
            </w:pPr>
            <w:r>
              <w:rPr>
                <w:rFonts w:ascii="Arial" w:hAnsi="Arial" w:cs="Arial"/>
                <w:b/>
                <w:sz w:val="20"/>
                <w:szCs w:val="20"/>
                <w:lang w:val="en-CA"/>
              </w:rPr>
              <w:t>(178,578)</w:t>
            </w:r>
          </w:p>
        </w:tc>
        <w:tc>
          <w:tcPr>
            <w:tcW w:w="328" w:type="dxa"/>
            <w:tcBorders>
              <w:top w:val="nil"/>
              <w:bottom w:val="single" w:sz="4" w:space="0" w:color="auto"/>
            </w:tcBorders>
            <w:shd w:val="clear" w:color="auto" w:fill="auto"/>
          </w:tcPr>
          <w:p w14:paraId="09AA9FA0"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single" w:sz="4" w:space="0" w:color="auto"/>
            </w:tcBorders>
            <w:shd w:val="clear" w:color="auto" w:fill="auto"/>
            <w:vAlign w:val="bottom"/>
          </w:tcPr>
          <w:p w14:paraId="71BA72B2" w14:textId="77777777" w:rsidR="003F5DC9" w:rsidRPr="00DA4360" w:rsidRDefault="003F5DC9" w:rsidP="001A0D67">
            <w:pPr>
              <w:spacing w:after="0" w:line="240" w:lineRule="auto"/>
              <w:ind w:right="-53"/>
              <w:jc w:val="right"/>
              <w:rPr>
                <w:rFonts w:ascii="Arial" w:hAnsi="Arial" w:cs="Arial"/>
                <w:bCs/>
                <w:sz w:val="20"/>
                <w:szCs w:val="20"/>
                <w:lang w:val="en-CA"/>
              </w:rPr>
            </w:pPr>
            <w:r w:rsidRPr="00DA4360">
              <w:rPr>
                <w:rFonts w:ascii="Arial" w:hAnsi="Arial" w:cs="Arial"/>
                <w:bCs/>
                <w:sz w:val="20"/>
                <w:szCs w:val="20"/>
                <w:lang w:val="en-CA"/>
              </w:rPr>
              <w:t>(157,668)</w:t>
            </w:r>
          </w:p>
        </w:tc>
      </w:tr>
      <w:tr w:rsidR="003E0848" w:rsidRPr="00DA4360" w14:paraId="747E5FB2" w14:textId="77777777" w:rsidTr="004A1755">
        <w:tc>
          <w:tcPr>
            <w:tcW w:w="4128" w:type="dxa"/>
            <w:tcBorders>
              <w:top w:val="single" w:sz="4" w:space="0" w:color="auto"/>
              <w:bottom w:val="nil"/>
            </w:tcBorders>
            <w:shd w:val="clear" w:color="auto" w:fill="auto"/>
          </w:tcPr>
          <w:p w14:paraId="5AF23CE0" w14:textId="77777777" w:rsidR="003F5DC9" w:rsidRPr="00DA4360" w:rsidRDefault="003F5DC9" w:rsidP="003F6F1A">
            <w:pPr>
              <w:spacing w:after="0" w:line="240" w:lineRule="auto"/>
              <w:jc w:val="both"/>
              <w:rPr>
                <w:rFonts w:ascii="Arial" w:hAnsi="Arial" w:cs="Arial"/>
                <w:sz w:val="20"/>
                <w:szCs w:val="20"/>
                <w:lang w:val="en-CA"/>
              </w:rPr>
            </w:pPr>
          </w:p>
        </w:tc>
        <w:tc>
          <w:tcPr>
            <w:tcW w:w="328" w:type="dxa"/>
            <w:tcBorders>
              <w:top w:val="single" w:sz="4" w:space="0" w:color="auto"/>
              <w:bottom w:val="nil"/>
            </w:tcBorders>
            <w:shd w:val="clear" w:color="auto" w:fill="auto"/>
          </w:tcPr>
          <w:p w14:paraId="1A164408"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single" w:sz="4" w:space="0" w:color="auto"/>
              <w:bottom w:val="nil"/>
            </w:tcBorders>
            <w:shd w:val="clear" w:color="auto" w:fill="auto"/>
            <w:vAlign w:val="bottom"/>
          </w:tcPr>
          <w:p w14:paraId="633C9489" w14:textId="77777777" w:rsidR="003F5DC9" w:rsidRPr="00DA4360" w:rsidRDefault="003F5DC9" w:rsidP="001A0D67">
            <w:pPr>
              <w:spacing w:after="0" w:line="240" w:lineRule="auto"/>
              <w:ind w:right="-60"/>
              <w:jc w:val="right"/>
              <w:rPr>
                <w:rFonts w:ascii="Arial" w:hAnsi="Arial" w:cs="Arial"/>
                <w:b/>
                <w:sz w:val="20"/>
                <w:szCs w:val="20"/>
                <w:lang w:val="en-CA"/>
              </w:rPr>
            </w:pPr>
          </w:p>
        </w:tc>
        <w:tc>
          <w:tcPr>
            <w:tcW w:w="328" w:type="dxa"/>
            <w:tcBorders>
              <w:top w:val="single" w:sz="4" w:space="0" w:color="auto"/>
              <w:bottom w:val="nil"/>
            </w:tcBorders>
            <w:shd w:val="clear" w:color="auto" w:fill="auto"/>
          </w:tcPr>
          <w:p w14:paraId="261B3D5D"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single" w:sz="4" w:space="0" w:color="auto"/>
              <w:bottom w:val="nil"/>
            </w:tcBorders>
            <w:shd w:val="clear" w:color="auto" w:fill="auto"/>
            <w:vAlign w:val="bottom"/>
          </w:tcPr>
          <w:p w14:paraId="7E0DDA58" w14:textId="77777777" w:rsidR="003F5DC9" w:rsidRPr="00DA4360" w:rsidRDefault="003F5DC9" w:rsidP="001A0D67">
            <w:pPr>
              <w:spacing w:after="0" w:line="240" w:lineRule="auto"/>
              <w:ind w:right="-53"/>
              <w:jc w:val="right"/>
              <w:rPr>
                <w:rFonts w:ascii="Arial" w:hAnsi="Arial" w:cs="Arial"/>
                <w:bCs/>
                <w:sz w:val="20"/>
                <w:szCs w:val="20"/>
                <w:lang w:val="en-CA"/>
              </w:rPr>
            </w:pPr>
          </w:p>
        </w:tc>
      </w:tr>
      <w:tr w:rsidR="003E0848" w:rsidRPr="00DA4360" w14:paraId="6317CA68" w14:textId="77777777" w:rsidTr="004A1755">
        <w:tc>
          <w:tcPr>
            <w:tcW w:w="4128" w:type="dxa"/>
            <w:tcBorders>
              <w:top w:val="nil"/>
              <w:bottom w:val="single" w:sz="18" w:space="0" w:color="auto"/>
            </w:tcBorders>
            <w:shd w:val="clear" w:color="auto" w:fill="auto"/>
          </w:tcPr>
          <w:p w14:paraId="2F2A2813" w14:textId="77777777" w:rsidR="003F5DC9" w:rsidRPr="00DA4360" w:rsidRDefault="003F5DC9" w:rsidP="003F6F1A">
            <w:pPr>
              <w:spacing w:after="0" w:line="240" w:lineRule="auto"/>
              <w:jc w:val="both"/>
              <w:rPr>
                <w:rFonts w:ascii="Arial" w:hAnsi="Arial" w:cs="Arial"/>
                <w:sz w:val="20"/>
                <w:szCs w:val="20"/>
                <w:lang w:val="en-CA"/>
              </w:rPr>
            </w:pPr>
          </w:p>
        </w:tc>
        <w:tc>
          <w:tcPr>
            <w:tcW w:w="328" w:type="dxa"/>
            <w:tcBorders>
              <w:top w:val="nil"/>
              <w:bottom w:val="single" w:sz="18" w:space="0" w:color="auto"/>
            </w:tcBorders>
            <w:shd w:val="clear" w:color="auto" w:fill="auto"/>
          </w:tcPr>
          <w:p w14:paraId="7F5036D7" w14:textId="77777777" w:rsidR="003F5DC9" w:rsidRPr="00DA4360" w:rsidRDefault="003F5DC9"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2358" w:type="dxa"/>
            <w:tcBorders>
              <w:top w:val="nil"/>
              <w:bottom w:val="single" w:sz="18" w:space="0" w:color="auto"/>
            </w:tcBorders>
            <w:shd w:val="clear" w:color="auto" w:fill="auto"/>
            <w:vAlign w:val="bottom"/>
          </w:tcPr>
          <w:p w14:paraId="4354E36C" w14:textId="7A166830" w:rsidR="003F5DC9" w:rsidRPr="00DA4360" w:rsidRDefault="00ED07BC" w:rsidP="001A0D67">
            <w:pPr>
              <w:spacing w:after="0" w:line="240" w:lineRule="auto"/>
              <w:ind w:right="-60"/>
              <w:jc w:val="right"/>
              <w:rPr>
                <w:rFonts w:ascii="Arial" w:hAnsi="Arial" w:cs="Arial"/>
                <w:b/>
                <w:sz w:val="20"/>
                <w:szCs w:val="20"/>
                <w:lang w:val="en-CA"/>
              </w:rPr>
            </w:pPr>
            <w:r>
              <w:rPr>
                <w:rFonts w:ascii="Arial" w:hAnsi="Arial" w:cs="Arial"/>
                <w:b/>
                <w:sz w:val="20"/>
                <w:szCs w:val="20"/>
                <w:lang w:val="en-CA"/>
              </w:rPr>
              <w:t>(2,634,388)</w:t>
            </w:r>
          </w:p>
        </w:tc>
        <w:tc>
          <w:tcPr>
            <w:tcW w:w="328" w:type="dxa"/>
            <w:tcBorders>
              <w:top w:val="nil"/>
              <w:bottom w:val="single" w:sz="18" w:space="0" w:color="auto"/>
            </w:tcBorders>
            <w:shd w:val="clear" w:color="auto" w:fill="auto"/>
          </w:tcPr>
          <w:p w14:paraId="2AA56FE4"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2218" w:type="dxa"/>
            <w:tcBorders>
              <w:top w:val="nil"/>
              <w:bottom w:val="single" w:sz="18" w:space="0" w:color="auto"/>
            </w:tcBorders>
            <w:shd w:val="clear" w:color="auto" w:fill="auto"/>
            <w:vAlign w:val="bottom"/>
          </w:tcPr>
          <w:p w14:paraId="27C24683" w14:textId="77777777" w:rsidR="003F5DC9" w:rsidRPr="00DA4360" w:rsidRDefault="003F5DC9" w:rsidP="001A0D67">
            <w:pPr>
              <w:spacing w:after="0" w:line="240" w:lineRule="auto"/>
              <w:ind w:right="-53"/>
              <w:jc w:val="right"/>
              <w:rPr>
                <w:rFonts w:ascii="Arial" w:hAnsi="Arial" w:cs="Arial"/>
                <w:bCs/>
                <w:sz w:val="20"/>
                <w:szCs w:val="20"/>
                <w:lang w:val="en-CA"/>
              </w:rPr>
            </w:pPr>
            <w:r w:rsidRPr="00DA4360">
              <w:rPr>
                <w:rFonts w:ascii="Arial" w:hAnsi="Arial" w:cs="Arial"/>
                <w:bCs/>
                <w:sz w:val="20"/>
                <w:szCs w:val="20"/>
                <w:lang w:val="en-CA"/>
              </w:rPr>
              <w:t>(1,401,247)</w:t>
            </w:r>
          </w:p>
        </w:tc>
      </w:tr>
    </w:tbl>
    <w:p w14:paraId="22BCE82D" w14:textId="77777777" w:rsidR="00A353D2" w:rsidRDefault="00A353D2" w:rsidP="003F6F1A">
      <w:pPr>
        <w:tabs>
          <w:tab w:val="left" w:pos="360"/>
        </w:tabs>
        <w:suppressAutoHyphens/>
        <w:spacing w:after="0"/>
        <w:rPr>
          <w:rFonts w:ascii="Arial" w:hAnsi="Arial" w:cs="Arial"/>
          <w:sz w:val="20"/>
          <w:szCs w:val="20"/>
        </w:rPr>
      </w:pPr>
    </w:p>
    <w:p w14:paraId="4423CB82" w14:textId="77777777" w:rsidR="001A7E6B" w:rsidRDefault="001A7E6B" w:rsidP="003F6F1A">
      <w:pPr>
        <w:tabs>
          <w:tab w:val="left" w:pos="360"/>
        </w:tabs>
        <w:suppressAutoHyphens/>
        <w:spacing w:after="0"/>
        <w:jc w:val="both"/>
        <w:rPr>
          <w:rFonts w:ascii="Arial" w:hAnsi="Arial" w:cs="Arial"/>
          <w:sz w:val="20"/>
          <w:szCs w:val="20"/>
        </w:rPr>
      </w:pPr>
      <w:r w:rsidRPr="0061123D">
        <w:rPr>
          <w:rFonts w:ascii="Arial" w:hAnsi="Arial" w:cs="Arial"/>
          <w:sz w:val="20"/>
          <w:szCs w:val="20"/>
        </w:rPr>
        <w:t>The board of directors of the Company has overall responsibility for the establishment and oversight of the Company’s risk management policies on an annual basis. The Company’s board of directors identifies and evaluates the Company’s financial risks and is charged with the responsibility of establishing controls and procedures to</w:t>
      </w:r>
      <w:r w:rsidR="00B2083A">
        <w:rPr>
          <w:rFonts w:ascii="Arial" w:hAnsi="Arial" w:cs="Arial"/>
          <w:sz w:val="20"/>
          <w:szCs w:val="20"/>
        </w:rPr>
        <w:t xml:space="preserve"> </w:t>
      </w:r>
      <w:r w:rsidRPr="0061123D">
        <w:rPr>
          <w:rFonts w:ascii="Arial" w:hAnsi="Arial" w:cs="Arial"/>
          <w:sz w:val="20"/>
          <w:szCs w:val="20"/>
        </w:rPr>
        <w:t>ensure financial risks are mitigated.</w:t>
      </w:r>
    </w:p>
    <w:p w14:paraId="5E2B6E80" w14:textId="77777777" w:rsidR="007F667C" w:rsidRDefault="007F667C" w:rsidP="003F6F1A">
      <w:pPr>
        <w:autoSpaceDE w:val="0"/>
        <w:autoSpaceDN w:val="0"/>
        <w:adjustRightInd w:val="0"/>
        <w:spacing w:after="0"/>
        <w:jc w:val="both"/>
        <w:rPr>
          <w:rFonts w:ascii="Arial" w:hAnsi="Arial" w:cs="Arial"/>
          <w:sz w:val="20"/>
          <w:szCs w:val="20"/>
        </w:rPr>
      </w:pPr>
    </w:p>
    <w:p w14:paraId="2268D8BE" w14:textId="6BA61974" w:rsidR="001A7E6B" w:rsidRDefault="001A7E6B" w:rsidP="003F6F1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objectives when managing capital are to pursue and complete the identification and evaluation of assets, properties or businesses with a view to acquisition. The Company does not have any externally imposed capital requirements to which it is subject.</w:t>
      </w:r>
    </w:p>
    <w:p w14:paraId="2B4FA493" w14:textId="77777777" w:rsidR="004E17E1" w:rsidRDefault="004E17E1" w:rsidP="003F6F1A">
      <w:pPr>
        <w:autoSpaceDE w:val="0"/>
        <w:autoSpaceDN w:val="0"/>
        <w:adjustRightInd w:val="0"/>
        <w:spacing w:after="0"/>
        <w:jc w:val="both"/>
        <w:rPr>
          <w:rFonts w:ascii="Arial" w:hAnsi="Arial" w:cs="Arial"/>
          <w:sz w:val="20"/>
          <w:szCs w:val="20"/>
        </w:rPr>
      </w:pPr>
    </w:p>
    <w:p w14:paraId="2969740B" w14:textId="77777777" w:rsidR="001A7E6B" w:rsidRPr="00007ADF" w:rsidRDefault="001A7E6B" w:rsidP="003F6F1A">
      <w:pPr>
        <w:autoSpaceDE w:val="0"/>
        <w:autoSpaceDN w:val="0"/>
        <w:adjustRightInd w:val="0"/>
        <w:spacing w:after="0"/>
        <w:jc w:val="both"/>
        <w:rPr>
          <w:rFonts w:ascii="Arial" w:hAnsi="Arial" w:cs="Arial"/>
          <w:sz w:val="20"/>
          <w:szCs w:val="20"/>
        </w:rPr>
      </w:pPr>
      <w:r w:rsidRPr="0061123D">
        <w:rPr>
          <w:rFonts w:ascii="Arial" w:hAnsi="Arial" w:cs="Arial"/>
          <w:sz w:val="20"/>
          <w:szCs w:val="20"/>
        </w:rPr>
        <w:t xml:space="preserve">The Company manages the capital structure and makes adjustments to it in light of changes in economic conditions and the risk characteristics of the underlying assets. To maintain or adjust the capital structure, the Company may </w:t>
      </w:r>
      <w:r w:rsidRPr="00007ADF">
        <w:rPr>
          <w:rFonts w:ascii="Arial" w:hAnsi="Arial" w:cs="Arial"/>
          <w:sz w:val="20"/>
          <w:szCs w:val="20"/>
        </w:rPr>
        <w:t>attempt to issue new</w:t>
      </w:r>
      <w:r w:rsidR="00546001">
        <w:rPr>
          <w:rFonts w:ascii="Arial" w:hAnsi="Arial" w:cs="Arial"/>
          <w:sz w:val="20"/>
          <w:szCs w:val="20"/>
        </w:rPr>
        <w:t xml:space="preserve"> common</w:t>
      </w:r>
      <w:r w:rsidRPr="00007ADF">
        <w:rPr>
          <w:rFonts w:ascii="Arial" w:hAnsi="Arial" w:cs="Arial"/>
          <w:sz w:val="20"/>
          <w:szCs w:val="20"/>
        </w:rPr>
        <w:t xml:space="preserve"> shares or adjust the amount of cash.</w:t>
      </w:r>
    </w:p>
    <w:p w14:paraId="4D959F44" w14:textId="77777777" w:rsidR="001A7E6B" w:rsidRPr="00007ADF" w:rsidRDefault="001A7E6B" w:rsidP="003F6F1A">
      <w:pPr>
        <w:autoSpaceDE w:val="0"/>
        <w:autoSpaceDN w:val="0"/>
        <w:adjustRightInd w:val="0"/>
        <w:spacing w:after="0"/>
        <w:jc w:val="both"/>
        <w:rPr>
          <w:rFonts w:ascii="Arial" w:hAnsi="Arial" w:cs="Arial"/>
          <w:sz w:val="20"/>
          <w:szCs w:val="20"/>
        </w:rPr>
      </w:pPr>
    </w:p>
    <w:p w14:paraId="000BC24F" w14:textId="77777777" w:rsidR="001A7E6B" w:rsidRDefault="001A7E6B" w:rsidP="003F6F1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investment policy is to invest excess cash in investment instruments at high credit, quality financial institutions with terms to maturity selected with regards to the expected time of expenditures from continuing operations.</w:t>
      </w:r>
    </w:p>
    <w:p w14:paraId="5E29F291" w14:textId="77777777" w:rsidR="00BE1DF8" w:rsidRDefault="00BE1DF8" w:rsidP="003F6F1A">
      <w:pPr>
        <w:autoSpaceDE w:val="0"/>
        <w:autoSpaceDN w:val="0"/>
        <w:adjustRightInd w:val="0"/>
        <w:spacing w:after="0"/>
        <w:jc w:val="both"/>
        <w:rPr>
          <w:rFonts w:ascii="Arial" w:hAnsi="Arial" w:cs="Arial"/>
          <w:sz w:val="20"/>
          <w:szCs w:val="20"/>
        </w:rPr>
      </w:pPr>
    </w:p>
    <w:p w14:paraId="0A4B826B" w14:textId="77777777" w:rsidR="001A7E6B" w:rsidRPr="00BE1DF8"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OFF-BALANCE SHEET ARRANGEMENTS</w:t>
      </w:r>
    </w:p>
    <w:p w14:paraId="0DD6E68A" w14:textId="77777777" w:rsidR="00BE1DF8" w:rsidRDefault="00BE1DF8" w:rsidP="003F6F1A">
      <w:pPr>
        <w:tabs>
          <w:tab w:val="left" w:pos="360"/>
        </w:tabs>
        <w:suppressAutoHyphens/>
        <w:spacing w:after="0"/>
        <w:jc w:val="both"/>
        <w:rPr>
          <w:rFonts w:ascii="Arial" w:hAnsi="Arial" w:cs="Arial"/>
          <w:sz w:val="20"/>
          <w:szCs w:val="20"/>
        </w:rPr>
      </w:pPr>
    </w:p>
    <w:p w14:paraId="0857014C" w14:textId="77777777" w:rsidR="00B96480" w:rsidRDefault="001A7E6B" w:rsidP="003F6F1A">
      <w:pPr>
        <w:tabs>
          <w:tab w:val="left" w:pos="360"/>
        </w:tabs>
        <w:suppressAutoHyphens/>
        <w:spacing w:after="0"/>
        <w:jc w:val="both"/>
        <w:rPr>
          <w:rFonts w:ascii="Arial" w:hAnsi="Arial" w:cs="Arial"/>
          <w:sz w:val="20"/>
          <w:szCs w:val="20"/>
        </w:rPr>
      </w:pPr>
      <w:r w:rsidRPr="00007ADF">
        <w:rPr>
          <w:rFonts w:ascii="Arial" w:hAnsi="Arial" w:cs="Arial"/>
          <w:sz w:val="20"/>
          <w:szCs w:val="20"/>
        </w:rPr>
        <w:t>The Company has not entered into any material off-balance sheet arrangements such as guarantee contracts, contingent interests in assets transferred to unconsolidated entities, derivative financial obligations or arrangements with respect to any obligations under a variable interest equity arrangement.</w:t>
      </w:r>
    </w:p>
    <w:p w14:paraId="0CD966D4" w14:textId="77777777" w:rsidR="00546001" w:rsidRDefault="00546001"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0B4A788F" w14:textId="77777777" w:rsidR="00FA6D64"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RELATED PARTY TRANSACTIONS</w:t>
      </w:r>
    </w:p>
    <w:p w14:paraId="42FFB980" w14:textId="77777777" w:rsidR="00B96480" w:rsidRPr="00B96480" w:rsidRDefault="00B96480" w:rsidP="003F6F1A">
      <w:pPr>
        <w:pStyle w:val="NormalWeb"/>
        <w:spacing w:before="0" w:beforeAutospacing="0" w:after="0" w:afterAutospacing="0"/>
        <w:jc w:val="both"/>
        <w:rPr>
          <w:rFonts w:ascii="Arial" w:hAnsi="Arial" w:cs="Arial"/>
          <w:color w:val="000000"/>
          <w:sz w:val="20"/>
          <w:szCs w:val="20"/>
        </w:rPr>
      </w:pPr>
    </w:p>
    <w:p w14:paraId="677C3C23" w14:textId="77777777" w:rsidR="00FA6D64" w:rsidRPr="00C90A0A" w:rsidRDefault="00FA6D64" w:rsidP="003F6F1A">
      <w:pPr>
        <w:spacing w:after="0"/>
        <w:jc w:val="both"/>
        <w:rPr>
          <w:rFonts w:ascii="Arial" w:hAnsi="Arial" w:cs="Arial"/>
          <w:sz w:val="20"/>
          <w:szCs w:val="20"/>
        </w:rPr>
      </w:pPr>
      <w:r w:rsidRPr="00C90A0A">
        <w:rPr>
          <w:rFonts w:ascii="Arial" w:hAnsi="Arial" w:cs="Arial"/>
          <w:sz w:val="20"/>
          <w:szCs w:val="20"/>
        </w:rPr>
        <w:t xml:space="preserve">The aggregate value of transactions and outstanding balances relating to key management personnel were as follows: </w:t>
      </w:r>
    </w:p>
    <w:p w14:paraId="241C0659" w14:textId="77777777" w:rsidR="00A353D2" w:rsidRPr="007F7BF4" w:rsidRDefault="00A353D2" w:rsidP="003F6F1A">
      <w:pPr>
        <w:spacing w:after="0"/>
        <w:jc w:val="both"/>
        <w:rPr>
          <w:rFonts w:ascii="Arial" w:hAnsi="Arial" w:cs="Arial"/>
          <w:sz w:val="20"/>
          <w:szCs w:val="20"/>
        </w:rPr>
      </w:pPr>
    </w:p>
    <w:p w14:paraId="622C52EE" w14:textId="749056AE" w:rsidR="007F7BF4" w:rsidRPr="007F7BF4" w:rsidRDefault="007F7BF4" w:rsidP="003F6F1A">
      <w:pPr>
        <w:spacing w:after="0"/>
        <w:jc w:val="both"/>
        <w:rPr>
          <w:rFonts w:ascii="Arial" w:hAnsi="Arial" w:cs="Arial"/>
          <w:sz w:val="20"/>
          <w:szCs w:val="20"/>
        </w:rPr>
      </w:pPr>
      <w:r w:rsidRPr="007F7BF4">
        <w:rPr>
          <w:rFonts w:ascii="Arial" w:hAnsi="Arial" w:cs="Arial"/>
          <w:sz w:val="20"/>
          <w:szCs w:val="20"/>
        </w:rPr>
        <w:t xml:space="preserve">The Company’s related parties include key management personnel and any transactions with such parties for goods and/or services that are made on regular commercial terms. During the </w:t>
      </w:r>
      <w:r w:rsidR="000A24FE">
        <w:rPr>
          <w:rFonts w:ascii="Arial" w:hAnsi="Arial" w:cs="Arial"/>
          <w:sz w:val="20"/>
          <w:szCs w:val="20"/>
        </w:rPr>
        <w:t xml:space="preserve">three and </w:t>
      </w:r>
      <w:r w:rsidR="000E4936">
        <w:rPr>
          <w:rFonts w:ascii="Arial" w:hAnsi="Arial" w:cs="Arial"/>
          <w:sz w:val="20"/>
          <w:szCs w:val="20"/>
        </w:rPr>
        <w:t>nine</w:t>
      </w:r>
      <w:r w:rsidR="004B4490">
        <w:rPr>
          <w:rFonts w:ascii="Arial" w:hAnsi="Arial" w:cs="Arial"/>
          <w:sz w:val="20"/>
          <w:szCs w:val="20"/>
        </w:rPr>
        <w:t xml:space="preserve"> months </w:t>
      </w:r>
      <w:r w:rsidRPr="007F7BF4">
        <w:rPr>
          <w:rFonts w:ascii="Arial" w:hAnsi="Arial" w:cs="Arial"/>
          <w:sz w:val="20"/>
          <w:szCs w:val="20"/>
        </w:rPr>
        <w:t xml:space="preserve">ended </w:t>
      </w:r>
      <w:r w:rsidR="000E4936">
        <w:rPr>
          <w:rFonts w:ascii="Arial" w:hAnsi="Arial" w:cs="Arial"/>
          <w:sz w:val="20"/>
          <w:szCs w:val="20"/>
        </w:rPr>
        <w:t>September</w:t>
      </w:r>
      <w:r w:rsidR="004B4490">
        <w:rPr>
          <w:rFonts w:ascii="Arial" w:hAnsi="Arial" w:cs="Arial"/>
          <w:sz w:val="20"/>
          <w:szCs w:val="20"/>
        </w:rPr>
        <w:t xml:space="preserve"> 30</w:t>
      </w:r>
      <w:r w:rsidR="003C5740">
        <w:rPr>
          <w:rFonts w:ascii="Arial" w:hAnsi="Arial" w:cs="Arial"/>
          <w:sz w:val="20"/>
          <w:szCs w:val="20"/>
        </w:rPr>
        <w:t xml:space="preserve">, </w:t>
      </w:r>
      <w:r w:rsidRPr="007F7BF4">
        <w:rPr>
          <w:rFonts w:ascii="Arial" w:hAnsi="Arial" w:cs="Arial"/>
          <w:sz w:val="20"/>
          <w:szCs w:val="20"/>
        </w:rPr>
        <w:t>201</w:t>
      </w:r>
      <w:r w:rsidR="003C5740">
        <w:rPr>
          <w:rFonts w:ascii="Arial" w:hAnsi="Arial" w:cs="Arial"/>
          <w:sz w:val="20"/>
          <w:szCs w:val="20"/>
        </w:rPr>
        <w:t>9</w:t>
      </w:r>
      <w:r w:rsidRPr="007F7BF4">
        <w:rPr>
          <w:rFonts w:ascii="Arial" w:hAnsi="Arial" w:cs="Arial"/>
          <w:sz w:val="20"/>
          <w:szCs w:val="20"/>
        </w:rPr>
        <w:t xml:space="preserve"> and 2018, the Company did not enter into any transactions with related parties outside of compensation to key management personnel as disclosed below.</w:t>
      </w:r>
    </w:p>
    <w:p w14:paraId="5976630E" w14:textId="77777777" w:rsidR="007F7BF4" w:rsidRPr="007F7BF4" w:rsidRDefault="007F7BF4" w:rsidP="003F6F1A">
      <w:pPr>
        <w:spacing w:after="0"/>
        <w:jc w:val="both"/>
        <w:rPr>
          <w:rFonts w:ascii="Arial" w:hAnsi="Arial" w:cs="Arial"/>
          <w:sz w:val="20"/>
          <w:szCs w:val="20"/>
        </w:rPr>
      </w:pPr>
    </w:p>
    <w:p w14:paraId="4446EE8A" w14:textId="77777777" w:rsidR="00ED07BC" w:rsidRDefault="00ED07BC" w:rsidP="003F6F1A">
      <w:pPr>
        <w:spacing w:after="0"/>
        <w:jc w:val="both"/>
        <w:rPr>
          <w:rFonts w:ascii="Arial" w:hAnsi="Arial" w:cs="Arial"/>
          <w:sz w:val="20"/>
          <w:szCs w:val="20"/>
        </w:rPr>
      </w:pPr>
    </w:p>
    <w:p w14:paraId="190C7990" w14:textId="77777777" w:rsidR="00962EE1" w:rsidRDefault="00962EE1" w:rsidP="003F6F1A">
      <w:pPr>
        <w:spacing w:after="0"/>
        <w:jc w:val="both"/>
        <w:rPr>
          <w:rFonts w:ascii="Arial" w:hAnsi="Arial" w:cs="Arial"/>
          <w:sz w:val="20"/>
          <w:szCs w:val="20"/>
        </w:rPr>
      </w:pPr>
    </w:p>
    <w:p w14:paraId="2DC2EDD3" w14:textId="5A3E09D8" w:rsidR="007F7BF4" w:rsidRPr="00FD6918" w:rsidRDefault="007F7BF4" w:rsidP="003F6F1A">
      <w:pPr>
        <w:spacing w:after="0"/>
        <w:jc w:val="both"/>
        <w:rPr>
          <w:rFonts w:ascii="Arial" w:hAnsi="Arial" w:cs="Arial"/>
          <w:sz w:val="20"/>
          <w:szCs w:val="20"/>
        </w:rPr>
      </w:pPr>
      <w:r w:rsidRPr="007F7BF4">
        <w:rPr>
          <w:rFonts w:ascii="Arial" w:hAnsi="Arial" w:cs="Arial"/>
          <w:sz w:val="20"/>
          <w:szCs w:val="20"/>
        </w:rPr>
        <w:t xml:space="preserve">Key management are those personnel having the authority and responsibility for planning, directing, and controlling the Company. </w:t>
      </w:r>
      <w:r w:rsidRPr="00FD6918">
        <w:rPr>
          <w:rFonts w:ascii="Arial" w:hAnsi="Arial" w:cs="Arial"/>
          <w:sz w:val="20"/>
          <w:szCs w:val="20"/>
        </w:rPr>
        <w:t>Salaries and benefits, bonuses, and termination benefits are included in operating expenses and share-based payments are recorded as share-based payment expense or share capital.</w:t>
      </w:r>
    </w:p>
    <w:p w14:paraId="2A2A740C" w14:textId="77777777" w:rsidR="007F7BF4" w:rsidRPr="00FD6918" w:rsidRDefault="007F7BF4" w:rsidP="003F6F1A">
      <w:pPr>
        <w:spacing w:after="0"/>
        <w:jc w:val="both"/>
        <w:rPr>
          <w:rFonts w:ascii="Arial" w:hAnsi="Arial" w:cs="Arial"/>
          <w:sz w:val="20"/>
          <w:szCs w:val="20"/>
        </w:rPr>
      </w:pPr>
    </w:p>
    <w:p w14:paraId="39B2B345" w14:textId="77777777" w:rsidR="007F7BF4" w:rsidRPr="00FD6918" w:rsidRDefault="007F7BF4" w:rsidP="003F6F1A">
      <w:pPr>
        <w:spacing w:after="0"/>
        <w:jc w:val="both"/>
        <w:rPr>
          <w:rFonts w:ascii="Arial" w:hAnsi="Arial" w:cs="Arial"/>
          <w:sz w:val="20"/>
          <w:szCs w:val="20"/>
        </w:rPr>
      </w:pPr>
      <w:r w:rsidRPr="00FD6918">
        <w:rPr>
          <w:rFonts w:ascii="Arial" w:hAnsi="Arial" w:cs="Arial"/>
          <w:sz w:val="20"/>
          <w:szCs w:val="20"/>
        </w:rPr>
        <w:t>Key management compensation includes:</w:t>
      </w:r>
    </w:p>
    <w:p w14:paraId="17943FC7" w14:textId="77777777" w:rsidR="007F7BF4" w:rsidRPr="004B4490" w:rsidRDefault="007F7BF4" w:rsidP="003F6F1A">
      <w:pPr>
        <w:pStyle w:val="NormalWeb"/>
        <w:spacing w:before="0" w:beforeAutospacing="0" w:after="0" w:afterAutospacing="0"/>
        <w:rPr>
          <w:rFonts w:ascii="Arial" w:hAnsi="Arial" w:cs="Arial"/>
          <w:b/>
          <w:bCs/>
          <w:color w:val="000000"/>
          <w:sz w:val="20"/>
          <w:szCs w:val="20"/>
          <w:highlight w:val="yellow"/>
        </w:rPr>
      </w:pPr>
    </w:p>
    <w:tbl>
      <w:tblPr>
        <w:tblW w:w="9368" w:type="dxa"/>
        <w:tblInd w:w="18" w:type="dxa"/>
        <w:tblBorders>
          <w:top w:val="single" w:sz="18" w:space="0" w:color="auto"/>
          <w:bottom w:val="single" w:sz="18" w:space="0" w:color="auto"/>
        </w:tblBorders>
        <w:tblLook w:val="04A0" w:firstRow="1" w:lastRow="0" w:firstColumn="1" w:lastColumn="0" w:noHBand="0" w:noVBand="1"/>
      </w:tblPr>
      <w:tblGrid>
        <w:gridCol w:w="2496"/>
        <w:gridCol w:w="328"/>
        <w:gridCol w:w="1496"/>
        <w:gridCol w:w="328"/>
        <w:gridCol w:w="1430"/>
        <w:gridCol w:w="370"/>
        <w:gridCol w:w="1253"/>
        <w:gridCol w:w="328"/>
        <w:gridCol w:w="1339"/>
      </w:tblGrid>
      <w:tr w:rsidR="005C15D5" w:rsidRPr="00DA4360" w14:paraId="6BCCA0D9" w14:textId="77777777" w:rsidTr="000E4936">
        <w:tc>
          <w:tcPr>
            <w:tcW w:w="2496" w:type="dxa"/>
            <w:tcBorders>
              <w:top w:val="single" w:sz="4" w:space="0" w:color="auto"/>
              <w:bottom w:val="nil"/>
            </w:tcBorders>
            <w:shd w:val="clear" w:color="auto" w:fill="auto"/>
          </w:tcPr>
          <w:p w14:paraId="2D5F6360" w14:textId="77777777" w:rsidR="005C15D5" w:rsidRPr="00DA4360" w:rsidRDefault="005C15D5" w:rsidP="003F6F1A">
            <w:pPr>
              <w:spacing w:after="0" w:line="240" w:lineRule="auto"/>
              <w:jc w:val="both"/>
              <w:rPr>
                <w:rFonts w:ascii="Arial" w:hAnsi="Arial" w:cs="Arial"/>
                <w:sz w:val="20"/>
                <w:szCs w:val="20"/>
                <w:lang w:val="en-CA"/>
              </w:rPr>
            </w:pPr>
          </w:p>
        </w:tc>
        <w:tc>
          <w:tcPr>
            <w:tcW w:w="3582" w:type="dxa"/>
            <w:gridSpan w:val="4"/>
            <w:tcBorders>
              <w:top w:val="single" w:sz="4" w:space="0" w:color="auto"/>
              <w:bottom w:val="nil"/>
            </w:tcBorders>
            <w:shd w:val="clear" w:color="auto" w:fill="auto"/>
            <w:vAlign w:val="bottom"/>
          </w:tcPr>
          <w:p w14:paraId="3F74288D" w14:textId="4982912E" w:rsidR="005C15D5" w:rsidRPr="000A24FE" w:rsidRDefault="005C15D5" w:rsidP="003F6F1A">
            <w:pPr>
              <w:spacing w:after="0" w:line="240" w:lineRule="auto"/>
              <w:jc w:val="right"/>
              <w:rPr>
                <w:rFonts w:ascii="Arial" w:hAnsi="Arial" w:cs="Arial"/>
                <w:bCs/>
                <w:sz w:val="20"/>
                <w:szCs w:val="20"/>
                <w:lang w:val="en-CA"/>
              </w:rPr>
            </w:pPr>
            <w:r w:rsidRPr="000A24FE">
              <w:rPr>
                <w:rFonts w:ascii="Arial" w:hAnsi="Arial" w:cs="Arial"/>
                <w:bCs/>
                <w:sz w:val="20"/>
                <w:szCs w:val="20"/>
                <w:lang w:val="en-CA"/>
              </w:rPr>
              <w:t xml:space="preserve">Three months ended </w:t>
            </w:r>
            <w:r w:rsidR="001E2F98">
              <w:rPr>
                <w:rFonts w:ascii="Arial" w:hAnsi="Arial" w:cs="Arial"/>
                <w:bCs/>
                <w:sz w:val="20"/>
                <w:szCs w:val="20"/>
                <w:lang w:val="en-CA"/>
              </w:rPr>
              <w:t>September</w:t>
            </w:r>
            <w:r w:rsidRPr="000A24FE">
              <w:rPr>
                <w:rFonts w:ascii="Arial" w:hAnsi="Arial" w:cs="Arial"/>
                <w:bCs/>
                <w:sz w:val="20"/>
                <w:szCs w:val="20"/>
                <w:lang w:val="en-CA"/>
              </w:rPr>
              <w:t xml:space="preserve"> 30</w:t>
            </w:r>
          </w:p>
        </w:tc>
        <w:tc>
          <w:tcPr>
            <w:tcW w:w="3290" w:type="dxa"/>
            <w:gridSpan w:val="4"/>
            <w:tcBorders>
              <w:top w:val="single" w:sz="4" w:space="0" w:color="auto"/>
              <w:bottom w:val="nil"/>
            </w:tcBorders>
            <w:shd w:val="clear" w:color="auto" w:fill="auto"/>
            <w:vAlign w:val="bottom"/>
          </w:tcPr>
          <w:p w14:paraId="6644786B" w14:textId="7D727805" w:rsidR="005C15D5" w:rsidRPr="000A24FE" w:rsidRDefault="000E4936" w:rsidP="003F6F1A">
            <w:pPr>
              <w:spacing w:after="0" w:line="240" w:lineRule="auto"/>
              <w:jc w:val="right"/>
              <w:rPr>
                <w:rFonts w:ascii="Arial" w:hAnsi="Arial" w:cs="Arial"/>
                <w:bCs/>
                <w:sz w:val="20"/>
                <w:szCs w:val="20"/>
                <w:lang w:val="en-CA"/>
              </w:rPr>
            </w:pPr>
            <w:r>
              <w:rPr>
                <w:rFonts w:ascii="Arial" w:hAnsi="Arial" w:cs="Arial"/>
                <w:bCs/>
                <w:sz w:val="20"/>
                <w:szCs w:val="20"/>
                <w:lang w:val="en-CA"/>
              </w:rPr>
              <w:t>Nine</w:t>
            </w:r>
            <w:r w:rsidR="005C15D5" w:rsidRPr="000A24FE">
              <w:rPr>
                <w:rFonts w:ascii="Arial" w:hAnsi="Arial" w:cs="Arial"/>
                <w:bCs/>
                <w:sz w:val="20"/>
                <w:szCs w:val="20"/>
                <w:lang w:val="en-CA"/>
              </w:rPr>
              <w:t xml:space="preserve"> months ended </w:t>
            </w:r>
            <w:r w:rsidR="001E2F98">
              <w:rPr>
                <w:rFonts w:ascii="Arial" w:hAnsi="Arial" w:cs="Arial"/>
                <w:bCs/>
                <w:sz w:val="20"/>
                <w:szCs w:val="20"/>
                <w:lang w:val="en-CA"/>
              </w:rPr>
              <w:t>September</w:t>
            </w:r>
            <w:r w:rsidR="005C15D5" w:rsidRPr="000A24FE">
              <w:rPr>
                <w:rFonts w:ascii="Arial" w:hAnsi="Arial" w:cs="Arial"/>
                <w:bCs/>
                <w:sz w:val="20"/>
                <w:szCs w:val="20"/>
                <w:lang w:val="en-CA"/>
              </w:rPr>
              <w:t xml:space="preserve"> 30</w:t>
            </w:r>
          </w:p>
        </w:tc>
      </w:tr>
      <w:tr w:rsidR="003E0848" w:rsidRPr="00DA4360" w14:paraId="73E78250" w14:textId="77777777" w:rsidTr="000E4936">
        <w:tc>
          <w:tcPr>
            <w:tcW w:w="2496" w:type="dxa"/>
            <w:tcBorders>
              <w:top w:val="nil"/>
              <w:bottom w:val="single" w:sz="12" w:space="0" w:color="auto"/>
            </w:tcBorders>
            <w:shd w:val="clear" w:color="auto" w:fill="auto"/>
          </w:tcPr>
          <w:p w14:paraId="244387F7" w14:textId="77777777" w:rsidR="005C15D5" w:rsidRPr="00DA4360" w:rsidRDefault="005C15D5" w:rsidP="003F6F1A">
            <w:pPr>
              <w:spacing w:after="0" w:line="240" w:lineRule="auto"/>
              <w:jc w:val="both"/>
              <w:rPr>
                <w:rFonts w:ascii="Arial" w:hAnsi="Arial" w:cs="Arial"/>
                <w:sz w:val="20"/>
                <w:szCs w:val="20"/>
                <w:lang w:val="en-CA"/>
              </w:rPr>
            </w:pPr>
          </w:p>
        </w:tc>
        <w:tc>
          <w:tcPr>
            <w:tcW w:w="328" w:type="dxa"/>
            <w:tcBorders>
              <w:top w:val="nil"/>
              <w:bottom w:val="single" w:sz="12" w:space="0" w:color="auto"/>
            </w:tcBorders>
            <w:shd w:val="clear" w:color="auto" w:fill="auto"/>
          </w:tcPr>
          <w:p w14:paraId="4DC3CE32" w14:textId="77777777" w:rsidR="005C15D5" w:rsidRPr="00DA4360" w:rsidRDefault="005C15D5" w:rsidP="003F6F1A">
            <w:pPr>
              <w:spacing w:after="0" w:line="240" w:lineRule="auto"/>
              <w:jc w:val="both"/>
              <w:rPr>
                <w:rFonts w:ascii="Arial" w:hAnsi="Arial" w:cs="Arial"/>
                <w:b/>
                <w:bCs/>
                <w:sz w:val="20"/>
                <w:szCs w:val="20"/>
                <w:lang w:val="en-CA"/>
              </w:rPr>
            </w:pPr>
          </w:p>
        </w:tc>
        <w:tc>
          <w:tcPr>
            <w:tcW w:w="1496" w:type="dxa"/>
            <w:tcBorders>
              <w:top w:val="nil"/>
              <w:bottom w:val="single" w:sz="12" w:space="0" w:color="auto"/>
            </w:tcBorders>
            <w:shd w:val="clear" w:color="auto" w:fill="auto"/>
            <w:vAlign w:val="bottom"/>
          </w:tcPr>
          <w:p w14:paraId="6BCA283B"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2019</w:t>
            </w:r>
          </w:p>
        </w:tc>
        <w:tc>
          <w:tcPr>
            <w:tcW w:w="328" w:type="dxa"/>
            <w:tcBorders>
              <w:top w:val="nil"/>
              <w:bottom w:val="single" w:sz="12" w:space="0" w:color="auto"/>
            </w:tcBorders>
            <w:shd w:val="clear" w:color="auto" w:fill="auto"/>
          </w:tcPr>
          <w:p w14:paraId="457657FE" w14:textId="77777777" w:rsidR="005C15D5" w:rsidRPr="00DA4360" w:rsidRDefault="005C15D5" w:rsidP="003F6F1A">
            <w:pPr>
              <w:spacing w:after="0" w:line="240" w:lineRule="auto"/>
              <w:jc w:val="right"/>
              <w:rPr>
                <w:rFonts w:ascii="Arial" w:hAnsi="Arial" w:cs="Arial"/>
                <w:sz w:val="20"/>
                <w:szCs w:val="20"/>
                <w:lang w:val="en-CA"/>
              </w:rPr>
            </w:pPr>
          </w:p>
        </w:tc>
        <w:tc>
          <w:tcPr>
            <w:tcW w:w="1430" w:type="dxa"/>
            <w:tcBorders>
              <w:top w:val="nil"/>
              <w:bottom w:val="single" w:sz="12" w:space="0" w:color="auto"/>
            </w:tcBorders>
            <w:shd w:val="clear" w:color="auto" w:fill="auto"/>
            <w:vAlign w:val="bottom"/>
          </w:tcPr>
          <w:p w14:paraId="681A8F27"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2018</w:t>
            </w:r>
          </w:p>
        </w:tc>
        <w:tc>
          <w:tcPr>
            <w:tcW w:w="370" w:type="dxa"/>
            <w:tcBorders>
              <w:top w:val="nil"/>
              <w:bottom w:val="single" w:sz="12" w:space="0" w:color="auto"/>
            </w:tcBorders>
            <w:shd w:val="clear" w:color="auto" w:fill="auto"/>
          </w:tcPr>
          <w:p w14:paraId="5DF2A9E0" w14:textId="77777777" w:rsidR="005C15D5" w:rsidRPr="00DA4360" w:rsidRDefault="005C15D5" w:rsidP="003F6F1A">
            <w:pPr>
              <w:spacing w:after="0" w:line="240" w:lineRule="auto"/>
              <w:jc w:val="right"/>
              <w:rPr>
                <w:rFonts w:ascii="Arial" w:hAnsi="Arial" w:cs="Arial"/>
                <w:sz w:val="20"/>
                <w:szCs w:val="20"/>
                <w:lang w:val="en-CA"/>
              </w:rPr>
            </w:pPr>
          </w:p>
        </w:tc>
        <w:tc>
          <w:tcPr>
            <w:tcW w:w="1253" w:type="dxa"/>
            <w:tcBorders>
              <w:top w:val="nil"/>
              <w:bottom w:val="single" w:sz="12" w:space="0" w:color="auto"/>
            </w:tcBorders>
            <w:shd w:val="clear" w:color="auto" w:fill="auto"/>
            <w:vAlign w:val="bottom"/>
          </w:tcPr>
          <w:p w14:paraId="416BE6FE"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2019</w:t>
            </w:r>
          </w:p>
        </w:tc>
        <w:tc>
          <w:tcPr>
            <w:tcW w:w="328" w:type="dxa"/>
            <w:tcBorders>
              <w:top w:val="nil"/>
              <w:bottom w:val="single" w:sz="12" w:space="0" w:color="auto"/>
            </w:tcBorders>
            <w:shd w:val="clear" w:color="auto" w:fill="auto"/>
          </w:tcPr>
          <w:p w14:paraId="63897856" w14:textId="77777777" w:rsidR="005C15D5" w:rsidRPr="00DA4360" w:rsidRDefault="005C15D5" w:rsidP="003F6F1A">
            <w:pPr>
              <w:spacing w:after="0" w:line="240" w:lineRule="auto"/>
              <w:jc w:val="right"/>
              <w:rPr>
                <w:rFonts w:ascii="Arial" w:hAnsi="Arial" w:cs="Arial"/>
                <w:sz w:val="20"/>
                <w:szCs w:val="20"/>
                <w:lang w:val="en-CA"/>
              </w:rPr>
            </w:pPr>
          </w:p>
        </w:tc>
        <w:tc>
          <w:tcPr>
            <w:tcW w:w="1339" w:type="dxa"/>
            <w:tcBorders>
              <w:top w:val="nil"/>
              <w:bottom w:val="single" w:sz="12" w:space="0" w:color="auto"/>
            </w:tcBorders>
            <w:shd w:val="clear" w:color="auto" w:fill="auto"/>
            <w:vAlign w:val="bottom"/>
          </w:tcPr>
          <w:p w14:paraId="2BDA61D2"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2018</w:t>
            </w:r>
          </w:p>
        </w:tc>
      </w:tr>
      <w:tr w:rsidR="003E0848" w:rsidRPr="00DA4360" w14:paraId="2F21C41F" w14:textId="77777777" w:rsidTr="000E4936">
        <w:tc>
          <w:tcPr>
            <w:tcW w:w="2496" w:type="dxa"/>
            <w:tcBorders>
              <w:top w:val="single" w:sz="12" w:space="0" w:color="auto"/>
              <w:bottom w:val="nil"/>
            </w:tcBorders>
            <w:shd w:val="clear" w:color="auto" w:fill="auto"/>
          </w:tcPr>
          <w:p w14:paraId="137F2CC7"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Salaries and benefits</w:t>
            </w:r>
          </w:p>
        </w:tc>
        <w:tc>
          <w:tcPr>
            <w:tcW w:w="328" w:type="dxa"/>
            <w:tcBorders>
              <w:top w:val="single" w:sz="12" w:space="0" w:color="auto"/>
              <w:bottom w:val="nil"/>
            </w:tcBorders>
            <w:shd w:val="clear" w:color="auto" w:fill="auto"/>
          </w:tcPr>
          <w:p w14:paraId="10E58F8F"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496" w:type="dxa"/>
            <w:tcBorders>
              <w:top w:val="single" w:sz="12" w:space="0" w:color="auto"/>
              <w:bottom w:val="nil"/>
            </w:tcBorders>
            <w:shd w:val="clear" w:color="auto" w:fill="auto"/>
            <w:vAlign w:val="bottom"/>
          </w:tcPr>
          <w:p w14:paraId="51C11C71" w14:textId="3F0ED4B0" w:rsidR="005C15D5" w:rsidRPr="00DA4360" w:rsidRDefault="00ED07BC" w:rsidP="003F6F1A">
            <w:pPr>
              <w:spacing w:after="0" w:line="240" w:lineRule="auto"/>
              <w:jc w:val="right"/>
              <w:rPr>
                <w:rFonts w:ascii="Arial" w:hAnsi="Arial" w:cs="Arial"/>
                <w:b/>
                <w:bCs/>
                <w:sz w:val="20"/>
                <w:szCs w:val="20"/>
                <w:lang w:val="en-CA"/>
              </w:rPr>
            </w:pPr>
            <w:r>
              <w:rPr>
                <w:rFonts w:ascii="Arial" w:hAnsi="Arial" w:cs="Arial"/>
                <w:b/>
                <w:bCs/>
                <w:sz w:val="20"/>
                <w:szCs w:val="20"/>
                <w:lang w:val="en-CA"/>
              </w:rPr>
              <w:t>143,767</w:t>
            </w:r>
          </w:p>
        </w:tc>
        <w:tc>
          <w:tcPr>
            <w:tcW w:w="328" w:type="dxa"/>
            <w:tcBorders>
              <w:top w:val="single" w:sz="12" w:space="0" w:color="auto"/>
              <w:bottom w:val="nil"/>
            </w:tcBorders>
            <w:shd w:val="clear" w:color="auto" w:fill="auto"/>
          </w:tcPr>
          <w:p w14:paraId="786CFD6E"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w:t>
            </w:r>
          </w:p>
        </w:tc>
        <w:tc>
          <w:tcPr>
            <w:tcW w:w="1430" w:type="dxa"/>
            <w:tcBorders>
              <w:top w:val="single" w:sz="12" w:space="0" w:color="auto"/>
              <w:bottom w:val="nil"/>
            </w:tcBorders>
            <w:shd w:val="clear" w:color="auto" w:fill="auto"/>
            <w:vAlign w:val="bottom"/>
          </w:tcPr>
          <w:p w14:paraId="084351C3" w14:textId="48EC159D" w:rsidR="005C15D5" w:rsidRPr="00ED07BC" w:rsidRDefault="00ED07BC" w:rsidP="003F6F1A">
            <w:pPr>
              <w:spacing w:after="0" w:line="240" w:lineRule="auto"/>
              <w:jc w:val="right"/>
              <w:rPr>
                <w:rFonts w:ascii="Arial" w:hAnsi="Arial" w:cs="Arial"/>
                <w:bCs/>
                <w:sz w:val="20"/>
                <w:szCs w:val="20"/>
                <w:lang w:val="en-CA"/>
              </w:rPr>
            </w:pPr>
            <w:r w:rsidRPr="00ED07BC">
              <w:rPr>
                <w:rFonts w:ascii="Arial" w:hAnsi="Arial" w:cs="Arial"/>
                <w:bCs/>
                <w:sz w:val="20"/>
                <w:szCs w:val="20"/>
                <w:lang w:val="en-CA"/>
              </w:rPr>
              <w:t>-</w:t>
            </w:r>
          </w:p>
        </w:tc>
        <w:tc>
          <w:tcPr>
            <w:tcW w:w="370" w:type="dxa"/>
            <w:tcBorders>
              <w:top w:val="single" w:sz="12" w:space="0" w:color="auto"/>
              <w:bottom w:val="nil"/>
            </w:tcBorders>
            <w:shd w:val="clear" w:color="auto" w:fill="auto"/>
          </w:tcPr>
          <w:p w14:paraId="19A44F6D"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253" w:type="dxa"/>
            <w:tcBorders>
              <w:top w:val="single" w:sz="12" w:space="0" w:color="auto"/>
              <w:bottom w:val="nil"/>
            </w:tcBorders>
            <w:shd w:val="clear" w:color="auto" w:fill="auto"/>
            <w:vAlign w:val="bottom"/>
          </w:tcPr>
          <w:p w14:paraId="4F87DB2B" w14:textId="65086083" w:rsidR="005C15D5" w:rsidRPr="00DA4360" w:rsidRDefault="00ED07BC" w:rsidP="003F6F1A">
            <w:pPr>
              <w:spacing w:after="0" w:line="240" w:lineRule="auto"/>
              <w:jc w:val="right"/>
              <w:rPr>
                <w:rFonts w:ascii="Arial" w:hAnsi="Arial" w:cs="Arial"/>
                <w:b/>
                <w:bCs/>
                <w:sz w:val="20"/>
                <w:szCs w:val="20"/>
                <w:lang w:val="en-CA"/>
              </w:rPr>
            </w:pPr>
            <w:r>
              <w:rPr>
                <w:rFonts w:ascii="Arial" w:hAnsi="Arial" w:cs="Arial"/>
                <w:b/>
                <w:bCs/>
                <w:sz w:val="20"/>
                <w:szCs w:val="20"/>
                <w:lang w:val="en-CA"/>
              </w:rPr>
              <w:t>465,113</w:t>
            </w:r>
          </w:p>
        </w:tc>
        <w:tc>
          <w:tcPr>
            <w:tcW w:w="328" w:type="dxa"/>
            <w:tcBorders>
              <w:top w:val="single" w:sz="12" w:space="0" w:color="auto"/>
              <w:bottom w:val="nil"/>
            </w:tcBorders>
            <w:shd w:val="clear" w:color="auto" w:fill="auto"/>
          </w:tcPr>
          <w:p w14:paraId="29EFE0E8"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339" w:type="dxa"/>
            <w:tcBorders>
              <w:top w:val="single" w:sz="12" w:space="0" w:color="auto"/>
              <w:bottom w:val="nil"/>
            </w:tcBorders>
            <w:shd w:val="clear" w:color="auto" w:fill="auto"/>
            <w:vAlign w:val="bottom"/>
          </w:tcPr>
          <w:p w14:paraId="7293E76A" w14:textId="3497A5CE" w:rsidR="005C15D5" w:rsidRPr="00DA4360" w:rsidRDefault="0098196C" w:rsidP="003F6F1A">
            <w:pPr>
              <w:spacing w:after="0" w:line="240" w:lineRule="auto"/>
              <w:jc w:val="right"/>
              <w:rPr>
                <w:rFonts w:ascii="Arial" w:hAnsi="Arial" w:cs="Arial"/>
                <w:sz w:val="20"/>
                <w:szCs w:val="20"/>
                <w:lang w:val="en-CA"/>
              </w:rPr>
            </w:pPr>
            <w:r>
              <w:rPr>
                <w:rFonts w:ascii="Arial" w:hAnsi="Arial" w:cs="Arial"/>
                <w:sz w:val="20"/>
                <w:szCs w:val="20"/>
                <w:lang w:val="en-CA"/>
              </w:rPr>
              <w:t>50,000</w:t>
            </w:r>
          </w:p>
        </w:tc>
      </w:tr>
      <w:tr w:rsidR="003E0848" w:rsidRPr="00DA4360" w14:paraId="1003B82D" w14:textId="77777777" w:rsidTr="000E4936">
        <w:tc>
          <w:tcPr>
            <w:tcW w:w="2496" w:type="dxa"/>
            <w:tcBorders>
              <w:top w:val="nil"/>
              <w:bottom w:val="single" w:sz="4" w:space="0" w:color="auto"/>
            </w:tcBorders>
            <w:shd w:val="clear" w:color="auto" w:fill="auto"/>
          </w:tcPr>
          <w:p w14:paraId="3D6DA16B"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Share-based payments</w:t>
            </w:r>
          </w:p>
        </w:tc>
        <w:tc>
          <w:tcPr>
            <w:tcW w:w="328" w:type="dxa"/>
            <w:tcBorders>
              <w:top w:val="nil"/>
              <w:bottom w:val="single" w:sz="4" w:space="0" w:color="auto"/>
            </w:tcBorders>
            <w:shd w:val="clear" w:color="auto" w:fill="auto"/>
          </w:tcPr>
          <w:p w14:paraId="31D65CA4" w14:textId="77777777" w:rsidR="005C15D5" w:rsidRPr="00DA4360" w:rsidRDefault="005C15D5" w:rsidP="003F6F1A">
            <w:pPr>
              <w:spacing w:after="0" w:line="240" w:lineRule="auto"/>
              <w:jc w:val="both"/>
              <w:rPr>
                <w:rFonts w:ascii="Arial" w:hAnsi="Arial" w:cs="Arial"/>
                <w:b/>
                <w:bCs/>
                <w:sz w:val="20"/>
                <w:szCs w:val="20"/>
                <w:lang w:val="en-CA"/>
              </w:rPr>
            </w:pPr>
          </w:p>
        </w:tc>
        <w:tc>
          <w:tcPr>
            <w:tcW w:w="1496" w:type="dxa"/>
            <w:tcBorders>
              <w:top w:val="nil"/>
              <w:bottom w:val="single" w:sz="4" w:space="0" w:color="auto"/>
            </w:tcBorders>
            <w:shd w:val="clear" w:color="auto" w:fill="auto"/>
            <w:vAlign w:val="bottom"/>
          </w:tcPr>
          <w:p w14:paraId="07ACC018" w14:textId="370241F9" w:rsidR="005C15D5" w:rsidRPr="00DA4360" w:rsidRDefault="00ED07BC" w:rsidP="003F6F1A">
            <w:pPr>
              <w:spacing w:after="0" w:line="240" w:lineRule="auto"/>
              <w:jc w:val="right"/>
              <w:rPr>
                <w:rFonts w:ascii="Arial" w:hAnsi="Arial" w:cs="Arial"/>
                <w:b/>
                <w:bCs/>
                <w:sz w:val="20"/>
                <w:szCs w:val="20"/>
                <w:lang w:val="en-CA"/>
              </w:rPr>
            </w:pPr>
            <w:r>
              <w:rPr>
                <w:rFonts w:ascii="Arial" w:hAnsi="Arial" w:cs="Arial"/>
                <w:b/>
                <w:bCs/>
                <w:sz w:val="20"/>
                <w:szCs w:val="20"/>
                <w:lang w:val="en-CA"/>
              </w:rPr>
              <w:t>-</w:t>
            </w:r>
          </w:p>
        </w:tc>
        <w:tc>
          <w:tcPr>
            <w:tcW w:w="328" w:type="dxa"/>
            <w:tcBorders>
              <w:top w:val="nil"/>
              <w:bottom w:val="single" w:sz="4" w:space="0" w:color="auto"/>
            </w:tcBorders>
            <w:shd w:val="clear" w:color="auto" w:fill="auto"/>
          </w:tcPr>
          <w:p w14:paraId="09521B42" w14:textId="77777777" w:rsidR="005C15D5" w:rsidRPr="00DA4360" w:rsidRDefault="005C15D5" w:rsidP="003F6F1A">
            <w:pPr>
              <w:spacing w:after="0" w:line="240" w:lineRule="auto"/>
              <w:jc w:val="right"/>
              <w:rPr>
                <w:rFonts w:ascii="Arial" w:hAnsi="Arial" w:cs="Arial"/>
                <w:b/>
                <w:sz w:val="20"/>
                <w:szCs w:val="20"/>
                <w:lang w:val="en-CA"/>
              </w:rPr>
            </w:pPr>
          </w:p>
        </w:tc>
        <w:tc>
          <w:tcPr>
            <w:tcW w:w="1430" w:type="dxa"/>
            <w:tcBorders>
              <w:top w:val="nil"/>
              <w:bottom w:val="single" w:sz="4" w:space="0" w:color="auto"/>
            </w:tcBorders>
            <w:shd w:val="clear" w:color="auto" w:fill="auto"/>
            <w:vAlign w:val="bottom"/>
          </w:tcPr>
          <w:p w14:paraId="2DEC71D8" w14:textId="7DDE017D" w:rsidR="005C15D5" w:rsidRPr="00ED07BC" w:rsidRDefault="00ED07BC" w:rsidP="003F6F1A">
            <w:pPr>
              <w:spacing w:after="0" w:line="240" w:lineRule="auto"/>
              <w:jc w:val="right"/>
              <w:rPr>
                <w:rFonts w:ascii="Arial" w:hAnsi="Arial" w:cs="Arial"/>
                <w:bCs/>
                <w:sz w:val="20"/>
                <w:szCs w:val="20"/>
                <w:lang w:val="en-CA"/>
              </w:rPr>
            </w:pPr>
            <w:r w:rsidRPr="00ED07BC">
              <w:rPr>
                <w:rFonts w:ascii="Arial" w:hAnsi="Arial" w:cs="Arial"/>
                <w:bCs/>
                <w:sz w:val="20"/>
                <w:szCs w:val="20"/>
                <w:lang w:val="en-CA"/>
              </w:rPr>
              <w:t>-</w:t>
            </w:r>
          </w:p>
        </w:tc>
        <w:tc>
          <w:tcPr>
            <w:tcW w:w="370" w:type="dxa"/>
            <w:tcBorders>
              <w:top w:val="nil"/>
              <w:bottom w:val="single" w:sz="4" w:space="0" w:color="auto"/>
            </w:tcBorders>
            <w:shd w:val="clear" w:color="auto" w:fill="auto"/>
          </w:tcPr>
          <w:p w14:paraId="62D82E27" w14:textId="77777777" w:rsidR="005C15D5" w:rsidRPr="00DA4360" w:rsidRDefault="005C15D5" w:rsidP="003F6F1A">
            <w:pPr>
              <w:spacing w:after="0" w:line="240" w:lineRule="auto"/>
              <w:jc w:val="both"/>
              <w:rPr>
                <w:rFonts w:ascii="Arial" w:hAnsi="Arial" w:cs="Arial"/>
                <w:b/>
                <w:bCs/>
                <w:sz w:val="20"/>
                <w:szCs w:val="20"/>
                <w:lang w:val="en-CA"/>
              </w:rPr>
            </w:pPr>
          </w:p>
        </w:tc>
        <w:tc>
          <w:tcPr>
            <w:tcW w:w="1253" w:type="dxa"/>
            <w:tcBorders>
              <w:top w:val="nil"/>
              <w:bottom w:val="single" w:sz="4" w:space="0" w:color="auto"/>
            </w:tcBorders>
            <w:shd w:val="clear" w:color="auto" w:fill="auto"/>
            <w:vAlign w:val="bottom"/>
          </w:tcPr>
          <w:p w14:paraId="1A6F8156" w14:textId="7EC2F9E3" w:rsidR="005C15D5" w:rsidRPr="00DA4360" w:rsidRDefault="00ED07BC" w:rsidP="003F6F1A">
            <w:pPr>
              <w:spacing w:after="0" w:line="240" w:lineRule="auto"/>
              <w:jc w:val="right"/>
              <w:rPr>
                <w:rFonts w:ascii="Arial" w:hAnsi="Arial" w:cs="Arial"/>
                <w:b/>
                <w:bCs/>
                <w:sz w:val="20"/>
                <w:szCs w:val="20"/>
                <w:lang w:val="en-CA"/>
              </w:rPr>
            </w:pPr>
            <w:r>
              <w:rPr>
                <w:rFonts w:ascii="Arial" w:hAnsi="Arial" w:cs="Arial"/>
                <w:b/>
                <w:bCs/>
                <w:sz w:val="20"/>
                <w:szCs w:val="20"/>
                <w:lang w:val="en-CA"/>
              </w:rPr>
              <w:t>472,120</w:t>
            </w:r>
          </w:p>
        </w:tc>
        <w:tc>
          <w:tcPr>
            <w:tcW w:w="328" w:type="dxa"/>
            <w:tcBorders>
              <w:top w:val="nil"/>
              <w:bottom w:val="single" w:sz="4" w:space="0" w:color="auto"/>
            </w:tcBorders>
            <w:shd w:val="clear" w:color="auto" w:fill="auto"/>
          </w:tcPr>
          <w:p w14:paraId="42C17AB0" w14:textId="77777777" w:rsidR="005C15D5" w:rsidRPr="00DA4360" w:rsidRDefault="005C15D5" w:rsidP="003F6F1A">
            <w:pPr>
              <w:spacing w:after="0" w:line="240" w:lineRule="auto"/>
              <w:jc w:val="both"/>
              <w:rPr>
                <w:rFonts w:ascii="Arial" w:hAnsi="Arial" w:cs="Arial"/>
                <w:sz w:val="20"/>
                <w:szCs w:val="20"/>
                <w:lang w:val="en-CA"/>
              </w:rPr>
            </w:pPr>
          </w:p>
        </w:tc>
        <w:tc>
          <w:tcPr>
            <w:tcW w:w="1339" w:type="dxa"/>
            <w:tcBorders>
              <w:top w:val="nil"/>
              <w:bottom w:val="single" w:sz="4" w:space="0" w:color="auto"/>
            </w:tcBorders>
            <w:shd w:val="clear" w:color="auto" w:fill="auto"/>
            <w:vAlign w:val="bottom"/>
          </w:tcPr>
          <w:p w14:paraId="138C7F7E" w14:textId="438E5094" w:rsidR="005C15D5" w:rsidRPr="00DA4360" w:rsidRDefault="00ED07BC" w:rsidP="003F6F1A">
            <w:pPr>
              <w:spacing w:after="0" w:line="240" w:lineRule="auto"/>
              <w:jc w:val="right"/>
              <w:rPr>
                <w:rFonts w:ascii="Arial" w:hAnsi="Arial" w:cs="Arial"/>
                <w:sz w:val="20"/>
                <w:szCs w:val="20"/>
                <w:lang w:val="en-CA"/>
              </w:rPr>
            </w:pPr>
            <w:r>
              <w:rPr>
                <w:rFonts w:ascii="Arial" w:hAnsi="Arial" w:cs="Arial"/>
                <w:sz w:val="20"/>
                <w:szCs w:val="20"/>
                <w:lang w:val="en-CA"/>
              </w:rPr>
              <w:t>891,417</w:t>
            </w:r>
          </w:p>
        </w:tc>
      </w:tr>
      <w:tr w:rsidR="003E0848" w:rsidRPr="00DA4360" w14:paraId="6FF0043B" w14:textId="77777777" w:rsidTr="000E4936">
        <w:tc>
          <w:tcPr>
            <w:tcW w:w="2496" w:type="dxa"/>
            <w:tcBorders>
              <w:top w:val="nil"/>
            </w:tcBorders>
            <w:shd w:val="clear" w:color="auto" w:fill="auto"/>
          </w:tcPr>
          <w:p w14:paraId="79BD610C" w14:textId="77777777" w:rsidR="005C15D5" w:rsidRPr="00DA4360" w:rsidRDefault="005C15D5" w:rsidP="003F6F1A">
            <w:pPr>
              <w:spacing w:after="0" w:line="240" w:lineRule="auto"/>
              <w:jc w:val="both"/>
              <w:rPr>
                <w:rFonts w:ascii="Arial" w:hAnsi="Arial" w:cs="Arial"/>
                <w:sz w:val="20"/>
                <w:szCs w:val="20"/>
                <w:lang w:val="en-CA"/>
              </w:rPr>
            </w:pPr>
          </w:p>
        </w:tc>
        <w:tc>
          <w:tcPr>
            <w:tcW w:w="328" w:type="dxa"/>
            <w:tcBorders>
              <w:top w:val="nil"/>
            </w:tcBorders>
            <w:shd w:val="clear" w:color="auto" w:fill="auto"/>
          </w:tcPr>
          <w:p w14:paraId="71410D3B"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496" w:type="dxa"/>
            <w:tcBorders>
              <w:top w:val="nil"/>
            </w:tcBorders>
            <w:shd w:val="clear" w:color="auto" w:fill="auto"/>
            <w:vAlign w:val="bottom"/>
          </w:tcPr>
          <w:p w14:paraId="67A584A5" w14:textId="42BE52CB" w:rsidR="005C15D5" w:rsidRPr="00DA4360" w:rsidRDefault="00ED07BC" w:rsidP="003F6F1A">
            <w:pPr>
              <w:spacing w:after="0" w:line="240" w:lineRule="auto"/>
              <w:jc w:val="right"/>
              <w:rPr>
                <w:rFonts w:ascii="Arial" w:hAnsi="Arial" w:cs="Arial"/>
                <w:b/>
                <w:bCs/>
                <w:sz w:val="20"/>
                <w:szCs w:val="20"/>
                <w:lang w:val="en-CA"/>
              </w:rPr>
            </w:pPr>
            <w:r>
              <w:rPr>
                <w:rFonts w:ascii="Arial" w:hAnsi="Arial" w:cs="Arial"/>
                <w:b/>
                <w:bCs/>
                <w:sz w:val="20"/>
                <w:szCs w:val="20"/>
                <w:lang w:val="en-CA"/>
              </w:rPr>
              <w:t>143,767</w:t>
            </w:r>
          </w:p>
        </w:tc>
        <w:tc>
          <w:tcPr>
            <w:tcW w:w="328" w:type="dxa"/>
            <w:tcBorders>
              <w:top w:val="nil"/>
            </w:tcBorders>
            <w:shd w:val="clear" w:color="auto" w:fill="auto"/>
          </w:tcPr>
          <w:p w14:paraId="53DEA3A7"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w:t>
            </w:r>
          </w:p>
        </w:tc>
        <w:tc>
          <w:tcPr>
            <w:tcW w:w="1430" w:type="dxa"/>
            <w:tcBorders>
              <w:top w:val="nil"/>
            </w:tcBorders>
            <w:shd w:val="clear" w:color="auto" w:fill="auto"/>
            <w:vAlign w:val="bottom"/>
          </w:tcPr>
          <w:p w14:paraId="1F392539" w14:textId="1A7B0E3D" w:rsidR="005C15D5" w:rsidRPr="00ED07BC" w:rsidRDefault="00ED07BC" w:rsidP="003F6F1A">
            <w:pPr>
              <w:spacing w:after="0" w:line="240" w:lineRule="auto"/>
              <w:jc w:val="right"/>
              <w:rPr>
                <w:rFonts w:ascii="Arial" w:hAnsi="Arial" w:cs="Arial"/>
                <w:bCs/>
                <w:sz w:val="20"/>
                <w:szCs w:val="20"/>
                <w:lang w:val="en-CA"/>
              </w:rPr>
            </w:pPr>
            <w:r w:rsidRPr="00ED07BC">
              <w:rPr>
                <w:rFonts w:ascii="Arial" w:hAnsi="Arial" w:cs="Arial"/>
                <w:bCs/>
                <w:sz w:val="20"/>
                <w:szCs w:val="20"/>
                <w:lang w:val="en-CA"/>
              </w:rPr>
              <w:t>-</w:t>
            </w:r>
          </w:p>
        </w:tc>
        <w:tc>
          <w:tcPr>
            <w:tcW w:w="370" w:type="dxa"/>
            <w:tcBorders>
              <w:top w:val="nil"/>
            </w:tcBorders>
            <w:shd w:val="clear" w:color="auto" w:fill="auto"/>
          </w:tcPr>
          <w:p w14:paraId="6E55B03B"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253" w:type="dxa"/>
            <w:tcBorders>
              <w:top w:val="nil"/>
            </w:tcBorders>
            <w:shd w:val="clear" w:color="auto" w:fill="auto"/>
            <w:vAlign w:val="bottom"/>
          </w:tcPr>
          <w:p w14:paraId="6856ADEF" w14:textId="117F24E3" w:rsidR="005C15D5" w:rsidRPr="00DA4360" w:rsidRDefault="00ED07BC" w:rsidP="003F6F1A">
            <w:pPr>
              <w:spacing w:after="0" w:line="240" w:lineRule="auto"/>
              <w:jc w:val="right"/>
              <w:rPr>
                <w:rFonts w:ascii="Arial" w:hAnsi="Arial" w:cs="Arial"/>
                <w:b/>
                <w:bCs/>
                <w:sz w:val="20"/>
                <w:szCs w:val="20"/>
                <w:lang w:val="en-CA"/>
              </w:rPr>
            </w:pPr>
            <w:r>
              <w:rPr>
                <w:rFonts w:ascii="Arial" w:hAnsi="Arial" w:cs="Arial"/>
                <w:b/>
                <w:bCs/>
                <w:sz w:val="20"/>
                <w:szCs w:val="20"/>
                <w:lang w:val="en-CA"/>
              </w:rPr>
              <w:t>922,273</w:t>
            </w:r>
          </w:p>
        </w:tc>
        <w:tc>
          <w:tcPr>
            <w:tcW w:w="328" w:type="dxa"/>
            <w:tcBorders>
              <w:top w:val="nil"/>
            </w:tcBorders>
            <w:shd w:val="clear" w:color="auto" w:fill="auto"/>
          </w:tcPr>
          <w:p w14:paraId="605B963E"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339" w:type="dxa"/>
            <w:tcBorders>
              <w:top w:val="nil"/>
            </w:tcBorders>
            <w:shd w:val="clear" w:color="auto" w:fill="auto"/>
            <w:vAlign w:val="bottom"/>
          </w:tcPr>
          <w:p w14:paraId="349FC25C" w14:textId="51A119CD" w:rsidR="005C15D5" w:rsidRPr="00DA4360" w:rsidRDefault="00ED07BC" w:rsidP="003F6F1A">
            <w:pPr>
              <w:spacing w:after="0" w:line="240" w:lineRule="auto"/>
              <w:jc w:val="right"/>
              <w:rPr>
                <w:rFonts w:ascii="Arial" w:hAnsi="Arial" w:cs="Arial"/>
                <w:sz w:val="20"/>
                <w:szCs w:val="20"/>
                <w:lang w:val="en-CA"/>
              </w:rPr>
            </w:pPr>
            <w:r>
              <w:rPr>
                <w:rFonts w:ascii="Arial" w:hAnsi="Arial" w:cs="Arial"/>
                <w:sz w:val="20"/>
                <w:szCs w:val="20"/>
                <w:lang w:val="en-CA"/>
              </w:rPr>
              <w:t>942,417</w:t>
            </w:r>
          </w:p>
        </w:tc>
      </w:tr>
    </w:tbl>
    <w:p w14:paraId="65DF5034" w14:textId="77777777" w:rsidR="007F7BF4" w:rsidRPr="004B4490" w:rsidRDefault="007F7BF4" w:rsidP="003F6F1A">
      <w:pPr>
        <w:pStyle w:val="NormalWeb"/>
        <w:spacing w:before="0" w:beforeAutospacing="0" w:after="0" w:afterAutospacing="0"/>
        <w:rPr>
          <w:rFonts w:ascii="Arial" w:hAnsi="Arial" w:cs="Arial"/>
          <w:b/>
          <w:bCs/>
          <w:color w:val="000000"/>
          <w:sz w:val="20"/>
          <w:szCs w:val="20"/>
          <w:highlight w:val="yellow"/>
        </w:rPr>
      </w:pPr>
    </w:p>
    <w:p w14:paraId="69D11547" w14:textId="0879D491" w:rsidR="001F6127" w:rsidRPr="00ED07BC" w:rsidRDefault="001F6127" w:rsidP="003F6F1A">
      <w:pPr>
        <w:autoSpaceDE w:val="0"/>
        <w:autoSpaceDN w:val="0"/>
        <w:adjustRightInd w:val="0"/>
        <w:jc w:val="both"/>
        <w:rPr>
          <w:rFonts w:ascii="Arial" w:hAnsi="Arial" w:cs="Arial"/>
          <w:sz w:val="20"/>
          <w:szCs w:val="20"/>
        </w:rPr>
      </w:pPr>
      <w:r w:rsidRPr="001F6127">
        <w:rPr>
          <w:rFonts w:ascii="Arial" w:hAnsi="Arial" w:cs="Arial"/>
          <w:sz w:val="20"/>
          <w:szCs w:val="20"/>
        </w:rPr>
        <w:t xml:space="preserve">Included in salaries </w:t>
      </w:r>
      <w:r w:rsidRPr="00ED07BC">
        <w:rPr>
          <w:rFonts w:ascii="Arial" w:hAnsi="Arial" w:cs="Arial"/>
          <w:sz w:val="20"/>
          <w:szCs w:val="20"/>
        </w:rPr>
        <w:t xml:space="preserve">and benefits for the three and </w:t>
      </w:r>
      <w:r w:rsidR="001E2F98" w:rsidRPr="00ED07BC">
        <w:rPr>
          <w:rFonts w:ascii="Arial" w:hAnsi="Arial" w:cs="Arial"/>
          <w:sz w:val="20"/>
          <w:szCs w:val="20"/>
        </w:rPr>
        <w:t>nine</w:t>
      </w:r>
      <w:r w:rsidRPr="00ED07BC">
        <w:rPr>
          <w:rFonts w:ascii="Arial" w:hAnsi="Arial" w:cs="Arial"/>
          <w:sz w:val="20"/>
          <w:szCs w:val="20"/>
        </w:rPr>
        <w:t xml:space="preserve"> months ended </w:t>
      </w:r>
      <w:r w:rsidR="001E2F98" w:rsidRPr="00ED07BC">
        <w:rPr>
          <w:rFonts w:ascii="Arial" w:hAnsi="Arial" w:cs="Arial"/>
          <w:sz w:val="20"/>
          <w:szCs w:val="20"/>
        </w:rPr>
        <w:t>September</w:t>
      </w:r>
      <w:r w:rsidRPr="00ED07BC">
        <w:rPr>
          <w:rFonts w:ascii="Arial" w:hAnsi="Arial" w:cs="Arial"/>
          <w:sz w:val="20"/>
          <w:szCs w:val="20"/>
        </w:rPr>
        <w:t xml:space="preserve"> 30, 2019 is share based compensation of $</w:t>
      </w:r>
      <w:r w:rsidR="00ED07BC" w:rsidRPr="00ED07BC">
        <w:rPr>
          <w:rFonts w:ascii="Arial" w:hAnsi="Arial" w:cs="Arial"/>
          <w:sz w:val="20"/>
          <w:szCs w:val="20"/>
        </w:rPr>
        <w:t>58,007 and $266,853</w:t>
      </w:r>
      <w:r w:rsidRPr="00ED07BC">
        <w:rPr>
          <w:rFonts w:ascii="Arial" w:hAnsi="Arial" w:cs="Arial"/>
          <w:sz w:val="20"/>
          <w:szCs w:val="20"/>
        </w:rPr>
        <w:t xml:space="preserve"> (</w:t>
      </w:r>
      <w:r w:rsidR="00ED07BC" w:rsidRPr="00ED07BC">
        <w:rPr>
          <w:rFonts w:ascii="Arial" w:eastAsiaTheme="minorHAnsi" w:hAnsi="Arial" w:cs="Arial"/>
          <w:sz w:val="20"/>
          <w:szCs w:val="20"/>
        </w:rPr>
        <w:t>three and nine months ended September 30, 2018 - $nil and $892,417</w:t>
      </w:r>
      <w:r w:rsidRPr="00ED07BC">
        <w:rPr>
          <w:rFonts w:ascii="Arial" w:hAnsi="Arial" w:cs="Arial"/>
          <w:sz w:val="20"/>
          <w:szCs w:val="20"/>
        </w:rPr>
        <w:t>) related to common shares awarded to the CEO.</w:t>
      </w:r>
    </w:p>
    <w:p w14:paraId="6B163547" w14:textId="77777777" w:rsidR="00ED07BC" w:rsidRPr="00ED07BC" w:rsidRDefault="00ED07BC" w:rsidP="00ED07BC">
      <w:pPr>
        <w:spacing w:line="276" w:lineRule="auto"/>
        <w:jc w:val="both"/>
        <w:rPr>
          <w:rFonts w:ascii="Arial" w:eastAsiaTheme="minorHAnsi" w:hAnsi="Arial" w:cs="Arial"/>
          <w:sz w:val="20"/>
          <w:szCs w:val="20"/>
        </w:rPr>
      </w:pPr>
      <w:r w:rsidRPr="00ED07BC">
        <w:rPr>
          <w:rFonts w:ascii="Arial" w:eastAsiaTheme="minorHAnsi" w:hAnsi="Arial" w:cs="Arial"/>
          <w:sz w:val="20"/>
          <w:szCs w:val="20"/>
        </w:rPr>
        <w:t xml:space="preserve">As at September 30, 2019, $nil (December 31, 2018 - $12,575) is due to related parties for final settlement of the purchase of Presto operations. Following the dismissal of legal actions with the former President and director of its subsidiary companies, as disclosed in the December 31, 2018 annual audited consolidated financial statements, the Company determined that there is no longer an obligation with respect to the final settlement and as such, the amount has been credited to operations expense. The outstanding balance was non-interest bearing, unsecured and due on demand. </w:t>
      </w:r>
    </w:p>
    <w:p w14:paraId="0B292A28" w14:textId="703A013B" w:rsidR="00A353D2"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INTERNATIONAL FINANCIAL REPORTING STANDARDS</w:t>
      </w:r>
    </w:p>
    <w:p w14:paraId="4542F548" w14:textId="77777777" w:rsidR="00A353D2" w:rsidRDefault="00A353D2" w:rsidP="003F6F1A">
      <w:pPr>
        <w:pStyle w:val="NormalWeb"/>
        <w:spacing w:before="0" w:beforeAutospacing="0" w:after="0" w:afterAutospacing="0"/>
        <w:rPr>
          <w:rFonts w:ascii="Arial" w:hAnsi="Arial" w:cs="Arial"/>
          <w:b/>
          <w:bCs/>
          <w:color w:val="000000"/>
          <w:sz w:val="20"/>
          <w:szCs w:val="20"/>
        </w:rPr>
      </w:pPr>
    </w:p>
    <w:p w14:paraId="34C8A033" w14:textId="7E14946C" w:rsidR="00A353D2" w:rsidRPr="00A353D2" w:rsidRDefault="00A353D2" w:rsidP="003F6F1A">
      <w:pPr>
        <w:spacing w:after="0"/>
        <w:jc w:val="both"/>
        <w:rPr>
          <w:rFonts w:ascii="Arial" w:hAnsi="Arial" w:cs="Arial"/>
          <w:sz w:val="20"/>
          <w:szCs w:val="20"/>
        </w:rPr>
      </w:pPr>
      <w:r w:rsidRPr="00A353D2">
        <w:rPr>
          <w:rFonts w:ascii="Arial" w:hAnsi="Arial" w:cs="Arial"/>
          <w:sz w:val="20"/>
          <w:szCs w:val="20"/>
        </w:rPr>
        <w:t xml:space="preserve">The </w:t>
      </w:r>
      <w:r w:rsidR="004B4490">
        <w:rPr>
          <w:rFonts w:ascii="Arial" w:hAnsi="Arial" w:cs="Arial"/>
          <w:sz w:val="20"/>
          <w:szCs w:val="20"/>
        </w:rPr>
        <w:t>c</w:t>
      </w:r>
      <w:r w:rsidRPr="00A353D2">
        <w:rPr>
          <w:rFonts w:ascii="Arial" w:hAnsi="Arial" w:cs="Arial"/>
          <w:sz w:val="20"/>
          <w:szCs w:val="20"/>
        </w:rPr>
        <w:t xml:space="preserve">onsolidated financial statements have been prepared in accordance with IFRS as issued by the IASB, effective as of </w:t>
      </w:r>
      <w:r w:rsidR="001E2F98">
        <w:rPr>
          <w:rFonts w:ascii="Arial" w:hAnsi="Arial" w:cs="Arial"/>
          <w:sz w:val="20"/>
          <w:szCs w:val="20"/>
        </w:rPr>
        <w:t>September</w:t>
      </w:r>
      <w:r w:rsidR="004B4490">
        <w:rPr>
          <w:rFonts w:ascii="Arial" w:hAnsi="Arial" w:cs="Arial"/>
          <w:sz w:val="20"/>
          <w:szCs w:val="20"/>
        </w:rPr>
        <w:t xml:space="preserve"> 30</w:t>
      </w:r>
      <w:r w:rsidR="003C5740">
        <w:rPr>
          <w:rFonts w:ascii="Arial" w:hAnsi="Arial" w:cs="Arial"/>
          <w:sz w:val="20"/>
          <w:szCs w:val="20"/>
        </w:rPr>
        <w:t>, 2019</w:t>
      </w:r>
      <w:r w:rsidRPr="00A353D2">
        <w:rPr>
          <w:rFonts w:ascii="Arial" w:hAnsi="Arial" w:cs="Arial"/>
          <w:sz w:val="20"/>
          <w:szCs w:val="20"/>
        </w:rPr>
        <w:t xml:space="preserve">. The Company’s significant accounting policies are described in note </w:t>
      </w:r>
      <w:r w:rsidR="00DC37FE">
        <w:rPr>
          <w:rFonts w:ascii="Arial" w:hAnsi="Arial" w:cs="Arial"/>
          <w:sz w:val="20"/>
          <w:szCs w:val="20"/>
        </w:rPr>
        <w:t>3</w:t>
      </w:r>
      <w:r w:rsidRPr="00A353D2">
        <w:rPr>
          <w:rFonts w:ascii="Arial" w:hAnsi="Arial" w:cs="Arial"/>
          <w:sz w:val="20"/>
          <w:szCs w:val="20"/>
        </w:rPr>
        <w:t xml:space="preserve"> of the Company’s consolidated financial statements for the years ended December 31, 201</w:t>
      </w:r>
      <w:r>
        <w:rPr>
          <w:rFonts w:ascii="Arial" w:hAnsi="Arial" w:cs="Arial"/>
          <w:sz w:val="20"/>
          <w:szCs w:val="20"/>
        </w:rPr>
        <w:t>8</w:t>
      </w:r>
      <w:r w:rsidRPr="00A353D2">
        <w:rPr>
          <w:rFonts w:ascii="Arial" w:hAnsi="Arial" w:cs="Arial"/>
          <w:sz w:val="20"/>
          <w:szCs w:val="20"/>
        </w:rPr>
        <w:t xml:space="preserve"> and 201</w:t>
      </w:r>
      <w:r>
        <w:rPr>
          <w:rFonts w:ascii="Arial" w:hAnsi="Arial" w:cs="Arial"/>
          <w:sz w:val="20"/>
          <w:szCs w:val="20"/>
        </w:rPr>
        <w:t>7</w:t>
      </w:r>
      <w:r w:rsidR="00F56B6B">
        <w:rPr>
          <w:rFonts w:ascii="Arial" w:hAnsi="Arial" w:cs="Arial"/>
          <w:sz w:val="20"/>
          <w:szCs w:val="20"/>
        </w:rPr>
        <w:t xml:space="preserve"> and note 3 to the </w:t>
      </w:r>
      <w:r w:rsidR="001E2F98">
        <w:rPr>
          <w:rFonts w:ascii="Arial" w:hAnsi="Arial" w:cs="Arial"/>
          <w:sz w:val="20"/>
          <w:szCs w:val="20"/>
        </w:rPr>
        <w:t>September</w:t>
      </w:r>
      <w:r w:rsidR="004B4490">
        <w:rPr>
          <w:rFonts w:ascii="Arial" w:hAnsi="Arial" w:cs="Arial"/>
          <w:sz w:val="20"/>
          <w:szCs w:val="20"/>
        </w:rPr>
        <w:t xml:space="preserve"> 30</w:t>
      </w:r>
      <w:r w:rsidR="00F56B6B">
        <w:rPr>
          <w:rFonts w:ascii="Arial" w:hAnsi="Arial" w:cs="Arial"/>
          <w:sz w:val="20"/>
          <w:szCs w:val="20"/>
        </w:rPr>
        <w:t xml:space="preserve">, 2019 unaudited condensed </w:t>
      </w:r>
      <w:r w:rsidR="000C689B">
        <w:rPr>
          <w:rFonts w:ascii="Arial" w:hAnsi="Arial" w:cs="Arial"/>
          <w:sz w:val="20"/>
          <w:szCs w:val="20"/>
        </w:rPr>
        <w:t xml:space="preserve">interim </w:t>
      </w:r>
      <w:r w:rsidR="00F56B6B">
        <w:rPr>
          <w:rFonts w:ascii="Arial" w:hAnsi="Arial" w:cs="Arial"/>
          <w:sz w:val="20"/>
          <w:szCs w:val="20"/>
        </w:rPr>
        <w:t>consolidated financial statements.</w:t>
      </w:r>
    </w:p>
    <w:p w14:paraId="6CD4E315" w14:textId="77777777" w:rsidR="001D7767" w:rsidRDefault="001D7767"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3E189F9B" w14:textId="77777777" w:rsidR="00B96480" w:rsidRPr="00BE1DF8"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CRITICAL ACCOUNTING POLICIES AND ESTIMATES</w:t>
      </w:r>
    </w:p>
    <w:p w14:paraId="51AFC444" w14:textId="77777777" w:rsidR="00BE1DF8" w:rsidRDefault="00BE1DF8" w:rsidP="003F6F1A">
      <w:pPr>
        <w:spacing w:after="0"/>
        <w:jc w:val="both"/>
        <w:rPr>
          <w:rFonts w:ascii="Arial" w:hAnsi="Arial" w:cs="Arial"/>
          <w:sz w:val="20"/>
          <w:szCs w:val="20"/>
        </w:rPr>
      </w:pPr>
    </w:p>
    <w:p w14:paraId="5F093F11"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The preparation of the Company’s consolidated financial statements in conformity with IFRS requires management to make estimates based on assumptions about future events that affect the reported amounts of assets and liabilities and disclosures of contingent assets and liabilities at the date of the financial statements and the reported amounts of revenues and expenses during the reporting period.</w:t>
      </w:r>
    </w:p>
    <w:p w14:paraId="00C54B44" w14:textId="77777777" w:rsidR="00413B6E" w:rsidRDefault="00413B6E" w:rsidP="003F6F1A">
      <w:pPr>
        <w:spacing w:after="0"/>
        <w:jc w:val="both"/>
        <w:rPr>
          <w:rFonts w:ascii="Arial" w:hAnsi="Arial" w:cs="Arial"/>
          <w:sz w:val="20"/>
          <w:szCs w:val="20"/>
        </w:rPr>
      </w:pPr>
    </w:p>
    <w:p w14:paraId="2BE52C3F"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The estimates and associated assumptions are based on historical experience and various other factors that are believed to be reasonable under the circumstances, the results of which form the basis of making the judgements about carrying values of assets and liabilities that are not readily apparent from other sources. Actual results could differ from those estimates. The estimates and underlying assumptions are reviewed on an ongoing basis. Revisions to accounting estimates are recognized prospectively in the period in which the estimate is revised. Management has made the following critical judgements and estimates:</w:t>
      </w:r>
    </w:p>
    <w:p w14:paraId="11DF3DBD" w14:textId="77777777" w:rsidR="00D127FC" w:rsidRDefault="00D127FC" w:rsidP="003F6F1A">
      <w:pPr>
        <w:spacing w:after="0"/>
        <w:jc w:val="both"/>
        <w:rPr>
          <w:rFonts w:ascii="Arial" w:hAnsi="Arial" w:cs="Arial"/>
          <w:b/>
          <w:i/>
          <w:sz w:val="20"/>
          <w:szCs w:val="20"/>
          <w:u w:val="single"/>
        </w:rPr>
      </w:pPr>
    </w:p>
    <w:p w14:paraId="3C503A43" w14:textId="77777777" w:rsidR="00413B6E" w:rsidRPr="00413B6E" w:rsidRDefault="00413B6E" w:rsidP="003F6F1A">
      <w:pPr>
        <w:spacing w:after="0"/>
        <w:jc w:val="both"/>
        <w:rPr>
          <w:rFonts w:ascii="Arial" w:hAnsi="Arial" w:cs="Arial"/>
          <w:b/>
          <w:i/>
          <w:sz w:val="20"/>
          <w:szCs w:val="20"/>
          <w:u w:val="single"/>
        </w:rPr>
      </w:pPr>
      <w:r w:rsidRPr="00413B6E">
        <w:rPr>
          <w:rFonts w:ascii="Arial" w:hAnsi="Arial" w:cs="Arial"/>
          <w:b/>
          <w:i/>
          <w:sz w:val="20"/>
          <w:szCs w:val="20"/>
          <w:u w:val="single"/>
        </w:rPr>
        <w:t>Critical judgements in applying accounting policies</w:t>
      </w:r>
    </w:p>
    <w:p w14:paraId="6CD8002E" w14:textId="77777777" w:rsidR="00413B6E" w:rsidRPr="00413B6E" w:rsidRDefault="00413B6E" w:rsidP="003F6F1A">
      <w:pPr>
        <w:spacing w:after="0"/>
        <w:jc w:val="both"/>
        <w:rPr>
          <w:rFonts w:ascii="Arial" w:hAnsi="Arial" w:cs="Arial"/>
          <w:sz w:val="20"/>
          <w:szCs w:val="20"/>
        </w:rPr>
      </w:pPr>
    </w:p>
    <w:p w14:paraId="358BD328" w14:textId="77777777" w:rsidR="00DA05F7" w:rsidRDefault="00413B6E" w:rsidP="003F6F1A">
      <w:pPr>
        <w:spacing w:after="0"/>
        <w:jc w:val="both"/>
        <w:rPr>
          <w:rFonts w:ascii="Arial" w:hAnsi="Arial" w:cs="Arial"/>
          <w:sz w:val="20"/>
          <w:szCs w:val="20"/>
        </w:rPr>
      </w:pPr>
      <w:r w:rsidRPr="00413B6E">
        <w:rPr>
          <w:rFonts w:ascii="Arial" w:hAnsi="Arial" w:cs="Arial"/>
          <w:sz w:val="20"/>
          <w:szCs w:val="20"/>
        </w:rPr>
        <w:t xml:space="preserve">Critical judgements made by management in applying the Company’s accounting policies, apart from those involving estimations, that have the most significant </w:t>
      </w:r>
      <w:r w:rsidR="002D1846" w:rsidRPr="00413B6E">
        <w:rPr>
          <w:rFonts w:ascii="Arial" w:hAnsi="Arial" w:cs="Arial"/>
          <w:sz w:val="20"/>
          <w:szCs w:val="20"/>
        </w:rPr>
        <w:t>effect</w:t>
      </w:r>
      <w:r w:rsidRPr="00413B6E">
        <w:rPr>
          <w:rFonts w:ascii="Arial" w:hAnsi="Arial" w:cs="Arial"/>
          <w:sz w:val="20"/>
          <w:szCs w:val="20"/>
        </w:rPr>
        <w:t xml:space="preserve"> on the amounts recognized in the Company’s consolidated financial statements are as follows: </w:t>
      </w:r>
    </w:p>
    <w:p w14:paraId="5030757B" w14:textId="77777777" w:rsidR="00DA05F7" w:rsidRDefault="00DA05F7" w:rsidP="003F6F1A">
      <w:pPr>
        <w:spacing w:after="0"/>
        <w:jc w:val="both"/>
        <w:rPr>
          <w:rFonts w:ascii="Arial" w:hAnsi="Arial" w:cs="Arial"/>
          <w:sz w:val="20"/>
          <w:szCs w:val="20"/>
        </w:rPr>
      </w:pPr>
    </w:p>
    <w:p w14:paraId="697D111E" w14:textId="77777777" w:rsidR="00ED07BC" w:rsidRDefault="00ED07BC" w:rsidP="003F6F1A">
      <w:pPr>
        <w:spacing w:after="0"/>
        <w:jc w:val="both"/>
        <w:rPr>
          <w:rFonts w:ascii="Arial" w:hAnsi="Arial" w:cs="Arial"/>
          <w:sz w:val="20"/>
          <w:szCs w:val="20"/>
          <w:u w:val="single"/>
        </w:rPr>
      </w:pPr>
    </w:p>
    <w:p w14:paraId="6E17C241" w14:textId="6500C471" w:rsidR="00413B6E" w:rsidRDefault="00413B6E" w:rsidP="003F6F1A">
      <w:pPr>
        <w:spacing w:after="0"/>
        <w:jc w:val="both"/>
        <w:rPr>
          <w:rFonts w:ascii="Arial" w:hAnsi="Arial" w:cs="Arial"/>
          <w:sz w:val="20"/>
          <w:szCs w:val="20"/>
          <w:u w:val="single"/>
        </w:rPr>
      </w:pPr>
      <w:r w:rsidRPr="00413B6E">
        <w:rPr>
          <w:rFonts w:ascii="Arial" w:hAnsi="Arial" w:cs="Arial"/>
          <w:sz w:val="20"/>
          <w:szCs w:val="20"/>
          <w:u w:val="single"/>
        </w:rPr>
        <w:t xml:space="preserve">Functional currency </w:t>
      </w:r>
    </w:p>
    <w:p w14:paraId="7FF67BF9" w14:textId="77777777" w:rsidR="00974012" w:rsidRPr="00413B6E" w:rsidRDefault="00974012" w:rsidP="003F6F1A">
      <w:pPr>
        <w:spacing w:after="0"/>
        <w:jc w:val="both"/>
        <w:rPr>
          <w:rFonts w:ascii="Arial" w:hAnsi="Arial" w:cs="Arial"/>
          <w:sz w:val="20"/>
          <w:szCs w:val="20"/>
          <w:u w:val="single"/>
        </w:rPr>
      </w:pPr>
    </w:p>
    <w:p w14:paraId="208417E6"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The functional currency for each of the Company’s subsidiaries is the currency of the primary economic environment in which the respective entity operates; the Company has determined the functional currency of each entity to be the US dollar. Such determination involves certain judgements to identify the primary economic environment. The Company reconsiders the functional currency of its subsidiaries if there is a change in events and/or conditions which determine the primary economic environment.</w:t>
      </w:r>
    </w:p>
    <w:p w14:paraId="069595C5" w14:textId="77777777" w:rsidR="000964C8" w:rsidRDefault="000964C8" w:rsidP="003F6F1A">
      <w:pPr>
        <w:spacing w:after="0"/>
        <w:jc w:val="both"/>
        <w:rPr>
          <w:rFonts w:ascii="Arial" w:hAnsi="Arial" w:cs="Arial"/>
          <w:sz w:val="20"/>
          <w:szCs w:val="20"/>
        </w:rPr>
      </w:pPr>
    </w:p>
    <w:p w14:paraId="339F576C" w14:textId="77777777" w:rsidR="000964C8" w:rsidRDefault="000964C8" w:rsidP="003F6F1A">
      <w:pPr>
        <w:spacing w:after="0"/>
        <w:jc w:val="both"/>
        <w:rPr>
          <w:rFonts w:ascii="Arial" w:hAnsi="Arial" w:cs="Arial"/>
          <w:sz w:val="20"/>
          <w:szCs w:val="20"/>
          <w:u w:val="single"/>
        </w:rPr>
      </w:pPr>
      <w:r w:rsidRPr="000964C8">
        <w:rPr>
          <w:rFonts w:ascii="Arial" w:hAnsi="Arial" w:cs="Arial"/>
          <w:sz w:val="20"/>
          <w:szCs w:val="20"/>
          <w:u w:val="single"/>
        </w:rPr>
        <w:t>Assessment of indicators of impairment</w:t>
      </w:r>
    </w:p>
    <w:p w14:paraId="137D36A2" w14:textId="77777777" w:rsidR="00974012" w:rsidRPr="000964C8" w:rsidRDefault="00974012" w:rsidP="003F6F1A">
      <w:pPr>
        <w:spacing w:after="0"/>
        <w:jc w:val="both"/>
        <w:rPr>
          <w:rFonts w:ascii="Arial" w:hAnsi="Arial" w:cs="Arial"/>
          <w:sz w:val="20"/>
          <w:szCs w:val="20"/>
          <w:u w:val="single"/>
        </w:rPr>
      </w:pPr>
    </w:p>
    <w:p w14:paraId="02E98E33" w14:textId="32F6FFE8" w:rsidR="000964C8" w:rsidRDefault="000964C8" w:rsidP="003F6F1A">
      <w:pPr>
        <w:spacing w:after="0"/>
        <w:jc w:val="both"/>
        <w:rPr>
          <w:rFonts w:ascii="Arial" w:hAnsi="Arial" w:cs="Arial"/>
          <w:sz w:val="20"/>
          <w:szCs w:val="20"/>
        </w:rPr>
      </w:pPr>
      <w:r w:rsidRPr="000964C8">
        <w:rPr>
          <w:rFonts w:ascii="Arial" w:hAnsi="Arial" w:cs="Arial"/>
          <w:sz w:val="20"/>
          <w:szCs w:val="20"/>
        </w:rPr>
        <w:t>At the end of each reporting period, the Company assesses whether there are any indicators, from external and internal sources of information, that an asset or cash generating unit (“CGU”) may be impaired, thereby requiring adjustment to the carrying value. The Company identified the sustained decrease in market capitalization as an indicator of impairment during the</w:t>
      </w:r>
      <w:r w:rsidR="003C5740">
        <w:rPr>
          <w:rFonts w:ascii="Arial" w:hAnsi="Arial" w:cs="Arial"/>
          <w:sz w:val="20"/>
          <w:szCs w:val="20"/>
        </w:rPr>
        <w:t xml:space="preserve"> period</w:t>
      </w:r>
      <w:r w:rsidRPr="000964C8">
        <w:rPr>
          <w:rFonts w:ascii="Arial" w:hAnsi="Arial" w:cs="Arial"/>
          <w:sz w:val="20"/>
          <w:szCs w:val="20"/>
        </w:rPr>
        <w:t xml:space="preserve"> ended </w:t>
      </w:r>
      <w:r w:rsidR="0057111D">
        <w:rPr>
          <w:rFonts w:ascii="Arial" w:hAnsi="Arial" w:cs="Arial"/>
          <w:sz w:val="20"/>
          <w:szCs w:val="20"/>
        </w:rPr>
        <w:t>September</w:t>
      </w:r>
      <w:r w:rsidR="004B4490">
        <w:rPr>
          <w:rFonts w:ascii="Arial" w:hAnsi="Arial" w:cs="Arial"/>
          <w:sz w:val="20"/>
          <w:szCs w:val="20"/>
        </w:rPr>
        <w:t xml:space="preserve"> 30</w:t>
      </w:r>
      <w:r w:rsidRPr="000964C8">
        <w:rPr>
          <w:rFonts w:ascii="Arial" w:hAnsi="Arial" w:cs="Arial"/>
          <w:sz w:val="20"/>
          <w:szCs w:val="20"/>
        </w:rPr>
        <w:t>, 201</w:t>
      </w:r>
      <w:r w:rsidR="003C5740">
        <w:rPr>
          <w:rFonts w:ascii="Arial" w:hAnsi="Arial" w:cs="Arial"/>
          <w:sz w:val="20"/>
          <w:szCs w:val="20"/>
        </w:rPr>
        <w:t>9</w:t>
      </w:r>
      <w:r w:rsidRPr="000964C8">
        <w:rPr>
          <w:rFonts w:ascii="Arial" w:hAnsi="Arial" w:cs="Arial"/>
          <w:sz w:val="20"/>
          <w:szCs w:val="20"/>
        </w:rPr>
        <w:t xml:space="preserve">. </w:t>
      </w:r>
    </w:p>
    <w:p w14:paraId="5500E456" w14:textId="77777777" w:rsidR="000964C8" w:rsidRDefault="000964C8" w:rsidP="003F6F1A">
      <w:pPr>
        <w:spacing w:after="0"/>
        <w:jc w:val="both"/>
        <w:rPr>
          <w:rFonts w:ascii="Arial" w:hAnsi="Arial" w:cs="Arial"/>
          <w:sz w:val="20"/>
          <w:szCs w:val="20"/>
        </w:rPr>
      </w:pPr>
    </w:p>
    <w:p w14:paraId="1E449EB9" w14:textId="77777777" w:rsidR="000964C8" w:rsidRPr="000964C8" w:rsidRDefault="000964C8" w:rsidP="003F6F1A">
      <w:pPr>
        <w:spacing w:after="0"/>
        <w:jc w:val="both"/>
        <w:rPr>
          <w:rFonts w:ascii="Arial" w:hAnsi="Arial" w:cs="Arial"/>
          <w:sz w:val="20"/>
          <w:szCs w:val="20"/>
        </w:rPr>
      </w:pPr>
      <w:r w:rsidRPr="000964C8">
        <w:rPr>
          <w:rFonts w:ascii="Arial" w:hAnsi="Arial" w:cs="Arial"/>
          <w:sz w:val="20"/>
          <w:szCs w:val="20"/>
        </w:rPr>
        <w:t>As a result of these impairment indicators, the Company assessed the intangible assets and assets held for sale CGUs for impairment and concluded the recoverable value of each CGU was greater than its carrying value and no impairment was required.</w:t>
      </w:r>
    </w:p>
    <w:p w14:paraId="4989E3C4" w14:textId="77777777" w:rsidR="00FE554B" w:rsidRDefault="00FE554B" w:rsidP="003F6F1A">
      <w:pPr>
        <w:spacing w:after="0"/>
        <w:jc w:val="both"/>
        <w:rPr>
          <w:rFonts w:ascii="Arial" w:hAnsi="Arial" w:cs="Arial"/>
          <w:sz w:val="20"/>
          <w:szCs w:val="20"/>
          <w:highlight w:val="yellow"/>
        </w:rPr>
      </w:pPr>
    </w:p>
    <w:p w14:paraId="49F3B7C2" w14:textId="2C47142B" w:rsidR="00413B6E" w:rsidRPr="00413B6E" w:rsidRDefault="00413B6E" w:rsidP="003F6F1A">
      <w:pPr>
        <w:spacing w:after="0"/>
        <w:jc w:val="both"/>
        <w:rPr>
          <w:rFonts w:ascii="Arial" w:hAnsi="Arial" w:cs="Arial"/>
          <w:sz w:val="20"/>
          <w:szCs w:val="20"/>
          <w:u w:val="single"/>
        </w:rPr>
      </w:pPr>
      <w:r w:rsidRPr="00413B6E">
        <w:rPr>
          <w:rFonts w:ascii="Arial" w:hAnsi="Arial" w:cs="Arial"/>
          <w:sz w:val="20"/>
          <w:szCs w:val="20"/>
          <w:u w:val="single"/>
        </w:rPr>
        <w:t xml:space="preserve">Revenue recognition as a result of adopting IFRS 15 </w:t>
      </w:r>
    </w:p>
    <w:p w14:paraId="25DD7A59" w14:textId="77777777" w:rsidR="00413B6E" w:rsidRDefault="00413B6E" w:rsidP="003F6F1A">
      <w:pPr>
        <w:spacing w:after="0"/>
        <w:jc w:val="both"/>
        <w:rPr>
          <w:rFonts w:ascii="Arial" w:hAnsi="Arial" w:cs="Arial"/>
          <w:sz w:val="20"/>
          <w:szCs w:val="20"/>
        </w:rPr>
      </w:pPr>
    </w:p>
    <w:p w14:paraId="3CAB7F40" w14:textId="77777777" w:rsidR="00413B6E" w:rsidRPr="00413B6E" w:rsidRDefault="00413B6E" w:rsidP="003F6F1A">
      <w:pPr>
        <w:spacing w:after="0"/>
        <w:jc w:val="both"/>
        <w:rPr>
          <w:rFonts w:ascii="Arial" w:hAnsi="Arial" w:cs="Arial"/>
          <w:i/>
          <w:sz w:val="20"/>
          <w:szCs w:val="20"/>
        </w:rPr>
      </w:pPr>
      <w:r w:rsidRPr="00413B6E">
        <w:rPr>
          <w:rFonts w:ascii="Arial" w:hAnsi="Arial" w:cs="Arial"/>
          <w:i/>
          <w:sz w:val="20"/>
          <w:szCs w:val="20"/>
        </w:rPr>
        <w:t xml:space="preserve">Determination of performance obligations </w:t>
      </w:r>
    </w:p>
    <w:p w14:paraId="1A3D88B4"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 xml:space="preserve">The Company applied judgement to determine if a good or service that is promised to a customer is distinct based on whether the customer can benefit from the good or service on its own or together with other readily available resources and whether the good or service is separately identifiable. Based on these criteria, the Company determined the primary performance obligation relating to its sales contracts is the </w:t>
      </w:r>
      <w:r>
        <w:rPr>
          <w:rFonts w:ascii="Arial" w:hAnsi="Arial" w:cs="Arial"/>
          <w:sz w:val="20"/>
          <w:szCs w:val="20"/>
        </w:rPr>
        <w:t>delivery of service to its patients</w:t>
      </w:r>
      <w:r w:rsidRPr="00413B6E">
        <w:rPr>
          <w:rFonts w:ascii="Arial" w:hAnsi="Arial" w:cs="Arial"/>
          <w:sz w:val="20"/>
          <w:szCs w:val="20"/>
        </w:rPr>
        <w:t>.</w:t>
      </w:r>
    </w:p>
    <w:p w14:paraId="73CA1703" w14:textId="77777777" w:rsidR="001D7767" w:rsidRDefault="001D7767" w:rsidP="003F6F1A">
      <w:pPr>
        <w:spacing w:after="0"/>
        <w:jc w:val="both"/>
        <w:rPr>
          <w:rFonts w:ascii="Arial" w:hAnsi="Arial" w:cs="Arial"/>
          <w:i/>
          <w:sz w:val="20"/>
          <w:szCs w:val="20"/>
        </w:rPr>
      </w:pPr>
    </w:p>
    <w:p w14:paraId="2AE1BFFC" w14:textId="77777777" w:rsidR="00413B6E" w:rsidRPr="00413B6E" w:rsidRDefault="00413B6E" w:rsidP="003F6F1A">
      <w:pPr>
        <w:spacing w:after="0"/>
        <w:jc w:val="both"/>
        <w:rPr>
          <w:rFonts w:ascii="Arial" w:hAnsi="Arial" w:cs="Arial"/>
          <w:i/>
          <w:sz w:val="20"/>
          <w:szCs w:val="20"/>
        </w:rPr>
      </w:pPr>
      <w:r w:rsidRPr="00413B6E">
        <w:rPr>
          <w:rFonts w:ascii="Arial" w:hAnsi="Arial" w:cs="Arial"/>
          <w:i/>
          <w:sz w:val="20"/>
          <w:szCs w:val="20"/>
        </w:rPr>
        <w:t xml:space="preserve">Transfer of control </w:t>
      </w:r>
    </w:p>
    <w:p w14:paraId="318EDD9F"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 xml:space="preserve">Judgement is </w:t>
      </w:r>
      <w:r w:rsidRPr="00EC269B">
        <w:rPr>
          <w:rFonts w:ascii="Arial" w:hAnsi="Arial" w:cs="Arial"/>
          <w:sz w:val="20"/>
          <w:szCs w:val="20"/>
        </w:rPr>
        <w:t xml:space="preserve">required to determine when transfer of control occurs relating to the sale of the Company's </w:t>
      </w:r>
      <w:r w:rsidR="002D1846" w:rsidRPr="00EC269B">
        <w:rPr>
          <w:rFonts w:ascii="Arial" w:hAnsi="Arial" w:cs="Arial"/>
          <w:sz w:val="20"/>
          <w:szCs w:val="20"/>
        </w:rPr>
        <w:t>services</w:t>
      </w:r>
      <w:r w:rsidRPr="00EC269B">
        <w:rPr>
          <w:rFonts w:ascii="Arial" w:hAnsi="Arial" w:cs="Arial"/>
          <w:sz w:val="20"/>
          <w:szCs w:val="20"/>
        </w:rPr>
        <w:t xml:space="preserve"> to its</w:t>
      </w:r>
      <w:r w:rsidR="002D1846" w:rsidRPr="00EC269B">
        <w:rPr>
          <w:rFonts w:ascii="Arial" w:hAnsi="Arial" w:cs="Arial"/>
          <w:sz w:val="20"/>
          <w:szCs w:val="20"/>
        </w:rPr>
        <w:t xml:space="preserve"> patients</w:t>
      </w:r>
      <w:r w:rsidRPr="00EC269B">
        <w:rPr>
          <w:rFonts w:ascii="Arial" w:hAnsi="Arial" w:cs="Arial"/>
          <w:sz w:val="20"/>
          <w:szCs w:val="20"/>
        </w:rPr>
        <w:t>. Management based its assessment on a number of indicators of control, which include, but are not limited to whether the Company has present right of payment, and whether the physical possession of the goods, significant risks and rewards and legal title have been transferred to the customer.</w:t>
      </w:r>
    </w:p>
    <w:p w14:paraId="50D8E3A5" w14:textId="77777777" w:rsidR="00413B6E" w:rsidRDefault="00413B6E" w:rsidP="003F6F1A">
      <w:pPr>
        <w:spacing w:after="0"/>
        <w:jc w:val="both"/>
        <w:rPr>
          <w:rFonts w:ascii="Arial" w:hAnsi="Arial" w:cs="Arial"/>
          <w:sz w:val="20"/>
          <w:szCs w:val="20"/>
        </w:rPr>
      </w:pPr>
    </w:p>
    <w:p w14:paraId="2BA20457" w14:textId="77777777" w:rsidR="002D1846" w:rsidRPr="00413B6E" w:rsidRDefault="002D1846" w:rsidP="003F6F1A">
      <w:pPr>
        <w:spacing w:after="0"/>
        <w:jc w:val="both"/>
        <w:rPr>
          <w:rFonts w:ascii="Arial" w:hAnsi="Arial" w:cs="Arial"/>
          <w:b/>
          <w:i/>
          <w:sz w:val="20"/>
          <w:szCs w:val="20"/>
          <w:u w:val="single"/>
        </w:rPr>
      </w:pPr>
      <w:r>
        <w:rPr>
          <w:rFonts w:ascii="Arial" w:hAnsi="Arial" w:cs="Arial"/>
          <w:b/>
          <w:i/>
          <w:sz w:val="20"/>
          <w:szCs w:val="20"/>
          <w:u w:val="single"/>
        </w:rPr>
        <w:t>Key sources of estimation uncertainty</w:t>
      </w:r>
    </w:p>
    <w:p w14:paraId="018D3774" w14:textId="77777777" w:rsidR="002D1846" w:rsidRPr="00413B6E" w:rsidRDefault="002D1846" w:rsidP="003F6F1A">
      <w:pPr>
        <w:spacing w:after="0"/>
        <w:jc w:val="both"/>
        <w:rPr>
          <w:rFonts w:ascii="Arial" w:hAnsi="Arial" w:cs="Arial"/>
          <w:sz w:val="20"/>
          <w:szCs w:val="20"/>
        </w:rPr>
      </w:pPr>
    </w:p>
    <w:p w14:paraId="2195194F" w14:textId="77777777" w:rsidR="00B96480" w:rsidRDefault="002D1846" w:rsidP="003F6F1A">
      <w:pPr>
        <w:spacing w:after="0"/>
        <w:jc w:val="both"/>
        <w:rPr>
          <w:rFonts w:ascii="Arial" w:hAnsi="Arial" w:cs="Arial"/>
          <w:sz w:val="20"/>
          <w:szCs w:val="20"/>
        </w:rPr>
      </w:pPr>
      <w:r w:rsidRPr="002D1846">
        <w:rPr>
          <w:rFonts w:ascii="Arial" w:hAnsi="Arial" w:cs="Arial"/>
          <w:sz w:val="20"/>
          <w:szCs w:val="20"/>
        </w:rPr>
        <w:t>Significant assumptions about the future and other major sources of estimation uncertainty at the end of the reporting period that may result in a material adjustment to the carrying amounts of the Company’s assets and liabilities are as follows:</w:t>
      </w:r>
    </w:p>
    <w:p w14:paraId="6FF8C011" w14:textId="77777777" w:rsidR="004D46B6" w:rsidRDefault="004D46B6" w:rsidP="003F6F1A">
      <w:pPr>
        <w:spacing w:after="0"/>
        <w:jc w:val="both"/>
        <w:rPr>
          <w:rFonts w:ascii="Arial" w:hAnsi="Arial" w:cs="Arial"/>
          <w:sz w:val="20"/>
          <w:szCs w:val="20"/>
        </w:rPr>
      </w:pPr>
    </w:p>
    <w:p w14:paraId="34ED45BF" w14:textId="77777777" w:rsidR="004D46B6" w:rsidRDefault="004D46B6" w:rsidP="003F6F1A">
      <w:pPr>
        <w:spacing w:after="0"/>
        <w:jc w:val="both"/>
        <w:rPr>
          <w:rFonts w:ascii="Arial" w:hAnsi="Arial" w:cs="Arial"/>
          <w:sz w:val="20"/>
          <w:szCs w:val="20"/>
          <w:u w:val="single"/>
        </w:rPr>
      </w:pPr>
      <w:bookmarkStart w:id="5" w:name="_Hlk6490010"/>
      <w:r w:rsidRPr="004D46B6">
        <w:rPr>
          <w:rFonts w:ascii="Arial" w:hAnsi="Arial" w:cs="Arial"/>
          <w:sz w:val="20"/>
          <w:szCs w:val="20"/>
          <w:u w:val="single"/>
        </w:rPr>
        <w:t xml:space="preserve">Current and deferred taxes </w:t>
      </w:r>
    </w:p>
    <w:p w14:paraId="68507214" w14:textId="77777777" w:rsidR="00974012" w:rsidRPr="004D46B6" w:rsidRDefault="00974012" w:rsidP="003F6F1A">
      <w:pPr>
        <w:spacing w:after="0"/>
        <w:jc w:val="both"/>
        <w:rPr>
          <w:rFonts w:ascii="Arial" w:hAnsi="Arial" w:cs="Arial"/>
          <w:sz w:val="20"/>
          <w:szCs w:val="20"/>
          <w:u w:val="single"/>
        </w:rPr>
      </w:pPr>
    </w:p>
    <w:p w14:paraId="0D999279" w14:textId="77777777" w:rsidR="00CC1970" w:rsidRDefault="004D46B6" w:rsidP="003F6F1A">
      <w:pPr>
        <w:spacing w:after="0"/>
        <w:jc w:val="both"/>
        <w:rPr>
          <w:rFonts w:ascii="Arial" w:hAnsi="Arial" w:cs="Arial"/>
          <w:sz w:val="20"/>
          <w:szCs w:val="20"/>
        </w:rPr>
      </w:pPr>
      <w:r w:rsidRPr="004D46B6">
        <w:rPr>
          <w:rFonts w:ascii="Arial" w:hAnsi="Arial" w:cs="Arial"/>
          <w:sz w:val="20"/>
          <w:szCs w:val="20"/>
        </w:rPr>
        <w:t xml:space="preserve">The Company’s provision for income taxes is estimated based on the expected annual effective tax rates (and tax laws) that have been enacted or substantively enacted by the end of the reporting period. The current and deferred components of income taxes are estimated based on forecasted movements in temporary differences. Changes to the expected annual effective tax rate and differences between the </w:t>
      </w:r>
    </w:p>
    <w:p w14:paraId="5794D684" w14:textId="77777777" w:rsidR="00CC1970" w:rsidRDefault="00CC1970" w:rsidP="003F6F1A">
      <w:pPr>
        <w:spacing w:after="0"/>
        <w:jc w:val="both"/>
        <w:rPr>
          <w:rFonts w:ascii="Arial" w:hAnsi="Arial" w:cs="Arial"/>
          <w:sz w:val="20"/>
          <w:szCs w:val="20"/>
        </w:rPr>
      </w:pPr>
    </w:p>
    <w:p w14:paraId="03F66664"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actual and expected effective tax rate and between actual and forecasted movements in temporary differences will result in adjustments to the Company’s provision for income taxes in the period changes are made and/or differences are identified. </w:t>
      </w:r>
    </w:p>
    <w:p w14:paraId="1EC2B50A" w14:textId="77777777" w:rsidR="00DA05F7" w:rsidRDefault="00DA05F7" w:rsidP="003F6F1A">
      <w:pPr>
        <w:spacing w:after="0"/>
        <w:jc w:val="both"/>
        <w:rPr>
          <w:rFonts w:ascii="Arial" w:hAnsi="Arial" w:cs="Arial"/>
          <w:sz w:val="20"/>
          <w:szCs w:val="20"/>
        </w:rPr>
      </w:pPr>
    </w:p>
    <w:p w14:paraId="2B2D38E7" w14:textId="6F8C0026"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In assessing the probability of realizing income tax assets recognized, management makes estimates related to expectations of future taxable income, applicable tax planning opportunities, expected timing of reversals of existing temporary differences and the likelihood that tax positions taken will be sustained upon examination by applicable tax authorities. In making its assessments, management gives additional weight to positive and negative evidence that can be objectively verified. Estimates of future taxable income are based on forecasted cash flows from operations and the application of existing tax laws in each jurisdiction. Forecasted cash flows from operations are based on </w:t>
      </w:r>
      <w:r>
        <w:rPr>
          <w:rFonts w:ascii="Arial" w:hAnsi="Arial" w:cs="Arial"/>
          <w:sz w:val="20"/>
          <w:szCs w:val="20"/>
        </w:rPr>
        <w:t>patient visits are</w:t>
      </w:r>
      <w:r w:rsidRPr="004D46B6">
        <w:rPr>
          <w:rFonts w:ascii="Arial" w:hAnsi="Arial" w:cs="Arial"/>
          <w:sz w:val="20"/>
          <w:szCs w:val="20"/>
        </w:rPr>
        <w:t xml:space="preserve"> internally developed and reviewed by management. Weight is attached to tax planning opportunities that are within the Company’s control, and are feasible and implementable without significant obstacles. </w:t>
      </w:r>
    </w:p>
    <w:p w14:paraId="00ECB7C9" w14:textId="77777777" w:rsidR="004D46B6" w:rsidRDefault="004D46B6" w:rsidP="003F6F1A">
      <w:pPr>
        <w:spacing w:after="0"/>
        <w:jc w:val="both"/>
        <w:rPr>
          <w:rFonts w:ascii="Arial" w:hAnsi="Arial" w:cs="Arial"/>
          <w:sz w:val="20"/>
          <w:szCs w:val="20"/>
        </w:rPr>
      </w:pPr>
    </w:p>
    <w:p w14:paraId="14534089"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The likelihood that tax positions taken will be sustained upon examination by applicable tax authorities is assessed based on individual facts and circumstances of the relevant tax position evaluated in light of all available evidence. </w:t>
      </w:r>
    </w:p>
    <w:bookmarkEnd w:id="5"/>
    <w:p w14:paraId="58DF892F" w14:textId="77777777" w:rsidR="004E17E1" w:rsidRDefault="004E17E1" w:rsidP="003F6F1A">
      <w:pPr>
        <w:spacing w:after="0"/>
        <w:jc w:val="both"/>
        <w:rPr>
          <w:rFonts w:ascii="Arial" w:hAnsi="Arial" w:cs="Arial"/>
          <w:sz w:val="20"/>
          <w:szCs w:val="20"/>
        </w:rPr>
      </w:pPr>
    </w:p>
    <w:p w14:paraId="129EA502"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Where applicable tax laws and regulations are either unclear or subject to ongoing varying interpretations, it is reasonably possible that changes in these estimates can occur that materially affect the amounts of income tax assets recognized. At the end of each reporting period, the Company reassesses unrecognized income tax assets. </w:t>
      </w:r>
    </w:p>
    <w:p w14:paraId="6B2D001C" w14:textId="77777777" w:rsidR="004D46B6" w:rsidRDefault="004D46B6" w:rsidP="003F6F1A">
      <w:pPr>
        <w:spacing w:after="0"/>
        <w:jc w:val="both"/>
        <w:rPr>
          <w:rFonts w:ascii="Arial" w:hAnsi="Arial" w:cs="Arial"/>
          <w:sz w:val="20"/>
          <w:szCs w:val="20"/>
        </w:rPr>
      </w:pPr>
    </w:p>
    <w:p w14:paraId="386A2FD4" w14:textId="732109B9" w:rsidR="004D46B6" w:rsidRDefault="004D46B6" w:rsidP="003F6F1A">
      <w:pPr>
        <w:spacing w:after="0"/>
        <w:jc w:val="both"/>
        <w:rPr>
          <w:rFonts w:ascii="Arial" w:hAnsi="Arial" w:cs="Arial"/>
          <w:sz w:val="20"/>
          <w:szCs w:val="20"/>
          <w:u w:val="single"/>
        </w:rPr>
      </w:pPr>
      <w:r w:rsidRPr="004D46B6">
        <w:rPr>
          <w:rFonts w:ascii="Arial" w:hAnsi="Arial" w:cs="Arial"/>
          <w:sz w:val="20"/>
          <w:szCs w:val="20"/>
          <w:u w:val="single"/>
        </w:rPr>
        <w:t xml:space="preserve">Equity-settled share-based payments </w:t>
      </w:r>
    </w:p>
    <w:p w14:paraId="2616B50E" w14:textId="77777777" w:rsidR="00974012" w:rsidRPr="004D46B6" w:rsidRDefault="00974012" w:rsidP="003F6F1A">
      <w:pPr>
        <w:spacing w:after="0"/>
        <w:jc w:val="both"/>
        <w:rPr>
          <w:rFonts w:ascii="Arial" w:hAnsi="Arial" w:cs="Arial"/>
          <w:sz w:val="20"/>
          <w:szCs w:val="20"/>
          <w:u w:val="single"/>
        </w:rPr>
      </w:pPr>
    </w:p>
    <w:p w14:paraId="6ADEFA78" w14:textId="32E5551F" w:rsidR="001D7767" w:rsidRDefault="004D46B6" w:rsidP="003F6F1A">
      <w:pPr>
        <w:spacing w:after="0"/>
        <w:jc w:val="both"/>
        <w:rPr>
          <w:rFonts w:ascii="Arial" w:hAnsi="Arial" w:cs="Arial"/>
          <w:sz w:val="20"/>
          <w:szCs w:val="20"/>
        </w:rPr>
      </w:pPr>
      <w:bookmarkStart w:id="6" w:name="_Hlk6490143"/>
      <w:r w:rsidRPr="004D46B6">
        <w:rPr>
          <w:rFonts w:ascii="Arial" w:hAnsi="Arial" w:cs="Arial"/>
          <w:sz w:val="20"/>
          <w:szCs w:val="20"/>
        </w:rPr>
        <w:t>Share-based payments are measured at fair value. Options</w:t>
      </w:r>
      <w:r>
        <w:rPr>
          <w:rFonts w:ascii="Arial" w:hAnsi="Arial" w:cs="Arial"/>
          <w:sz w:val="20"/>
          <w:szCs w:val="20"/>
        </w:rPr>
        <w:t xml:space="preserve"> and warrants</w:t>
      </w:r>
      <w:r w:rsidRPr="004D46B6">
        <w:rPr>
          <w:rFonts w:ascii="Arial" w:hAnsi="Arial" w:cs="Arial"/>
          <w:sz w:val="20"/>
          <w:szCs w:val="20"/>
        </w:rPr>
        <w:t xml:space="preserve"> are measured using the Black-Scholes option pricing model based on estimated fair values of all share-based awards at the date of grant and are expensed to earnings or loss from operations over each award’s vesting period. The Black-Scholes option pricing model utilizes subjective assumptions such as expected price volatility and expected life of the option. Changes in these input assumptions can significantly affect the fair value estimate. </w:t>
      </w:r>
      <w:bookmarkEnd w:id="6"/>
    </w:p>
    <w:p w14:paraId="073BC4BC" w14:textId="77777777" w:rsidR="001D7767" w:rsidRDefault="001D7767" w:rsidP="003F6F1A">
      <w:pPr>
        <w:spacing w:after="0"/>
        <w:jc w:val="both"/>
        <w:rPr>
          <w:rFonts w:ascii="Arial" w:hAnsi="Arial" w:cs="Arial"/>
          <w:sz w:val="20"/>
          <w:szCs w:val="20"/>
        </w:rPr>
      </w:pPr>
    </w:p>
    <w:p w14:paraId="1AF70C95" w14:textId="77777777" w:rsidR="004D46B6" w:rsidRDefault="004D46B6" w:rsidP="003F6F1A">
      <w:pPr>
        <w:spacing w:after="0"/>
        <w:jc w:val="both"/>
        <w:rPr>
          <w:rFonts w:ascii="Arial" w:hAnsi="Arial" w:cs="Arial"/>
          <w:sz w:val="20"/>
          <w:szCs w:val="20"/>
          <w:u w:val="single"/>
        </w:rPr>
      </w:pPr>
      <w:bookmarkStart w:id="7" w:name="_Hlk6490257"/>
      <w:r w:rsidRPr="004D46B6">
        <w:rPr>
          <w:rFonts w:ascii="Arial" w:hAnsi="Arial" w:cs="Arial"/>
          <w:sz w:val="20"/>
          <w:szCs w:val="20"/>
          <w:u w:val="single"/>
        </w:rPr>
        <w:t xml:space="preserve">Contingencies </w:t>
      </w:r>
    </w:p>
    <w:p w14:paraId="5D58A445" w14:textId="77777777" w:rsidR="00974012" w:rsidRPr="004D46B6" w:rsidRDefault="00974012" w:rsidP="003F6F1A">
      <w:pPr>
        <w:spacing w:after="0"/>
        <w:jc w:val="both"/>
        <w:rPr>
          <w:rFonts w:ascii="Arial" w:hAnsi="Arial" w:cs="Arial"/>
          <w:sz w:val="20"/>
          <w:szCs w:val="20"/>
          <w:u w:val="single"/>
        </w:rPr>
      </w:pPr>
    </w:p>
    <w:p w14:paraId="12AA7105" w14:textId="77777777" w:rsidR="004D46B6" w:rsidRPr="002D1846" w:rsidRDefault="004D46B6" w:rsidP="003F6F1A">
      <w:pPr>
        <w:spacing w:after="0"/>
        <w:jc w:val="both"/>
        <w:rPr>
          <w:rFonts w:ascii="Arial" w:hAnsi="Arial" w:cs="Arial"/>
          <w:sz w:val="20"/>
          <w:szCs w:val="20"/>
        </w:rPr>
      </w:pPr>
      <w:r w:rsidRPr="004D46B6">
        <w:rPr>
          <w:rFonts w:ascii="Arial" w:hAnsi="Arial" w:cs="Arial"/>
          <w:sz w:val="20"/>
          <w:szCs w:val="20"/>
        </w:rPr>
        <w:t>Due to the nature of the Company’s operations, various legal and tax matters can arise from time to time. In the event that management’s estimate of the future resolution of these matters changes, the Company will recognize the effects of the changes in its consolidated financial statements for the period in which such changes occur.</w:t>
      </w:r>
    </w:p>
    <w:bookmarkEnd w:id="7"/>
    <w:p w14:paraId="2FBE8BD5" w14:textId="77777777" w:rsidR="00FD6918" w:rsidRDefault="00FD6918"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3C073B01" w14:textId="77777777" w:rsidR="00B96480" w:rsidRPr="00BE1DF8" w:rsidRDefault="004D46B6"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CHANGES IN ACCOUNTING STANDARDS</w:t>
      </w:r>
    </w:p>
    <w:p w14:paraId="7C6F59EB" w14:textId="77777777" w:rsidR="00BE1DF8" w:rsidRDefault="00BE1DF8" w:rsidP="003F6F1A">
      <w:pPr>
        <w:spacing w:after="0"/>
        <w:jc w:val="both"/>
        <w:rPr>
          <w:rFonts w:ascii="Arial" w:hAnsi="Arial" w:cs="Arial"/>
          <w:sz w:val="20"/>
          <w:szCs w:val="20"/>
        </w:rPr>
      </w:pPr>
    </w:p>
    <w:p w14:paraId="56D9944A"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The accounting policies applied in the preparation of the Company’s annual consolidated financial statements for the years ended December 31, 2018 and 2017, are consistent with new standards and amendments to standards, except for the following:</w:t>
      </w:r>
    </w:p>
    <w:p w14:paraId="741AC7E7" w14:textId="77777777" w:rsidR="004E17E1" w:rsidRDefault="004E17E1" w:rsidP="003F6F1A">
      <w:pPr>
        <w:jc w:val="both"/>
        <w:rPr>
          <w:rFonts w:ascii="Arial" w:hAnsi="Arial" w:cs="Arial"/>
          <w:bCs/>
          <w:iCs/>
          <w:sz w:val="20"/>
          <w:szCs w:val="20"/>
          <w:u w:val="single"/>
        </w:rPr>
      </w:pPr>
      <w:r>
        <w:rPr>
          <w:rFonts w:ascii="Arial" w:hAnsi="Arial" w:cs="Arial"/>
          <w:bCs/>
          <w:iCs/>
          <w:sz w:val="20"/>
          <w:szCs w:val="20"/>
          <w:u w:val="single"/>
        </w:rPr>
        <w:br/>
      </w:r>
      <w:r w:rsidRPr="004E17E1">
        <w:rPr>
          <w:rFonts w:ascii="Arial" w:hAnsi="Arial" w:cs="Arial"/>
          <w:bCs/>
          <w:iCs/>
          <w:sz w:val="20"/>
          <w:szCs w:val="20"/>
          <w:u w:val="single"/>
        </w:rPr>
        <w:t xml:space="preserve">Shares held in </w:t>
      </w:r>
      <w:r w:rsidR="00FE554B">
        <w:rPr>
          <w:rFonts w:ascii="Arial" w:hAnsi="Arial" w:cs="Arial"/>
          <w:bCs/>
          <w:iCs/>
          <w:sz w:val="20"/>
          <w:szCs w:val="20"/>
          <w:u w:val="single"/>
        </w:rPr>
        <w:t>e</w:t>
      </w:r>
      <w:r w:rsidRPr="004E17E1">
        <w:rPr>
          <w:rFonts w:ascii="Arial" w:hAnsi="Arial" w:cs="Arial"/>
          <w:bCs/>
          <w:iCs/>
          <w:sz w:val="20"/>
          <w:szCs w:val="20"/>
          <w:u w:val="single"/>
        </w:rPr>
        <w:t>scrow</w:t>
      </w:r>
    </w:p>
    <w:p w14:paraId="4273CDC6" w14:textId="60E27EB6" w:rsidR="004E17E1" w:rsidRPr="00ED07BC" w:rsidRDefault="004E17E1" w:rsidP="003F6F1A">
      <w:pPr>
        <w:jc w:val="both"/>
        <w:rPr>
          <w:rFonts w:ascii="Arial" w:hAnsi="Arial" w:cs="Arial"/>
          <w:sz w:val="20"/>
          <w:szCs w:val="20"/>
        </w:rPr>
      </w:pPr>
      <w:r w:rsidRPr="004E17E1">
        <w:rPr>
          <w:rFonts w:ascii="Arial" w:hAnsi="Arial" w:cs="Arial"/>
          <w:sz w:val="20"/>
          <w:szCs w:val="20"/>
        </w:rPr>
        <w:t>The Company has issued common shares held in escrow as a part of a compensation arrangement. The fair value of the escrowed shares is recognized as compensation expense with a corresponding credit to reserves, as the common shares vest. Upon release from escrow, the amounts previously recognized in reserves are recorded as an increase to share capital. The Company revises its estimated period over which the compensation expense is recorded if subsequent information indicates this period differs from previous estimates. Any change is accounted for prospectively as a change in estimate</w:t>
      </w:r>
      <w:r w:rsidRPr="00CA4500">
        <w:rPr>
          <w:rFonts w:ascii="Arial" w:hAnsi="Arial" w:cs="Arial"/>
          <w:sz w:val="18"/>
          <w:szCs w:val="18"/>
        </w:rPr>
        <w:t>.</w:t>
      </w:r>
    </w:p>
    <w:p w14:paraId="3A676096" w14:textId="77777777" w:rsidR="00ED07BC" w:rsidRDefault="00ED07BC" w:rsidP="003F6F1A">
      <w:pPr>
        <w:jc w:val="both"/>
        <w:rPr>
          <w:rFonts w:ascii="Arial" w:hAnsi="Arial" w:cs="Arial"/>
          <w:bCs/>
          <w:iCs/>
          <w:sz w:val="20"/>
          <w:szCs w:val="20"/>
          <w:u w:val="single"/>
        </w:rPr>
      </w:pPr>
    </w:p>
    <w:p w14:paraId="6FA9EB49" w14:textId="602E4223" w:rsidR="004E17E1" w:rsidRPr="004E17E1" w:rsidRDefault="00ED07BC" w:rsidP="003F6F1A">
      <w:pPr>
        <w:jc w:val="both"/>
        <w:rPr>
          <w:rFonts w:ascii="Arial" w:hAnsi="Arial" w:cs="Arial"/>
          <w:bCs/>
          <w:iCs/>
          <w:sz w:val="20"/>
          <w:szCs w:val="20"/>
          <w:u w:val="single"/>
        </w:rPr>
      </w:pPr>
      <w:r>
        <w:rPr>
          <w:rFonts w:ascii="Arial" w:hAnsi="Arial" w:cs="Arial"/>
          <w:bCs/>
          <w:iCs/>
          <w:sz w:val="20"/>
          <w:szCs w:val="20"/>
          <w:u w:val="single"/>
        </w:rPr>
        <w:lastRenderedPageBreak/>
        <w:br/>
        <w:t>L</w:t>
      </w:r>
      <w:r w:rsidR="004E17E1" w:rsidRPr="004E17E1">
        <w:rPr>
          <w:rFonts w:ascii="Arial" w:hAnsi="Arial" w:cs="Arial"/>
          <w:bCs/>
          <w:iCs/>
          <w:sz w:val="20"/>
          <w:szCs w:val="20"/>
          <w:u w:val="single"/>
        </w:rPr>
        <w:t>eases</w:t>
      </w:r>
    </w:p>
    <w:p w14:paraId="64B43EDC" w14:textId="77777777" w:rsidR="00687F6F" w:rsidRDefault="00F56B6B" w:rsidP="003F6F1A">
      <w:pPr>
        <w:jc w:val="both"/>
        <w:rPr>
          <w:rFonts w:ascii="Arial" w:hAnsi="Arial" w:cs="Arial"/>
          <w:sz w:val="20"/>
          <w:szCs w:val="20"/>
        </w:rPr>
      </w:pPr>
      <w:bookmarkStart w:id="8" w:name="_Hlk6490469"/>
      <w:r>
        <w:rPr>
          <w:rFonts w:ascii="Arial" w:hAnsi="Arial" w:cs="Arial"/>
          <w:sz w:val="20"/>
          <w:szCs w:val="20"/>
        </w:rPr>
        <w:t xml:space="preserve">The Company adopted IFRS 16 using the modified retrospective approach on </w:t>
      </w:r>
      <w:r w:rsidR="00B51F89" w:rsidRPr="00B51F89">
        <w:rPr>
          <w:rFonts w:ascii="Arial" w:hAnsi="Arial" w:cs="Arial"/>
          <w:sz w:val="20"/>
          <w:szCs w:val="20"/>
        </w:rPr>
        <w:t xml:space="preserve">January </w:t>
      </w:r>
      <w:r>
        <w:rPr>
          <w:rFonts w:ascii="Arial" w:hAnsi="Arial" w:cs="Arial"/>
          <w:sz w:val="20"/>
          <w:szCs w:val="20"/>
        </w:rPr>
        <w:t xml:space="preserve">1, </w:t>
      </w:r>
      <w:r w:rsidR="00B51F89" w:rsidRPr="00B51F89">
        <w:rPr>
          <w:rFonts w:ascii="Arial" w:hAnsi="Arial" w:cs="Arial"/>
          <w:sz w:val="20"/>
          <w:szCs w:val="20"/>
        </w:rPr>
        <w:t>201</w:t>
      </w:r>
      <w:r>
        <w:rPr>
          <w:rFonts w:ascii="Arial" w:hAnsi="Arial" w:cs="Arial"/>
          <w:sz w:val="20"/>
          <w:szCs w:val="20"/>
        </w:rPr>
        <w:t>9. Under this method</w:t>
      </w:r>
      <w:r w:rsidR="00B51F89" w:rsidRPr="00B51F89">
        <w:rPr>
          <w:rFonts w:ascii="Arial" w:hAnsi="Arial" w:cs="Arial"/>
          <w:sz w:val="20"/>
          <w:szCs w:val="20"/>
        </w:rPr>
        <w:t xml:space="preserve">, the </w:t>
      </w:r>
      <w:r>
        <w:rPr>
          <w:rFonts w:ascii="Arial" w:hAnsi="Arial" w:cs="Arial"/>
          <w:sz w:val="20"/>
          <w:szCs w:val="20"/>
        </w:rPr>
        <w:t>cumulative effect of initially applying the standard is recognized in retained earnings at January 1, 2019. Accordingly, the comparative information</w:t>
      </w:r>
      <w:r w:rsidR="007D22F1">
        <w:rPr>
          <w:rFonts w:ascii="Arial" w:hAnsi="Arial" w:cs="Arial"/>
          <w:sz w:val="20"/>
          <w:szCs w:val="20"/>
        </w:rPr>
        <w:t xml:space="preserve"> presented for 2018 has not been restated and is presented as previously reported under IAS 17</w:t>
      </w:r>
      <w:r w:rsidR="00FE554B">
        <w:rPr>
          <w:rFonts w:ascii="Arial" w:hAnsi="Arial" w:cs="Arial"/>
          <w:sz w:val="20"/>
          <w:szCs w:val="20"/>
        </w:rPr>
        <w:t xml:space="preserve"> -</w:t>
      </w:r>
      <w:r w:rsidR="007D22F1">
        <w:rPr>
          <w:rFonts w:ascii="Arial" w:hAnsi="Arial" w:cs="Arial"/>
          <w:sz w:val="20"/>
          <w:szCs w:val="20"/>
        </w:rPr>
        <w:t xml:space="preserve"> </w:t>
      </w:r>
      <w:r w:rsidR="00041AB3" w:rsidRPr="00FE554B">
        <w:rPr>
          <w:rFonts w:ascii="Arial" w:hAnsi="Arial" w:cs="Arial"/>
          <w:i/>
          <w:iCs/>
          <w:sz w:val="20"/>
          <w:szCs w:val="20"/>
        </w:rPr>
        <w:t>Leases</w:t>
      </w:r>
      <w:r w:rsidR="00041AB3">
        <w:rPr>
          <w:rFonts w:ascii="Arial" w:hAnsi="Arial" w:cs="Arial"/>
          <w:sz w:val="20"/>
          <w:szCs w:val="20"/>
        </w:rPr>
        <w:t xml:space="preserve"> </w:t>
      </w:r>
      <w:r w:rsidR="007D22F1">
        <w:rPr>
          <w:rFonts w:ascii="Arial" w:hAnsi="Arial" w:cs="Arial"/>
          <w:sz w:val="20"/>
          <w:szCs w:val="20"/>
        </w:rPr>
        <w:t>a</w:t>
      </w:r>
      <w:r w:rsidR="00041AB3">
        <w:rPr>
          <w:rFonts w:ascii="Arial" w:hAnsi="Arial" w:cs="Arial"/>
          <w:sz w:val="20"/>
          <w:szCs w:val="20"/>
        </w:rPr>
        <w:t>n</w:t>
      </w:r>
      <w:r w:rsidR="007D22F1">
        <w:rPr>
          <w:rFonts w:ascii="Arial" w:hAnsi="Arial" w:cs="Arial"/>
          <w:sz w:val="20"/>
          <w:szCs w:val="20"/>
        </w:rPr>
        <w:t xml:space="preserve">d </w:t>
      </w:r>
      <w:r w:rsidR="00041AB3">
        <w:rPr>
          <w:rFonts w:ascii="Arial" w:hAnsi="Arial" w:cs="Arial"/>
          <w:sz w:val="20"/>
          <w:szCs w:val="20"/>
        </w:rPr>
        <w:t>IFRIC 4</w:t>
      </w:r>
      <w:r w:rsidR="00FE554B">
        <w:rPr>
          <w:rFonts w:ascii="Arial" w:hAnsi="Arial" w:cs="Arial"/>
          <w:sz w:val="20"/>
          <w:szCs w:val="20"/>
        </w:rPr>
        <w:t xml:space="preserve"> -</w:t>
      </w:r>
      <w:r w:rsidR="00041AB3">
        <w:rPr>
          <w:rFonts w:ascii="Arial" w:hAnsi="Arial" w:cs="Arial"/>
          <w:sz w:val="20"/>
          <w:szCs w:val="20"/>
        </w:rPr>
        <w:t xml:space="preserve"> </w:t>
      </w:r>
      <w:r w:rsidR="00041AB3" w:rsidRPr="00FE554B">
        <w:rPr>
          <w:rFonts w:ascii="Arial" w:hAnsi="Arial" w:cs="Arial"/>
          <w:i/>
          <w:iCs/>
          <w:sz w:val="20"/>
          <w:szCs w:val="20"/>
        </w:rPr>
        <w:t>Determining Whether an Arrangement Contains a Lease</w:t>
      </w:r>
      <w:r w:rsidR="00B51F89" w:rsidRPr="00B51F89">
        <w:rPr>
          <w:rFonts w:ascii="Arial" w:hAnsi="Arial" w:cs="Arial"/>
          <w:sz w:val="20"/>
          <w:szCs w:val="20"/>
        </w:rPr>
        <w:t xml:space="preserve">. </w:t>
      </w:r>
      <w:bookmarkEnd w:id="8"/>
    </w:p>
    <w:p w14:paraId="71DC7B20" w14:textId="768EF874" w:rsidR="007D22F1" w:rsidRDefault="007D22F1" w:rsidP="003F6F1A">
      <w:pPr>
        <w:spacing w:after="0"/>
        <w:jc w:val="both"/>
        <w:rPr>
          <w:rFonts w:ascii="Arial" w:hAnsi="Arial" w:cs="Arial"/>
          <w:sz w:val="20"/>
          <w:szCs w:val="20"/>
        </w:rPr>
      </w:pPr>
      <w:r>
        <w:rPr>
          <w:rFonts w:ascii="Arial" w:hAnsi="Arial" w:cs="Arial"/>
          <w:sz w:val="20"/>
          <w:szCs w:val="20"/>
        </w:rPr>
        <w:t xml:space="preserve">On transition, the Company elected to apply the transition practical expedient allowing the standard to be applied only to contracts that were previously identified as lease under IAS 17. The Company also elected to use the recognition exemptions for lease contracts that, at the commencement date, have a lease term of 12 months or less and do not contain a purchase option (short-term leases), lease contracts for which the underlying asset is of low value (low-value assets). The transition and impact are further disclosed in note 3 to the </w:t>
      </w:r>
      <w:r w:rsidR="000E4936">
        <w:rPr>
          <w:rFonts w:ascii="Arial" w:hAnsi="Arial" w:cs="Arial"/>
          <w:sz w:val="20"/>
          <w:szCs w:val="20"/>
        </w:rPr>
        <w:t>September</w:t>
      </w:r>
      <w:r w:rsidR="004B4490">
        <w:rPr>
          <w:rFonts w:ascii="Arial" w:hAnsi="Arial" w:cs="Arial"/>
          <w:sz w:val="20"/>
          <w:szCs w:val="20"/>
        </w:rPr>
        <w:t xml:space="preserve"> 30</w:t>
      </w:r>
      <w:r>
        <w:rPr>
          <w:rFonts w:ascii="Arial" w:hAnsi="Arial" w:cs="Arial"/>
          <w:sz w:val="20"/>
          <w:szCs w:val="20"/>
        </w:rPr>
        <w:t xml:space="preserve">, 2019 unaudited condensed </w:t>
      </w:r>
      <w:r w:rsidR="000C689B">
        <w:rPr>
          <w:rFonts w:ascii="Arial" w:hAnsi="Arial" w:cs="Arial"/>
          <w:sz w:val="20"/>
          <w:szCs w:val="20"/>
        </w:rPr>
        <w:t xml:space="preserve">interim </w:t>
      </w:r>
      <w:r>
        <w:rPr>
          <w:rFonts w:ascii="Arial" w:hAnsi="Arial" w:cs="Arial"/>
          <w:sz w:val="20"/>
          <w:szCs w:val="20"/>
        </w:rPr>
        <w:t>consolidated financial statements.</w:t>
      </w:r>
    </w:p>
    <w:p w14:paraId="50A3C2B7" w14:textId="3571B89A" w:rsidR="00524611" w:rsidRDefault="00524611" w:rsidP="003F6F1A">
      <w:pPr>
        <w:spacing w:after="0"/>
        <w:jc w:val="both"/>
        <w:rPr>
          <w:rFonts w:ascii="Arial" w:hAnsi="Arial" w:cs="Arial"/>
          <w:sz w:val="20"/>
          <w:szCs w:val="20"/>
        </w:rPr>
      </w:pPr>
    </w:p>
    <w:p w14:paraId="03F0A887" w14:textId="03EFF419" w:rsidR="000E5C02" w:rsidRPr="00413B6E" w:rsidRDefault="000E5C02" w:rsidP="003F6F1A">
      <w:pPr>
        <w:pBdr>
          <w:bottom w:val="single" w:sz="12" w:space="1" w:color="auto"/>
        </w:pBdr>
        <w:autoSpaceDE w:val="0"/>
        <w:autoSpaceDN w:val="0"/>
        <w:adjustRightInd w:val="0"/>
        <w:spacing w:after="0"/>
        <w:jc w:val="both"/>
        <w:rPr>
          <w:rFonts w:ascii="Arial" w:hAnsi="Arial" w:cs="Arial"/>
          <w:b/>
          <w:sz w:val="20"/>
          <w:szCs w:val="20"/>
        </w:rPr>
      </w:pPr>
      <w:r w:rsidRPr="00413B6E">
        <w:rPr>
          <w:rFonts w:ascii="Arial" w:hAnsi="Arial" w:cs="Arial"/>
          <w:b/>
          <w:sz w:val="20"/>
          <w:szCs w:val="20"/>
        </w:rPr>
        <w:t>OUTSTANDING SHARE DATA</w:t>
      </w:r>
    </w:p>
    <w:p w14:paraId="427DE9DB" w14:textId="77777777" w:rsidR="000E5C02" w:rsidRDefault="000E5C02" w:rsidP="003F6F1A">
      <w:pPr>
        <w:autoSpaceDE w:val="0"/>
        <w:autoSpaceDN w:val="0"/>
        <w:adjustRightInd w:val="0"/>
        <w:spacing w:after="0"/>
        <w:jc w:val="both"/>
      </w:pPr>
    </w:p>
    <w:p w14:paraId="738153D7" w14:textId="77777777" w:rsidR="006F5FB2" w:rsidRPr="00537E2E" w:rsidRDefault="00FA6D64" w:rsidP="003F6F1A">
      <w:pPr>
        <w:keepNext/>
        <w:tabs>
          <w:tab w:val="left" w:pos="360"/>
        </w:tabs>
        <w:suppressAutoHyphens/>
        <w:jc w:val="both"/>
        <w:rPr>
          <w:rFonts w:ascii="Arial" w:hAnsi="Arial" w:cs="Arial"/>
          <w:b/>
          <w:sz w:val="20"/>
          <w:szCs w:val="20"/>
        </w:rPr>
      </w:pPr>
      <w:r w:rsidRPr="00C90A0A">
        <w:rPr>
          <w:rFonts w:ascii="Arial" w:hAnsi="Arial" w:cs="Arial"/>
          <w:sz w:val="20"/>
          <w:szCs w:val="20"/>
        </w:rPr>
        <w:t xml:space="preserve">The authorized capital of the Company consists of an unlimited number of common shares without par value. </w:t>
      </w:r>
      <w:r w:rsidR="006F5FB2" w:rsidRPr="00537E2E">
        <w:rPr>
          <w:rFonts w:ascii="Arial" w:hAnsi="Arial" w:cs="Arial"/>
          <w:sz w:val="20"/>
          <w:szCs w:val="20"/>
        </w:rPr>
        <w:t xml:space="preserve">The Company had the following securities outstanding as </w:t>
      </w:r>
      <w:r w:rsidR="000E5C02">
        <w:rPr>
          <w:rFonts w:ascii="Arial" w:hAnsi="Arial" w:cs="Arial"/>
          <w:sz w:val="20"/>
          <w:szCs w:val="20"/>
        </w:rPr>
        <w:t>at the date of this MD&amp;A</w:t>
      </w:r>
      <w:r w:rsidR="006F5FB2" w:rsidRPr="00537E2E">
        <w:rPr>
          <w:rFonts w:ascii="Arial" w:hAnsi="Arial" w:cs="Arial"/>
          <w:sz w:val="20"/>
          <w:szCs w:val="20"/>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590"/>
      </w:tblGrid>
      <w:tr w:rsidR="006F5FB2" w:rsidRPr="00DA4360" w14:paraId="424BE6EB" w14:textId="77777777" w:rsidTr="00524611">
        <w:tc>
          <w:tcPr>
            <w:tcW w:w="4765" w:type="dxa"/>
            <w:tcBorders>
              <w:top w:val="single" w:sz="18" w:space="0" w:color="auto"/>
            </w:tcBorders>
            <w:shd w:val="clear" w:color="auto" w:fill="auto"/>
          </w:tcPr>
          <w:p w14:paraId="437A64C7" w14:textId="77777777" w:rsidR="006F5FB2" w:rsidRPr="00DA4360" w:rsidRDefault="006F5FB2" w:rsidP="003F6F1A">
            <w:pPr>
              <w:keepNext/>
              <w:tabs>
                <w:tab w:val="left" w:pos="360"/>
              </w:tabs>
              <w:suppressAutoHyphens/>
              <w:spacing w:after="0" w:line="240" w:lineRule="auto"/>
              <w:jc w:val="center"/>
              <w:rPr>
                <w:rFonts w:ascii="Arial" w:hAnsi="Arial" w:cs="Arial"/>
                <w:b/>
                <w:sz w:val="20"/>
                <w:szCs w:val="20"/>
                <w:highlight w:val="yellow"/>
                <w:lang w:val="en-CA"/>
              </w:rPr>
            </w:pPr>
            <w:r w:rsidRPr="00DA4360">
              <w:rPr>
                <w:rFonts w:ascii="Arial" w:hAnsi="Arial" w:cs="Arial"/>
                <w:b/>
                <w:sz w:val="20"/>
                <w:szCs w:val="20"/>
                <w:lang w:val="en-CA"/>
              </w:rPr>
              <w:t>Type of Security</w:t>
            </w:r>
          </w:p>
        </w:tc>
        <w:tc>
          <w:tcPr>
            <w:tcW w:w="4590" w:type="dxa"/>
            <w:tcBorders>
              <w:top w:val="single" w:sz="18" w:space="0" w:color="auto"/>
            </w:tcBorders>
            <w:shd w:val="clear" w:color="auto" w:fill="auto"/>
          </w:tcPr>
          <w:p w14:paraId="497901EE" w14:textId="77777777" w:rsidR="006F5FB2" w:rsidRPr="00CE6D81" w:rsidRDefault="006F5FB2" w:rsidP="003F6F1A">
            <w:pPr>
              <w:keepNext/>
              <w:tabs>
                <w:tab w:val="left" w:pos="360"/>
              </w:tabs>
              <w:suppressAutoHyphens/>
              <w:spacing w:after="0" w:line="240" w:lineRule="auto"/>
              <w:jc w:val="center"/>
              <w:rPr>
                <w:rFonts w:ascii="Arial" w:hAnsi="Arial" w:cs="Arial"/>
                <w:b/>
                <w:sz w:val="20"/>
                <w:szCs w:val="20"/>
                <w:lang w:val="en-CA"/>
              </w:rPr>
            </w:pPr>
            <w:r w:rsidRPr="00CE6D81">
              <w:rPr>
                <w:rFonts w:ascii="Arial" w:hAnsi="Arial" w:cs="Arial"/>
                <w:b/>
                <w:sz w:val="20"/>
                <w:szCs w:val="20"/>
                <w:lang w:val="en-CA"/>
              </w:rPr>
              <w:t>Number Outstanding</w:t>
            </w:r>
          </w:p>
        </w:tc>
      </w:tr>
      <w:tr w:rsidR="00F56B6B" w:rsidRPr="00DA4360" w14:paraId="2F7F4950" w14:textId="77777777" w:rsidTr="00524611">
        <w:tc>
          <w:tcPr>
            <w:tcW w:w="4765" w:type="dxa"/>
            <w:shd w:val="clear" w:color="auto" w:fill="auto"/>
          </w:tcPr>
          <w:p w14:paraId="74E6AEF1" w14:textId="77777777" w:rsidR="00F56B6B" w:rsidRPr="00DA4360" w:rsidRDefault="00F56B6B" w:rsidP="003F6F1A">
            <w:pPr>
              <w:keepNext/>
              <w:tabs>
                <w:tab w:val="left" w:pos="360"/>
              </w:tabs>
              <w:suppressAutoHyphens/>
              <w:spacing w:after="0" w:line="240" w:lineRule="auto"/>
              <w:jc w:val="center"/>
              <w:rPr>
                <w:rFonts w:ascii="Arial" w:hAnsi="Arial" w:cs="Arial"/>
                <w:sz w:val="20"/>
                <w:szCs w:val="20"/>
                <w:lang w:val="en-CA"/>
              </w:rPr>
            </w:pPr>
            <w:r w:rsidRPr="00DA4360">
              <w:rPr>
                <w:rFonts w:ascii="Arial" w:hAnsi="Arial" w:cs="Arial"/>
                <w:sz w:val="20"/>
                <w:szCs w:val="20"/>
                <w:lang w:val="en-CA"/>
              </w:rPr>
              <w:t>Common Shares</w:t>
            </w:r>
          </w:p>
        </w:tc>
        <w:tc>
          <w:tcPr>
            <w:tcW w:w="4590" w:type="dxa"/>
            <w:shd w:val="clear" w:color="auto" w:fill="auto"/>
          </w:tcPr>
          <w:p w14:paraId="50D25121" w14:textId="64176638" w:rsidR="00F56B6B" w:rsidRPr="00CE6D81" w:rsidRDefault="00CE6D81" w:rsidP="003F6F1A">
            <w:pPr>
              <w:keepNext/>
              <w:tabs>
                <w:tab w:val="left" w:pos="360"/>
              </w:tabs>
              <w:suppressAutoHyphens/>
              <w:spacing w:after="0" w:line="240" w:lineRule="auto"/>
              <w:jc w:val="center"/>
              <w:rPr>
                <w:rFonts w:ascii="Arial" w:hAnsi="Arial" w:cs="Arial"/>
                <w:sz w:val="20"/>
                <w:szCs w:val="20"/>
                <w:lang w:val="en-CA"/>
              </w:rPr>
            </w:pPr>
            <w:r w:rsidRPr="00CE6D81">
              <w:rPr>
                <w:rFonts w:ascii="Arial" w:hAnsi="Arial" w:cs="Arial"/>
                <w:sz w:val="20"/>
                <w:szCs w:val="20"/>
                <w:lang w:val="en-CA"/>
              </w:rPr>
              <w:t>137,697,430</w:t>
            </w:r>
          </w:p>
        </w:tc>
      </w:tr>
      <w:tr w:rsidR="00F56B6B" w:rsidRPr="00DA4360" w14:paraId="445FE459" w14:textId="77777777" w:rsidTr="00524611">
        <w:tc>
          <w:tcPr>
            <w:tcW w:w="4765" w:type="dxa"/>
            <w:shd w:val="clear" w:color="auto" w:fill="auto"/>
          </w:tcPr>
          <w:p w14:paraId="412C523C" w14:textId="77777777" w:rsidR="00F56B6B" w:rsidRPr="00DA4360" w:rsidRDefault="00F56B6B" w:rsidP="003F6F1A">
            <w:pPr>
              <w:tabs>
                <w:tab w:val="left" w:pos="360"/>
              </w:tabs>
              <w:suppressAutoHyphens/>
              <w:spacing w:after="0" w:line="240" w:lineRule="auto"/>
              <w:jc w:val="center"/>
              <w:rPr>
                <w:rFonts w:ascii="Arial" w:hAnsi="Arial" w:cs="Arial"/>
                <w:sz w:val="20"/>
                <w:szCs w:val="20"/>
                <w:lang w:val="en-CA"/>
              </w:rPr>
            </w:pPr>
            <w:r w:rsidRPr="00DA4360">
              <w:rPr>
                <w:rFonts w:ascii="Arial" w:hAnsi="Arial" w:cs="Arial"/>
                <w:sz w:val="20"/>
                <w:szCs w:val="20"/>
                <w:lang w:val="en-CA"/>
              </w:rPr>
              <w:t>Stock Options</w:t>
            </w:r>
          </w:p>
        </w:tc>
        <w:tc>
          <w:tcPr>
            <w:tcW w:w="4590" w:type="dxa"/>
            <w:shd w:val="clear" w:color="auto" w:fill="auto"/>
          </w:tcPr>
          <w:p w14:paraId="5C5BAF45" w14:textId="69543D2B" w:rsidR="00F56B6B" w:rsidRPr="00CE6D81" w:rsidRDefault="00CE6D81" w:rsidP="003F6F1A">
            <w:pPr>
              <w:tabs>
                <w:tab w:val="left" w:pos="360"/>
              </w:tabs>
              <w:suppressAutoHyphens/>
              <w:spacing w:after="0" w:line="240" w:lineRule="auto"/>
              <w:jc w:val="center"/>
              <w:rPr>
                <w:rFonts w:ascii="Arial" w:hAnsi="Arial" w:cs="Arial"/>
                <w:sz w:val="20"/>
                <w:szCs w:val="20"/>
                <w:lang w:val="en-CA"/>
              </w:rPr>
            </w:pPr>
            <w:r w:rsidRPr="00CE6D81">
              <w:rPr>
                <w:rFonts w:ascii="Arial" w:hAnsi="Arial" w:cs="Arial"/>
                <w:sz w:val="20"/>
                <w:szCs w:val="20"/>
                <w:lang w:val="en-CA"/>
              </w:rPr>
              <w:t>10,450,000</w:t>
            </w:r>
          </w:p>
        </w:tc>
      </w:tr>
      <w:tr w:rsidR="00F56B6B" w:rsidRPr="00DA4360" w14:paraId="6964F6ED" w14:textId="77777777" w:rsidTr="00524611">
        <w:tc>
          <w:tcPr>
            <w:tcW w:w="4765" w:type="dxa"/>
            <w:tcBorders>
              <w:bottom w:val="single" w:sz="18" w:space="0" w:color="auto"/>
            </w:tcBorders>
            <w:shd w:val="clear" w:color="auto" w:fill="auto"/>
          </w:tcPr>
          <w:p w14:paraId="2DC814F5" w14:textId="77777777" w:rsidR="00F56B6B" w:rsidRPr="00DA4360" w:rsidRDefault="00F56B6B" w:rsidP="003F6F1A">
            <w:pPr>
              <w:tabs>
                <w:tab w:val="left" w:pos="360"/>
              </w:tabs>
              <w:suppressAutoHyphens/>
              <w:spacing w:after="0" w:line="240" w:lineRule="auto"/>
              <w:jc w:val="center"/>
              <w:rPr>
                <w:rFonts w:ascii="Arial" w:hAnsi="Arial" w:cs="Arial"/>
                <w:sz w:val="20"/>
                <w:szCs w:val="20"/>
                <w:lang w:val="en-CA"/>
              </w:rPr>
            </w:pPr>
            <w:r w:rsidRPr="00DA4360">
              <w:rPr>
                <w:rFonts w:ascii="Arial" w:hAnsi="Arial" w:cs="Arial"/>
                <w:sz w:val="20"/>
                <w:szCs w:val="20"/>
                <w:lang w:val="en-CA"/>
              </w:rPr>
              <w:t>Warrants</w:t>
            </w:r>
          </w:p>
        </w:tc>
        <w:tc>
          <w:tcPr>
            <w:tcW w:w="4590" w:type="dxa"/>
            <w:tcBorders>
              <w:bottom w:val="single" w:sz="18" w:space="0" w:color="auto"/>
            </w:tcBorders>
            <w:shd w:val="clear" w:color="auto" w:fill="auto"/>
          </w:tcPr>
          <w:p w14:paraId="6FD8C0AF" w14:textId="23C9AE55" w:rsidR="00F56B6B" w:rsidRPr="00CE6D81" w:rsidRDefault="00CE6D81" w:rsidP="003F6F1A">
            <w:pPr>
              <w:tabs>
                <w:tab w:val="left" w:pos="360"/>
              </w:tabs>
              <w:suppressAutoHyphens/>
              <w:spacing w:after="0" w:line="240" w:lineRule="auto"/>
              <w:jc w:val="center"/>
              <w:rPr>
                <w:rFonts w:ascii="Arial" w:hAnsi="Arial" w:cs="Arial"/>
                <w:sz w:val="20"/>
                <w:szCs w:val="20"/>
                <w:lang w:val="en-CA"/>
              </w:rPr>
            </w:pPr>
            <w:r w:rsidRPr="00CE6D81">
              <w:rPr>
                <w:rFonts w:ascii="Arial" w:hAnsi="Arial" w:cs="Arial"/>
                <w:sz w:val="20"/>
                <w:szCs w:val="20"/>
                <w:lang w:val="en-CA"/>
              </w:rPr>
              <w:t>48,342,142</w:t>
            </w:r>
          </w:p>
        </w:tc>
      </w:tr>
    </w:tbl>
    <w:p w14:paraId="6E458F21" w14:textId="77777777" w:rsidR="001D7767" w:rsidRDefault="001D7767" w:rsidP="003F6F1A">
      <w:pPr>
        <w:pBdr>
          <w:bottom w:val="single" w:sz="12" w:space="1" w:color="auto"/>
        </w:pBdr>
        <w:autoSpaceDE w:val="0"/>
        <w:autoSpaceDN w:val="0"/>
        <w:adjustRightInd w:val="0"/>
        <w:spacing w:after="0"/>
        <w:jc w:val="both"/>
        <w:rPr>
          <w:rFonts w:ascii="Arial" w:hAnsi="Arial" w:cs="Arial"/>
          <w:b/>
          <w:sz w:val="20"/>
          <w:szCs w:val="20"/>
        </w:rPr>
      </w:pPr>
    </w:p>
    <w:p w14:paraId="7D90D1A2" w14:textId="77777777" w:rsidR="001F1660" w:rsidRPr="000E5C02" w:rsidRDefault="000E5C02" w:rsidP="003F6F1A">
      <w:pPr>
        <w:pBdr>
          <w:bottom w:val="single" w:sz="12" w:space="1" w:color="auto"/>
        </w:pBdr>
        <w:autoSpaceDE w:val="0"/>
        <w:autoSpaceDN w:val="0"/>
        <w:adjustRightInd w:val="0"/>
        <w:spacing w:after="0"/>
        <w:jc w:val="both"/>
        <w:rPr>
          <w:rFonts w:ascii="Arial" w:hAnsi="Arial" w:cs="Arial"/>
          <w:b/>
          <w:sz w:val="20"/>
          <w:szCs w:val="20"/>
        </w:rPr>
      </w:pPr>
      <w:r w:rsidRPr="001A7752">
        <w:rPr>
          <w:rFonts w:ascii="Arial" w:hAnsi="Arial" w:cs="Arial"/>
          <w:b/>
          <w:sz w:val="20"/>
          <w:szCs w:val="20"/>
        </w:rPr>
        <w:t>RISKS AND UNCERTAINTIES</w:t>
      </w:r>
      <w:r w:rsidR="00BE1DF8" w:rsidRPr="001A7752">
        <w:rPr>
          <w:rFonts w:ascii="Arial" w:hAnsi="Arial" w:cs="Arial"/>
          <w:b/>
          <w:sz w:val="20"/>
          <w:szCs w:val="20"/>
        </w:rPr>
        <w:t xml:space="preserve"> </w:t>
      </w:r>
    </w:p>
    <w:p w14:paraId="37C71C61" w14:textId="77777777" w:rsidR="000E5C02" w:rsidRDefault="000E5C02" w:rsidP="003F6F1A">
      <w:pPr>
        <w:spacing w:after="0"/>
        <w:jc w:val="both"/>
        <w:rPr>
          <w:rFonts w:ascii="Arial" w:hAnsi="Arial" w:cs="Arial"/>
          <w:sz w:val="20"/>
          <w:szCs w:val="20"/>
        </w:rPr>
      </w:pPr>
    </w:p>
    <w:p w14:paraId="6C9877B3" w14:textId="77777777" w:rsidR="000E5C02" w:rsidRDefault="009E0B8F" w:rsidP="003F6F1A">
      <w:pPr>
        <w:keepNext/>
        <w:tabs>
          <w:tab w:val="left" w:pos="360"/>
        </w:tabs>
        <w:suppressAutoHyphens/>
        <w:spacing w:after="0"/>
        <w:jc w:val="both"/>
        <w:rPr>
          <w:rFonts w:ascii="Arial" w:hAnsi="Arial" w:cs="Arial"/>
          <w:sz w:val="20"/>
          <w:szCs w:val="20"/>
        </w:rPr>
      </w:pPr>
      <w:r w:rsidRPr="009E0B8F">
        <w:rPr>
          <w:rFonts w:ascii="Arial" w:hAnsi="Arial" w:cs="Arial"/>
          <w:sz w:val="20"/>
          <w:szCs w:val="20"/>
        </w:rPr>
        <w:t>For a detailed listing of the risk factors faced by the Company, please refer to the Company’s MD&amp;A for the year ended December 31, 2018.</w:t>
      </w:r>
    </w:p>
    <w:p w14:paraId="3034EC4A" w14:textId="77777777" w:rsidR="002D7686" w:rsidRDefault="002D7686" w:rsidP="003F6F1A">
      <w:pPr>
        <w:keepNext/>
        <w:tabs>
          <w:tab w:val="left" w:pos="360"/>
        </w:tabs>
        <w:suppressAutoHyphens/>
        <w:spacing w:after="0"/>
        <w:jc w:val="both"/>
        <w:rPr>
          <w:rFonts w:ascii="Arial" w:hAnsi="Arial" w:cs="Arial"/>
          <w:sz w:val="20"/>
          <w:szCs w:val="20"/>
        </w:rPr>
      </w:pPr>
    </w:p>
    <w:p w14:paraId="795999D6" w14:textId="77777777" w:rsidR="00C00F4C" w:rsidRPr="001A7752" w:rsidRDefault="00C00F4C"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1A7752">
        <w:rPr>
          <w:rFonts w:ascii="Arial" w:hAnsi="Arial" w:cs="Arial"/>
          <w:b/>
          <w:bCs/>
          <w:color w:val="000000"/>
          <w:sz w:val="20"/>
          <w:szCs w:val="20"/>
        </w:rPr>
        <w:t>CAUTIONARY NOTE REGARDING FORWARD LOOKING STATEMENTS</w:t>
      </w:r>
      <w:r w:rsidR="00BE1DF8" w:rsidRPr="001A7752">
        <w:rPr>
          <w:rFonts w:ascii="Arial" w:hAnsi="Arial" w:cs="Arial"/>
          <w:b/>
          <w:bCs/>
          <w:color w:val="000000"/>
          <w:sz w:val="20"/>
          <w:szCs w:val="20"/>
        </w:rPr>
        <w:t xml:space="preserve"> </w:t>
      </w:r>
    </w:p>
    <w:p w14:paraId="7D6FA777" w14:textId="77777777" w:rsidR="00C00F4C" w:rsidRPr="001A7752" w:rsidRDefault="00C00F4C" w:rsidP="003F6F1A">
      <w:pPr>
        <w:pStyle w:val="NormalWeb"/>
        <w:spacing w:before="0" w:beforeAutospacing="0" w:after="0" w:afterAutospacing="0"/>
        <w:rPr>
          <w:rFonts w:ascii="Arial" w:hAnsi="Arial" w:cs="Arial"/>
          <w:sz w:val="20"/>
          <w:szCs w:val="20"/>
        </w:rPr>
      </w:pPr>
    </w:p>
    <w:p w14:paraId="3F7882D5" w14:textId="77777777" w:rsidR="00C00F4C" w:rsidRDefault="00C00F4C" w:rsidP="003F6F1A">
      <w:pPr>
        <w:spacing w:after="0"/>
        <w:jc w:val="both"/>
        <w:rPr>
          <w:rFonts w:ascii="Arial" w:hAnsi="Arial" w:cs="Arial"/>
          <w:sz w:val="20"/>
          <w:szCs w:val="20"/>
        </w:rPr>
      </w:pPr>
      <w:r w:rsidRPr="001A7752">
        <w:rPr>
          <w:rFonts w:ascii="Arial" w:hAnsi="Arial" w:cs="Arial"/>
          <w:sz w:val="20"/>
          <w:szCs w:val="20"/>
        </w:rPr>
        <w:t>This MD&amp;A contains certain information that may constitute “forward-looking information” and “forward-looking statements” (collectively, “</w:t>
      </w:r>
      <w:r w:rsidRPr="001A7752">
        <w:rPr>
          <w:rFonts w:ascii="Arial" w:hAnsi="Arial" w:cs="Arial"/>
          <w:b/>
          <w:bCs/>
          <w:sz w:val="20"/>
          <w:szCs w:val="20"/>
        </w:rPr>
        <w:t>forward-looking statements</w:t>
      </w:r>
      <w:r w:rsidRPr="001A7752">
        <w:rPr>
          <w:rFonts w:ascii="Arial" w:hAnsi="Arial" w:cs="Arial"/>
          <w:sz w:val="20"/>
          <w:szCs w:val="20"/>
        </w:rPr>
        <w:t>”) which are based upon the Company’s current internal expectations, estimates, projections, assumptions and beliefs. Such statements can be identified by the use of forward</w:t>
      </w:r>
      <w:r w:rsidRPr="00C90A0A">
        <w:rPr>
          <w:rFonts w:ascii="Arial" w:hAnsi="Arial" w:cs="Arial"/>
          <w:sz w:val="20"/>
          <w:szCs w:val="20"/>
        </w:rPr>
        <w:t xml:space="preserve">-looking terminology such as "expect," “likely”, "may," "will," "should," "intend," or "anticipate", “potential”, “proposed”, “estimate” and other similar words, including negative and grammatical variations thereof, or statements that certain events or conditions “may” or “will” happen, or by discussions of strategy. Forward-looking statements include estimates, plans, expectations, opinions, forecasts, projections, targets, guidance, or other statements that are not statements of fact. The forward-looking statements included in this MD&amp;A are made only as of the date of this MD&amp;A. </w:t>
      </w:r>
    </w:p>
    <w:p w14:paraId="0D3FEFF0" w14:textId="77777777" w:rsidR="00FD6918" w:rsidRDefault="00FD6918" w:rsidP="003F6F1A">
      <w:pPr>
        <w:spacing w:after="0"/>
        <w:jc w:val="both"/>
        <w:rPr>
          <w:rFonts w:ascii="Arial" w:hAnsi="Arial" w:cs="Arial"/>
          <w:sz w:val="20"/>
          <w:szCs w:val="20"/>
        </w:rPr>
      </w:pPr>
    </w:p>
    <w:p w14:paraId="68E47365" w14:textId="77777777" w:rsidR="00C00F4C" w:rsidRPr="00C90A0A" w:rsidRDefault="00C00F4C" w:rsidP="003F6F1A">
      <w:pPr>
        <w:spacing w:after="0"/>
        <w:jc w:val="both"/>
        <w:rPr>
          <w:rFonts w:ascii="Arial" w:hAnsi="Arial" w:cs="Arial"/>
          <w:sz w:val="20"/>
          <w:szCs w:val="20"/>
        </w:rPr>
      </w:pPr>
      <w:r w:rsidRPr="00C90A0A">
        <w:rPr>
          <w:rFonts w:ascii="Arial" w:hAnsi="Arial" w:cs="Arial"/>
          <w:sz w:val="20"/>
          <w:szCs w:val="20"/>
        </w:rPr>
        <w:t xml:space="preserve">Forward-looking statements in this MD&amp;A include, but are not limited to, statements with respect to: </w:t>
      </w:r>
    </w:p>
    <w:p w14:paraId="1F2BE626"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licensing risks; </w:t>
      </w:r>
    </w:p>
    <w:p w14:paraId="72290E54"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regulatory risks; </w:t>
      </w:r>
    </w:p>
    <w:p w14:paraId="2C179425"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change in laws, regulations and guidelines; </w:t>
      </w:r>
    </w:p>
    <w:p w14:paraId="1F9B0B03"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market risks; </w:t>
      </w:r>
    </w:p>
    <w:p w14:paraId="1A023514"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expansion of facilities; </w:t>
      </w:r>
    </w:p>
    <w:p w14:paraId="61BB0293"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history of net losses; and </w:t>
      </w:r>
    </w:p>
    <w:p w14:paraId="5E5EB816" w14:textId="77777777" w:rsidR="00C00F4C" w:rsidRDefault="00C00F4C" w:rsidP="003F6F1A">
      <w:pPr>
        <w:spacing w:after="0"/>
        <w:ind w:left="720"/>
        <w:rPr>
          <w:rFonts w:ascii="Arial" w:hAnsi="Arial" w:cs="Arial"/>
          <w:sz w:val="20"/>
          <w:szCs w:val="20"/>
        </w:rPr>
      </w:pPr>
      <w:r w:rsidRPr="00C90A0A">
        <w:rPr>
          <w:rFonts w:ascii="Arial" w:hAnsi="Arial" w:cs="Arial"/>
          <w:sz w:val="20"/>
          <w:szCs w:val="20"/>
        </w:rPr>
        <w:t xml:space="preserve">• competition. </w:t>
      </w:r>
    </w:p>
    <w:p w14:paraId="72C91967" w14:textId="77777777" w:rsidR="00C33AED" w:rsidRDefault="00C33AED" w:rsidP="003F6F1A">
      <w:pPr>
        <w:spacing w:after="0"/>
        <w:jc w:val="both"/>
        <w:rPr>
          <w:rFonts w:ascii="Arial" w:hAnsi="Arial" w:cs="Arial"/>
          <w:sz w:val="20"/>
          <w:szCs w:val="20"/>
        </w:rPr>
      </w:pPr>
    </w:p>
    <w:p w14:paraId="27E07676" w14:textId="77777777" w:rsidR="00C00F4C" w:rsidRDefault="00C00F4C" w:rsidP="003F6F1A">
      <w:pPr>
        <w:spacing w:after="0"/>
        <w:jc w:val="both"/>
        <w:rPr>
          <w:rFonts w:ascii="Arial" w:hAnsi="Arial" w:cs="Arial"/>
          <w:sz w:val="20"/>
          <w:szCs w:val="20"/>
        </w:rPr>
      </w:pPr>
      <w:r w:rsidRPr="00C90A0A">
        <w:rPr>
          <w:rFonts w:ascii="Arial" w:hAnsi="Arial" w:cs="Arial"/>
          <w:sz w:val="20"/>
          <w:szCs w:val="20"/>
        </w:rPr>
        <w:t xml:space="preserve">Certain of the forward-looking statements and forward-looking information and other information contained herein concerning the medical cannabis industry and the general expectations of the Company concerning the medical cannabis industry and concerning the Company are based on estimates prepared by the Company using data from publicly available governmental sources as well as from market research and industry analysis and on assumptions based on data and knowledge of this industry which the Company believe to be reasonable. While the Company is not aware of any misstatement regarding any industry or government data presented herein, the medical cannabis industry involves risks and uncertainties that are subject to change based on various factors and the Company has not independently verified such third party information. </w:t>
      </w:r>
    </w:p>
    <w:p w14:paraId="4A1B8ED0" w14:textId="77777777" w:rsidR="00524611" w:rsidRDefault="00524611" w:rsidP="003F6F1A">
      <w:pPr>
        <w:spacing w:after="0" w:line="240" w:lineRule="auto"/>
        <w:jc w:val="both"/>
        <w:rPr>
          <w:rFonts w:ascii="Arial" w:hAnsi="Arial" w:cs="Arial"/>
          <w:sz w:val="20"/>
          <w:szCs w:val="20"/>
        </w:rPr>
      </w:pPr>
    </w:p>
    <w:p w14:paraId="0AB0A320" w14:textId="18AD4422" w:rsidR="001F1660" w:rsidRDefault="00C00F4C" w:rsidP="003F6F1A">
      <w:pPr>
        <w:spacing w:after="0" w:line="240" w:lineRule="auto"/>
        <w:jc w:val="both"/>
      </w:pPr>
      <w:r w:rsidRPr="00C90A0A">
        <w:rPr>
          <w:rFonts w:ascii="Arial" w:hAnsi="Arial" w:cs="Arial"/>
          <w:sz w:val="20"/>
          <w:szCs w:val="20"/>
        </w:rPr>
        <w:t>Although the Company believes that the expectations reflected in such forward-looking statements are reasonable, it can give no assurance that such expectations will prove to have been correct. The Company’s forward-looking statements are expressly qualified in their entirety by this cautionary statement. In particular, but without limiting the foregoing, disclosure in this MD&amp;A under “</w:t>
      </w:r>
      <w:r w:rsidRPr="00C90A0A">
        <w:rPr>
          <w:rFonts w:ascii="Arial" w:hAnsi="Arial" w:cs="Arial"/>
          <w:i/>
          <w:iCs/>
          <w:sz w:val="20"/>
          <w:szCs w:val="20"/>
        </w:rPr>
        <w:t>Business</w:t>
      </w:r>
      <w:r>
        <w:rPr>
          <w:rFonts w:ascii="Arial" w:hAnsi="Arial" w:cs="Arial"/>
          <w:i/>
          <w:iCs/>
          <w:sz w:val="20"/>
          <w:szCs w:val="20"/>
        </w:rPr>
        <w:t xml:space="preserve"> Overview</w:t>
      </w:r>
      <w:r w:rsidRPr="00C90A0A">
        <w:rPr>
          <w:rFonts w:ascii="Arial" w:hAnsi="Arial" w:cs="Arial"/>
          <w:sz w:val="20"/>
          <w:szCs w:val="20"/>
        </w:rPr>
        <w:t>” as well as statements regarding the Company’s objectives, plans and goals, including future operating results, economic performance and patient acquisition efforts may make reference to or involve forward- looking statements. A number of factors could cause actual events, performance or results to differ materially from what is projected in the forward-looking statements. See “Risk Factors” for further details. The purpose of forward- looking statements is to provide the reader with a description of management’s expectations, and such forward-looking statements may not be appropriate for any other purpose. You should not place undue reliance on forward- looking statements contained in this MD&amp;A. The Company undertakes no obligation to update or revise any forward- looking statements, whether as a result of new information, future events or otherwise, except as required by applicable law</w:t>
      </w:r>
      <w:r w:rsidR="00D6448D">
        <w:rPr>
          <w:rFonts w:ascii="Arial" w:hAnsi="Arial" w:cs="Arial"/>
          <w:sz w:val="20"/>
          <w:szCs w:val="20"/>
        </w:rPr>
        <w:t>.</w:t>
      </w:r>
    </w:p>
    <w:sectPr w:rsidR="001F1660" w:rsidSect="00962EE1">
      <w:headerReference w:type="default"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5F05" w14:textId="77777777" w:rsidR="00787515" w:rsidRDefault="00787515" w:rsidP="00C90A0A">
      <w:pPr>
        <w:spacing w:after="0" w:line="240" w:lineRule="auto"/>
      </w:pPr>
      <w:r>
        <w:separator/>
      </w:r>
    </w:p>
  </w:endnote>
  <w:endnote w:type="continuationSeparator" w:id="0">
    <w:p w14:paraId="0B5AE153" w14:textId="77777777" w:rsidR="00787515" w:rsidRDefault="00787515" w:rsidP="00C90A0A">
      <w:pPr>
        <w:spacing w:after="0" w:line="240" w:lineRule="auto"/>
      </w:pPr>
      <w:r>
        <w:continuationSeparator/>
      </w:r>
    </w:p>
  </w:endnote>
  <w:endnote w:type="continuationNotice" w:id="1">
    <w:p w14:paraId="10D367F2" w14:textId="77777777" w:rsidR="00787515" w:rsidRDefault="00787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3BAF" w14:textId="77777777" w:rsidR="00787515" w:rsidRDefault="00787515">
    <w:pPr>
      <w:pStyle w:val="Footer"/>
      <w:jc w:val="center"/>
    </w:pPr>
    <w:r>
      <w:fldChar w:fldCharType="begin"/>
    </w:r>
    <w:r>
      <w:instrText xml:space="preserve"> PAGE   \* MERGEFORMAT </w:instrText>
    </w:r>
    <w:r>
      <w:fldChar w:fldCharType="separate"/>
    </w:r>
    <w:r>
      <w:rPr>
        <w:noProof/>
      </w:rPr>
      <w:t>1</w:t>
    </w:r>
    <w:r>
      <w:rPr>
        <w:noProof/>
      </w:rPr>
      <w:fldChar w:fldCharType="end"/>
    </w:r>
  </w:p>
  <w:p w14:paraId="00D2984C" w14:textId="77777777" w:rsidR="00787515" w:rsidRDefault="0078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9D2D" w14:textId="77777777" w:rsidR="00787515" w:rsidRDefault="00787515" w:rsidP="00C90A0A">
      <w:pPr>
        <w:spacing w:after="0" w:line="240" w:lineRule="auto"/>
      </w:pPr>
      <w:r>
        <w:separator/>
      </w:r>
    </w:p>
  </w:footnote>
  <w:footnote w:type="continuationSeparator" w:id="0">
    <w:p w14:paraId="59CC729A" w14:textId="77777777" w:rsidR="00787515" w:rsidRDefault="00787515" w:rsidP="00C90A0A">
      <w:pPr>
        <w:spacing w:after="0" w:line="240" w:lineRule="auto"/>
      </w:pPr>
      <w:r>
        <w:continuationSeparator/>
      </w:r>
    </w:p>
  </w:footnote>
  <w:footnote w:type="continuationNotice" w:id="1">
    <w:p w14:paraId="4E1AF46A" w14:textId="77777777" w:rsidR="00787515" w:rsidRDefault="00787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6AA6" w14:textId="77777777" w:rsidR="00787515" w:rsidRPr="00265FF2" w:rsidRDefault="00787515" w:rsidP="000E5C02">
    <w:pPr>
      <w:pStyle w:val="Header"/>
      <w:rPr>
        <w:rFonts w:ascii="Arial" w:hAnsi="Arial" w:cs="Arial"/>
        <w:b/>
        <w:sz w:val="24"/>
        <w:lang w:val="en-CA"/>
      </w:rPr>
    </w:pPr>
    <w:r w:rsidRPr="00265FF2">
      <w:rPr>
        <w:rFonts w:ascii="Arial" w:hAnsi="Arial" w:cs="Arial"/>
        <w:b/>
        <w:sz w:val="24"/>
        <w:lang w:val="en-CA"/>
      </w:rPr>
      <w:t>EMPOWER CLINICS INC.</w:t>
    </w:r>
  </w:p>
  <w:p w14:paraId="726030FA" w14:textId="77777777" w:rsidR="00787515" w:rsidRPr="009903B7" w:rsidRDefault="00787515" w:rsidP="000E5C02">
    <w:pPr>
      <w:pStyle w:val="Header"/>
      <w:rPr>
        <w:rFonts w:ascii="Arial" w:hAnsi="Arial" w:cs="Arial"/>
        <w:sz w:val="20"/>
        <w:szCs w:val="20"/>
        <w:lang w:val="en-CA"/>
      </w:rPr>
    </w:pPr>
    <w:r>
      <w:rPr>
        <w:rFonts w:ascii="Arial" w:hAnsi="Arial" w:cs="Arial"/>
        <w:sz w:val="20"/>
        <w:szCs w:val="20"/>
        <w:lang w:val="en-CA"/>
      </w:rPr>
      <w:t>MANAGEMENT DISCUSSION AND ANALYSIS</w:t>
    </w:r>
  </w:p>
  <w:p w14:paraId="6F43DC61" w14:textId="4CCD334A" w:rsidR="00787515" w:rsidRPr="009903B7" w:rsidRDefault="00787515" w:rsidP="000E5C02">
    <w:pPr>
      <w:pStyle w:val="Header"/>
      <w:rPr>
        <w:rFonts w:ascii="Arial" w:hAnsi="Arial" w:cs="Arial"/>
        <w:sz w:val="20"/>
        <w:szCs w:val="20"/>
        <w:lang w:val="en-CA"/>
      </w:rPr>
    </w:pPr>
    <w:r w:rsidRPr="009903B7">
      <w:rPr>
        <w:rFonts w:ascii="Arial" w:hAnsi="Arial" w:cs="Arial"/>
        <w:sz w:val="20"/>
        <w:szCs w:val="20"/>
        <w:lang w:val="en-CA"/>
      </w:rPr>
      <w:t>For the</w:t>
    </w:r>
    <w:r>
      <w:rPr>
        <w:rFonts w:ascii="Arial" w:hAnsi="Arial" w:cs="Arial"/>
        <w:sz w:val="20"/>
        <w:szCs w:val="20"/>
        <w:lang w:val="en-CA"/>
      </w:rPr>
      <w:t xml:space="preserve"> three and nine months </w:t>
    </w:r>
    <w:r w:rsidRPr="009903B7">
      <w:rPr>
        <w:rFonts w:ascii="Arial" w:hAnsi="Arial" w:cs="Arial"/>
        <w:sz w:val="20"/>
        <w:szCs w:val="20"/>
        <w:lang w:val="en-CA"/>
      </w:rPr>
      <w:t xml:space="preserve">ended </w:t>
    </w:r>
    <w:r>
      <w:rPr>
        <w:rFonts w:ascii="Arial" w:hAnsi="Arial" w:cs="Arial"/>
        <w:sz w:val="20"/>
        <w:szCs w:val="20"/>
        <w:lang w:val="en-CA"/>
      </w:rPr>
      <w:t>September 30, 2019 and 2018</w:t>
    </w:r>
  </w:p>
  <w:p w14:paraId="196A754B" w14:textId="77777777" w:rsidR="00787515" w:rsidRPr="009903B7" w:rsidRDefault="00787515" w:rsidP="00663820">
    <w:pPr>
      <w:pStyle w:val="Header"/>
      <w:pBdr>
        <w:bottom w:val="single" w:sz="8" w:space="1" w:color="auto"/>
      </w:pBdr>
      <w:rPr>
        <w:rFonts w:ascii="Arial" w:hAnsi="Arial" w:cs="Arial"/>
        <w:sz w:val="20"/>
        <w:szCs w:val="20"/>
        <w:lang w:val="en-CA"/>
      </w:rPr>
    </w:pPr>
    <w:r w:rsidRPr="009903B7">
      <w:rPr>
        <w:rFonts w:ascii="Arial" w:hAnsi="Arial" w:cs="Arial"/>
        <w:sz w:val="20"/>
        <w:szCs w:val="20"/>
        <w:lang w:val="en-CA"/>
      </w:rPr>
      <w:t>(In United States dollars, except where noted)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90D3E"/>
    <w:multiLevelType w:val="hybridMultilevel"/>
    <w:tmpl w:val="CB4CB892"/>
    <w:lvl w:ilvl="0" w:tplc="7FBE1494">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C2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73986"/>
    <w:multiLevelType w:val="multilevel"/>
    <w:tmpl w:val="04AEF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C0FF7"/>
    <w:multiLevelType w:val="hybridMultilevel"/>
    <w:tmpl w:val="46187420"/>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5896"/>
    <w:multiLevelType w:val="hybridMultilevel"/>
    <w:tmpl w:val="8AB25848"/>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70617"/>
    <w:multiLevelType w:val="hybridMultilevel"/>
    <w:tmpl w:val="6704964A"/>
    <w:lvl w:ilvl="0" w:tplc="1E3076BC">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D68D8"/>
    <w:multiLevelType w:val="hybridMultilevel"/>
    <w:tmpl w:val="0016887A"/>
    <w:lvl w:ilvl="0" w:tplc="48DCB74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6A5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BC6"/>
    <w:multiLevelType w:val="hybridMultilevel"/>
    <w:tmpl w:val="74E05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B319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41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A5620"/>
    <w:multiLevelType w:val="hybridMultilevel"/>
    <w:tmpl w:val="A21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7581F"/>
    <w:multiLevelType w:val="multilevel"/>
    <w:tmpl w:val="BE3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B62DB"/>
    <w:multiLevelType w:val="hybridMultilevel"/>
    <w:tmpl w:val="B6C8A1C4"/>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15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FC7806"/>
    <w:multiLevelType w:val="hybridMultilevel"/>
    <w:tmpl w:val="BB84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0C53C0"/>
    <w:multiLevelType w:val="hybridMultilevel"/>
    <w:tmpl w:val="7B3C1A9C"/>
    <w:lvl w:ilvl="0" w:tplc="58089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C6FB8"/>
    <w:multiLevelType w:val="multilevel"/>
    <w:tmpl w:val="603C5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25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4E76DA"/>
    <w:multiLevelType w:val="multilevel"/>
    <w:tmpl w:val="C86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A345CF"/>
    <w:multiLevelType w:val="hybridMultilevel"/>
    <w:tmpl w:val="ABEC1774"/>
    <w:lvl w:ilvl="0" w:tplc="C064325E">
      <w:start w:val="1"/>
      <w:numFmt w:val="bullet"/>
      <w:lvlText w:val=""/>
      <w:lvlJc w:val="left"/>
      <w:pPr>
        <w:ind w:left="720" w:hanging="360"/>
      </w:pPr>
      <w:rPr>
        <w:rFonts w:ascii="Symbol" w:hAnsi="Symbol" w:hint="default"/>
      </w:rPr>
    </w:lvl>
    <w:lvl w:ilvl="1" w:tplc="B2E800A6" w:tentative="1">
      <w:start w:val="1"/>
      <w:numFmt w:val="bullet"/>
      <w:lvlText w:val="o"/>
      <w:lvlJc w:val="left"/>
      <w:pPr>
        <w:ind w:left="1440" w:hanging="360"/>
      </w:pPr>
      <w:rPr>
        <w:rFonts w:ascii="Courier New" w:hAnsi="Courier New" w:hint="default"/>
      </w:rPr>
    </w:lvl>
    <w:lvl w:ilvl="2" w:tplc="1910EE28" w:tentative="1">
      <w:start w:val="1"/>
      <w:numFmt w:val="bullet"/>
      <w:lvlText w:val=""/>
      <w:lvlJc w:val="left"/>
      <w:pPr>
        <w:ind w:left="2160" w:hanging="360"/>
      </w:pPr>
      <w:rPr>
        <w:rFonts w:ascii="Wingdings" w:hAnsi="Wingdings" w:hint="default"/>
      </w:rPr>
    </w:lvl>
    <w:lvl w:ilvl="3" w:tplc="0C322EB8" w:tentative="1">
      <w:start w:val="1"/>
      <w:numFmt w:val="bullet"/>
      <w:lvlText w:val=""/>
      <w:lvlJc w:val="left"/>
      <w:pPr>
        <w:ind w:left="2880" w:hanging="360"/>
      </w:pPr>
      <w:rPr>
        <w:rFonts w:ascii="Symbol" w:hAnsi="Symbol" w:hint="default"/>
      </w:rPr>
    </w:lvl>
    <w:lvl w:ilvl="4" w:tplc="C8EC8A00" w:tentative="1">
      <w:start w:val="1"/>
      <w:numFmt w:val="bullet"/>
      <w:lvlText w:val="o"/>
      <w:lvlJc w:val="left"/>
      <w:pPr>
        <w:ind w:left="3600" w:hanging="360"/>
      </w:pPr>
      <w:rPr>
        <w:rFonts w:ascii="Courier New" w:hAnsi="Courier New" w:hint="default"/>
      </w:rPr>
    </w:lvl>
    <w:lvl w:ilvl="5" w:tplc="A71A1374" w:tentative="1">
      <w:start w:val="1"/>
      <w:numFmt w:val="bullet"/>
      <w:lvlText w:val=""/>
      <w:lvlJc w:val="left"/>
      <w:pPr>
        <w:ind w:left="4320" w:hanging="360"/>
      </w:pPr>
      <w:rPr>
        <w:rFonts w:ascii="Wingdings" w:hAnsi="Wingdings" w:hint="default"/>
      </w:rPr>
    </w:lvl>
    <w:lvl w:ilvl="6" w:tplc="CB6CA6D6" w:tentative="1">
      <w:start w:val="1"/>
      <w:numFmt w:val="bullet"/>
      <w:lvlText w:val=""/>
      <w:lvlJc w:val="left"/>
      <w:pPr>
        <w:ind w:left="5040" w:hanging="360"/>
      </w:pPr>
      <w:rPr>
        <w:rFonts w:ascii="Symbol" w:hAnsi="Symbol" w:hint="default"/>
      </w:rPr>
    </w:lvl>
    <w:lvl w:ilvl="7" w:tplc="1242F3BA" w:tentative="1">
      <w:start w:val="1"/>
      <w:numFmt w:val="bullet"/>
      <w:lvlText w:val="o"/>
      <w:lvlJc w:val="left"/>
      <w:pPr>
        <w:ind w:left="5760" w:hanging="360"/>
      </w:pPr>
      <w:rPr>
        <w:rFonts w:ascii="Courier New" w:hAnsi="Courier New" w:hint="default"/>
      </w:rPr>
    </w:lvl>
    <w:lvl w:ilvl="8" w:tplc="BA5010A8" w:tentative="1">
      <w:start w:val="1"/>
      <w:numFmt w:val="bullet"/>
      <w:lvlText w:val=""/>
      <w:lvlJc w:val="left"/>
      <w:pPr>
        <w:ind w:left="6480" w:hanging="360"/>
      </w:pPr>
      <w:rPr>
        <w:rFonts w:ascii="Wingdings" w:hAnsi="Wingdings" w:hint="default"/>
      </w:rPr>
    </w:lvl>
  </w:abstractNum>
  <w:abstractNum w:abstractNumId="23" w15:restartNumberingAfterBreak="0">
    <w:nsid w:val="489955A5"/>
    <w:multiLevelType w:val="hybridMultilevel"/>
    <w:tmpl w:val="B8F87784"/>
    <w:lvl w:ilvl="0" w:tplc="EDCA0F02">
      <w:start w:val="1"/>
      <w:numFmt w:val="bullet"/>
      <w:lvlText w:val=""/>
      <w:lvlJc w:val="left"/>
      <w:pPr>
        <w:ind w:left="720" w:hanging="360"/>
      </w:pPr>
      <w:rPr>
        <w:rFonts w:ascii="Symbol" w:hAnsi="Symbol" w:hint="default"/>
      </w:rPr>
    </w:lvl>
    <w:lvl w:ilvl="1" w:tplc="194AB110">
      <w:start w:val="1"/>
      <w:numFmt w:val="bullet"/>
      <w:lvlText w:val="o"/>
      <w:lvlJc w:val="left"/>
      <w:pPr>
        <w:ind w:left="1440" w:hanging="360"/>
      </w:pPr>
      <w:rPr>
        <w:rFonts w:ascii="Courier New" w:hAnsi="Courier New" w:hint="default"/>
      </w:rPr>
    </w:lvl>
    <w:lvl w:ilvl="2" w:tplc="38CAF36C" w:tentative="1">
      <w:start w:val="1"/>
      <w:numFmt w:val="bullet"/>
      <w:lvlText w:val=""/>
      <w:lvlJc w:val="left"/>
      <w:pPr>
        <w:ind w:left="2160" w:hanging="360"/>
      </w:pPr>
      <w:rPr>
        <w:rFonts w:ascii="Wingdings" w:hAnsi="Wingdings" w:hint="default"/>
      </w:rPr>
    </w:lvl>
    <w:lvl w:ilvl="3" w:tplc="24A423B2" w:tentative="1">
      <w:start w:val="1"/>
      <w:numFmt w:val="bullet"/>
      <w:lvlText w:val=""/>
      <w:lvlJc w:val="left"/>
      <w:pPr>
        <w:ind w:left="2880" w:hanging="360"/>
      </w:pPr>
      <w:rPr>
        <w:rFonts w:ascii="Symbol" w:hAnsi="Symbol" w:hint="default"/>
      </w:rPr>
    </w:lvl>
    <w:lvl w:ilvl="4" w:tplc="BB3A2220" w:tentative="1">
      <w:start w:val="1"/>
      <w:numFmt w:val="bullet"/>
      <w:lvlText w:val="o"/>
      <w:lvlJc w:val="left"/>
      <w:pPr>
        <w:ind w:left="3600" w:hanging="360"/>
      </w:pPr>
      <w:rPr>
        <w:rFonts w:ascii="Courier New" w:hAnsi="Courier New" w:hint="default"/>
      </w:rPr>
    </w:lvl>
    <w:lvl w:ilvl="5" w:tplc="89167E04" w:tentative="1">
      <w:start w:val="1"/>
      <w:numFmt w:val="bullet"/>
      <w:lvlText w:val=""/>
      <w:lvlJc w:val="left"/>
      <w:pPr>
        <w:ind w:left="4320" w:hanging="360"/>
      </w:pPr>
      <w:rPr>
        <w:rFonts w:ascii="Wingdings" w:hAnsi="Wingdings" w:hint="default"/>
      </w:rPr>
    </w:lvl>
    <w:lvl w:ilvl="6" w:tplc="EBBE553C" w:tentative="1">
      <w:start w:val="1"/>
      <w:numFmt w:val="bullet"/>
      <w:lvlText w:val=""/>
      <w:lvlJc w:val="left"/>
      <w:pPr>
        <w:ind w:left="5040" w:hanging="360"/>
      </w:pPr>
      <w:rPr>
        <w:rFonts w:ascii="Symbol" w:hAnsi="Symbol" w:hint="default"/>
      </w:rPr>
    </w:lvl>
    <w:lvl w:ilvl="7" w:tplc="38069F84" w:tentative="1">
      <w:start w:val="1"/>
      <w:numFmt w:val="bullet"/>
      <w:lvlText w:val="o"/>
      <w:lvlJc w:val="left"/>
      <w:pPr>
        <w:ind w:left="5760" w:hanging="360"/>
      </w:pPr>
      <w:rPr>
        <w:rFonts w:ascii="Courier New" w:hAnsi="Courier New" w:hint="default"/>
      </w:rPr>
    </w:lvl>
    <w:lvl w:ilvl="8" w:tplc="FF980D7A" w:tentative="1">
      <w:start w:val="1"/>
      <w:numFmt w:val="bullet"/>
      <w:lvlText w:val=""/>
      <w:lvlJc w:val="left"/>
      <w:pPr>
        <w:ind w:left="6480" w:hanging="360"/>
      </w:pPr>
      <w:rPr>
        <w:rFonts w:ascii="Wingdings" w:hAnsi="Wingdings" w:hint="default"/>
      </w:rPr>
    </w:lvl>
  </w:abstractNum>
  <w:abstractNum w:abstractNumId="24" w15:restartNumberingAfterBreak="0">
    <w:nsid w:val="49980603"/>
    <w:multiLevelType w:val="hybridMultilevel"/>
    <w:tmpl w:val="887C8C88"/>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828C2"/>
    <w:multiLevelType w:val="hybridMultilevel"/>
    <w:tmpl w:val="373C830E"/>
    <w:lvl w:ilvl="0" w:tplc="244A923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9A579C"/>
    <w:multiLevelType w:val="multilevel"/>
    <w:tmpl w:val="2E303C00"/>
    <w:lvl w:ilvl="0">
      <w:start w:val="1"/>
      <w:numFmt w:val="decimal"/>
      <w:pStyle w:val="CP1"/>
      <w:lvlText w:val="%1."/>
      <w:lvlJc w:val="left"/>
      <w:pPr>
        <w:tabs>
          <w:tab w:val="num" w:pos="720"/>
        </w:tabs>
        <w:ind w:left="720" w:hanging="720"/>
      </w:pPr>
      <w:rPr>
        <w:rFonts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27" w15:restartNumberingAfterBreak="0">
    <w:nsid w:val="510A45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404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97932"/>
    <w:multiLevelType w:val="hybridMultilevel"/>
    <w:tmpl w:val="773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3F8"/>
    <w:multiLevelType w:val="multilevel"/>
    <w:tmpl w:val="0A06D1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C3158C"/>
    <w:multiLevelType w:val="multilevel"/>
    <w:tmpl w:val="14AA1A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332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A6260C"/>
    <w:multiLevelType w:val="hybridMultilevel"/>
    <w:tmpl w:val="F7C8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1F7F4B"/>
    <w:multiLevelType w:val="hybridMultilevel"/>
    <w:tmpl w:val="754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92373"/>
    <w:multiLevelType w:val="multilevel"/>
    <w:tmpl w:val="C7F8E814"/>
    <w:lvl w:ilvl="0">
      <w:start w:val="1"/>
      <w:numFmt w:val="decimal"/>
      <w:lvlText w:val="%1."/>
      <w:lvlJc w:val="left"/>
      <w:pPr>
        <w:ind w:left="403"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91" w:hanging="1080"/>
      </w:pPr>
      <w:rPr>
        <w:rFonts w:hint="default"/>
      </w:rPr>
    </w:lvl>
    <w:lvl w:ilvl="5">
      <w:start w:val="1"/>
      <w:numFmt w:val="decimal"/>
      <w:isLgl/>
      <w:lvlText w:val="%1.%2.%3.%4.%5.%6"/>
      <w:lvlJc w:val="left"/>
      <w:pPr>
        <w:ind w:left="2708" w:hanging="1080"/>
      </w:pPr>
      <w:rPr>
        <w:rFonts w:hint="default"/>
      </w:rPr>
    </w:lvl>
    <w:lvl w:ilvl="6">
      <w:start w:val="1"/>
      <w:numFmt w:val="decimal"/>
      <w:isLgl/>
      <w:lvlText w:val="%1.%2.%3.%4.%5.%6.%7"/>
      <w:lvlJc w:val="left"/>
      <w:pPr>
        <w:ind w:left="338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4379" w:hanging="1800"/>
      </w:pPr>
      <w:rPr>
        <w:rFonts w:hint="default"/>
      </w:rPr>
    </w:lvl>
  </w:abstractNum>
  <w:abstractNum w:abstractNumId="37" w15:restartNumberingAfterBreak="0">
    <w:nsid w:val="7F0E0501"/>
    <w:multiLevelType w:val="hybridMultilevel"/>
    <w:tmpl w:val="D102B2F6"/>
    <w:lvl w:ilvl="0" w:tplc="9B4664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6"/>
  </w:num>
  <w:num w:numId="4">
    <w:abstractNumId w:val="19"/>
  </w:num>
  <w:num w:numId="5">
    <w:abstractNumId w:val="27"/>
  </w:num>
  <w:num w:numId="6">
    <w:abstractNumId w:val="12"/>
  </w:num>
  <w:num w:numId="7">
    <w:abstractNumId w:val="0"/>
  </w:num>
  <w:num w:numId="8">
    <w:abstractNumId w:val="3"/>
  </w:num>
  <w:num w:numId="9">
    <w:abstractNumId w:val="11"/>
  </w:num>
  <w:num w:numId="10">
    <w:abstractNumId w:val="33"/>
  </w:num>
  <w:num w:numId="11">
    <w:abstractNumId w:val="28"/>
  </w:num>
  <w:num w:numId="12">
    <w:abstractNumId w:val="20"/>
  </w:num>
  <w:num w:numId="13">
    <w:abstractNumId w:val="7"/>
  </w:num>
  <w:num w:numId="14">
    <w:abstractNumId w:val="16"/>
  </w:num>
  <w:num w:numId="15">
    <w:abstractNumId w:val="9"/>
  </w:num>
  <w:num w:numId="16">
    <w:abstractNumId w:val="18"/>
  </w:num>
  <w:num w:numId="17">
    <w:abstractNumId w:val="29"/>
  </w:num>
  <w:num w:numId="18">
    <w:abstractNumId w:val="15"/>
  </w:num>
  <w:num w:numId="19">
    <w:abstractNumId w:val="8"/>
  </w:num>
  <w:num w:numId="20">
    <w:abstractNumId w:val="6"/>
  </w:num>
  <w:num w:numId="21">
    <w:abstractNumId w:val="5"/>
  </w:num>
  <w:num w:numId="22">
    <w:abstractNumId w:val="2"/>
  </w:num>
  <w:num w:numId="23">
    <w:abstractNumId w:val="24"/>
  </w:num>
  <w:num w:numId="24">
    <w:abstractNumId w:val="17"/>
  </w:num>
  <w:num w:numId="25">
    <w:abstractNumId w:val="35"/>
  </w:num>
  <w:num w:numId="26">
    <w:abstractNumId w:val="13"/>
  </w:num>
  <w:num w:numId="27">
    <w:abstractNumId w:val="25"/>
  </w:num>
  <w:num w:numId="28">
    <w:abstractNumId w:val="32"/>
  </w:num>
  <w:num w:numId="29">
    <w:abstractNumId w:val="34"/>
  </w:num>
  <w:num w:numId="30">
    <w:abstractNumId w:val="26"/>
  </w:num>
  <w:num w:numId="31">
    <w:abstractNumId w:val="23"/>
  </w:num>
  <w:num w:numId="32">
    <w:abstractNumId w:val="22"/>
  </w:num>
  <w:num w:numId="33">
    <w:abstractNumId w:val="21"/>
  </w:num>
  <w:num w:numId="34">
    <w:abstractNumId w:val="14"/>
  </w:num>
  <w:num w:numId="35">
    <w:abstractNumId w:val="1"/>
  </w:num>
  <w:num w:numId="36">
    <w:abstractNumId w:val="10"/>
  </w:num>
  <w:num w:numId="37">
    <w:abstractNumId w:val="26"/>
    <w:lvlOverride w:ilvl="0">
      <w:startOverride w:val="1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wMDAzNzAwMjWxMLFQ0lEKTi0uzszPAykwqgUAjQ9L5CwAAAA="/>
  </w:docVars>
  <w:rsids>
    <w:rsidRoot w:val="00FA6D64"/>
    <w:rsid w:val="000078A4"/>
    <w:rsid w:val="00007ADF"/>
    <w:rsid w:val="00022C1E"/>
    <w:rsid w:val="000317FF"/>
    <w:rsid w:val="0004120D"/>
    <w:rsid w:val="00041AB3"/>
    <w:rsid w:val="00052A1F"/>
    <w:rsid w:val="000620B5"/>
    <w:rsid w:val="00063621"/>
    <w:rsid w:val="0006562E"/>
    <w:rsid w:val="0008421F"/>
    <w:rsid w:val="00091077"/>
    <w:rsid w:val="000964C8"/>
    <w:rsid w:val="000A24FE"/>
    <w:rsid w:val="000A57E7"/>
    <w:rsid w:val="000B3720"/>
    <w:rsid w:val="000B495A"/>
    <w:rsid w:val="000C689B"/>
    <w:rsid w:val="000D09BF"/>
    <w:rsid w:val="000E01AB"/>
    <w:rsid w:val="000E4936"/>
    <w:rsid w:val="000E5C02"/>
    <w:rsid w:val="000F5B3C"/>
    <w:rsid w:val="000F66FB"/>
    <w:rsid w:val="000F798D"/>
    <w:rsid w:val="00105B24"/>
    <w:rsid w:val="00111C7A"/>
    <w:rsid w:val="00123032"/>
    <w:rsid w:val="00136ADE"/>
    <w:rsid w:val="0013793F"/>
    <w:rsid w:val="001439FB"/>
    <w:rsid w:val="001442B7"/>
    <w:rsid w:val="00153C3D"/>
    <w:rsid w:val="00155443"/>
    <w:rsid w:val="00186033"/>
    <w:rsid w:val="001923E7"/>
    <w:rsid w:val="00193B1B"/>
    <w:rsid w:val="001A0D67"/>
    <w:rsid w:val="001A480E"/>
    <w:rsid w:val="001A7752"/>
    <w:rsid w:val="001A7E6B"/>
    <w:rsid w:val="001B246B"/>
    <w:rsid w:val="001B693C"/>
    <w:rsid w:val="001C7200"/>
    <w:rsid w:val="001C76A1"/>
    <w:rsid w:val="001D13DE"/>
    <w:rsid w:val="001D161C"/>
    <w:rsid w:val="001D7767"/>
    <w:rsid w:val="001E24AE"/>
    <w:rsid w:val="001E2F98"/>
    <w:rsid w:val="001E36DA"/>
    <w:rsid w:val="001E68D2"/>
    <w:rsid w:val="001F1660"/>
    <w:rsid w:val="001F3487"/>
    <w:rsid w:val="001F37F5"/>
    <w:rsid w:val="001F6127"/>
    <w:rsid w:val="00262E23"/>
    <w:rsid w:val="00265FF2"/>
    <w:rsid w:val="0029003F"/>
    <w:rsid w:val="00290443"/>
    <w:rsid w:val="00291101"/>
    <w:rsid w:val="00296F04"/>
    <w:rsid w:val="002A2357"/>
    <w:rsid w:val="002C5615"/>
    <w:rsid w:val="002D1846"/>
    <w:rsid w:val="002D42BD"/>
    <w:rsid w:val="002D7291"/>
    <w:rsid w:val="002D7686"/>
    <w:rsid w:val="002F20A8"/>
    <w:rsid w:val="003052EF"/>
    <w:rsid w:val="00310D1F"/>
    <w:rsid w:val="00324616"/>
    <w:rsid w:val="003248AC"/>
    <w:rsid w:val="0032534C"/>
    <w:rsid w:val="0033293F"/>
    <w:rsid w:val="00341AC5"/>
    <w:rsid w:val="00343C9F"/>
    <w:rsid w:val="00346340"/>
    <w:rsid w:val="003504E8"/>
    <w:rsid w:val="00350F66"/>
    <w:rsid w:val="003645BC"/>
    <w:rsid w:val="003700C8"/>
    <w:rsid w:val="003704B7"/>
    <w:rsid w:val="00372D83"/>
    <w:rsid w:val="00374039"/>
    <w:rsid w:val="003741D2"/>
    <w:rsid w:val="003874AE"/>
    <w:rsid w:val="003937A3"/>
    <w:rsid w:val="003A2C30"/>
    <w:rsid w:val="003A2C50"/>
    <w:rsid w:val="003B0546"/>
    <w:rsid w:val="003B22BC"/>
    <w:rsid w:val="003B6B96"/>
    <w:rsid w:val="003B7DA9"/>
    <w:rsid w:val="003C5740"/>
    <w:rsid w:val="003E0848"/>
    <w:rsid w:val="003E25FA"/>
    <w:rsid w:val="003E72B7"/>
    <w:rsid w:val="003E79CE"/>
    <w:rsid w:val="003F5DC9"/>
    <w:rsid w:val="003F6F1A"/>
    <w:rsid w:val="004052CA"/>
    <w:rsid w:val="00411176"/>
    <w:rsid w:val="00413B6E"/>
    <w:rsid w:val="004164C5"/>
    <w:rsid w:val="00417DE7"/>
    <w:rsid w:val="00424A47"/>
    <w:rsid w:val="00424DA7"/>
    <w:rsid w:val="00424E56"/>
    <w:rsid w:val="0043211F"/>
    <w:rsid w:val="0043518D"/>
    <w:rsid w:val="00436015"/>
    <w:rsid w:val="00441C2D"/>
    <w:rsid w:val="00446697"/>
    <w:rsid w:val="00453FBE"/>
    <w:rsid w:val="00456D51"/>
    <w:rsid w:val="00457699"/>
    <w:rsid w:val="004673C0"/>
    <w:rsid w:val="00473017"/>
    <w:rsid w:val="00474C43"/>
    <w:rsid w:val="00477CB6"/>
    <w:rsid w:val="004834BB"/>
    <w:rsid w:val="00483C6F"/>
    <w:rsid w:val="00484334"/>
    <w:rsid w:val="004953F5"/>
    <w:rsid w:val="004A0BB2"/>
    <w:rsid w:val="004A1755"/>
    <w:rsid w:val="004A22F1"/>
    <w:rsid w:val="004B0F6F"/>
    <w:rsid w:val="004B214A"/>
    <w:rsid w:val="004B3117"/>
    <w:rsid w:val="004B4490"/>
    <w:rsid w:val="004C24AC"/>
    <w:rsid w:val="004C52EE"/>
    <w:rsid w:val="004D328F"/>
    <w:rsid w:val="004D46B6"/>
    <w:rsid w:val="004E17E1"/>
    <w:rsid w:val="004E5202"/>
    <w:rsid w:val="004F44E1"/>
    <w:rsid w:val="004F71B9"/>
    <w:rsid w:val="00507BB2"/>
    <w:rsid w:val="00513257"/>
    <w:rsid w:val="00513D8E"/>
    <w:rsid w:val="00514A11"/>
    <w:rsid w:val="005235C2"/>
    <w:rsid w:val="00524611"/>
    <w:rsid w:val="005256EA"/>
    <w:rsid w:val="005265E3"/>
    <w:rsid w:val="00526BEA"/>
    <w:rsid w:val="005340D3"/>
    <w:rsid w:val="00537C60"/>
    <w:rsid w:val="005435FC"/>
    <w:rsid w:val="00546001"/>
    <w:rsid w:val="00550E76"/>
    <w:rsid w:val="00552E66"/>
    <w:rsid w:val="00561ECE"/>
    <w:rsid w:val="00564409"/>
    <w:rsid w:val="005646CD"/>
    <w:rsid w:val="005703AE"/>
    <w:rsid w:val="0057111D"/>
    <w:rsid w:val="0057186D"/>
    <w:rsid w:val="005811F3"/>
    <w:rsid w:val="005973DB"/>
    <w:rsid w:val="005A3174"/>
    <w:rsid w:val="005A7CE3"/>
    <w:rsid w:val="005B0AB7"/>
    <w:rsid w:val="005C15D5"/>
    <w:rsid w:val="005C15FB"/>
    <w:rsid w:val="005C28E8"/>
    <w:rsid w:val="005D35C2"/>
    <w:rsid w:val="005D44AA"/>
    <w:rsid w:val="005D4546"/>
    <w:rsid w:val="005E461F"/>
    <w:rsid w:val="005F55E0"/>
    <w:rsid w:val="005F6D26"/>
    <w:rsid w:val="0061123D"/>
    <w:rsid w:val="00615EFE"/>
    <w:rsid w:val="00616201"/>
    <w:rsid w:val="0062070A"/>
    <w:rsid w:val="00623605"/>
    <w:rsid w:val="006248F9"/>
    <w:rsid w:val="00631CA5"/>
    <w:rsid w:val="00636BDC"/>
    <w:rsid w:val="00645A49"/>
    <w:rsid w:val="00652F1A"/>
    <w:rsid w:val="00663820"/>
    <w:rsid w:val="006653F4"/>
    <w:rsid w:val="00675558"/>
    <w:rsid w:val="00681FBF"/>
    <w:rsid w:val="00687F6F"/>
    <w:rsid w:val="00691C16"/>
    <w:rsid w:val="00692744"/>
    <w:rsid w:val="006A3BA2"/>
    <w:rsid w:val="006C3ADA"/>
    <w:rsid w:val="006C64D9"/>
    <w:rsid w:val="006D2D01"/>
    <w:rsid w:val="006D37AE"/>
    <w:rsid w:val="006D3813"/>
    <w:rsid w:val="006D4862"/>
    <w:rsid w:val="006D658B"/>
    <w:rsid w:val="006E2D4B"/>
    <w:rsid w:val="006E30E6"/>
    <w:rsid w:val="006E3636"/>
    <w:rsid w:val="006F10A5"/>
    <w:rsid w:val="006F5FB2"/>
    <w:rsid w:val="00700B1D"/>
    <w:rsid w:val="00700C72"/>
    <w:rsid w:val="00705217"/>
    <w:rsid w:val="007069BA"/>
    <w:rsid w:val="007133F9"/>
    <w:rsid w:val="00715397"/>
    <w:rsid w:val="007216EA"/>
    <w:rsid w:val="00726CE5"/>
    <w:rsid w:val="00731EA5"/>
    <w:rsid w:val="00732B04"/>
    <w:rsid w:val="007339F5"/>
    <w:rsid w:val="00743A78"/>
    <w:rsid w:val="00756C97"/>
    <w:rsid w:val="007703A7"/>
    <w:rsid w:val="00770FCE"/>
    <w:rsid w:val="00776B5B"/>
    <w:rsid w:val="00781C2B"/>
    <w:rsid w:val="00781EEE"/>
    <w:rsid w:val="00782081"/>
    <w:rsid w:val="00782D33"/>
    <w:rsid w:val="00787515"/>
    <w:rsid w:val="007904B5"/>
    <w:rsid w:val="0079090E"/>
    <w:rsid w:val="007A1D18"/>
    <w:rsid w:val="007B6ABF"/>
    <w:rsid w:val="007C3384"/>
    <w:rsid w:val="007C66D9"/>
    <w:rsid w:val="007D22F1"/>
    <w:rsid w:val="007D3CB8"/>
    <w:rsid w:val="007D5FE7"/>
    <w:rsid w:val="007D70A6"/>
    <w:rsid w:val="007F667C"/>
    <w:rsid w:val="007F7BF4"/>
    <w:rsid w:val="00800DF4"/>
    <w:rsid w:val="00801A59"/>
    <w:rsid w:val="00805756"/>
    <w:rsid w:val="00815A9A"/>
    <w:rsid w:val="00817EED"/>
    <w:rsid w:val="0082317C"/>
    <w:rsid w:val="0083471C"/>
    <w:rsid w:val="008460B5"/>
    <w:rsid w:val="0084627A"/>
    <w:rsid w:val="00855AF6"/>
    <w:rsid w:val="00856AFC"/>
    <w:rsid w:val="00862651"/>
    <w:rsid w:val="00877C34"/>
    <w:rsid w:val="008827C1"/>
    <w:rsid w:val="00887F97"/>
    <w:rsid w:val="00893239"/>
    <w:rsid w:val="0089453C"/>
    <w:rsid w:val="008959B5"/>
    <w:rsid w:val="008A3650"/>
    <w:rsid w:val="008A4985"/>
    <w:rsid w:val="008A52C2"/>
    <w:rsid w:val="008A69A3"/>
    <w:rsid w:val="008B3EFB"/>
    <w:rsid w:val="008B5C96"/>
    <w:rsid w:val="008C06E4"/>
    <w:rsid w:val="008D38FE"/>
    <w:rsid w:val="008D4A79"/>
    <w:rsid w:val="008F357A"/>
    <w:rsid w:val="00901301"/>
    <w:rsid w:val="0090130F"/>
    <w:rsid w:val="00915BD3"/>
    <w:rsid w:val="00923CA3"/>
    <w:rsid w:val="009264E1"/>
    <w:rsid w:val="00932F01"/>
    <w:rsid w:val="00946466"/>
    <w:rsid w:val="00946F74"/>
    <w:rsid w:val="00954E48"/>
    <w:rsid w:val="009573F3"/>
    <w:rsid w:val="00962C76"/>
    <w:rsid w:val="00962EE1"/>
    <w:rsid w:val="00967BED"/>
    <w:rsid w:val="00973D1B"/>
    <w:rsid w:val="00974012"/>
    <w:rsid w:val="0098196C"/>
    <w:rsid w:val="00987B43"/>
    <w:rsid w:val="009903B7"/>
    <w:rsid w:val="009C2644"/>
    <w:rsid w:val="009C4568"/>
    <w:rsid w:val="009C4D4C"/>
    <w:rsid w:val="009C53F7"/>
    <w:rsid w:val="009C7350"/>
    <w:rsid w:val="009E0B8F"/>
    <w:rsid w:val="009E6AF5"/>
    <w:rsid w:val="009E7418"/>
    <w:rsid w:val="009F6DF3"/>
    <w:rsid w:val="00A1538A"/>
    <w:rsid w:val="00A17854"/>
    <w:rsid w:val="00A206A1"/>
    <w:rsid w:val="00A241F1"/>
    <w:rsid w:val="00A306F6"/>
    <w:rsid w:val="00A353D2"/>
    <w:rsid w:val="00A3748A"/>
    <w:rsid w:val="00A461FC"/>
    <w:rsid w:val="00A46F56"/>
    <w:rsid w:val="00A500DB"/>
    <w:rsid w:val="00A5074B"/>
    <w:rsid w:val="00A514AC"/>
    <w:rsid w:val="00A53CDA"/>
    <w:rsid w:val="00A5565C"/>
    <w:rsid w:val="00A604EC"/>
    <w:rsid w:val="00A60F2A"/>
    <w:rsid w:val="00A801DF"/>
    <w:rsid w:val="00A850EC"/>
    <w:rsid w:val="00A86E9F"/>
    <w:rsid w:val="00A90FF8"/>
    <w:rsid w:val="00A93EA9"/>
    <w:rsid w:val="00A95100"/>
    <w:rsid w:val="00A967C3"/>
    <w:rsid w:val="00A96A79"/>
    <w:rsid w:val="00A976E9"/>
    <w:rsid w:val="00AA59D0"/>
    <w:rsid w:val="00AB647D"/>
    <w:rsid w:val="00AC41B8"/>
    <w:rsid w:val="00AC703E"/>
    <w:rsid w:val="00AD0529"/>
    <w:rsid w:val="00AE34D5"/>
    <w:rsid w:val="00AE3AF4"/>
    <w:rsid w:val="00AF2047"/>
    <w:rsid w:val="00B043B6"/>
    <w:rsid w:val="00B05C79"/>
    <w:rsid w:val="00B06831"/>
    <w:rsid w:val="00B122CA"/>
    <w:rsid w:val="00B12392"/>
    <w:rsid w:val="00B150DF"/>
    <w:rsid w:val="00B2083A"/>
    <w:rsid w:val="00B20E54"/>
    <w:rsid w:val="00B34478"/>
    <w:rsid w:val="00B51B41"/>
    <w:rsid w:val="00B51C7B"/>
    <w:rsid w:val="00B51F89"/>
    <w:rsid w:val="00B52C92"/>
    <w:rsid w:val="00B54C4F"/>
    <w:rsid w:val="00B6116C"/>
    <w:rsid w:val="00B77AF7"/>
    <w:rsid w:val="00B90CE3"/>
    <w:rsid w:val="00B96480"/>
    <w:rsid w:val="00BA4F70"/>
    <w:rsid w:val="00BC0961"/>
    <w:rsid w:val="00BC6200"/>
    <w:rsid w:val="00BC6FC6"/>
    <w:rsid w:val="00BD1255"/>
    <w:rsid w:val="00BD2307"/>
    <w:rsid w:val="00BE1DF8"/>
    <w:rsid w:val="00BF0B28"/>
    <w:rsid w:val="00C00F4C"/>
    <w:rsid w:val="00C034BD"/>
    <w:rsid w:val="00C112A5"/>
    <w:rsid w:val="00C17BA8"/>
    <w:rsid w:val="00C237FA"/>
    <w:rsid w:val="00C248B4"/>
    <w:rsid w:val="00C33AED"/>
    <w:rsid w:val="00C353EA"/>
    <w:rsid w:val="00C41FC0"/>
    <w:rsid w:val="00C44552"/>
    <w:rsid w:val="00C6401D"/>
    <w:rsid w:val="00C707E2"/>
    <w:rsid w:val="00C720EF"/>
    <w:rsid w:val="00C77097"/>
    <w:rsid w:val="00C773A2"/>
    <w:rsid w:val="00C81A29"/>
    <w:rsid w:val="00C84BFB"/>
    <w:rsid w:val="00C8580E"/>
    <w:rsid w:val="00C870E2"/>
    <w:rsid w:val="00C90A0A"/>
    <w:rsid w:val="00C92AA4"/>
    <w:rsid w:val="00C94605"/>
    <w:rsid w:val="00CA3258"/>
    <w:rsid w:val="00CB0C83"/>
    <w:rsid w:val="00CC1970"/>
    <w:rsid w:val="00CC3B7F"/>
    <w:rsid w:val="00CD0382"/>
    <w:rsid w:val="00CD59DC"/>
    <w:rsid w:val="00CE6D81"/>
    <w:rsid w:val="00CF35E3"/>
    <w:rsid w:val="00CF76E9"/>
    <w:rsid w:val="00D00008"/>
    <w:rsid w:val="00D06679"/>
    <w:rsid w:val="00D127FC"/>
    <w:rsid w:val="00D17BCD"/>
    <w:rsid w:val="00D2359A"/>
    <w:rsid w:val="00D242CC"/>
    <w:rsid w:val="00D302AC"/>
    <w:rsid w:val="00D3689F"/>
    <w:rsid w:val="00D36EBB"/>
    <w:rsid w:val="00D42770"/>
    <w:rsid w:val="00D43D18"/>
    <w:rsid w:val="00D475C7"/>
    <w:rsid w:val="00D54352"/>
    <w:rsid w:val="00D547E2"/>
    <w:rsid w:val="00D54B46"/>
    <w:rsid w:val="00D55A60"/>
    <w:rsid w:val="00D627E8"/>
    <w:rsid w:val="00D6448D"/>
    <w:rsid w:val="00D64B7F"/>
    <w:rsid w:val="00D70373"/>
    <w:rsid w:val="00D7112E"/>
    <w:rsid w:val="00D71CB2"/>
    <w:rsid w:val="00D73518"/>
    <w:rsid w:val="00D764D9"/>
    <w:rsid w:val="00D91BB1"/>
    <w:rsid w:val="00D96604"/>
    <w:rsid w:val="00DA05F7"/>
    <w:rsid w:val="00DA4360"/>
    <w:rsid w:val="00DA65B0"/>
    <w:rsid w:val="00DB0782"/>
    <w:rsid w:val="00DB4AF4"/>
    <w:rsid w:val="00DC37FE"/>
    <w:rsid w:val="00DC7569"/>
    <w:rsid w:val="00DE205C"/>
    <w:rsid w:val="00DE5690"/>
    <w:rsid w:val="00DE5B6D"/>
    <w:rsid w:val="00DF0D70"/>
    <w:rsid w:val="00DF5EEB"/>
    <w:rsid w:val="00DF5FF5"/>
    <w:rsid w:val="00E12FD4"/>
    <w:rsid w:val="00E16C2C"/>
    <w:rsid w:val="00E27B44"/>
    <w:rsid w:val="00E36959"/>
    <w:rsid w:val="00E44AFD"/>
    <w:rsid w:val="00E54CAE"/>
    <w:rsid w:val="00E55FC9"/>
    <w:rsid w:val="00E64A88"/>
    <w:rsid w:val="00E704A4"/>
    <w:rsid w:val="00E70A02"/>
    <w:rsid w:val="00E75F26"/>
    <w:rsid w:val="00EB57B1"/>
    <w:rsid w:val="00EC269B"/>
    <w:rsid w:val="00EC5212"/>
    <w:rsid w:val="00EC5AB8"/>
    <w:rsid w:val="00EC76E5"/>
    <w:rsid w:val="00ED07BC"/>
    <w:rsid w:val="00ED2099"/>
    <w:rsid w:val="00ED23B4"/>
    <w:rsid w:val="00EE2753"/>
    <w:rsid w:val="00EE65F3"/>
    <w:rsid w:val="00EF045A"/>
    <w:rsid w:val="00EF2D2F"/>
    <w:rsid w:val="00EF672C"/>
    <w:rsid w:val="00F11974"/>
    <w:rsid w:val="00F168D8"/>
    <w:rsid w:val="00F17EB0"/>
    <w:rsid w:val="00F21869"/>
    <w:rsid w:val="00F21AF2"/>
    <w:rsid w:val="00F346AB"/>
    <w:rsid w:val="00F56B6B"/>
    <w:rsid w:val="00F662C2"/>
    <w:rsid w:val="00F6674B"/>
    <w:rsid w:val="00F67A38"/>
    <w:rsid w:val="00F70402"/>
    <w:rsid w:val="00F7428E"/>
    <w:rsid w:val="00F772B5"/>
    <w:rsid w:val="00F81B62"/>
    <w:rsid w:val="00F81C4E"/>
    <w:rsid w:val="00F83710"/>
    <w:rsid w:val="00FA1E8F"/>
    <w:rsid w:val="00FA6D64"/>
    <w:rsid w:val="00FB59C4"/>
    <w:rsid w:val="00FB6AA6"/>
    <w:rsid w:val="00FC3890"/>
    <w:rsid w:val="00FC6657"/>
    <w:rsid w:val="00FC70F1"/>
    <w:rsid w:val="00FD4F52"/>
    <w:rsid w:val="00FD6918"/>
    <w:rsid w:val="00FD71F6"/>
    <w:rsid w:val="00FE554B"/>
    <w:rsid w:val="00FE5B48"/>
    <w:rsid w:val="00FE6AAE"/>
    <w:rsid w:val="00FF01C4"/>
    <w:rsid w:val="00FF1F03"/>
    <w:rsid w:val="00FF3497"/>
    <w:rsid w:val="00FF3884"/>
    <w:rsid w:val="00FF3936"/>
    <w:rsid w:val="00FF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185123"/>
  <w15:docId w15:val="{FC0F9C33-0A84-45D9-A1E5-FE7F4F72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46"/>
    <w:pPr>
      <w:spacing w:after="160" w:line="259" w:lineRule="auto"/>
    </w:pPr>
    <w:rPr>
      <w:sz w:val="22"/>
      <w:szCs w:val="22"/>
    </w:rPr>
  </w:style>
  <w:style w:type="paragraph" w:styleId="Heading7">
    <w:name w:val="heading 7"/>
    <w:basedOn w:val="Normal"/>
    <w:next w:val="Normal"/>
    <w:link w:val="Heading7Char"/>
    <w:qFormat/>
    <w:rsid w:val="00DA65B0"/>
    <w:pPr>
      <w:keepNext/>
      <w:spacing w:after="0" w:line="240" w:lineRule="auto"/>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6D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53FBE"/>
    <w:pPr>
      <w:spacing w:after="0" w:line="240" w:lineRule="auto"/>
      <w:ind w:left="720"/>
      <w:contextualSpacing/>
    </w:pPr>
    <w:rPr>
      <w:rFonts w:ascii="Times New Roman" w:eastAsia="Times New Roman" w:hAnsi="Times New Roman"/>
      <w:sz w:val="24"/>
      <w:szCs w:val="24"/>
    </w:rPr>
  </w:style>
  <w:style w:type="paragraph" w:styleId="BodyTextIndent">
    <w:name w:val="Body Text Indent"/>
    <w:basedOn w:val="Normal"/>
    <w:link w:val="BodyTextIndentChar"/>
    <w:rsid w:val="00007ADF"/>
    <w:pPr>
      <w:spacing w:after="0" w:line="240" w:lineRule="auto"/>
      <w:ind w:left="360"/>
      <w:jc w:val="both"/>
    </w:pPr>
    <w:rPr>
      <w:rFonts w:ascii="Arial" w:eastAsia="Times New Roman" w:hAnsi="Arial"/>
      <w:szCs w:val="20"/>
    </w:rPr>
  </w:style>
  <w:style w:type="character" w:customStyle="1" w:styleId="BodyTextIndentChar">
    <w:name w:val="Body Text Indent Char"/>
    <w:link w:val="BodyTextIndent"/>
    <w:rsid w:val="00007ADF"/>
    <w:rPr>
      <w:rFonts w:ascii="Arial" w:eastAsia="Times New Roman" w:hAnsi="Arial" w:cs="Times New Roman"/>
      <w:szCs w:val="20"/>
    </w:rPr>
  </w:style>
  <w:style w:type="character" w:styleId="Hyperlink">
    <w:name w:val="Hyperlink"/>
    <w:uiPriority w:val="99"/>
    <w:unhideWhenUsed/>
    <w:rsid w:val="00007ADF"/>
    <w:rPr>
      <w:color w:val="0563C1"/>
      <w:u w:val="single"/>
    </w:rPr>
  </w:style>
  <w:style w:type="character" w:customStyle="1" w:styleId="UnresolvedMention1">
    <w:name w:val="Unresolved Mention1"/>
    <w:uiPriority w:val="99"/>
    <w:semiHidden/>
    <w:unhideWhenUsed/>
    <w:rsid w:val="00007ADF"/>
    <w:rPr>
      <w:color w:val="605E5C"/>
      <w:shd w:val="clear" w:color="auto" w:fill="E1DFDD"/>
    </w:rPr>
  </w:style>
  <w:style w:type="character" w:customStyle="1" w:styleId="Heading7Char">
    <w:name w:val="Heading 7 Char"/>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30"/>
      </w:numPr>
      <w:spacing w:after="240" w:line="240" w:lineRule="auto"/>
      <w:outlineLvl w:val="0"/>
    </w:pPr>
    <w:rPr>
      <w:rFonts w:ascii="Times New Roman" w:eastAsia="Times New Roman" w:hAnsi="Times New Roman"/>
      <w:sz w:val="24"/>
      <w:szCs w:val="20"/>
      <w:lang w:val="en-CA"/>
    </w:rPr>
  </w:style>
  <w:style w:type="paragraph" w:customStyle="1" w:styleId="CP2">
    <w:name w:val="CP2"/>
    <w:basedOn w:val="Normal"/>
    <w:rsid w:val="000964C8"/>
    <w:pPr>
      <w:numPr>
        <w:ilvl w:val="1"/>
        <w:numId w:val="30"/>
      </w:numPr>
      <w:spacing w:after="240" w:line="240" w:lineRule="auto"/>
      <w:jc w:val="both"/>
      <w:outlineLvl w:val="1"/>
    </w:pPr>
    <w:rPr>
      <w:rFonts w:ascii="Times New Roman" w:eastAsia="Times New Roman" w:hAnsi="Times New Roman"/>
      <w:sz w:val="24"/>
      <w:szCs w:val="20"/>
      <w:lang w:val="en-CA"/>
    </w:rPr>
  </w:style>
  <w:style w:type="paragraph" w:customStyle="1" w:styleId="CP3">
    <w:name w:val="CP3"/>
    <w:basedOn w:val="Normal"/>
    <w:rsid w:val="000964C8"/>
    <w:pPr>
      <w:numPr>
        <w:ilvl w:val="2"/>
        <w:numId w:val="30"/>
      </w:numPr>
      <w:spacing w:after="240" w:line="240" w:lineRule="auto"/>
      <w:jc w:val="both"/>
    </w:pPr>
    <w:rPr>
      <w:rFonts w:ascii="Times New Roman" w:eastAsia="Times New Roman" w:hAnsi="Times New Roman"/>
      <w:sz w:val="24"/>
      <w:szCs w:val="20"/>
      <w:lang w:val="en-CA"/>
    </w:rPr>
  </w:style>
  <w:style w:type="paragraph" w:customStyle="1" w:styleId="CP4">
    <w:name w:val="CP4"/>
    <w:basedOn w:val="Normal"/>
    <w:rsid w:val="000964C8"/>
    <w:pPr>
      <w:numPr>
        <w:ilvl w:val="3"/>
        <w:numId w:val="30"/>
      </w:numPr>
      <w:spacing w:after="240" w:line="240" w:lineRule="auto"/>
    </w:pPr>
    <w:rPr>
      <w:rFonts w:ascii="Times New Roman" w:eastAsia="Times New Roman" w:hAnsi="Times New Roman"/>
      <w:sz w:val="24"/>
      <w:szCs w:val="20"/>
      <w:lang w:val="en-CA"/>
    </w:rPr>
  </w:style>
  <w:style w:type="paragraph" w:customStyle="1" w:styleId="CP5">
    <w:name w:val="CP5"/>
    <w:basedOn w:val="Normal"/>
    <w:rsid w:val="000964C8"/>
    <w:pPr>
      <w:numPr>
        <w:ilvl w:val="4"/>
        <w:numId w:val="30"/>
      </w:numPr>
      <w:spacing w:after="240" w:line="240" w:lineRule="auto"/>
    </w:pPr>
    <w:rPr>
      <w:rFonts w:ascii="Times New Roman" w:eastAsia="Times New Roman" w:hAnsi="Times New Roman"/>
      <w:sz w:val="24"/>
      <w:szCs w:val="20"/>
      <w:lang w:val="en-CA"/>
    </w:rPr>
  </w:style>
  <w:style w:type="paragraph" w:customStyle="1" w:styleId="CP6">
    <w:name w:val="CP6"/>
    <w:basedOn w:val="Normal"/>
    <w:rsid w:val="000964C8"/>
    <w:pPr>
      <w:numPr>
        <w:ilvl w:val="5"/>
        <w:numId w:val="30"/>
      </w:numPr>
      <w:spacing w:after="240" w:line="240" w:lineRule="auto"/>
    </w:pPr>
    <w:rPr>
      <w:rFonts w:ascii="Times New Roman" w:eastAsia="Times New Roman" w:hAnsi="Times New Roman"/>
      <w:sz w:val="24"/>
      <w:szCs w:val="20"/>
      <w:lang w:val="en-CA"/>
    </w:rPr>
  </w:style>
  <w:style w:type="paragraph" w:customStyle="1" w:styleId="CP7">
    <w:name w:val="CP7"/>
    <w:basedOn w:val="Normal"/>
    <w:rsid w:val="000964C8"/>
    <w:pPr>
      <w:numPr>
        <w:ilvl w:val="6"/>
        <w:numId w:val="30"/>
      </w:numPr>
      <w:spacing w:after="240" w:line="240" w:lineRule="auto"/>
    </w:pPr>
    <w:rPr>
      <w:rFonts w:ascii="Times New Roman" w:eastAsia="Times New Roman" w:hAnsi="Times New Roman"/>
      <w:sz w:val="24"/>
      <w:szCs w:val="20"/>
      <w:lang w:val="en-CA"/>
    </w:rPr>
  </w:style>
  <w:style w:type="paragraph" w:customStyle="1" w:styleId="CP8">
    <w:name w:val="CP8"/>
    <w:basedOn w:val="Normal"/>
    <w:rsid w:val="000964C8"/>
    <w:pPr>
      <w:numPr>
        <w:ilvl w:val="7"/>
        <w:numId w:val="30"/>
      </w:numPr>
      <w:spacing w:after="240" w:line="240" w:lineRule="auto"/>
    </w:pPr>
    <w:rPr>
      <w:rFonts w:ascii="Times New Roman" w:eastAsia="Times New Roman" w:hAnsi="Times New Roman"/>
      <w:sz w:val="24"/>
      <w:szCs w:val="20"/>
      <w:lang w:val="en-CA"/>
    </w:rPr>
  </w:style>
  <w:style w:type="paragraph" w:customStyle="1" w:styleId="CP9">
    <w:name w:val="CP9"/>
    <w:basedOn w:val="Normal"/>
    <w:rsid w:val="000964C8"/>
    <w:pPr>
      <w:numPr>
        <w:ilvl w:val="8"/>
        <w:numId w:val="30"/>
      </w:numPr>
      <w:spacing w:after="240" w:line="240" w:lineRule="auto"/>
    </w:pPr>
    <w:rPr>
      <w:rFonts w:ascii="Times New Roman" w:eastAsia="Times New Roman" w:hAnsi="Times New Roman"/>
      <w:sz w:val="24"/>
      <w:szCs w:val="20"/>
      <w:lang w:val="en-CA"/>
    </w:rPr>
  </w:style>
  <w:style w:type="character" w:styleId="CommentReference">
    <w:name w:val="annotation reference"/>
    <w:semiHidden/>
    <w:unhideWhenUsed/>
    <w:rsid w:val="00B043B6"/>
    <w:rPr>
      <w:sz w:val="16"/>
      <w:szCs w:val="16"/>
    </w:rPr>
  </w:style>
  <w:style w:type="paragraph" w:styleId="CommentText">
    <w:name w:val="annotation text"/>
    <w:basedOn w:val="Normal"/>
    <w:link w:val="CommentTextChar"/>
    <w:semiHidden/>
    <w:unhideWhenUsed/>
    <w:rsid w:val="00B043B6"/>
    <w:pPr>
      <w:spacing w:line="240" w:lineRule="auto"/>
    </w:pPr>
    <w:rPr>
      <w:sz w:val="20"/>
      <w:szCs w:val="20"/>
    </w:rPr>
  </w:style>
  <w:style w:type="character" w:customStyle="1" w:styleId="CommentTextChar">
    <w:name w:val="Comment Text Char"/>
    <w:link w:val="CommentText"/>
    <w:semiHidden/>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link w:val="CommentSubject"/>
    <w:uiPriority w:val="99"/>
    <w:semiHidden/>
    <w:rsid w:val="00B043B6"/>
    <w:rPr>
      <w:b/>
      <w:bCs/>
      <w:sz w:val="20"/>
      <w:szCs w:val="20"/>
    </w:rPr>
  </w:style>
  <w:style w:type="paragraph" w:styleId="ListParagraph">
    <w:name w:val="List Paragraph"/>
    <w:basedOn w:val="Normal"/>
    <w:uiPriority w:val="34"/>
    <w:qFormat/>
    <w:rsid w:val="005D4546"/>
    <w:pPr>
      <w:spacing w:after="0" w:line="240" w:lineRule="auto"/>
      <w:ind w:left="720"/>
      <w:contextualSpacing/>
    </w:pPr>
    <w:rPr>
      <w:rFonts w:ascii="Times New Roman" w:eastAsia="Times New Roman" w:hAnsi="Times New Roman"/>
      <w:sz w:val="24"/>
      <w:szCs w:val="24"/>
      <w:lang w:val="en-CA"/>
    </w:rPr>
  </w:style>
  <w:style w:type="character" w:styleId="Strong">
    <w:name w:val="Strong"/>
    <w:basedOn w:val="DefaultParagraphFont"/>
    <w:uiPriority w:val="22"/>
    <w:qFormat/>
    <w:rsid w:val="00AE3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551">
      <w:bodyDiv w:val="1"/>
      <w:marLeft w:val="0"/>
      <w:marRight w:val="0"/>
      <w:marTop w:val="0"/>
      <w:marBottom w:val="0"/>
      <w:divBdr>
        <w:top w:val="none" w:sz="0" w:space="0" w:color="auto"/>
        <w:left w:val="none" w:sz="0" w:space="0" w:color="auto"/>
        <w:bottom w:val="none" w:sz="0" w:space="0" w:color="auto"/>
        <w:right w:val="none" w:sz="0" w:space="0" w:color="auto"/>
      </w:divBdr>
    </w:div>
    <w:div w:id="10107296">
      <w:bodyDiv w:val="1"/>
      <w:marLeft w:val="0"/>
      <w:marRight w:val="0"/>
      <w:marTop w:val="0"/>
      <w:marBottom w:val="0"/>
      <w:divBdr>
        <w:top w:val="none" w:sz="0" w:space="0" w:color="auto"/>
        <w:left w:val="none" w:sz="0" w:space="0" w:color="auto"/>
        <w:bottom w:val="none" w:sz="0" w:space="0" w:color="auto"/>
        <w:right w:val="none" w:sz="0" w:space="0" w:color="auto"/>
      </w:divBdr>
    </w:div>
    <w:div w:id="166217225">
      <w:bodyDiv w:val="1"/>
      <w:marLeft w:val="0"/>
      <w:marRight w:val="0"/>
      <w:marTop w:val="0"/>
      <w:marBottom w:val="0"/>
      <w:divBdr>
        <w:top w:val="none" w:sz="0" w:space="0" w:color="auto"/>
        <w:left w:val="none" w:sz="0" w:space="0" w:color="auto"/>
        <w:bottom w:val="none" w:sz="0" w:space="0" w:color="auto"/>
        <w:right w:val="none" w:sz="0" w:space="0" w:color="auto"/>
      </w:divBdr>
    </w:div>
    <w:div w:id="186718327">
      <w:bodyDiv w:val="1"/>
      <w:marLeft w:val="0"/>
      <w:marRight w:val="0"/>
      <w:marTop w:val="0"/>
      <w:marBottom w:val="0"/>
      <w:divBdr>
        <w:top w:val="none" w:sz="0" w:space="0" w:color="auto"/>
        <w:left w:val="none" w:sz="0" w:space="0" w:color="auto"/>
        <w:bottom w:val="none" w:sz="0" w:space="0" w:color="auto"/>
        <w:right w:val="none" w:sz="0" w:space="0" w:color="auto"/>
      </w:divBdr>
    </w:div>
    <w:div w:id="244726667">
      <w:bodyDiv w:val="1"/>
      <w:marLeft w:val="0"/>
      <w:marRight w:val="0"/>
      <w:marTop w:val="0"/>
      <w:marBottom w:val="0"/>
      <w:divBdr>
        <w:top w:val="none" w:sz="0" w:space="0" w:color="auto"/>
        <w:left w:val="none" w:sz="0" w:space="0" w:color="auto"/>
        <w:bottom w:val="none" w:sz="0" w:space="0" w:color="auto"/>
        <w:right w:val="none" w:sz="0" w:space="0" w:color="auto"/>
      </w:divBdr>
    </w:div>
    <w:div w:id="261425274">
      <w:bodyDiv w:val="1"/>
      <w:marLeft w:val="0"/>
      <w:marRight w:val="0"/>
      <w:marTop w:val="0"/>
      <w:marBottom w:val="0"/>
      <w:divBdr>
        <w:top w:val="none" w:sz="0" w:space="0" w:color="auto"/>
        <w:left w:val="none" w:sz="0" w:space="0" w:color="auto"/>
        <w:bottom w:val="none" w:sz="0" w:space="0" w:color="auto"/>
        <w:right w:val="none" w:sz="0" w:space="0" w:color="auto"/>
      </w:divBdr>
      <w:divsChild>
        <w:div w:id="753749451">
          <w:marLeft w:val="0"/>
          <w:marRight w:val="0"/>
          <w:marTop w:val="0"/>
          <w:marBottom w:val="0"/>
          <w:divBdr>
            <w:top w:val="none" w:sz="0" w:space="0" w:color="auto"/>
            <w:left w:val="none" w:sz="0" w:space="0" w:color="auto"/>
            <w:bottom w:val="none" w:sz="0" w:space="0" w:color="auto"/>
            <w:right w:val="none" w:sz="0" w:space="0" w:color="auto"/>
          </w:divBdr>
          <w:divsChild>
            <w:div w:id="2012947149">
              <w:marLeft w:val="0"/>
              <w:marRight w:val="0"/>
              <w:marTop w:val="0"/>
              <w:marBottom w:val="0"/>
              <w:divBdr>
                <w:top w:val="none" w:sz="0" w:space="0" w:color="auto"/>
                <w:left w:val="none" w:sz="0" w:space="0" w:color="auto"/>
                <w:bottom w:val="none" w:sz="0" w:space="0" w:color="auto"/>
                <w:right w:val="none" w:sz="0" w:space="0" w:color="auto"/>
              </w:divBdr>
              <w:divsChild>
                <w:div w:id="295722691">
                  <w:marLeft w:val="0"/>
                  <w:marRight w:val="0"/>
                  <w:marTop w:val="0"/>
                  <w:marBottom w:val="0"/>
                  <w:divBdr>
                    <w:top w:val="none" w:sz="0" w:space="0" w:color="auto"/>
                    <w:left w:val="none" w:sz="0" w:space="0" w:color="auto"/>
                    <w:bottom w:val="none" w:sz="0" w:space="0" w:color="auto"/>
                    <w:right w:val="none" w:sz="0" w:space="0" w:color="auto"/>
                  </w:divBdr>
                  <w:divsChild>
                    <w:div w:id="1103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665">
      <w:bodyDiv w:val="1"/>
      <w:marLeft w:val="0"/>
      <w:marRight w:val="0"/>
      <w:marTop w:val="0"/>
      <w:marBottom w:val="0"/>
      <w:divBdr>
        <w:top w:val="none" w:sz="0" w:space="0" w:color="auto"/>
        <w:left w:val="none" w:sz="0" w:space="0" w:color="auto"/>
        <w:bottom w:val="none" w:sz="0" w:space="0" w:color="auto"/>
        <w:right w:val="none" w:sz="0" w:space="0" w:color="auto"/>
      </w:divBdr>
      <w:divsChild>
        <w:div w:id="377559713">
          <w:marLeft w:val="0"/>
          <w:marRight w:val="0"/>
          <w:marTop w:val="0"/>
          <w:marBottom w:val="0"/>
          <w:divBdr>
            <w:top w:val="none" w:sz="0" w:space="0" w:color="auto"/>
            <w:left w:val="none" w:sz="0" w:space="0" w:color="auto"/>
            <w:bottom w:val="none" w:sz="0" w:space="0" w:color="auto"/>
            <w:right w:val="none" w:sz="0" w:space="0" w:color="auto"/>
          </w:divBdr>
          <w:divsChild>
            <w:div w:id="1970158770">
              <w:marLeft w:val="0"/>
              <w:marRight w:val="0"/>
              <w:marTop w:val="0"/>
              <w:marBottom w:val="0"/>
              <w:divBdr>
                <w:top w:val="none" w:sz="0" w:space="0" w:color="auto"/>
                <w:left w:val="none" w:sz="0" w:space="0" w:color="auto"/>
                <w:bottom w:val="none" w:sz="0" w:space="0" w:color="auto"/>
                <w:right w:val="none" w:sz="0" w:space="0" w:color="auto"/>
              </w:divBdr>
              <w:divsChild>
                <w:div w:id="1262450155">
                  <w:marLeft w:val="0"/>
                  <w:marRight w:val="0"/>
                  <w:marTop w:val="0"/>
                  <w:marBottom w:val="0"/>
                  <w:divBdr>
                    <w:top w:val="none" w:sz="0" w:space="0" w:color="auto"/>
                    <w:left w:val="none" w:sz="0" w:space="0" w:color="auto"/>
                    <w:bottom w:val="none" w:sz="0" w:space="0" w:color="auto"/>
                    <w:right w:val="none" w:sz="0" w:space="0" w:color="auto"/>
                  </w:divBdr>
                  <w:divsChild>
                    <w:div w:id="3670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78727">
      <w:bodyDiv w:val="1"/>
      <w:marLeft w:val="0"/>
      <w:marRight w:val="0"/>
      <w:marTop w:val="0"/>
      <w:marBottom w:val="0"/>
      <w:divBdr>
        <w:top w:val="none" w:sz="0" w:space="0" w:color="auto"/>
        <w:left w:val="none" w:sz="0" w:space="0" w:color="auto"/>
        <w:bottom w:val="none" w:sz="0" w:space="0" w:color="auto"/>
        <w:right w:val="none" w:sz="0" w:space="0" w:color="auto"/>
      </w:divBdr>
    </w:div>
    <w:div w:id="360862429">
      <w:bodyDiv w:val="1"/>
      <w:marLeft w:val="0"/>
      <w:marRight w:val="0"/>
      <w:marTop w:val="0"/>
      <w:marBottom w:val="0"/>
      <w:divBdr>
        <w:top w:val="none" w:sz="0" w:space="0" w:color="auto"/>
        <w:left w:val="none" w:sz="0" w:space="0" w:color="auto"/>
        <w:bottom w:val="none" w:sz="0" w:space="0" w:color="auto"/>
        <w:right w:val="none" w:sz="0" w:space="0" w:color="auto"/>
      </w:divBdr>
    </w:div>
    <w:div w:id="478159774">
      <w:bodyDiv w:val="1"/>
      <w:marLeft w:val="0"/>
      <w:marRight w:val="0"/>
      <w:marTop w:val="0"/>
      <w:marBottom w:val="0"/>
      <w:divBdr>
        <w:top w:val="none" w:sz="0" w:space="0" w:color="auto"/>
        <w:left w:val="none" w:sz="0" w:space="0" w:color="auto"/>
        <w:bottom w:val="none" w:sz="0" w:space="0" w:color="auto"/>
        <w:right w:val="none" w:sz="0" w:space="0" w:color="auto"/>
      </w:divBdr>
    </w:div>
    <w:div w:id="562181215">
      <w:bodyDiv w:val="1"/>
      <w:marLeft w:val="0"/>
      <w:marRight w:val="0"/>
      <w:marTop w:val="0"/>
      <w:marBottom w:val="0"/>
      <w:divBdr>
        <w:top w:val="none" w:sz="0" w:space="0" w:color="auto"/>
        <w:left w:val="none" w:sz="0" w:space="0" w:color="auto"/>
        <w:bottom w:val="none" w:sz="0" w:space="0" w:color="auto"/>
        <w:right w:val="none" w:sz="0" w:space="0" w:color="auto"/>
      </w:divBdr>
      <w:divsChild>
        <w:div w:id="421529077">
          <w:marLeft w:val="0"/>
          <w:marRight w:val="0"/>
          <w:marTop w:val="0"/>
          <w:marBottom w:val="0"/>
          <w:divBdr>
            <w:top w:val="none" w:sz="0" w:space="0" w:color="auto"/>
            <w:left w:val="none" w:sz="0" w:space="0" w:color="auto"/>
            <w:bottom w:val="none" w:sz="0" w:space="0" w:color="auto"/>
            <w:right w:val="none" w:sz="0" w:space="0" w:color="auto"/>
          </w:divBdr>
          <w:divsChild>
            <w:div w:id="1390299772">
              <w:marLeft w:val="0"/>
              <w:marRight w:val="0"/>
              <w:marTop w:val="0"/>
              <w:marBottom w:val="0"/>
              <w:divBdr>
                <w:top w:val="none" w:sz="0" w:space="0" w:color="auto"/>
                <w:left w:val="none" w:sz="0" w:space="0" w:color="auto"/>
                <w:bottom w:val="none" w:sz="0" w:space="0" w:color="auto"/>
                <w:right w:val="none" w:sz="0" w:space="0" w:color="auto"/>
              </w:divBdr>
              <w:divsChild>
                <w:div w:id="195192114">
                  <w:marLeft w:val="0"/>
                  <w:marRight w:val="0"/>
                  <w:marTop w:val="0"/>
                  <w:marBottom w:val="0"/>
                  <w:divBdr>
                    <w:top w:val="none" w:sz="0" w:space="0" w:color="auto"/>
                    <w:left w:val="none" w:sz="0" w:space="0" w:color="auto"/>
                    <w:bottom w:val="none" w:sz="0" w:space="0" w:color="auto"/>
                    <w:right w:val="none" w:sz="0" w:space="0" w:color="auto"/>
                  </w:divBdr>
                  <w:divsChild>
                    <w:div w:id="1481337810">
                      <w:marLeft w:val="0"/>
                      <w:marRight w:val="0"/>
                      <w:marTop w:val="0"/>
                      <w:marBottom w:val="0"/>
                      <w:divBdr>
                        <w:top w:val="none" w:sz="0" w:space="0" w:color="auto"/>
                        <w:left w:val="none" w:sz="0" w:space="0" w:color="auto"/>
                        <w:bottom w:val="none" w:sz="0" w:space="0" w:color="auto"/>
                        <w:right w:val="none" w:sz="0" w:space="0" w:color="auto"/>
                      </w:divBdr>
                    </w:div>
                  </w:divsChild>
                </w:div>
                <w:div w:id="1058631552">
                  <w:marLeft w:val="0"/>
                  <w:marRight w:val="0"/>
                  <w:marTop w:val="0"/>
                  <w:marBottom w:val="0"/>
                  <w:divBdr>
                    <w:top w:val="none" w:sz="0" w:space="0" w:color="auto"/>
                    <w:left w:val="none" w:sz="0" w:space="0" w:color="auto"/>
                    <w:bottom w:val="none" w:sz="0" w:space="0" w:color="auto"/>
                    <w:right w:val="none" w:sz="0" w:space="0" w:color="auto"/>
                  </w:divBdr>
                  <w:divsChild>
                    <w:div w:id="707878306">
                      <w:marLeft w:val="0"/>
                      <w:marRight w:val="0"/>
                      <w:marTop w:val="0"/>
                      <w:marBottom w:val="0"/>
                      <w:divBdr>
                        <w:top w:val="none" w:sz="0" w:space="0" w:color="auto"/>
                        <w:left w:val="none" w:sz="0" w:space="0" w:color="auto"/>
                        <w:bottom w:val="none" w:sz="0" w:space="0" w:color="auto"/>
                        <w:right w:val="none" w:sz="0" w:space="0" w:color="auto"/>
                      </w:divBdr>
                    </w:div>
                  </w:divsChild>
                </w:div>
                <w:div w:id="1563640461">
                  <w:marLeft w:val="0"/>
                  <w:marRight w:val="0"/>
                  <w:marTop w:val="0"/>
                  <w:marBottom w:val="0"/>
                  <w:divBdr>
                    <w:top w:val="none" w:sz="0" w:space="0" w:color="auto"/>
                    <w:left w:val="none" w:sz="0" w:space="0" w:color="auto"/>
                    <w:bottom w:val="none" w:sz="0" w:space="0" w:color="auto"/>
                    <w:right w:val="none" w:sz="0" w:space="0" w:color="auto"/>
                  </w:divBdr>
                  <w:divsChild>
                    <w:div w:id="8496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4328">
      <w:bodyDiv w:val="1"/>
      <w:marLeft w:val="0"/>
      <w:marRight w:val="0"/>
      <w:marTop w:val="0"/>
      <w:marBottom w:val="0"/>
      <w:divBdr>
        <w:top w:val="none" w:sz="0" w:space="0" w:color="auto"/>
        <w:left w:val="none" w:sz="0" w:space="0" w:color="auto"/>
        <w:bottom w:val="none" w:sz="0" w:space="0" w:color="auto"/>
        <w:right w:val="none" w:sz="0" w:space="0" w:color="auto"/>
      </w:divBdr>
    </w:div>
    <w:div w:id="715933098">
      <w:bodyDiv w:val="1"/>
      <w:marLeft w:val="0"/>
      <w:marRight w:val="0"/>
      <w:marTop w:val="0"/>
      <w:marBottom w:val="0"/>
      <w:divBdr>
        <w:top w:val="none" w:sz="0" w:space="0" w:color="auto"/>
        <w:left w:val="none" w:sz="0" w:space="0" w:color="auto"/>
        <w:bottom w:val="none" w:sz="0" w:space="0" w:color="auto"/>
        <w:right w:val="none" w:sz="0" w:space="0" w:color="auto"/>
      </w:divBdr>
      <w:divsChild>
        <w:div w:id="178860160">
          <w:marLeft w:val="0"/>
          <w:marRight w:val="0"/>
          <w:marTop w:val="0"/>
          <w:marBottom w:val="0"/>
          <w:divBdr>
            <w:top w:val="none" w:sz="0" w:space="0" w:color="auto"/>
            <w:left w:val="none" w:sz="0" w:space="0" w:color="auto"/>
            <w:bottom w:val="none" w:sz="0" w:space="0" w:color="auto"/>
            <w:right w:val="none" w:sz="0" w:space="0" w:color="auto"/>
          </w:divBdr>
          <w:divsChild>
            <w:div w:id="1755317128">
              <w:marLeft w:val="0"/>
              <w:marRight w:val="0"/>
              <w:marTop w:val="0"/>
              <w:marBottom w:val="0"/>
              <w:divBdr>
                <w:top w:val="none" w:sz="0" w:space="0" w:color="auto"/>
                <w:left w:val="none" w:sz="0" w:space="0" w:color="auto"/>
                <w:bottom w:val="none" w:sz="0" w:space="0" w:color="auto"/>
                <w:right w:val="none" w:sz="0" w:space="0" w:color="auto"/>
              </w:divBdr>
              <w:divsChild>
                <w:div w:id="2069838915">
                  <w:marLeft w:val="0"/>
                  <w:marRight w:val="0"/>
                  <w:marTop w:val="0"/>
                  <w:marBottom w:val="0"/>
                  <w:divBdr>
                    <w:top w:val="none" w:sz="0" w:space="0" w:color="auto"/>
                    <w:left w:val="none" w:sz="0" w:space="0" w:color="auto"/>
                    <w:bottom w:val="none" w:sz="0" w:space="0" w:color="auto"/>
                    <w:right w:val="none" w:sz="0" w:space="0" w:color="auto"/>
                  </w:divBdr>
                  <w:divsChild>
                    <w:div w:id="8565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0903">
      <w:bodyDiv w:val="1"/>
      <w:marLeft w:val="0"/>
      <w:marRight w:val="0"/>
      <w:marTop w:val="0"/>
      <w:marBottom w:val="0"/>
      <w:divBdr>
        <w:top w:val="none" w:sz="0" w:space="0" w:color="auto"/>
        <w:left w:val="none" w:sz="0" w:space="0" w:color="auto"/>
        <w:bottom w:val="none" w:sz="0" w:space="0" w:color="auto"/>
        <w:right w:val="none" w:sz="0" w:space="0" w:color="auto"/>
      </w:divBdr>
    </w:div>
    <w:div w:id="815412225">
      <w:bodyDiv w:val="1"/>
      <w:marLeft w:val="0"/>
      <w:marRight w:val="0"/>
      <w:marTop w:val="0"/>
      <w:marBottom w:val="0"/>
      <w:divBdr>
        <w:top w:val="none" w:sz="0" w:space="0" w:color="auto"/>
        <w:left w:val="none" w:sz="0" w:space="0" w:color="auto"/>
        <w:bottom w:val="none" w:sz="0" w:space="0" w:color="auto"/>
        <w:right w:val="none" w:sz="0" w:space="0" w:color="auto"/>
      </w:divBdr>
    </w:div>
    <w:div w:id="852037750">
      <w:bodyDiv w:val="1"/>
      <w:marLeft w:val="0"/>
      <w:marRight w:val="0"/>
      <w:marTop w:val="0"/>
      <w:marBottom w:val="0"/>
      <w:divBdr>
        <w:top w:val="none" w:sz="0" w:space="0" w:color="auto"/>
        <w:left w:val="none" w:sz="0" w:space="0" w:color="auto"/>
        <w:bottom w:val="none" w:sz="0" w:space="0" w:color="auto"/>
        <w:right w:val="none" w:sz="0" w:space="0" w:color="auto"/>
      </w:divBdr>
    </w:div>
    <w:div w:id="1069964998">
      <w:bodyDiv w:val="1"/>
      <w:marLeft w:val="0"/>
      <w:marRight w:val="0"/>
      <w:marTop w:val="0"/>
      <w:marBottom w:val="0"/>
      <w:divBdr>
        <w:top w:val="none" w:sz="0" w:space="0" w:color="auto"/>
        <w:left w:val="none" w:sz="0" w:space="0" w:color="auto"/>
        <w:bottom w:val="none" w:sz="0" w:space="0" w:color="auto"/>
        <w:right w:val="none" w:sz="0" w:space="0" w:color="auto"/>
      </w:divBdr>
    </w:div>
    <w:div w:id="1071658788">
      <w:bodyDiv w:val="1"/>
      <w:marLeft w:val="0"/>
      <w:marRight w:val="0"/>
      <w:marTop w:val="0"/>
      <w:marBottom w:val="0"/>
      <w:divBdr>
        <w:top w:val="none" w:sz="0" w:space="0" w:color="auto"/>
        <w:left w:val="none" w:sz="0" w:space="0" w:color="auto"/>
        <w:bottom w:val="none" w:sz="0" w:space="0" w:color="auto"/>
        <w:right w:val="none" w:sz="0" w:space="0" w:color="auto"/>
      </w:divBdr>
    </w:div>
    <w:div w:id="1167405881">
      <w:bodyDiv w:val="1"/>
      <w:marLeft w:val="0"/>
      <w:marRight w:val="0"/>
      <w:marTop w:val="0"/>
      <w:marBottom w:val="0"/>
      <w:divBdr>
        <w:top w:val="none" w:sz="0" w:space="0" w:color="auto"/>
        <w:left w:val="none" w:sz="0" w:space="0" w:color="auto"/>
        <w:bottom w:val="none" w:sz="0" w:space="0" w:color="auto"/>
        <w:right w:val="none" w:sz="0" w:space="0" w:color="auto"/>
      </w:divBdr>
      <w:divsChild>
        <w:div w:id="1575775084">
          <w:marLeft w:val="0"/>
          <w:marRight w:val="0"/>
          <w:marTop w:val="0"/>
          <w:marBottom w:val="0"/>
          <w:divBdr>
            <w:top w:val="none" w:sz="0" w:space="0" w:color="auto"/>
            <w:left w:val="none" w:sz="0" w:space="0" w:color="auto"/>
            <w:bottom w:val="none" w:sz="0" w:space="0" w:color="auto"/>
            <w:right w:val="none" w:sz="0" w:space="0" w:color="auto"/>
          </w:divBdr>
          <w:divsChild>
            <w:div w:id="1012417970">
              <w:marLeft w:val="0"/>
              <w:marRight w:val="0"/>
              <w:marTop w:val="0"/>
              <w:marBottom w:val="0"/>
              <w:divBdr>
                <w:top w:val="none" w:sz="0" w:space="0" w:color="auto"/>
                <w:left w:val="none" w:sz="0" w:space="0" w:color="auto"/>
                <w:bottom w:val="none" w:sz="0" w:space="0" w:color="auto"/>
                <w:right w:val="none" w:sz="0" w:space="0" w:color="auto"/>
              </w:divBdr>
              <w:divsChild>
                <w:div w:id="346491538">
                  <w:marLeft w:val="0"/>
                  <w:marRight w:val="0"/>
                  <w:marTop w:val="0"/>
                  <w:marBottom w:val="0"/>
                  <w:divBdr>
                    <w:top w:val="none" w:sz="0" w:space="0" w:color="auto"/>
                    <w:left w:val="none" w:sz="0" w:space="0" w:color="auto"/>
                    <w:bottom w:val="none" w:sz="0" w:space="0" w:color="auto"/>
                    <w:right w:val="none" w:sz="0" w:space="0" w:color="auto"/>
                  </w:divBdr>
                  <w:divsChild>
                    <w:div w:id="62265843">
                      <w:marLeft w:val="0"/>
                      <w:marRight w:val="0"/>
                      <w:marTop w:val="0"/>
                      <w:marBottom w:val="0"/>
                      <w:divBdr>
                        <w:top w:val="none" w:sz="0" w:space="0" w:color="auto"/>
                        <w:left w:val="none" w:sz="0" w:space="0" w:color="auto"/>
                        <w:bottom w:val="none" w:sz="0" w:space="0" w:color="auto"/>
                        <w:right w:val="none" w:sz="0" w:space="0" w:color="auto"/>
                      </w:divBdr>
                    </w:div>
                  </w:divsChild>
                </w:div>
                <w:div w:id="890189396">
                  <w:marLeft w:val="0"/>
                  <w:marRight w:val="0"/>
                  <w:marTop w:val="0"/>
                  <w:marBottom w:val="0"/>
                  <w:divBdr>
                    <w:top w:val="none" w:sz="0" w:space="0" w:color="auto"/>
                    <w:left w:val="none" w:sz="0" w:space="0" w:color="auto"/>
                    <w:bottom w:val="none" w:sz="0" w:space="0" w:color="auto"/>
                    <w:right w:val="none" w:sz="0" w:space="0" w:color="auto"/>
                  </w:divBdr>
                  <w:divsChild>
                    <w:div w:id="510611860">
                      <w:marLeft w:val="0"/>
                      <w:marRight w:val="0"/>
                      <w:marTop w:val="0"/>
                      <w:marBottom w:val="0"/>
                      <w:divBdr>
                        <w:top w:val="none" w:sz="0" w:space="0" w:color="auto"/>
                        <w:left w:val="none" w:sz="0" w:space="0" w:color="auto"/>
                        <w:bottom w:val="none" w:sz="0" w:space="0" w:color="auto"/>
                        <w:right w:val="none" w:sz="0" w:space="0" w:color="auto"/>
                      </w:divBdr>
                    </w:div>
                  </w:divsChild>
                </w:div>
                <w:div w:id="1804229392">
                  <w:marLeft w:val="0"/>
                  <w:marRight w:val="0"/>
                  <w:marTop w:val="0"/>
                  <w:marBottom w:val="0"/>
                  <w:divBdr>
                    <w:top w:val="none" w:sz="0" w:space="0" w:color="auto"/>
                    <w:left w:val="none" w:sz="0" w:space="0" w:color="auto"/>
                    <w:bottom w:val="none" w:sz="0" w:space="0" w:color="auto"/>
                    <w:right w:val="none" w:sz="0" w:space="0" w:color="auto"/>
                  </w:divBdr>
                  <w:divsChild>
                    <w:div w:id="4733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1761">
      <w:bodyDiv w:val="1"/>
      <w:marLeft w:val="0"/>
      <w:marRight w:val="0"/>
      <w:marTop w:val="0"/>
      <w:marBottom w:val="0"/>
      <w:divBdr>
        <w:top w:val="none" w:sz="0" w:space="0" w:color="auto"/>
        <w:left w:val="none" w:sz="0" w:space="0" w:color="auto"/>
        <w:bottom w:val="none" w:sz="0" w:space="0" w:color="auto"/>
        <w:right w:val="none" w:sz="0" w:space="0" w:color="auto"/>
      </w:divBdr>
    </w:div>
    <w:div w:id="1196387504">
      <w:bodyDiv w:val="1"/>
      <w:marLeft w:val="0"/>
      <w:marRight w:val="0"/>
      <w:marTop w:val="0"/>
      <w:marBottom w:val="0"/>
      <w:divBdr>
        <w:top w:val="none" w:sz="0" w:space="0" w:color="auto"/>
        <w:left w:val="none" w:sz="0" w:space="0" w:color="auto"/>
        <w:bottom w:val="none" w:sz="0" w:space="0" w:color="auto"/>
        <w:right w:val="none" w:sz="0" w:space="0" w:color="auto"/>
      </w:divBdr>
      <w:divsChild>
        <w:div w:id="1486819734">
          <w:marLeft w:val="0"/>
          <w:marRight w:val="0"/>
          <w:marTop w:val="0"/>
          <w:marBottom w:val="0"/>
          <w:divBdr>
            <w:top w:val="none" w:sz="0" w:space="0" w:color="auto"/>
            <w:left w:val="none" w:sz="0" w:space="0" w:color="auto"/>
            <w:bottom w:val="none" w:sz="0" w:space="0" w:color="auto"/>
            <w:right w:val="none" w:sz="0" w:space="0" w:color="auto"/>
          </w:divBdr>
          <w:divsChild>
            <w:div w:id="1767144422">
              <w:marLeft w:val="0"/>
              <w:marRight w:val="0"/>
              <w:marTop w:val="0"/>
              <w:marBottom w:val="0"/>
              <w:divBdr>
                <w:top w:val="none" w:sz="0" w:space="0" w:color="auto"/>
                <w:left w:val="none" w:sz="0" w:space="0" w:color="auto"/>
                <w:bottom w:val="none" w:sz="0" w:space="0" w:color="auto"/>
                <w:right w:val="none" w:sz="0" w:space="0" w:color="auto"/>
              </w:divBdr>
              <w:divsChild>
                <w:div w:id="1244686866">
                  <w:marLeft w:val="0"/>
                  <w:marRight w:val="0"/>
                  <w:marTop w:val="0"/>
                  <w:marBottom w:val="0"/>
                  <w:divBdr>
                    <w:top w:val="none" w:sz="0" w:space="0" w:color="auto"/>
                    <w:left w:val="none" w:sz="0" w:space="0" w:color="auto"/>
                    <w:bottom w:val="none" w:sz="0" w:space="0" w:color="auto"/>
                    <w:right w:val="none" w:sz="0" w:space="0" w:color="auto"/>
                  </w:divBdr>
                  <w:divsChild>
                    <w:div w:id="1141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2538">
      <w:bodyDiv w:val="1"/>
      <w:marLeft w:val="0"/>
      <w:marRight w:val="0"/>
      <w:marTop w:val="0"/>
      <w:marBottom w:val="0"/>
      <w:divBdr>
        <w:top w:val="none" w:sz="0" w:space="0" w:color="auto"/>
        <w:left w:val="none" w:sz="0" w:space="0" w:color="auto"/>
        <w:bottom w:val="none" w:sz="0" w:space="0" w:color="auto"/>
        <w:right w:val="none" w:sz="0" w:space="0" w:color="auto"/>
      </w:divBdr>
    </w:div>
    <w:div w:id="1286236999">
      <w:bodyDiv w:val="1"/>
      <w:marLeft w:val="0"/>
      <w:marRight w:val="0"/>
      <w:marTop w:val="0"/>
      <w:marBottom w:val="0"/>
      <w:divBdr>
        <w:top w:val="none" w:sz="0" w:space="0" w:color="auto"/>
        <w:left w:val="none" w:sz="0" w:space="0" w:color="auto"/>
        <w:bottom w:val="none" w:sz="0" w:space="0" w:color="auto"/>
        <w:right w:val="none" w:sz="0" w:space="0" w:color="auto"/>
      </w:divBdr>
    </w:div>
    <w:div w:id="13120557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906">
          <w:marLeft w:val="0"/>
          <w:marRight w:val="0"/>
          <w:marTop w:val="0"/>
          <w:marBottom w:val="0"/>
          <w:divBdr>
            <w:top w:val="none" w:sz="0" w:space="0" w:color="auto"/>
            <w:left w:val="none" w:sz="0" w:space="0" w:color="auto"/>
            <w:bottom w:val="none" w:sz="0" w:space="0" w:color="auto"/>
            <w:right w:val="none" w:sz="0" w:space="0" w:color="auto"/>
          </w:divBdr>
          <w:divsChild>
            <w:div w:id="911083852">
              <w:marLeft w:val="0"/>
              <w:marRight w:val="0"/>
              <w:marTop w:val="0"/>
              <w:marBottom w:val="0"/>
              <w:divBdr>
                <w:top w:val="none" w:sz="0" w:space="0" w:color="auto"/>
                <w:left w:val="none" w:sz="0" w:space="0" w:color="auto"/>
                <w:bottom w:val="none" w:sz="0" w:space="0" w:color="auto"/>
                <w:right w:val="none" w:sz="0" w:space="0" w:color="auto"/>
              </w:divBdr>
              <w:divsChild>
                <w:div w:id="1708602343">
                  <w:marLeft w:val="0"/>
                  <w:marRight w:val="0"/>
                  <w:marTop w:val="0"/>
                  <w:marBottom w:val="0"/>
                  <w:divBdr>
                    <w:top w:val="none" w:sz="0" w:space="0" w:color="auto"/>
                    <w:left w:val="none" w:sz="0" w:space="0" w:color="auto"/>
                    <w:bottom w:val="none" w:sz="0" w:space="0" w:color="auto"/>
                    <w:right w:val="none" w:sz="0" w:space="0" w:color="auto"/>
                  </w:divBdr>
                  <w:divsChild>
                    <w:div w:id="837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1961">
      <w:bodyDiv w:val="1"/>
      <w:marLeft w:val="0"/>
      <w:marRight w:val="0"/>
      <w:marTop w:val="0"/>
      <w:marBottom w:val="0"/>
      <w:divBdr>
        <w:top w:val="none" w:sz="0" w:space="0" w:color="auto"/>
        <w:left w:val="none" w:sz="0" w:space="0" w:color="auto"/>
        <w:bottom w:val="none" w:sz="0" w:space="0" w:color="auto"/>
        <w:right w:val="none" w:sz="0" w:space="0" w:color="auto"/>
      </w:divBdr>
    </w:div>
    <w:div w:id="1442992112">
      <w:bodyDiv w:val="1"/>
      <w:marLeft w:val="0"/>
      <w:marRight w:val="0"/>
      <w:marTop w:val="0"/>
      <w:marBottom w:val="0"/>
      <w:divBdr>
        <w:top w:val="none" w:sz="0" w:space="0" w:color="auto"/>
        <w:left w:val="none" w:sz="0" w:space="0" w:color="auto"/>
        <w:bottom w:val="none" w:sz="0" w:space="0" w:color="auto"/>
        <w:right w:val="none" w:sz="0" w:space="0" w:color="auto"/>
      </w:divBdr>
      <w:divsChild>
        <w:div w:id="1684240668">
          <w:marLeft w:val="0"/>
          <w:marRight w:val="0"/>
          <w:marTop w:val="0"/>
          <w:marBottom w:val="0"/>
          <w:divBdr>
            <w:top w:val="none" w:sz="0" w:space="0" w:color="auto"/>
            <w:left w:val="none" w:sz="0" w:space="0" w:color="auto"/>
            <w:bottom w:val="none" w:sz="0" w:space="0" w:color="auto"/>
            <w:right w:val="none" w:sz="0" w:space="0" w:color="auto"/>
          </w:divBdr>
          <w:divsChild>
            <w:div w:id="1282229132">
              <w:marLeft w:val="0"/>
              <w:marRight w:val="0"/>
              <w:marTop w:val="0"/>
              <w:marBottom w:val="0"/>
              <w:divBdr>
                <w:top w:val="none" w:sz="0" w:space="0" w:color="auto"/>
                <w:left w:val="none" w:sz="0" w:space="0" w:color="auto"/>
                <w:bottom w:val="none" w:sz="0" w:space="0" w:color="auto"/>
                <w:right w:val="none" w:sz="0" w:space="0" w:color="auto"/>
              </w:divBdr>
              <w:divsChild>
                <w:div w:id="1460566263">
                  <w:marLeft w:val="0"/>
                  <w:marRight w:val="0"/>
                  <w:marTop w:val="0"/>
                  <w:marBottom w:val="0"/>
                  <w:divBdr>
                    <w:top w:val="none" w:sz="0" w:space="0" w:color="auto"/>
                    <w:left w:val="none" w:sz="0" w:space="0" w:color="auto"/>
                    <w:bottom w:val="none" w:sz="0" w:space="0" w:color="auto"/>
                    <w:right w:val="none" w:sz="0" w:space="0" w:color="auto"/>
                  </w:divBdr>
                  <w:divsChild>
                    <w:div w:id="911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599">
      <w:bodyDiv w:val="1"/>
      <w:marLeft w:val="0"/>
      <w:marRight w:val="0"/>
      <w:marTop w:val="0"/>
      <w:marBottom w:val="0"/>
      <w:divBdr>
        <w:top w:val="none" w:sz="0" w:space="0" w:color="auto"/>
        <w:left w:val="none" w:sz="0" w:space="0" w:color="auto"/>
        <w:bottom w:val="none" w:sz="0" w:space="0" w:color="auto"/>
        <w:right w:val="none" w:sz="0" w:space="0" w:color="auto"/>
      </w:divBdr>
    </w:div>
    <w:div w:id="1794325256">
      <w:bodyDiv w:val="1"/>
      <w:marLeft w:val="0"/>
      <w:marRight w:val="0"/>
      <w:marTop w:val="0"/>
      <w:marBottom w:val="0"/>
      <w:divBdr>
        <w:top w:val="none" w:sz="0" w:space="0" w:color="auto"/>
        <w:left w:val="none" w:sz="0" w:space="0" w:color="auto"/>
        <w:bottom w:val="none" w:sz="0" w:space="0" w:color="auto"/>
        <w:right w:val="none" w:sz="0" w:space="0" w:color="auto"/>
      </w:divBdr>
      <w:divsChild>
        <w:div w:id="269317641">
          <w:marLeft w:val="0"/>
          <w:marRight w:val="0"/>
          <w:marTop w:val="0"/>
          <w:marBottom w:val="0"/>
          <w:divBdr>
            <w:top w:val="none" w:sz="0" w:space="0" w:color="auto"/>
            <w:left w:val="none" w:sz="0" w:space="0" w:color="auto"/>
            <w:bottom w:val="none" w:sz="0" w:space="0" w:color="auto"/>
            <w:right w:val="none" w:sz="0" w:space="0" w:color="auto"/>
          </w:divBdr>
          <w:divsChild>
            <w:div w:id="1272978791">
              <w:marLeft w:val="0"/>
              <w:marRight w:val="0"/>
              <w:marTop w:val="0"/>
              <w:marBottom w:val="0"/>
              <w:divBdr>
                <w:top w:val="none" w:sz="0" w:space="0" w:color="auto"/>
                <w:left w:val="none" w:sz="0" w:space="0" w:color="auto"/>
                <w:bottom w:val="none" w:sz="0" w:space="0" w:color="auto"/>
                <w:right w:val="none" w:sz="0" w:space="0" w:color="auto"/>
              </w:divBdr>
              <w:divsChild>
                <w:div w:id="23678910">
                  <w:marLeft w:val="0"/>
                  <w:marRight w:val="0"/>
                  <w:marTop w:val="0"/>
                  <w:marBottom w:val="0"/>
                  <w:divBdr>
                    <w:top w:val="none" w:sz="0" w:space="0" w:color="auto"/>
                    <w:left w:val="none" w:sz="0" w:space="0" w:color="auto"/>
                    <w:bottom w:val="none" w:sz="0" w:space="0" w:color="auto"/>
                    <w:right w:val="none" w:sz="0" w:space="0" w:color="auto"/>
                  </w:divBdr>
                  <w:divsChild>
                    <w:div w:id="1383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845">
      <w:bodyDiv w:val="1"/>
      <w:marLeft w:val="0"/>
      <w:marRight w:val="0"/>
      <w:marTop w:val="0"/>
      <w:marBottom w:val="0"/>
      <w:divBdr>
        <w:top w:val="none" w:sz="0" w:space="0" w:color="auto"/>
        <w:left w:val="none" w:sz="0" w:space="0" w:color="auto"/>
        <w:bottom w:val="none" w:sz="0" w:space="0" w:color="auto"/>
        <w:right w:val="none" w:sz="0" w:space="0" w:color="auto"/>
      </w:divBdr>
    </w:div>
    <w:div w:id="1891845230">
      <w:bodyDiv w:val="1"/>
      <w:marLeft w:val="0"/>
      <w:marRight w:val="0"/>
      <w:marTop w:val="0"/>
      <w:marBottom w:val="0"/>
      <w:divBdr>
        <w:top w:val="none" w:sz="0" w:space="0" w:color="auto"/>
        <w:left w:val="none" w:sz="0" w:space="0" w:color="auto"/>
        <w:bottom w:val="none" w:sz="0" w:space="0" w:color="auto"/>
        <w:right w:val="none" w:sz="0" w:space="0" w:color="auto"/>
      </w:divBdr>
    </w:div>
    <w:div w:id="1893493705">
      <w:bodyDiv w:val="1"/>
      <w:marLeft w:val="0"/>
      <w:marRight w:val="0"/>
      <w:marTop w:val="0"/>
      <w:marBottom w:val="0"/>
      <w:divBdr>
        <w:top w:val="none" w:sz="0" w:space="0" w:color="auto"/>
        <w:left w:val="none" w:sz="0" w:space="0" w:color="auto"/>
        <w:bottom w:val="none" w:sz="0" w:space="0" w:color="auto"/>
        <w:right w:val="none" w:sz="0" w:space="0" w:color="auto"/>
      </w:divBdr>
      <w:divsChild>
        <w:div w:id="1377197916">
          <w:marLeft w:val="0"/>
          <w:marRight w:val="0"/>
          <w:marTop w:val="0"/>
          <w:marBottom w:val="0"/>
          <w:divBdr>
            <w:top w:val="none" w:sz="0" w:space="0" w:color="auto"/>
            <w:left w:val="none" w:sz="0" w:space="0" w:color="auto"/>
            <w:bottom w:val="none" w:sz="0" w:space="0" w:color="auto"/>
            <w:right w:val="none" w:sz="0" w:space="0" w:color="auto"/>
          </w:divBdr>
          <w:divsChild>
            <w:div w:id="1501655791">
              <w:marLeft w:val="0"/>
              <w:marRight w:val="0"/>
              <w:marTop w:val="0"/>
              <w:marBottom w:val="0"/>
              <w:divBdr>
                <w:top w:val="none" w:sz="0" w:space="0" w:color="auto"/>
                <w:left w:val="none" w:sz="0" w:space="0" w:color="auto"/>
                <w:bottom w:val="none" w:sz="0" w:space="0" w:color="auto"/>
                <w:right w:val="none" w:sz="0" w:space="0" w:color="auto"/>
              </w:divBdr>
              <w:divsChild>
                <w:div w:id="380180537">
                  <w:marLeft w:val="0"/>
                  <w:marRight w:val="0"/>
                  <w:marTop w:val="0"/>
                  <w:marBottom w:val="0"/>
                  <w:divBdr>
                    <w:top w:val="none" w:sz="0" w:space="0" w:color="auto"/>
                    <w:left w:val="none" w:sz="0" w:space="0" w:color="auto"/>
                    <w:bottom w:val="none" w:sz="0" w:space="0" w:color="auto"/>
                    <w:right w:val="none" w:sz="0" w:space="0" w:color="auto"/>
                  </w:divBdr>
                  <w:divsChild>
                    <w:div w:id="270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8605">
      <w:bodyDiv w:val="1"/>
      <w:marLeft w:val="0"/>
      <w:marRight w:val="0"/>
      <w:marTop w:val="0"/>
      <w:marBottom w:val="0"/>
      <w:divBdr>
        <w:top w:val="none" w:sz="0" w:space="0" w:color="auto"/>
        <w:left w:val="none" w:sz="0" w:space="0" w:color="auto"/>
        <w:bottom w:val="none" w:sz="0" w:space="0" w:color="auto"/>
        <w:right w:val="none" w:sz="0" w:space="0" w:color="auto"/>
      </w:divBdr>
    </w:div>
    <w:div w:id="2087527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valleyhealt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nvalleyhealth.com/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653C-848F-4B67-8E90-16FF8F48E555}">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D1401DE-EC30-435D-B384-E1B7B252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BA9B37-2B0C-4661-B607-EE066F27B825}">
  <ds:schemaRefs>
    <ds:schemaRef ds:uri="http://schemas.microsoft.com/sharepoint/v3/contenttype/forms"/>
  </ds:schemaRefs>
</ds:datastoreItem>
</file>

<file path=customXml/itemProps4.xml><?xml version="1.0" encoding="utf-8"?>
<ds:datastoreItem xmlns:ds="http://schemas.openxmlformats.org/officeDocument/2006/customXml" ds:itemID="{60B525A6-C831-452C-BBD2-26D64A4C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7885</Words>
  <Characters>44945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52725</CharactersWithSpaces>
  <SharedDoc>false</SharedDoc>
  <HLinks>
    <vt:vector size="12" baseType="variant">
      <vt:variant>
        <vt:i4>2949222</vt:i4>
      </vt:variant>
      <vt:variant>
        <vt:i4>3</vt:i4>
      </vt:variant>
      <vt:variant>
        <vt:i4>0</vt:i4>
      </vt:variant>
      <vt:variant>
        <vt:i4>5</vt:i4>
      </vt:variant>
      <vt:variant>
        <vt:lpwstr>http://www.sunvalleyhealth.com</vt:lpwstr>
      </vt:variant>
      <vt:variant>
        <vt:lpwstr/>
      </vt:variant>
      <vt:variant>
        <vt:i4>4784245</vt:i4>
      </vt:variant>
      <vt:variant>
        <vt:i4>0</vt:i4>
      </vt:variant>
      <vt:variant>
        <vt:i4>0</vt:i4>
      </vt:variant>
      <vt:variant>
        <vt:i4>5</vt:i4>
      </vt:variant>
      <vt:variant>
        <vt:lpwstr>https://www.sunvalleyhealth.com/shop/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Zasitko</dc:creator>
  <cp:keywords/>
  <dc:description/>
  <cp:lastModifiedBy>Brian Zasitko</cp:lastModifiedBy>
  <cp:revision>5</cp:revision>
  <cp:lastPrinted>2019-11-14T01:30:00Z</cp:lastPrinted>
  <dcterms:created xsi:type="dcterms:W3CDTF">2019-11-14T01:17:00Z</dcterms:created>
  <dcterms:modified xsi:type="dcterms:W3CDTF">2019-11-14T01:57:00Z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