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Pr>
          <w:rFonts w:ascii="Arial" w:hAnsi="Arial"/>
          <w:u w:val="single"/>
          <w:lang w:val="en-CA"/>
        </w:rPr>
        <w:tab/>
      </w:r>
      <w:r w:rsidR="000255FA">
        <w:rPr>
          <w:rFonts w:ascii="Arial" w:hAnsi="Arial"/>
          <w:u w:val="single"/>
          <w:lang w:val="en-CA"/>
        </w:rPr>
        <w:t>Empower Clinics Inc.</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0255FA" w:rsidRPr="000255FA">
        <w:rPr>
          <w:rFonts w:ascii="Arial" w:hAnsi="Arial"/>
          <w:sz w:val="26"/>
          <w:u w:val="single"/>
        </w:rPr>
        <w:t>EPW</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9137CA">
        <w:rPr>
          <w:rFonts w:ascii="Arial" w:hAnsi="Arial"/>
          <w:u w:val="single"/>
          <w:lang w:val="en-CA"/>
        </w:rPr>
        <w:t>September 26</w:t>
      </w:r>
      <w:r w:rsidR="000E7051">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6971C2">
        <w:rPr>
          <w:rFonts w:ascii="Arial" w:hAnsi="Arial"/>
          <w:lang w:val="en-CA"/>
        </w:rPr>
        <w:sym w:font="Wingdings" w:char="F078"/>
      </w:r>
      <w:r w:rsidR="006971C2">
        <w:rPr>
          <w:rFonts w:ascii="Arial" w:hAnsi="Arial"/>
          <w:lang w:val="en-CA"/>
        </w:rPr>
        <w:t xml:space="preserve"> </w:t>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w:t>
      </w:r>
      <w:r w:rsidR="006971C2">
        <w:rPr>
          <w:rFonts w:ascii="Arial" w:hAnsi="Arial"/>
          <w:u w:val="single"/>
          <w:lang w:val="en-CA"/>
        </w:rPr>
        <w:t>N/A</w:t>
      </w:r>
      <w:r>
        <w:rPr>
          <w:rFonts w:ascii="Arial" w:hAnsi="Arial"/>
          <w:lang w:val="en-CA"/>
        </w:rPr>
        <w:t>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A2263B" w:rsidRPr="00A2263B">
        <w:rPr>
          <w:rFonts w:ascii="Arial" w:hAnsi="Arial" w:cs="Arial"/>
          <w:bCs/>
          <w:u w:val="single"/>
          <w:shd w:val="clear" w:color="auto" w:fill="FFFFFF"/>
        </w:rPr>
        <w:t>74,966,958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9137CA">
        <w:rPr>
          <w:rFonts w:ascii="Arial" w:hAnsi="Arial"/>
          <w:u w:val="single"/>
          <w:lang w:val="en-CA"/>
        </w:rPr>
        <w:t>September 26</w:t>
      </w:r>
      <w:r w:rsidR="000E7051">
        <w:rPr>
          <w:rFonts w:ascii="Arial" w:hAnsi="Arial"/>
          <w:u w:val="single"/>
          <w:lang w:val="en-CA"/>
        </w:rPr>
        <w:t>, 2018</w:t>
      </w:r>
      <w:r>
        <w:rPr>
          <w:rFonts w:ascii="Arial" w:hAnsi="Arial"/>
          <w:u w:val="single"/>
          <w:lang w:val="en-CA"/>
        </w:rPr>
        <w:tab/>
      </w:r>
      <w:r>
        <w:rPr>
          <w:rFonts w:ascii="Arial" w:hAnsi="Arial"/>
          <w:lang w:val="en-CA"/>
        </w:rPr>
        <w:t xml:space="preserve"> .</w:t>
      </w:r>
    </w:p>
    <w:p w:rsidR="00EA4133" w:rsidRPr="000E7051"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w:t>
      </w:r>
      <w:r w:rsidR="00725BD1">
        <w:rPr>
          <w:rFonts w:ascii="Arial" w:hAnsi="Arial"/>
          <w:u w:val="single"/>
          <w:lang w:val="en-CA"/>
        </w:rPr>
        <w:t>$0.24</w:t>
      </w:r>
      <w:r w:rsidR="002B4E60">
        <w:rPr>
          <w:rFonts w:ascii="Arial" w:hAnsi="Arial"/>
          <w:u w:val="single"/>
          <w:lang w:val="en-CA"/>
        </w:rPr>
        <w:t>.5</w:t>
      </w:r>
      <w:r w:rsidR="003A7C08">
        <w:rPr>
          <w:rFonts w:ascii="Arial" w:hAnsi="Arial"/>
          <w:u w:val="single"/>
          <w:lang w:val="en-CA"/>
        </w:rPr>
        <w:t xml:space="preserve"> (price protection filed for this private placement on </w:t>
      </w:r>
      <w:r w:rsidR="00725BD1">
        <w:rPr>
          <w:rFonts w:ascii="Arial" w:hAnsi="Arial"/>
          <w:u w:val="single"/>
          <w:lang w:val="en-CA"/>
        </w:rPr>
        <w:t>September 18</w:t>
      </w:r>
      <w:r w:rsidR="003A7C08">
        <w:rPr>
          <w:rFonts w:ascii="Arial" w:hAnsi="Arial"/>
          <w:u w:val="single"/>
          <w:lang w:val="en-CA"/>
        </w:rPr>
        <w:t>, 2018)</w:t>
      </w:r>
      <w:r w:rsidR="000E7051">
        <w:rPr>
          <w:rFonts w:ascii="Arial" w:hAnsi="Arial"/>
          <w:u w:val="single"/>
          <w:lang w:val="en-CA"/>
        </w:rPr>
        <w:tab/>
      </w:r>
      <w:r w:rsidR="000E7051">
        <w:rPr>
          <w:rFonts w:ascii="Arial" w:hAnsi="Arial"/>
          <w:lang w:val="en-CA"/>
        </w:rPr>
        <w:t xml:space="preserve"> .</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53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1260"/>
        <w:gridCol w:w="1170"/>
        <w:gridCol w:w="1350"/>
        <w:gridCol w:w="1710"/>
        <w:gridCol w:w="1170"/>
        <w:gridCol w:w="1620"/>
      </w:tblGrid>
      <w:tr w:rsidR="00736FFB" w:rsidTr="00BE29C2">
        <w:trPr>
          <w:trHeight w:val="1965"/>
          <w:tblHeader/>
        </w:trPr>
        <w:tc>
          <w:tcPr>
            <w:tcW w:w="225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26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736FFB" w:rsidRDefault="00736FFB">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7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620" w:type="dxa"/>
          </w:tcPr>
          <w:p w:rsidR="00736FFB" w:rsidRDefault="00736FFB">
            <w:pPr>
              <w:pStyle w:val="BodyText"/>
              <w:spacing w:before="0" w:line="280" w:lineRule="exact"/>
              <w:jc w:val="center"/>
              <w:rPr>
                <w:rFonts w:ascii="Arial" w:hAnsi="Arial"/>
                <w:b/>
                <w:color w:val="000000"/>
                <w:sz w:val="20"/>
                <w:lang w:val="en-CA"/>
              </w:rPr>
            </w:pPr>
          </w:p>
          <w:p w:rsidR="00736FFB" w:rsidRDefault="00736FFB">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736FFB" w:rsidTr="00BE29C2">
        <w:trPr>
          <w:trHeight w:val="864"/>
        </w:trPr>
        <w:tc>
          <w:tcPr>
            <w:tcW w:w="2250" w:type="dxa"/>
          </w:tcPr>
          <w:p w:rsidR="000E7051" w:rsidRPr="00725BD1" w:rsidRDefault="00725BD1" w:rsidP="000E7051">
            <w:pPr>
              <w:rPr>
                <w:rFonts w:ascii="Arial" w:hAnsi="Arial" w:cs="Arial"/>
                <w:sz w:val="18"/>
                <w:szCs w:val="18"/>
              </w:rPr>
            </w:pPr>
            <w:r w:rsidRPr="00725BD1">
              <w:rPr>
                <w:rFonts w:ascii="Arial" w:hAnsi="Arial" w:cs="Arial"/>
                <w:sz w:val="18"/>
                <w:szCs w:val="18"/>
              </w:rPr>
              <w:t>Quinsam Capital Corporation</w:t>
            </w:r>
          </w:p>
          <w:p w:rsidR="00725BD1" w:rsidRPr="00725BD1" w:rsidRDefault="00D7662D" w:rsidP="000E7051">
            <w:pPr>
              <w:rPr>
                <w:rFonts w:ascii="Arial" w:hAnsi="Arial" w:cs="Arial"/>
                <w:sz w:val="18"/>
                <w:szCs w:val="18"/>
              </w:rPr>
            </w:pPr>
            <w:r>
              <w:rPr>
                <w:rFonts w:ascii="Arial" w:hAnsi="Arial" w:cs="Arial"/>
                <w:sz w:val="18"/>
                <w:szCs w:val="18"/>
              </w:rPr>
              <w:t>7</w:t>
            </w:r>
            <w:r w:rsidR="00725BD1" w:rsidRPr="00725BD1">
              <w:rPr>
                <w:rFonts w:ascii="Arial" w:hAnsi="Arial" w:cs="Arial"/>
                <w:sz w:val="18"/>
                <w:szCs w:val="18"/>
              </w:rPr>
              <w:t xml:space="preserve"> Wychwood Park</w:t>
            </w:r>
          </w:p>
          <w:p w:rsidR="00725BD1" w:rsidRPr="00725BD1" w:rsidRDefault="00725BD1" w:rsidP="000E7051">
            <w:pPr>
              <w:rPr>
                <w:rFonts w:ascii="Arial" w:hAnsi="Arial" w:cs="Arial"/>
                <w:sz w:val="18"/>
                <w:szCs w:val="18"/>
              </w:rPr>
            </w:pPr>
            <w:r w:rsidRPr="00725BD1">
              <w:rPr>
                <w:rFonts w:ascii="Arial" w:hAnsi="Arial" w:cs="Arial"/>
                <w:sz w:val="18"/>
                <w:szCs w:val="18"/>
              </w:rPr>
              <w:t>Toronto, ON  M6G 2V5</w:t>
            </w:r>
          </w:p>
          <w:p w:rsidR="00736FFB" w:rsidRPr="00725BD1" w:rsidRDefault="00736FFB" w:rsidP="00736FFB">
            <w:pPr>
              <w:jc w:val="center"/>
              <w:rPr>
                <w:rFonts w:ascii="Arial" w:hAnsi="Arial" w:cs="Arial"/>
                <w:color w:val="000000"/>
                <w:sz w:val="18"/>
                <w:szCs w:val="18"/>
              </w:rPr>
            </w:pPr>
          </w:p>
        </w:tc>
        <w:tc>
          <w:tcPr>
            <w:tcW w:w="1260" w:type="dxa"/>
          </w:tcPr>
          <w:p w:rsidR="00736FFB" w:rsidRPr="00725BD1" w:rsidRDefault="00725BD1" w:rsidP="00736FFB">
            <w:pPr>
              <w:jc w:val="center"/>
              <w:rPr>
                <w:rFonts w:ascii="Arial" w:hAnsi="Arial" w:cs="Arial"/>
                <w:color w:val="000000"/>
                <w:sz w:val="18"/>
                <w:szCs w:val="18"/>
              </w:rPr>
            </w:pPr>
            <w:r w:rsidRPr="00725BD1">
              <w:rPr>
                <w:rFonts w:ascii="Arial" w:hAnsi="Arial" w:cs="Arial"/>
                <w:color w:val="000000"/>
                <w:sz w:val="18"/>
                <w:szCs w:val="18"/>
              </w:rPr>
              <w:t>$250,000</w:t>
            </w:r>
          </w:p>
        </w:tc>
        <w:tc>
          <w:tcPr>
            <w:tcW w:w="1170" w:type="dxa"/>
          </w:tcPr>
          <w:p w:rsidR="00736FFB" w:rsidRPr="00725BD1" w:rsidRDefault="00725BD1" w:rsidP="00736FFB">
            <w:pPr>
              <w:pStyle w:val="BodyText"/>
              <w:spacing w:before="0" w:line="280" w:lineRule="exact"/>
              <w:jc w:val="center"/>
              <w:rPr>
                <w:rFonts w:ascii="Arial" w:hAnsi="Arial" w:cs="Arial"/>
                <w:sz w:val="18"/>
                <w:szCs w:val="18"/>
                <w:lang w:val="en-CA"/>
              </w:rPr>
            </w:pPr>
            <w:r>
              <w:rPr>
                <w:rFonts w:ascii="Arial" w:hAnsi="Arial" w:cs="Arial"/>
                <w:sz w:val="18"/>
                <w:szCs w:val="18"/>
                <w:lang w:val="en-CA"/>
              </w:rPr>
              <w:t>N/A</w:t>
            </w:r>
          </w:p>
        </w:tc>
        <w:tc>
          <w:tcPr>
            <w:tcW w:w="1350" w:type="dxa"/>
          </w:tcPr>
          <w:p w:rsidR="00736FFB" w:rsidRPr="00725BD1" w:rsidRDefault="00F62FF0" w:rsidP="00736FFB">
            <w:pPr>
              <w:pStyle w:val="BodyText"/>
              <w:spacing w:before="0" w:line="280" w:lineRule="exact"/>
              <w:jc w:val="center"/>
              <w:rPr>
                <w:rFonts w:ascii="Arial" w:hAnsi="Arial" w:cs="Arial"/>
                <w:sz w:val="18"/>
                <w:szCs w:val="18"/>
                <w:lang w:val="en-CA"/>
              </w:rPr>
            </w:pPr>
            <w:r w:rsidRPr="00725BD1">
              <w:rPr>
                <w:rFonts w:ascii="Arial" w:hAnsi="Arial" w:cs="Arial"/>
                <w:sz w:val="18"/>
                <w:szCs w:val="18"/>
                <w:lang w:val="en-CA"/>
              </w:rPr>
              <w:t>Section 2.3 of NI 45-106</w:t>
            </w:r>
          </w:p>
        </w:tc>
        <w:tc>
          <w:tcPr>
            <w:tcW w:w="1710" w:type="dxa"/>
          </w:tcPr>
          <w:p w:rsidR="00736FFB" w:rsidRPr="00725BD1" w:rsidRDefault="00D7662D" w:rsidP="00736FFB">
            <w:pPr>
              <w:pStyle w:val="BodyText"/>
              <w:spacing w:before="0" w:line="280" w:lineRule="exact"/>
              <w:jc w:val="center"/>
              <w:rPr>
                <w:rFonts w:ascii="Arial" w:hAnsi="Arial" w:cs="Arial"/>
                <w:sz w:val="18"/>
                <w:szCs w:val="18"/>
              </w:rPr>
            </w:pPr>
            <w:r>
              <w:rPr>
                <w:rFonts w:ascii="Arial" w:hAnsi="Arial" w:cs="Arial"/>
                <w:sz w:val="18"/>
                <w:szCs w:val="18"/>
              </w:rPr>
              <w:t>1,000,000</w:t>
            </w:r>
          </w:p>
        </w:tc>
        <w:tc>
          <w:tcPr>
            <w:tcW w:w="1170" w:type="dxa"/>
          </w:tcPr>
          <w:p w:rsidR="00736FFB" w:rsidRPr="00725BD1" w:rsidRDefault="00BE29C2" w:rsidP="00736FFB">
            <w:pPr>
              <w:pStyle w:val="BodyText"/>
              <w:spacing w:before="0" w:line="280" w:lineRule="exact"/>
              <w:jc w:val="center"/>
              <w:rPr>
                <w:rFonts w:ascii="Arial" w:hAnsi="Arial" w:cs="Arial"/>
                <w:sz w:val="18"/>
                <w:szCs w:val="18"/>
                <w:lang w:val="en-CA"/>
              </w:rPr>
            </w:pPr>
            <w:r w:rsidRPr="00725BD1">
              <w:rPr>
                <w:rFonts w:ascii="Arial" w:hAnsi="Arial" w:cs="Arial"/>
                <w:sz w:val="18"/>
                <w:szCs w:val="18"/>
                <w:lang w:val="en-CA"/>
              </w:rPr>
              <w:t>September 25</w:t>
            </w:r>
            <w:r w:rsidR="000E7051" w:rsidRPr="00725BD1">
              <w:rPr>
                <w:rFonts w:ascii="Arial" w:hAnsi="Arial" w:cs="Arial"/>
                <w:sz w:val="18"/>
                <w:szCs w:val="18"/>
                <w:lang w:val="en-CA"/>
              </w:rPr>
              <w:t>, 2018</w:t>
            </w:r>
          </w:p>
        </w:tc>
        <w:tc>
          <w:tcPr>
            <w:tcW w:w="1620" w:type="dxa"/>
          </w:tcPr>
          <w:p w:rsidR="00736FFB" w:rsidRPr="00725BD1" w:rsidRDefault="00F62FF0" w:rsidP="00736FFB">
            <w:pPr>
              <w:pStyle w:val="BodyText"/>
              <w:spacing w:before="0" w:line="280" w:lineRule="exact"/>
              <w:jc w:val="center"/>
              <w:rPr>
                <w:rFonts w:ascii="Arial" w:hAnsi="Arial" w:cs="Arial"/>
                <w:color w:val="000000"/>
                <w:sz w:val="18"/>
                <w:szCs w:val="18"/>
                <w:lang w:val="en-CA"/>
              </w:rPr>
            </w:pPr>
            <w:r w:rsidRPr="00725BD1">
              <w:rPr>
                <w:rFonts w:ascii="Arial" w:hAnsi="Arial" w:cs="Arial"/>
                <w:color w:val="000000"/>
                <w:sz w:val="18"/>
                <w:szCs w:val="18"/>
                <w:lang w:val="en-CA"/>
              </w:rPr>
              <w:t>N/A</w:t>
            </w:r>
          </w:p>
        </w:tc>
      </w:tr>
      <w:tr w:rsidR="00BE29C2" w:rsidTr="00BE29C2">
        <w:trPr>
          <w:trHeight w:val="864"/>
        </w:trPr>
        <w:tc>
          <w:tcPr>
            <w:tcW w:w="2250" w:type="dxa"/>
          </w:tcPr>
          <w:p w:rsidR="00BE29C2" w:rsidRPr="00725BD1" w:rsidRDefault="00725BD1" w:rsidP="000E7051">
            <w:pPr>
              <w:rPr>
                <w:rFonts w:ascii="Arial" w:hAnsi="Arial" w:cs="Arial"/>
                <w:sz w:val="18"/>
                <w:szCs w:val="18"/>
              </w:rPr>
            </w:pPr>
            <w:r w:rsidRPr="00725BD1">
              <w:rPr>
                <w:rFonts w:ascii="Arial" w:hAnsi="Arial" w:cs="Arial"/>
                <w:sz w:val="18"/>
                <w:szCs w:val="18"/>
              </w:rPr>
              <w:t>TY &amp; Sons Investments Inc.</w:t>
            </w:r>
          </w:p>
        </w:tc>
        <w:tc>
          <w:tcPr>
            <w:tcW w:w="1260" w:type="dxa"/>
          </w:tcPr>
          <w:p w:rsidR="00BE29C2" w:rsidRPr="00725BD1" w:rsidRDefault="00725BD1" w:rsidP="00736FFB">
            <w:pPr>
              <w:jc w:val="center"/>
              <w:rPr>
                <w:rFonts w:ascii="Arial" w:hAnsi="Arial" w:cs="Arial"/>
                <w:color w:val="000000"/>
                <w:sz w:val="18"/>
                <w:szCs w:val="18"/>
              </w:rPr>
            </w:pPr>
            <w:r w:rsidRPr="00725BD1">
              <w:rPr>
                <w:rFonts w:ascii="Arial" w:hAnsi="Arial" w:cs="Arial"/>
                <w:color w:val="000000"/>
                <w:sz w:val="18"/>
                <w:szCs w:val="18"/>
              </w:rPr>
              <w:t>$250,000</w:t>
            </w:r>
          </w:p>
        </w:tc>
        <w:tc>
          <w:tcPr>
            <w:tcW w:w="1170" w:type="dxa"/>
          </w:tcPr>
          <w:p w:rsidR="00BE29C2" w:rsidRPr="00725BD1" w:rsidRDefault="00725BD1" w:rsidP="00736FFB">
            <w:pPr>
              <w:pStyle w:val="BodyText"/>
              <w:spacing w:before="0" w:line="280" w:lineRule="exact"/>
              <w:jc w:val="center"/>
              <w:rPr>
                <w:rFonts w:ascii="Arial" w:hAnsi="Arial" w:cs="Arial"/>
                <w:sz w:val="18"/>
                <w:szCs w:val="18"/>
                <w:lang w:val="en-CA"/>
              </w:rPr>
            </w:pPr>
            <w:r w:rsidRPr="00725BD1">
              <w:rPr>
                <w:rFonts w:ascii="Arial" w:hAnsi="Arial" w:cs="Arial"/>
                <w:sz w:val="18"/>
                <w:szCs w:val="18"/>
                <w:lang w:val="en-CA"/>
              </w:rPr>
              <w:t>N/A</w:t>
            </w:r>
          </w:p>
        </w:tc>
        <w:tc>
          <w:tcPr>
            <w:tcW w:w="1350" w:type="dxa"/>
          </w:tcPr>
          <w:p w:rsidR="00BE29C2" w:rsidRPr="00725BD1" w:rsidRDefault="00725BD1" w:rsidP="00736FFB">
            <w:pPr>
              <w:pStyle w:val="BodyText"/>
              <w:spacing w:before="0" w:line="280" w:lineRule="exact"/>
              <w:jc w:val="center"/>
              <w:rPr>
                <w:rFonts w:ascii="Arial" w:hAnsi="Arial" w:cs="Arial"/>
                <w:sz w:val="18"/>
                <w:szCs w:val="18"/>
                <w:lang w:val="en-CA"/>
              </w:rPr>
            </w:pPr>
            <w:r w:rsidRPr="00725BD1">
              <w:rPr>
                <w:rFonts w:ascii="Arial" w:hAnsi="Arial" w:cs="Arial"/>
                <w:sz w:val="18"/>
                <w:szCs w:val="18"/>
                <w:lang w:val="en-CA"/>
              </w:rPr>
              <w:t>Section 2.3 of NI 45-106</w:t>
            </w:r>
          </w:p>
        </w:tc>
        <w:tc>
          <w:tcPr>
            <w:tcW w:w="1710" w:type="dxa"/>
          </w:tcPr>
          <w:p w:rsidR="00BE29C2" w:rsidRPr="00725BD1" w:rsidRDefault="00D7662D" w:rsidP="00736FFB">
            <w:pPr>
              <w:pStyle w:val="BodyText"/>
              <w:spacing w:before="0" w:line="280" w:lineRule="exact"/>
              <w:jc w:val="center"/>
              <w:rPr>
                <w:rFonts w:ascii="Arial" w:hAnsi="Arial" w:cs="Arial"/>
                <w:sz w:val="18"/>
                <w:szCs w:val="18"/>
              </w:rPr>
            </w:pPr>
            <w:r>
              <w:rPr>
                <w:rFonts w:ascii="Arial" w:hAnsi="Arial" w:cs="Arial"/>
                <w:sz w:val="18"/>
                <w:szCs w:val="18"/>
              </w:rPr>
              <w:t>5,374,053</w:t>
            </w:r>
          </w:p>
        </w:tc>
        <w:tc>
          <w:tcPr>
            <w:tcW w:w="1170" w:type="dxa"/>
          </w:tcPr>
          <w:p w:rsidR="00BE29C2" w:rsidRPr="00725BD1" w:rsidRDefault="00725BD1" w:rsidP="00736FFB">
            <w:pPr>
              <w:pStyle w:val="BodyText"/>
              <w:spacing w:before="0" w:line="280" w:lineRule="exact"/>
              <w:jc w:val="center"/>
              <w:rPr>
                <w:rFonts w:ascii="Arial" w:hAnsi="Arial" w:cs="Arial"/>
                <w:sz w:val="18"/>
                <w:szCs w:val="18"/>
                <w:lang w:val="en-CA"/>
              </w:rPr>
            </w:pPr>
            <w:r w:rsidRPr="00725BD1">
              <w:rPr>
                <w:rFonts w:ascii="Arial" w:hAnsi="Arial" w:cs="Arial"/>
                <w:sz w:val="18"/>
                <w:szCs w:val="18"/>
                <w:lang w:val="en-CA"/>
              </w:rPr>
              <w:t>September 25, 2018</w:t>
            </w:r>
          </w:p>
        </w:tc>
        <w:tc>
          <w:tcPr>
            <w:tcW w:w="1620" w:type="dxa"/>
          </w:tcPr>
          <w:p w:rsidR="00BE29C2" w:rsidRPr="00725BD1" w:rsidRDefault="00725BD1" w:rsidP="00736FFB">
            <w:pPr>
              <w:pStyle w:val="BodyText"/>
              <w:spacing w:before="0" w:line="280" w:lineRule="exact"/>
              <w:jc w:val="center"/>
              <w:rPr>
                <w:rFonts w:ascii="Arial" w:hAnsi="Arial" w:cs="Arial"/>
                <w:color w:val="000000"/>
                <w:sz w:val="18"/>
                <w:szCs w:val="18"/>
                <w:lang w:val="en-CA"/>
              </w:rPr>
            </w:pPr>
            <w:r w:rsidRPr="00725BD1">
              <w:rPr>
                <w:rFonts w:ascii="Arial" w:hAnsi="Arial" w:cs="Arial"/>
                <w:color w:val="000000"/>
                <w:sz w:val="18"/>
                <w:szCs w:val="18"/>
                <w:lang w:val="en-CA"/>
              </w:rPr>
              <w:t>N/A</w:t>
            </w:r>
          </w:p>
        </w:tc>
      </w:tr>
      <w:tr w:rsidR="00BE29C2" w:rsidTr="00BE29C2">
        <w:trPr>
          <w:trHeight w:val="864"/>
        </w:trPr>
        <w:tc>
          <w:tcPr>
            <w:tcW w:w="2250" w:type="dxa"/>
          </w:tcPr>
          <w:p w:rsidR="00BE29C2" w:rsidRDefault="00725BD1" w:rsidP="000E7051">
            <w:r>
              <w:t>Water Street Assets Inc.</w:t>
            </w:r>
          </w:p>
        </w:tc>
        <w:tc>
          <w:tcPr>
            <w:tcW w:w="1260" w:type="dxa"/>
          </w:tcPr>
          <w:p w:rsidR="00BE29C2" w:rsidRPr="00F62FF0" w:rsidRDefault="00725BD1" w:rsidP="00736FFB">
            <w:pPr>
              <w:jc w:val="center"/>
              <w:rPr>
                <w:rFonts w:ascii="Calibri" w:hAnsi="Calibri"/>
                <w:color w:val="000000"/>
                <w:sz w:val="18"/>
                <w:szCs w:val="18"/>
              </w:rPr>
            </w:pPr>
            <w:r>
              <w:rPr>
                <w:rFonts w:ascii="Calibri" w:hAnsi="Calibri"/>
                <w:color w:val="000000"/>
                <w:sz w:val="18"/>
                <w:szCs w:val="18"/>
              </w:rPr>
              <w:t>$75,060</w:t>
            </w:r>
          </w:p>
        </w:tc>
        <w:tc>
          <w:tcPr>
            <w:tcW w:w="1170" w:type="dxa"/>
          </w:tcPr>
          <w:p w:rsidR="00BE29C2" w:rsidRPr="00F62FF0" w:rsidRDefault="00725BD1" w:rsidP="00736FFB">
            <w:pPr>
              <w:pStyle w:val="BodyText"/>
              <w:spacing w:before="0" w:line="280" w:lineRule="exact"/>
              <w:jc w:val="center"/>
              <w:rPr>
                <w:rFonts w:ascii="Arial" w:hAnsi="Arial"/>
                <w:sz w:val="18"/>
                <w:szCs w:val="18"/>
                <w:lang w:val="en-CA"/>
              </w:rPr>
            </w:pPr>
            <w:r>
              <w:rPr>
                <w:rFonts w:ascii="Arial" w:hAnsi="Arial"/>
                <w:sz w:val="18"/>
                <w:szCs w:val="18"/>
                <w:lang w:val="en-CA"/>
              </w:rPr>
              <w:t>N/A</w:t>
            </w:r>
          </w:p>
        </w:tc>
        <w:tc>
          <w:tcPr>
            <w:tcW w:w="1350" w:type="dxa"/>
          </w:tcPr>
          <w:p w:rsidR="00BE29C2" w:rsidRPr="00F62FF0" w:rsidRDefault="00725BD1" w:rsidP="00736FFB">
            <w:pPr>
              <w:pStyle w:val="BodyText"/>
              <w:spacing w:before="0" w:line="280" w:lineRule="exact"/>
              <w:jc w:val="center"/>
              <w:rPr>
                <w:rFonts w:ascii="Arial" w:hAnsi="Arial"/>
                <w:sz w:val="18"/>
                <w:szCs w:val="18"/>
                <w:lang w:val="en-CA"/>
              </w:rPr>
            </w:pPr>
            <w:r w:rsidRPr="00725BD1">
              <w:rPr>
                <w:rFonts w:ascii="Arial" w:hAnsi="Arial" w:cs="Arial"/>
                <w:sz w:val="18"/>
                <w:szCs w:val="18"/>
                <w:lang w:val="en-CA"/>
              </w:rPr>
              <w:t>Section 2.3 of NI 45-106</w:t>
            </w:r>
          </w:p>
        </w:tc>
        <w:tc>
          <w:tcPr>
            <w:tcW w:w="1710" w:type="dxa"/>
          </w:tcPr>
          <w:p w:rsidR="00BE29C2" w:rsidRPr="00F62FF0" w:rsidRDefault="00D7662D" w:rsidP="00736FFB">
            <w:pPr>
              <w:pStyle w:val="BodyText"/>
              <w:spacing w:before="0" w:line="280" w:lineRule="exact"/>
              <w:jc w:val="center"/>
              <w:rPr>
                <w:rFonts w:ascii="Arial" w:hAnsi="Arial"/>
                <w:sz w:val="18"/>
                <w:szCs w:val="18"/>
              </w:rPr>
            </w:pPr>
            <w:r>
              <w:rPr>
                <w:rFonts w:ascii="Arial" w:hAnsi="Arial" w:cs="Arial"/>
                <w:sz w:val="18"/>
                <w:szCs w:val="18"/>
              </w:rPr>
              <w:t>N/A</w:t>
            </w:r>
          </w:p>
        </w:tc>
        <w:tc>
          <w:tcPr>
            <w:tcW w:w="1170" w:type="dxa"/>
          </w:tcPr>
          <w:p w:rsidR="00BE29C2" w:rsidRDefault="00725BD1" w:rsidP="00736FFB">
            <w:pPr>
              <w:pStyle w:val="BodyText"/>
              <w:spacing w:before="0" w:line="280" w:lineRule="exact"/>
              <w:jc w:val="center"/>
              <w:rPr>
                <w:rFonts w:ascii="Arial" w:hAnsi="Arial"/>
                <w:sz w:val="18"/>
                <w:szCs w:val="18"/>
                <w:lang w:val="en-CA"/>
              </w:rPr>
            </w:pPr>
            <w:r w:rsidRPr="00725BD1">
              <w:rPr>
                <w:rFonts w:ascii="Arial" w:hAnsi="Arial" w:cs="Arial"/>
                <w:sz w:val="18"/>
                <w:szCs w:val="18"/>
                <w:lang w:val="en-CA"/>
              </w:rPr>
              <w:t>S</w:t>
            </w:r>
            <w:r>
              <w:rPr>
                <w:rFonts w:ascii="Arial" w:hAnsi="Arial" w:cs="Arial"/>
                <w:sz w:val="18"/>
                <w:szCs w:val="18"/>
                <w:lang w:val="en-CA"/>
              </w:rPr>
              <w:t>eptember 24</w:t>
            </w:r>
            <w:r w:rsidRPr="00725BD1">
              <w:rPr>
                <w:rFonts w:ascii="Arial" w:hAnsi="Arial" w:cs="Arial"/>
                <w:sz w:val="18"/>
                <w:szCs w:val="18"/>
                <w:lang w:val="en-CA"/>
              </w:rPr>
              <w:t>, 2018</w:t>
            </w:r>
          </w:p>
        </w:tc>
        <w:tc>
          <w:tcPr>
            <w:tcW w:w="1620" w:type="dxa"/>
          </w:tcPr>
          <w:p w:rsidR="00BE29C2" w:rsidRPr="00F62FF0" w:rsidRDefault="00725BD1" w:rsidP="00736FFB">
            <w:pPr>
              <w:pStyle w:val="BodyText"/>
              <w:spacing w:before="0" w:line="280" w:lineRule="exact"/>
              <w:jc w:val="center"/>
              <w:rPr>
                <w:rFonts w:ascii="Arial" w:hAnsi="Arial"/>
                <w:color w:val="000000"/>
                <w:sz w:val="18"/>
                <w:szCs w:val="18"/>
                <w:lang w:val="en-CA"/>
              </w:rPr>
            </w:pPr>
            <w:r>
              <w:rPr>
                <w:rFonts w:ascii="Arial" w:hAnsi="Arial"/>
                <w:color w:val="000000"/>
                <w:sz w:val="18"/>
                <w:szCs w:val="18"/>
                <w:lang w:val="en-CA"/>
              </w:rPr>
              <w:t>N/A</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DB44FA" w:rsidRDefault="00DB44FA">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BA144D">
        <w:rPr>
          <w:rFonts w:ascii="Arial" w:hAnsi="Arial"/>
          <w:u w:val="single"/>
        </w:rPr>
        <w:t>$</w:t>
      </w:r>
      <w:r w:rsidR="00BE29C2">
        <w:rPr>
          <w:rFonts w:ascii="Arial" w:hAnsi="Arial"/>
          <w:u w:val="single"/>
        </w:rPr>
        <w:t>5</w:t>
      </w:r>
      <w:r w:rsidR="00DB44FA">
        <w:rPr>
          <w:rFonts w:ascii="Arial" w:hAnsi="Arial"/>
          <w:u w:val="single"/>
        </w:rPr>
        <w:t>75,06</w:t>
      </w:r>
      <w:r w:rsidR="00BE29C2">
        <w:rPr>
          <w:rFonts w:ascii="Arial" w:hAnsi="Arial"/>
          <w:u w:val="single"/>
        </w:rPr>
        <w:t>0</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971C2">
        <w:rPr>
          <w:rFonts w:ascii="Arial" w:hAnsi="Arial"/>
        </w:rPr>
        <w:t xml:space="preserve"> </w:t>
      </w:r>
      <w:r w:rsidR="006971C2">
        <w:rPr>
          <w:rFonts w:ascii="Arial" w:hAnsi="Arial"/>
          <w:u w:val="single"/>
        </w:rPr>
        <w:t>To provide working</w:t>
      </w:r>
      <w:r w:rsidR="004031E0">
        <w:rPr>
          <w:rFonts w:ascii="Arial" w:hAnsi="Arial"/>
          <w:u w:val="single"/>
        </w:rPr>
        <w:tab/>
      </w:r>
      <w:r w:rsidR="006971C2">
        <w:rPr>
          <w:rFonts w:ascii="Arial" w:hAnsi="Arial"/>
          <w:u w:val="single"/>
        </w:rPr>
        <w:t xml:space="preserve"> capital for the Issuer</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6971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6971C2">
        <w:rPr>
          <w:rFonts w:ascii="Arial" w:hAnsi="Arial"/>
        </w:rPr>
        <w:t xml:space="preserve"> </w:t>
      </w:r>
      <w:r w:rsidR="006971C2">
        <w:rPr>
          <w:rFonts w:ascii="Arial" w:hAnsi="Arial"/>
          <w:u w:val="single"/>
        </w:rPr>
        <w:t>N/A</w:t>
      </w:r>
      <w:r w:rsidR="006971C2">
        <w:rPr>
          <w:rFonts w:ascii="Arial" w:hAnsi="Arial"/>
          <w:u w:val="single"/>
        </w:rPr>
        <w:tab/>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BE29C2">
        <w:rPr>
          <w:rFonts w:ascii="Arial" w:hAnsi="Arial"/>
          <w:u w:val="single"/>
        </w:rPr>
        <w:t>Convertible Debentures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6971C2">
        <w:rPr>
          <w:rFonts w:ascii="Arial" w:hAnsi="Arial"/>
        </w:rPr>
        <w:t xml:space="preserve"> </w:t>
      </w:r>
      <w:r w:rsidR="00BE29C2">
        <w:rPr>
          <w:rFonts w:ascii="Arial" w:hAnsi="Arial"/>
          <w:u w:val="single"/>
        </w:rPr>
        <w:t>Aggreg</w:t>
      </w:r>
      <w:r w:rsidR="00DB44FA">
        <w:rPr>
          <w:rFonts w:ascii="Arial" w:hAnsi="Arial"/>
          <w:u w:val="single"/>
        </w:rPr>
        <w:t>ate principal amount of $575,060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71C2">
        <w:rPr>
          <w:rFonts w:ascii="Arial" w:hAnsi="Arial"/>
        </w:rPr>
        <w:t xml:space="preserve"> </w:t>
      </w:r>
      <w:r w:rsidR="00BE29C2">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6971C2">
        <w:rPr>
          <w:rFonts w:ascii="Arial" w:hAnsi="Arial"/>
          <w:u w:val="single"/>
        </w:rPr>
        <w:t xml:space="preserve"> </w:t>
      </w:r>
      <w:r w:rsidR="00BE29C2">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r w:rsidR="006971C2">
        <w:rPr>
          <w:rFonts w:ascii="Arial" w:hAnsi="Arial"/>
        </w:rPr>
        <w:t xml:space="preserve"> </w:t>
      </w:r>
      <w:r w:rsidR="000E7051">
        <w:rPr>
          <w:rFonts w:ascii="Arial" w:hAnsi="Arial"/>
          <w:u w:val="single"/>
        </w:rPr>
        <w:t>Warrants</w:t>
      </w:r>
      <w:r w:rsidR="006971C2">
        <w:rPr>
          <w:rFonts w:ascii="Arial" w:hAnsi="Arial"/>
          <w:u w:val="single"/>
        </w:rPr>
        <w:tab/>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E7051">
        <w:rPr>
          <w:rFonts w:ascii="Arial" w:hAnsi="Arial"/>
        </w:rPr>
        <w:t xml:space="preserve"> </w:t>
      </w:r>
      <w:r w:rsidR="00DB44FA">
        <w:rPr>
          <w:rFonts w:ascii="Arial" w:hAnsi="Arial"/>
          <w:u w:val="single"/>
        </w:rPr>
        <w:t>3,194</w:t>
      </w:r>
      <w:r w:rsidR="00D2670D">
        <w:rPr>
          <w:rFonts w:ascii="Arial" w:hAnsi="Arial"/>
          <w:u w:val="single"/>
        </w:rPr>
        <w:t>,777</w:t>
      </w:r>
      <w:r>
        <w:rPr>
          <w:rFonts w:ascii="Arial" w:hAnsi="Arial"/>
          <w:u w:val="single"/>
        </w:rPr>
        <w:tab/>
      </w:r>
      <w:r>
        <w:rPr>
          <w:rFonts w:ascii="Arial" w:hAnsi="Arial"/>
        </w:rPr>
        <w:t xml:space="preserve"> .</w:t>
      </w:r>
    </w:p>
    <w:p w:rsidR="00EA4133" w:rsidRPr="00D2670D" w:rsidRDefault="00EA4133" w:rsidP="00D2670D">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DB44FA">
        <w:rPr>
          <w:rFonts w:ascii="Arial" w:hAnsi="Arial"/>
          <w:u w:val="single"/>
        </w:rPr>
        <w:t>3</w:t>
      </w:r>
      <w:r w:rsidR="00D2670D">
        <w:rPr>
          <w:rFonts w:ascii="Arial" w:hAnsi="Arial"/>
          <w:u w:val="single"/>
        </w:rPr>
        <w:t>,194,777</w:t>
      </w:r>
      <w:r>
        <w:rPr>
          <w:rFonts w:ascii="Arial" w:hAnsi="Arial"/>
          <w:u w:val="single"/>
        </w:rPr>
        <w:tab/>
      </w:r>
      <w:r w:rsidRPr="00D2670D">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DB44FA">
        <w:rPr>
          <w:rFonts w:ascii="Arial" w:hAnsi="Arial"/>
          <w:u w:val="single"/>
        </w:rPr>
        <w:t xml:space="preserve"> $0.19</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DB44FA">
        <w:rPr>
          <w:rFonts w:ascii="Arial" w:hAnsi="Arial"/>
          <w:u w:val="single"/>
        </w:rPr>
        <w:t>Two years from the closing of the offering</w:t>
      </w:r>
      <w:r>
        <w:rPr>
          <w:rFonts w:ascii="Arial" w:hAnsi="Arial"/>
          <w:u w:val="single"/>
        </w:rPr>
        <w:tab/>
      </w:r>
      <w:r>
        <w:rPr>
          <w:rFonts w:ascii="Arial" w:hAnsi="Arial"/>
        </w:rPr>
        <w:t>.</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0E7051">
        <w:rPr>
          <w:b w:val="0"/>
          <w:sz w:val="24"/>
        </w:rPr>
        <w:t xml:space="preserve"> </w:t>
      </w:r>
      <w:r w:rsidR="000E7051">
        <w:rPr>
          <w:b w:val="0"/>
          <w:sz w:val="24"/>
          <w:u w:val="single"/>
        </w:rPr>
        <w:t xml:space="preserve">N/A       </w:t>
      </w:r>
      <w:r w:rsidR="000E7051">
        <w:rPr>
          <w:b w:val="0"/>
          <w:sz w:val="24"/>
        </w:rPr>
        <w:t xml:space="preserve"> .</w:t>
      </w:r>
      <w:r w:rsidR="000E7051">
        <w:rPr>
          <w:b w:val="0"/>
          <w:sz w:val="24"/>
          <w:u w:val="single"/>
        </w:rPr>
        <w:t xml:space="preserve">     </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DB44FA">
        <w:rPr>
          <w:rFonts w:ascii="Arial" w:hAnsi="Arial"/>
        </w:rPr>
        <w:t xml:space="preserve">  </w:t>
      </w:r>
      <w:r w:rsidR="00DB44FA" w:rsidRPr="00DB44FA">
        <w:rPr>
          <w:rFonts w:ascii="Arial" w:hAnsi="Arial"/>
          <w:u w:val="single"/>
        </w:rPr>
        <w:t>$575,060</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sidR="00DB44FA">
        <w:rPr>
          <w:rFonts w:ascii="Arial" w:hAnsi="Arial"/>
        </w:rPr>
        <w:t xml:space="preserve">  </w:t>
      </w:r>
      <w:r w:rsidR="00DB44FA">
        <w:rPr>
          <w:rFonts w:ascii="Arial" w:hAnsi="Arial"/>
          <w:u w:val="single"/>
        </w:rPr>
        <w:t>One year from the closing of the offering</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DB44FA">
        <w:rPr>
          <w:rFonts w:ascii="Arial" w:hAnsi="Arial"/>
          <w:u w:val="single"/>
        </w:rPr>
        <w:t xml:space="preserve"> 7%, payable on the Maturity Date</w:t>
      </w:r>
      <w:r>
        <w:rPr>
          <w:rFonts w:ascii="Arial" w:hAnsi="Arial"/>
          <w:u w:val="single"/>
        </w:rPr>
        <w:tab/>
      </w:r>
      <w:r>
        <w:rPr>
          <w:rFonts w:ascii="Arial" w:hAnsi="Arial"/>
        </w:rPr>
        <w:t xml:space="preserve"> .</w:t>
      </w:r>
    </w:p>
    <w:p w:rsidR="00EA4133" w:rsidRDefault="00EA4133" w:rsidP="00DB44FA">
      <w:pPr>
        <w:pStyle w:val="BodyText"/>
        <w:tabs>
          <w:tab w:val="left" w:pos="1080"/>
          <w:tab w:val="left" w:pos="1440"/>
          <w:tab w:val="left" w:pos="2160"/>
          <w:tab w:val="left" w:pos="9180"/>
        </w:tabs>
        <w:ind w:left="1080" w:hanging="1080"/>
        <w:rPr>
          <w:rFonts w:ascii="Arial" w:hAnsi="Arial"/>
        </w:rPr>
      </w:pPr>
      <w:r>
        <w:rPr>
          <w:rFonts w:ascii="Arial" w:hAnsi="Arial"/>
        </w:rPr>
        <w:tab/>
        <w:t xml:space="preserve">(d) </w:t>
      </w:r>
      <w:r>
        <w:rPr>
          <w:rFonts w:ascii="Arial" w:hAnsi="Arial"/>
        </w:rPr>
        <w:tab/>
        <w:t xml:space="preserve">Conversion terms </w:t>
      </w:r>
      <w:r w:rsidR="00DB44FA">
        <w:rPr>
          <w:rFonts w:ascii="Arial" w:hAnsi="Arial"/>
        </w:rPr>
        <w:t xml:space="preserve"> </w:t>
      </w:r>
      <w:r w:rsidR="00DB44FA">
        <w:rPr>
          <w:rFonts w:ascii="Arial" w:hAnsi="Arial"/>
          <w:u w:val="single"/>
        </w:rPr>
        <w:t xml:space="preserve">On the Maturity Date, </w:t>
      </w:r>
      <w:r w:rsidR="00DB44FA" w:rsidRPr="00DB44FA">
        <w:rPr>
          <w:rFonts w:ascii="Arial" w:hAnsi="Arial" w:cs="Arial"/>
          <w:szCs w:val="24"/>
          <w:u w:val="single"/>
        </w:rPr>
        <w:t>all of the principal amount of the then outstanding Convertible Debentures will convert, at a conversion price of $0.18, into units consisting of one common share in the capital of the Company</w:t>
      </w:r>
      <w:r>
        <w:rPr>
          <w:rFonts w:ascii="Arial" w:hAnsi="Arial"/>
          <w:u w:val="single"/>
        </w:rPr>
        <w:tab/>
      </w:r>
      <w:r w:rsidR="00DB44FA">
        <w:rPr>
          <w:rFonts w:ascii="Arial" w:hAnsi="Arial"/>
          <w:u w:val="single"/>
        </w:rPr>
        <w:t xml:space="preserve"> and one warrant, the terms of which are outlined above</w:t>
      </w:r>
      <w:r>
        <w:rPr>
          <w:rFonts w:ascii="Arial" w:hAnsi="Arial"/>
        </w:rPr>
        <w:t xml:space="preserve"> .</w:t>
      </w:r>
    </w:p>
    <w:p w:rsidR="00EA4133" w:rsidRDefault="00EA4133" w:rsidP="00DB44FA">
      <w:pPr>
        <w:pStyle w:val="BodyText"/>
        <w:tabs>
          <w:tab w:val="left" w:pos="1080"/>
          <w:tab w:val="left" w:pos="1440"/>
          <w:tab w:val="left" w:pos="2160"/>
          <w:tab w:val="left" w:pos="9180"/>
        </w:tabs>
        <w:ind w:left="1080" w:hanging="1080"/>
        <w:rPr>
          <w:rFonts w:ascii="Arial" w:hAnsi="Arial"/>
        </w:rPr>
      </w:pPr>
      <w:r>
        <w:rPr>
          <w:rFonts w:ascii="Arial" w:hAnsi="Arial"/>
        </w:rPr>
        <w:tab/>
        <w:t xml:space="preserve">(e) </w:t>
      </w:r>
      <w:r>
        <w:rPr>
          <w:rFonts w:ascii="Arial" w:hAnsi="Arial"/>
        </w:rPr>
        <w:tab/>
        <w:t xml:space="preserve">Default provisions </w:t>
      </w:r>
      <w:r w:rsidR="00DB44FA">
        <w:rPr>
          <w:rFonts w:ascii="Arial" w:hAnsi="Arial"/>
        </w:rPr>
        <w:t xml:space="preserve"> </w:t>
      </w:r>
      <w:r w:rsidR="00DB44FA">
        <w:rPr>
          <w:rFonts w:ascii="Arial" w:hAnsi="Arial"/>
          <w:u w:val="single"/>
        </w:rPr>
        <w:t>Bankruptcy, winding-up or the liquidation of the Issuer</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38479C">
        <w:rPr>
          <w:rFonts w:ascii="Arial" w:hAnsi="Arial"/>
        </w:rPr>
        <w:t xml:space="preserve">   </w:t>
      </w:r>
      <w:r w:rsidR="0038479C">
        <w:rPr>
          <w:rFonts w:ascii="Arial" w:hAnsi="Arial"/>
          <w:u w:val="single"/>
        </w:rPr>
        <w:tab/>
      </w:r>
      <w:r w:rsidR="000E7051">
        <w:rPr>
          <w:rFonts w:ascii="Arial" w:hAnsi="Arial"/>
          <w:u w:val="single"/>
        </w:rPr>
        <w:t>N/A</w:t>
      </w:r>
      <w:r w:rsidR="0038479C">
        <w:rPr>
          <w:rFonts w:ascii="Arial" w:hAnsi="Arial"/>
          <w:u w:val="single"/>
        </w:rPr>
        <w:tab/>
      </w:r>
      <w:r w:rsidR="0038479C">
        <w:rPr>
          <w:rFonts w:ascii="Arial" w:hAnsi="Arial"/>
          <w:u w:val="single"/>
        </w:rPr>
        <w:tab/>
      </w:r>
      <w:r w:rsidR="0038479C">
        <w:rPr>
          <w:rFonts w:ascii="Arial" w:hAnsi="Arial"/>
          <w:u w:val="single"/>
        </w:rPr>
        <w:tab/>
      </w:r>
      <w:r w:rsidR="0038479C">
        <w:rPr>
          <w:rFonts w:ascii="Arial" w:hAnsi="Arial"/>
          <w:u w:val="single"/>
        </w:rPr>
        <w:tab/>
      </w:r>
    </w:p>
    <w:p w:rsidR="00EA4133" w:rsidRDefault="00EA4133" w:rsidP="00505124">
      <w:pPr>
        <w:pStyle w:val="List"/>
        <w:numPr>
          <w:ilvl w:val="0"/>
          <w:numId w:val="18"/>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 address. If a corporation, identify persons owning or exercising voting control over 20% or more of the voting shares if known to the Issuer):</w:t>
      </w:r>
    </w:p>
    <w:p w:rsidR="00505124" w:rsidRPr="00505124" w:rsidRDefault="00505124" w:rsidP="00505124">
      <w:pPr>
        <w:pStyle w:val="List"/>
        <w:tabs>
          <w:tab w:val="left" w:pos="2160"/>
          <w:tab w:val="left" w:pos="9180"/>
        </w:tabs>
        <w:spacing w:before="0"/>
        <w:ind w:left="2160" w:firstLine="0"/>
        <w:jc w:val="both"/>
        <w:rPr>
          <w:rFonts w:ascii="Arial" w:hAnsi="Arial"/>
        </w:rPr>
      </w:pP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70"/>
        <w:gridCol w:w="1890"/>
        <w:gridCol w:w="2160"/>
        <w:gridCol w:w="1710"/>
      </w:tblGrid>
      <w:tr w:rsidR="00CE093B" w:rsidTr="00CE093B">
        <w:trPr>
          <w:trHeight w:val="879"/>
        </w:trPr>
        <w:tc>
          <w:tcPr>
            <w:tcW w:w="1728"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Name of Broker</w:t>
            </w:r>
          </w:p>
        </w:tc>
        <w:tc>
          <w:tcPr>
            <w:tcW w:w="207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Address</w:t>
            </w:r>
          </w:p>
        </w:tc>
        <w:tc>
          <w:tcPr>
            <w:tcW w:w="189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20% Shareholders, if Applicable</w:t>
            </w:r>
          </w:p>
        </w:tc>
        <w:tc>
          <w:tcPr>
            <w:tcW w:w="216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 xml:space="preserve">Cash Received </w:t>
            </w:r>
          </w:p>
        </w:tc>
        <w:tc>
          <w:tcPr>
            <w:tcW w:w="171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rPr>
              <w:t>Securities Received</w:t>
            </w:r>
          </w:p>
        </w:tc>
      </w:tr>
      <w:tr w:rsidR="00CE093B" w:rsidTr="00CE093B">
        <w:trPr>
          <w:trHeight w:val="864"/>
        </w:trPr>
        <w:tc>
          <w:tcPr>
            <w:tcW w:w="1728" w:type="dxa"/>
          </w:tcPr>
          <w:p w:rsidR="00CE093B" w:rsidRPr="000B4D7A" w:rsidRDefault="00CE093B" w:rsidP="00CE093B">
            <w:pPr>
              <w:rPr>
                <w:rFonts w:ascii="Arial" w:hAnsi="Arial" w:cs="Arial"/>
                <w:sz w:val="18"/>
                <w:szCs w:val="18"/>
                <w:lang w:val="en-CA"/>
              </w:rPr>
            </w:pPr>
          </w:p>
        </w:tc>
        <w:tc>
          <w:tcPr>
            <w:tcW w:w="2070" w:type="dxa"/>
          </w:tcPr>
          <w:p w:rsidR="00CE093B" w:rsidRPr="000B4D7A" w:rsidRDefault="00CE093B" w:rsidP="00736FFB">
            <w:pPr>
              <w:pStyle w:val="BodyText"/>
              <w:rPr>
                <w:rFonts w:ascii="Arial" w:hAnsi="Arial" w:cs="Arial"/>
                <w:sz w:val="18"/>
                <w:szCs w:val="18"/>
                <w:lang w:val="en-CA"/>
              </w:rPr>
            </w:pPr>
          </w:p>
        </w:tc>
        <w:tc>
          <w:tcPr>
            <w:tcW w:w="1890" w:type="dxa"/>
          </w:tcPr>
          <w:p w:rsidR="00CE093B" w:rsidRPr="000B4D7A" w:rsidRDefault="00CE093B" w:rsidP="00736FFB">
            <w:pPr>
              <w:pStyle w:val="BodyText"/>
              <w:rPr>
                <w:rFonts w:ascii="Arial" w:hAnsi="Arial"/>
                <w:sz w:val="20"/>
                <w:lang w:val="en-CA"/>
              </w:rPr>
            </w:pPr>
          </w:p>
        </w:tc>
        <w:tc>
          <w:tcPr>
            <w:tcW w:w="2160" w:type="dxa"/>
          </w:tcPr>
          <w:p w:rsidR="00CE093B" w:rsidRPr="00736FFB" w:rsidRDefault="00CE093B" w:rsidP="00736FFB">
            <w:pPr>
              <w:pStyle w:val="BodyText"/>
              <w:spacing w:before="0"/>
              <w:rPr>
                <w:rFonts w:ascii="Arial" w:hAnsi="Arial" w:cs="Arial"/>
                <w:sz w:val="18"/>
                <w:szCs w:val="18"/>
              </w:rPr>
            </w:pPr>
          </w:p>
        </w:tc>
        <w:tc>
          <w:tcPr>
            <w:tcW w:w="1710" w:type="dxa"/>
          </w:tcPr>
          <w:p w:rsidR="00CE093B" w:rsidRPr="00736FFB" w:rsidRDefault="00CE093B" w:rsidP="00736FFB">
            <w:pPr>
              <w:pStyle w:val="BodyText"/>
              <w:spacing w:before="0"/>
              <w:rPr>
                <w:rFonts w:ascii="Arial" w:hAnsi="Arial" w:cs="Arial"/>
                <w:sz w:val="18"/>
                <w:szCs w:val="18"/>
              </w:rPr>
            </w:pPr>
          </w:p>
        </w:tc>
      </w:tr>
    </w:tbl>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B4D7A">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0B4D7A">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0B4D7A">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8479C">
        <w:rPr>
          <w:rFonts w:ascii="Arial" w:hAnsi="Arial"/>
        </w:rPr>
        <w:t xml:space="preserve"> </w:t>
      </w:r>
      <w:r w:rsidR="0038479C">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8479C">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350D9B" w:rsidP="00350D9B">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350D9B" w:rsidP="00350D9B">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lastRenderedPageBreak/>
        <w:t>State whether the private placement will result in a change of control.</w:t>
      </w:r>
    </w:p>
    <w:p w:rsidR="00EA4133" w:rsidRDefault="00350D9B" w:rsidP="00350D9B">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6971C2">
        <w:rPr>
          <w:rFonts w:ascii="Arial" w:hAnsi="Arial"/>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350D9B">
        <w:rPr>
          <w:rFonts w:ascii="Arial" w:hAnsi="Arial"/>
        </w:rPr>
        <w:t>Instrument 45-102.</w:t>
      </w:r>
    </w:p>
    <w:p w:rsidR="00EA4133" w:rsidRPr="006971C2"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6971C2">
        <w:rPr>
          <w:rFonts w:ascii="Arial" w:hAnsi="Arial"/>
          <w:b/>
          <w:color w:val="000000"/>
        </w:rPr>
        <w:t xml:space="preserve"> </w:t>
      </w:r>
      <w:r w:rsidR="006971C2" w:rsidRPr="006971C2">
        <w:rPr>
          <w:rFonts w:ascii="Arial" w:hAnsi="Arial"/>
          <w:color w:val="000000"/>
          <w:u w:val="single"/>
        </w:rPr>
        <w:t>N/A</w:t>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rsidTr="00505124">
        <w:trPr>
          <w:trHeight w:hRule="exact" w:val="487"/>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Pr="0026533F" w:rsidRDefault="00EA4133" w:rsidP="0026533F">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r w:rsidRPr="0026533F">
        <w:rPr>
          <w:rFonts w:ascii="Arial" w:hAnsi="Arial"/>
          <w:color w:val="000000"/>
        </w:rPr>
        <w:t>.</w:t>
      </w:r>
    </w:p>
    <w:p w:rsidR="00E25D2F" w:rsidRDefault="00E25D2F">
      <w:pPr>
        <w:rPr>
          <w:rFonts w:ascii="Arial" w:hAnsi="Arial"/>
          <w:b/>
          <w:sz w:val="24"/>
          <w:lang w:val="en-GB"/>
        </w:rPr>
      </w:pPr>
    </w:p>
    <w:p w:rsidR="00DB44FA" w:rsidRDefault="00DB44FA">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971C2">
        <w:rPr>
          <w:rFonts w:ascii="Arial" w:hAnsi="Arial"/>
          <w:u w:val="single"/>
        </w:rPr>
        <w:t xml:space="preserve"> </w:t>
      </w:r>
      <w:r w:rsidR="009137CA">
        <w:rPr>
          <w:rFonts w:ascii="Arial" w:hAnsi="Arial"/>
          <w:u w:val="single"/>
        </w:rPr>
        <w:t>September 26</w:t>
      </w:r>
      <w:bookmarkStart w:id="4" w:name="_GoBack"/>
      <w:bookmarkEnd w:id="4"/>
      <w:r w:rsidR="006971C2">
        <w:rPr>
          <w:rFonts w:ascii="Arial" w:hAnsi="Arial"/>
          <w:u w:val="single"/>
        </w:rPr>
        <w:t>,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50D9B">
        <w:rPr>
          <w:rFonts w:ascii="Arial" w:hAnsi="Arial"/>
          <w:u w:val="single"/>
        </w:rPr>
        <w:t>Craig Snyder</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649E8">
        <w:rPr>
          <w:rFonts w:ascii="Arial" w:hAnsi="Arial"/>
          <w:i/>
        </w:rPr>
        <w:t>“</w:t>
      </w:r>
      <w:r w:rsidR="00D66B56">
        <w:rPr>
          <w:rFonts w:ascii="Arial" w:hAnsi="Arial"/>
          <w:i/>
          <w:u w:val="single"/>
        </w:rPr>
        <w:t>Craig Snyder</w:t>
      </w:r>
      <w:r w:rsidR="002649E8">
        <w:rPr>
          <w:rFonts w:ascii="Arial" w:hAnsi="Arial"/>
          <w:i/>
          <w:u w:val="single"/>
        </w:rPr>
        <w:t>”</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6971C2">
        <w:rPr>
          <w:rFonts w:ascii="Arial" w:hAnsi="Arial"/>
          <w:u w:val="single"/>
        </w:rPr>
        <w:t>President and CEO</w:t>
      </w:r>
      <w:r>
        <w:rPr>
          <w:rFonts w:ascii="Arial" w:hAnsi="Arial"/>
          <w:u w:val="single"/>
        </w:rPr>
        <w:tab/>
      </w:r>
      <w:r>
        <w:rPr>
          <w:rFonts w:ascii="Arial" w:hAnsi="Arial"/>
        </w:rPr>
        <w:br/>
        <w:t>Official Capacity</w:t>
      </w:r>
    </w:p>
    <w:sectPr w:rsidR="00EA4133"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FB" w:rsidRDefault="00736FFB">
      <w:r>
        <w:separator/>
      </w:r>
    </w:p>
  </w:endnote>
  <w:endnote w:type="continuationSeparator" w:id="0">
    <w:p w:rsidR="00736FFB" w:rsidRDefault="0073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Pr="00514B0E" w:rsidRDefault="005B59BD" w:rsidP="00514B0E">
    <w:pPr>
      <w:tabs>
        <w:tab w:val="center" w:pos="4674"/>
        <w:tab w:val="left" w:pos="8460"/>
      </w:tabs>
      <w:rPr>
        <w:rStyle w:val="PageNumber"/>
        <w:rFonts w:ascii="Arial" w:hAnsi="Arial" w:cs="Arial"/>
        <w:b/>
      </w:rPr>
    </w:pPr>
    <w:r w:rsidRPr="005B59BD">
      <w:rPr>
        <w:rFonts w:ascii="Arial" w:hAnsi="Arial" w:cs="Arial"/>
        <w:b/>
        <w:noProof/>
        <w:vanish/>
        <w:sz w:val="16"/>
      </w:rPr>
      <w:t>{</w:t>
    </w:r>
    <w:r w:rsidRPr="005B59BD">
      <w:rPr>
        <w:rFonts w:ascii="Arial" w:hAnsi="Arial" w:cs="Arial"/>
        <w:b/>
        <w:noProof/>
        <w:sz w:val="16"/>
      </w:rPr>
      <w:t>00288842-1</w:t>
    </w:r>
    <w:r w:rsidRPr="005B59BD">
      <w:rPr>
        <w:rFonts w:ascii="Arial" w:hAnsi="Arial" w:cs="Arial"/>
        <w:b/>
        <w:noProof/>
        <w:vanish/>
        <w:sz w:val="16"/>
      </w:rPr>
      <w:t>}</w:t>
    </w:r>
    <w:r w:rsidR="00736FFB">
      <w:rPr>
        <w:rFonts w:ascii="Arial" w:hAnsi="Arial" w:cs="Arial"/>
        <w:b/>
      </w:rPr>
      <w:tab/>
    </w:r>
    <w:r w:rsidR="00736FFB" w:rsidRPr="00514B0E">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736FFB" w:rsidRPr="00514B0E">
      <w:rPr>
        <w:rFonts w:ascii="Arial" w:hAnsi="Arial" w:cs="Arial"/>
        <w:b/>
      </w:rPr>
      <w:t>FORM 9 – NOTICE OF PROPOSED ISSUANCE OF</w:t>
    </w:r>
  </w:p>
  <w:p w:rsidR="00736FFB" w:rsidRPr="00514B0E" w:rsidRDefault="00736FFB" w:rsidP="008003B9">
    <w:pPr>
      <w:tabs>
        <w:tab w:val="center" w:pos="4674"/>
        <w:tab w:val="left" w:pos="8460"/>
      </w:tabs>
      <w:jc w:val="center"/>
      <w:rPr>
        <w:rStyle w:val="PageNumber"/>
        <w:rFonts w:ascii="Arial" w:hAnsi="Arial" w:cs="Arial"/>
        <w:b/>
      </w:rPr>
    </w:pPr>
    <w:r w:rsidRPr="00514B0E">
      <w:rPr>
        <w:rFonts w:ascii="Arial" w:hAnsi="Arial" w:cs="Arial"/>
        <w:b/>
      </w:rPr>
      <w:t>LISTED SECURITIES</w:t>
    </w:r>
  </w:p>
  <w:p w:rsidR="00736FFB" w:rsidRPr="00514B0E" w:rsidRDefault="00736FFB"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514B0E">
      <w:rPr>
        <w:rStyle w:val="PageNumber"/>
        <w:rFonts w:ascii="Arial" w:hAnsi="Arial" w:cs="Arial"/>
        <w:sz w:val="16"/>
        <w:szCs w:val="16"/>
      </w:rPr>
      <w:t>January 2015</w:t>
    </w:r>
  </w:p>
  <w:p w:rsidR="00736FFB" w:rsidRPr="00514B0E" w:rsidRDefault="00736FFB" w:rsidP="008003B9">
    <w:pPr>
      <w:pStyle w:val="Footer"/>
      <w:jc w:val="center"/>
      <w:rPr>
        <w:rFonts w:ascii="Arial" w:hAnsi="Arial" w:cs="Arial"/>
        <w:sz w:val="16"/>
        <w:szCs w:val="16"/>
      </w:rPr>
    </w:pPr>
    <w:r w:rsidRPr="00514B0E">
      <w:rPr>
        <w:rStyle w:val="PageNumber"/>
        <w:rFonts w:ascii="Arial" w:hAnsi="Arial" w:cs="Arial"/>
        <w:sz w:val="16"/>
        <w:szCs w:val="16"/>
      </w:rPr>
      <w:t xml:space="preserve">Page </w:t>
    </w:r>
    <w:r w:rsidRPr="00514B0E">
      <w:rPr>
        <w:rStyle w:val="PageNumber"/>
        <w:rFonts w:ascii="Arial" w:hAnsi="Arial" w:cs="Arial"/>
        <w:sz w:val="16"/>
        <w:szCs w:val="16"/>
      </w:rPr>
      <w:fldChar w:fldCharType="begin"/>
    </w:r>
    <w:r w:rsidRPr="00514B0E">
      <w:rPr>
        <w:rStyle w:val="PageNumber"/>
        <w:rFonts w:ascii="Arial" w:hAnsi="Arial" w:cs="Arial"/>
        <w:sz w:val="16"/>
        <w:szCs w:val="16"/>
      </w:rPr>
      <w:instrText xml:space="preserve"> PAGE </w:instrText>
    </w:r>
    <w:r w:rsidRPr="00514B0E">
      <w:rPr>
        <w:rStyle w:val="PageNumber"/>
        <w:rFonts w:ascii="Arial" w:hAnsi="Arial" w:cs="Arial"/>
        <w:sz w:val="16"/>
        <w:szCs w:val="16"/>
      </w:rPr>
      <w:fldChar w:fldCharType="separate"/>
    </w:r>
    <w:r w:rsidR="005B59BD">
      <w:rPr>
        <w:rStyle w:val="PageNumber"/>
        <w:rFonts w:ascii="Arial" w:hAnsi="Arial" w:cs="Arial"/>
        <w:noProof/>
        <w:sz w:val="16"/>
        <w:szCs w:val="16"/>
      </w:rPr>
      <w:t>1</w:t>
    </w:r>
    <w:r w:rsidRPr="00514B0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D547EF">
    <w:pPr>
      <w:pStyle w:val="Footer"/>
    </w:pPr>
    <w:fldSimple w:instr=" DOCPROPERTY FOOTERPATH \* MERGEFORMAT ">
      <w:r w:rsidR="00DB44FA">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FB" w:rsidRDefault="00736FFB">
      <w:pPr>
        <w:rPr>
          <w:noProof/>
        </w:rPr>
      </w:pPr>
      <w:r>
        <w:rPr>
          <w:noProof/>
        </w:rPr>
        <w:separator/>
      </w:r>
    </w:p>
  </w:footnote>
  <w:footnote w:type="continuationSeparator" w:id="0">
    <w:p w:rsidR="00736FFB" w:rsidRDefault="0073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B0842DA"/>
    <w:multiLevelType w:val="hybridMultilevel"/>
    <w:tmpl w:val="F0B032B4"/>
    <w:lvl w:ilvl="0" w:tplc="560CA366">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255FA"/>
    <w:rsid w:val="000B4D7A"/>
    <w:rsid w:val="000B64EF"/>
    <w:rsid w:val="000C30BD"/>
    <w:rsid w:val="000E7051"/>
    <w:rsid w:val="00116314"/>
    <w:rsid w:val="00130487"/>
    <w:rsid w:val="0016268A"/>
    <w:rsid w:val="00173F0B"/>
    <w:rsid w:val="001768C5"/>
    <w:rsid w:val="00186DA5"/>
    <w:rsid w:val="00213544"/>
    <w:rsid w:val="00227EAD"/>
    <w:rsid w:val="002557FD"/>
    <w:rsid w:val="002643A3"/>
    <w:rsid w:val="002649E8"/>
    <w:rsid w:val="0026533F"/>
    <w:rsid w:val="002B4E60"/>
    <w:rsid w:val="002F0416"/>
    <w:rsid w:val="002F5772"/>
    <w:rsid w:val="00326D55"/>
    <w:rsid w:val="00350D9B"/>
    <w:rsid w:val="0038479C"/>
    <w:rsid w:val="003A7C08"/>
    <w:rsid w:val="003E5D86"/>
    <w:rsid w:val="004031E0"/>
    <w:rsid w:val="00456624"/>
    <w:rsid w:val="004A1403"/>
    <w:rsid w:val="004B214D"/>
    <w:rsid w:val="00504A92"/>
    <w:rsid w:val="00505124"/>
    <w:rsid w:val="00514B0E"/>
    <w:rsid w:val="00515BBD"/>
    <w:rsid w:val="00523168"/>
    <w:rsid w:val="005B59BD"/>
    <w:rsid w:val="00603754"/>
    <w:rsid w:val="00617A0E"/>
    <w:rsid w:val="00622096"/>
    <w:rsid w:val="0062717F"/>
    <w:rsid w:val="00666AE4"/>
    <w:rsid w:val="00684BB0"/>
    <w:rsid w:val="006971C2"/>
    <w:rsid w:val="006C66AA"/>
    <w:rsid w:val="007253D6"/>
    <w:rsid w:val="00725BD1"/>
    <w:rsid w:val="00736FFB"/>
    <w:rsid w:val="007568B3"/>
    <w:rsid w:val="007B0425"/>
    <w:rsid w:val="007C348D"/>
    <w:rsid w:val="007D3D01"/>
    <w:rsid w:val="008003B9"/>
    <w:rsid w:val="008F27FF"/>
    <w:rsid w:val="009101B8"/>
    <w:rsid w:val="009136E7"/>
    <w:rsid w:val="009137CA"/>
    <w:rsid w:val="009466F0"/>
    <w:rsid w:val="00965EAF"/>
    <w:rsid w:val="009715F1"/>
    <w:rsid w:val="0097763E"/>
    <w:rsid w:val="00A00C54"/>
    <w:rsid w:val="00A10285"/>
    <w:rsid w:val="00A2263B"/>
    <w:rsid w:val="00A90670"/>
    <w:rsid w:val="00A93530"/>
    <w:rsid w:val="00A9392C"/>
    <w:rsid w:val="00AB7BA4"/>
    <w:rsid w:val="00B923F6"/>
    <w:rsid w:val="00BA144D"/>
    <w:rsid w:val="00BE29C2"/>
    <w:rsid w:val="00C15140"/>
    <w:rsid w:val="00C30372"/>
    <w:rsid w:val="00C92156"/>
    <w:rsid w:val="00CC650D"/>
    <w:rsid w:val="00CE093B"/>
    <w:rsid w:val="00CF076A"/>
    <w:rsid w:val="00CF2A90"/>
    <w:rsid w:val="00D2670D"/>
    <w:rsid w:val="00D31111"/>
    <w:rsid w:val="00D46282"/>
    <w:rsid w:val="00D547EF"/>
    <w:rsid w:val="00D66B56"/>
    <w:rsid w:val="00D7662D"/>
    <w:rsid w:val="00DB44FA"/>
    <w:rsid w:val="00DB640C"/>
    <w:rsid w:val="00E25D2F"/>
    <w:rsid w:val="00E55E58"/>
    <w:rsid w:val="00E97C13"/>
    <w:rsid w:val="00EA4133"/>
    <w:rsid w:val="00F62FF0"/>
    <w:rsid w:val="00F936A1"/>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1A7FFFE"/>
  <w15:docId w15:val="{EBB7B488-5F96-4EA3-B555-90BF9FB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9019">
      <w:bodyDiv w:val="1"/>
      <w:marLeft w:val="0"/>
      <w:marRight w:val="0"/>
      <w:marTop w:val="0"/>
      <w:marBottom w:val="0"/>
      <w:divBdr>
        <w:top w:val="none" w:sz="0" w:space="0" w:color="auto"/>
        <w:left w:val="none" w:sz="0" w:space="0" w:color="auto"/>
        <w:bottom w:val="none" w:sz="0" w:space="0" w:color="auto"/>
        <w:right w:val="none" w:sz="0" w:space="0" w:color="auto"/>
      </w:divBdr>
    </w:div>
    <w:div w:id="189300069">
      <w:bodyDiv w:val="1"/>
      <w:marLeft w:val="0"/>
      <w:marRight w:val="0"/>
      <w:marTop w:val="0"/>
      <w:marBottom w:val="0"/>
      <w:divBdr>
        <w:top w:val="none" w:sz="0" w:space="0" w:color="auto"/>
        <w:left w:val="none" w:sz="0" w:space="0" w:color="auto"/>
        <w:bottom w:val="none" w:sz="0" w:space="0" w:color="auto"/>
        <w:right w:val="none" w:sz="0" w:space="0" w:color="auto"/>
      </w:divBdr>
    </w:div>
    <w:div w:id="327489619">
      <w:bodyDiv w:val="1"/>
      <w:marLeft w:val="0"/>
      <w:marRight w:val="0"/>
      <w:marTop w:val="0"/>
      <w:marBottom w:val="0"/>
      <w:divBdr>
        <w:top w:val="none" w:sz="0" w:space="0" w:color="auto"/>
        <w:left w:val="none" w:sz="0" w:space="0" w:color="auto"/>
        <w:bottom w:val="none" w:sz="0" w:space="0" w:color="auto"/>
        <w:right w:val="none" w:sz="0" w:space="0" w:color="auto"/>
      </w:divBdr>
    </w:div>
    <w:div w:id="399793723">
      <w:bodyDiv w:val="1"/>
      <w:marLeft w:val="0"/>
      <w:marRight w:val="0"/>
      <w:marTop w:val="0"/>
      <w:marBottom w:val="0"/>
      <w:divBdr>
        <w:top w:val="none" w:sz="0" w:space="0" w:color="auto"/>
        <w:left w:val="none" w:sz="0" w:space="0" w:color="auto"/>
        <w:bottom w:val="none" w:sz="0" w:space="0" w:color="auto"/>
        <w:right w:val="none" w:sz="0" w:space="0" w:color="auto"/>
      </w:divBdr>
    </w:div>
    <w:div w:id="437605091">
      <w:bodyDiv w:val="1"/>
      <w:marLeft w:val="0"/>
      <w:marRight w:val="0"/>
      <w:marTop w:val="0"/>
      <w:marBottom w:val="0"/>
      <w:divBdr>
        <w:top w:val="none" w:sz="0" w:space="0" w:color="auto"/>
        <w:left w:val="none" w:sz="0" w:space="0" w:color="auto"/>
        <w:bottom w:val="none" w:sz="0" w:space="0" w:color="auto"/>
        <w:right w:val="none" w:sz="0" w:space="0" w:color="auto"/>
      </w:divBdr>
    </w:div>
    <w:div w:id="442962440">
      <w:bodyDiv w:val="1"/>
      <w:marLeft w:val="0"/>
      <w:marRight w:val="0"/>
      <w:marTop w:val="0"/>
      <w:marBottom w:val="0"/>
      <w:divBdr>
        <w:top w:val="none" w:sz="0" w:space="0" w:color="auto"/>
        <w:left w:val="none" w:sz="0" w:space="0" w:color="auto"/>
        <w:bottom w:val="none" w:sz="0" w:space="0" w:color="auto"/>
        <w:right w:val="none" w:sz="0" w:space="0" w:color="auto"/>
      </w:divBdr>
    </w:div>
    <w:div w:id="664209318">
      <w:bodyDiv w:val="1"/>
      <w:marLeft w:val="0"/>
      <w:marRight w:val="0"/>
      <w:marTop w:val="0"/>
      <w:marBottom w:val="0"/>
      <w:divBdr>
        <w:top w:val="none" w:sz="0" w:space="0" w:color="auto"/>
        <w:left w:val="none" w:sz="0" w:space="0" w:color="auto"/>
        <w:bottom w:val="none" w:sz="0" w:space="0" w:color="auto"/>
        <w:right w:val="none" w:sz="0" w:space="0" w:color="auto"/>
      </w:divBdr>
    </w:div>
    <w:div w:id="761147410">
      <w:bodyDiv w:val="1"/>
      <w:marLeft w:val="0"/>
      <w:marRight w:val="0"/>
      <w:marTop w:val="0"/>
      <w:marBottom w:val="0"/>
      <w:divBdr>
        <w:top w:val="none" w:sz="0" w:space="0" w:color="auto"/>
        <w:left w:val="none" w:sz="0" w:space="0" w:color="auto"/>
        <w:bottom w:val="none" w:sz="0" w:space="0" w:color="auto"/>
        <w:right w:val="none" w:sz="0" w:space="0" w:color="auto"/>
      </w:divBdr>
    </w:div>
    <w:div w:id="1282107215">
      <w:bodyDiv w:val="1"/>
      <w:marLeft w:val="0"/>
      <w:marRight w:val="0"/>
      <w:marTop w:val="0"/>
      <w:marBottom w:val="0"/>
      <w:divBdr>
        <w:top w:val="none" w:sz="0" w:space="0" w:color="auto"/>
        <w:left w:val="none" w:sz="0" w:space="0" w:color="auto"/>
        <w:bottom w:val="none" w:sz="0" w:space="0" w:color="auto"/>
        <w:right w:val="none" w:sz="0" w:space="0" w:color="auto"/>
      </w:divBdr>
    </w:div>
    <w:div w:id="1375230681">
      <w:bodyDiv w:val="1"/>
      <w:marLeft w:val="0"/>
      <w:marRight w:val="0"/>
      <w:marTop w:val="0"/>
      <w:marBottom w:val="0"/>
      <w:divBdr>
        <w:top w:val="none" w:sz="0" w:space="0" w:color="auto"/>
        <w:left w:val="none" w:sz="0" w:space="0" w:color="auto"/>
        <w:bottom w:val="none" w:sz="0" w:space="0" w:color="auto"/>
        <w:right w:val="none" w:sz="0" w:space="0" w:color="auto"/>
      </w:divBdr>
    </w:div>
    <w:div w:id="15974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B388-EC94-4960-9CF3-241C4D5E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1485</Words>
  <Characters>7691</Characters>
  <Application>Microsoft Office Word</Application>
  <DocSecurity>0</DocSecurity>
  <PresentationFormat/>
  <Lines>300</Lines>
  <Paragraphs>134</Paragraphs>
  <ScaleCrop>false</ScaleCrop>
  <HeadingPairs>
    <vt:vector size="2" baseType="variant">
      <vt:variant>
        <vt:lpstr>Title</vt:lpstr>
      </vt:variant>
      <vt:variant>
        <vt:i4>1</vt:i4>
      </vt:variant>
    </vt:vector>
  </HeadingPairs>
  <TitlesOfParts>
    <vt:vector size="1" baseType="lpstr">
      <vt:lpstr>Empower CSE Form 9 - (Private Placement- September 2018)  (00288842.DOCX;1)</vt:lpstr>
    </vt:vector>
  </TitlesOfParts>
  <Company>Vancouver Stock Exchange</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CSE Form 9 - (Private Placement- September 2018)  (00288842.DOCX;1)</dc:title>
  <dc:subject>00288842-1/font=8</dc:subject>
  <dc:creator>lstdjoh</dc:creator>
  <cp:keywords/>
  <dc:description/>
  <cp:lastModifiedBy>Ryan Hunter</cp:lastModifiedBy>
  <cp:revision>17</cp:revision>
  <cp:lastPrinted>2018-09-25T19:42:00Z</cp:lastPrinted>
  <dcterms:created xsi:type="dcterms:W3CDTF">2018-09-25T19:11:00Z</dcterms:created>
  <dcterms:modified xsi:type="dcterms:W3CDTF">2018-09-26T20:45:00Z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