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609" w:rsidRPr="00152FB2" w:rsidRDefault="00B51609" w:rsidP="00B51609">
      <w:pPr>
        <w:pStyle w:val="NormalWeb"/>
        <w:jc w:val="center"/>
        <w:rPr>
          <w:rFonts w:ascii="Times-Bold" w:hAnsi="Times-Bold"/>
          <w:b/>
          <w:bCs/>
          <w:color w:val="auto"/>
        </w:rPr>
      </w:pPr>
      <w:bookmarkStart w:id="0" w:name="_GoBack"/>
      <w:bookmarkEnd w:id="0"/>
      <w:r w:rsidRPr="00152FB2">
        <w:rPr>
          <w:rFonts w:ascii="Times-Bold" w:hAnsi="Times-Bold"/>
          <w:b/>
          <w:bCs/>
          <w:noProof/>
          <w:lang w:val="en-US" w:eastAsia="en-US"/>
        </w:rPr>
        <w:drawing>
          <wp:anchor distT="0" distB="0" distL="114300" distR="114300" simplePos="0" relativeHeight="251659264" behindDoc="0" locked="0" layoutInCell="1" allowOverlap="1" wp14:anchorId="53FC6A46" wp14:editId="1585D5AD">
            <wp:simplePos x="0" y="0"/>
            <wp:positionH relativeFrom="column">
              <wp:posOffset>280035</wp:posOffset>
            </wp:positionH>
            <wp:positionV relativeFrom="paragraph">
              <wp:posOffset>-111760</wp:posOffset>
            </wp:positionV>
            <wp:extent cx="43434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9525" r="1895"/>
                    <a:stretch>
                      <a:fillRect/>
                    </a:stretch>
                  </pic:blipFill>
                  <pic:spPr bwMode="auto">
                    <a:xfrm>
                      <a:off x="0" y="0"/>
                      <a:ext cx="4343400" cy="1225550"/>
                    </a:xfrm>
                    <a:prstGeom prst="rect">
                      <a:avLst/>
                    </a:prstGeom>
                    <a:noFill/>
                  </pic:spPr>
                </pic:pic>
              </a:graphicData>
            </a:graphic>
          </wp:anchor>
        </w:drawing>
      </w:r>
    </w:p>
    <w:p w:rsidR="00B51609" w:rsidRPr="00152FB2" w:rsidRDefault="00B51609" w:rsidP="00B51609">
      <w:pPr>
        <w:pStyle w:val="NormalWeb"/>
        <w:rPr>
          <w:rFonts w:ascii="Times-Bold" w:hAnsi="Times-Bold"/>
          <w:b/>
          <w:bCs/>
          <w:color w:val="auto"/>
        </w:rPr>
      </w:pPr>
    </w:p>
    <w:p w:rsidR="00B51609" w:rsidRPr="00152FB2" w:rsidRDefault="00B51609" w:rsidP="00B51609">
      <w:pPr>
        <w:pStyle w:val="NormalWeb"/>
        <w:jc w:val="center"/>
        <w:rPr>
          <w:rFonts w:ascii="Times-Bold" w:hAnsi="Times-Bold"/>
          <w:b/>
          <w:bCs/>
          <w:color w:val="auto"/>
        </w:rPr>
      </w:pPr>
    </w:p>
    <w:p w:rsidR="00B51609" w:rsidRPr="00152FB2" w:rsidRDefault="00B51609" w:rsidP="00B51609">
      <w:pPr>
        <w:pStyle w:val="NormalWeb"/>
        <w:jc w:val="center"/>
        <w:rPr>
          <w:rFonts w:ascii="Times-Bold" w:hAnsi="Times-Bold"/>
          <w:b/>
          <w:bCs/>
          <w:color w:val="auto"/>
        </w:rPr>
      </w:pPr>
    </w:p>
    <w:p w:rsidR="00B51609" w:rsidRPr="00E41A76" w:rsidRDefault="00B51609" w:rsidP="00B51609">
      <w:pPr>
        <w:jc w:val="center"/>
        <w:rPr>
          <w:b/>
          <w:sz w:val="50"/>
          <w:szCs w:val="50"/>
        </w:rPr>
      </w:pPr>
      <w:r w:rsidRPr="00E41A76">
        <w:rPr>
          <w:b/>
          <w:sz w:val="50"/>
          <w:szCs w:val="50"/>
        </w:rPr>
        <w:t>Evolving Gold</w:t>
      </w:r>
      <w:r w:rsidR="005E00D9" w:rsidRPr="00E41A76">
        <w:rPr>
          <w:b/>
          <w:sz w:val="50"/>
          <w:szCs w:val="50"/>
        </w:rPr>
        <w:t xml:space="preserve"> </w:t>
      </w:r>
      <w:r w:rsidR="00402881" w:rsidRPr="00E41A76">
        <w:rPr>
          <w:b/>
          <w:sz w:val="50"/>
          <w:szCs w:val="50"/>
        </w:rPr>
        <w:t>D</w:t>
      </w:r>
      <w:r w:rsidR="00E21FBF" w:rsidRPr="00E41A76">
        <w:rPr>
          <w:b/>
          <w:sz w:val="50"/>
          <w:szCs w:val="50"/>
        </w:rPr>
        <w:t>iscovers</w:t>
      </w:r>
      <w:r w:rsidR="00402881" w:rsidRPr="00E41A76">
        <w:rPr>
          <w:b/>
          <w:sz w:val="50"/>
          <w:szCs w:val="50"/>
        </w:rPr>
        <w:t xml:space="preserve"> </w:t>
      </w:r>
      <w:r w:rsidR="00A01835">
        <w:rPr>
          <w:b/>
          <w:sz w:val="50"/>
          <w:szCs w:val="50"/>
        </w:rPr>
        <w:t>Anomalous</w:t>
      </w:r>
      <w:r w:rsidR="00194405" w:rsidRPr="00E41A76">
        <w:rPr>
          <w:b/>
          <w:sz w:val="50"/>
          <w:szCs w:val="50"/>
        </w:rPr>
        <w:t xml:space="preserve"> Gold </w:t>
      </w:r>
      <w:r w:rsidR="003173B6">
        <w:rPr>
          <w:b/>
          <w:sz w:val="50"/>
          <w:szCs w:val="50"/>
        </w:rPr>
        <w:t>in</w:t>
      </w:r>
      <w:r w:rsidR="00194405" w:rsidRPr="00E41A76">
        <w:rPr>
          <w:b/>
          <w:sz w:val="50"/>
          <w:szCs w:val="50"/>
        </w:rPr>
        <w:t xml:space="preserve"> Polymetallic Till Anomalies </w:t>
      </w:r>
      <w:r w:rsidR="00E21FBF" w:rsidRPr="00E41A76">
        <w:rPr>
          <w:b/>
          <w:sz w:val="50"/>
          <w:szCs w:val="50"/>
        </w:rPr>
        <w:t xml:space="preserve">on its </w:t>
      </w:r>
      <w:r w:rsidR="00194405" w:rsidRPr="00E41A76">
        <w:rPr>
          <w:b/>
          <w:sz w:val="50"/>
          <w:szCs w:val="50"/>
        </w:rPr>
        <w:t>Toro Pr</w:t>
      </w:r>
      <w:r w:rsidR="00E21FBF" w:rsidRPr="00E41A76">
        <w:rPr>
          <w:b/>
          <w:sz w:val="50"/>
          <w:szCs w:val="50"/>
        </w:rPr>
        <w:t>oject</w:t>
      </w:r>
    </w:p>
    <w:p w:rsidR="00B51609" w:rsidRPr="00152FB2" w:rsidRDefault="00B51609" w:rsidP="00B51609">
      <w:pPr>
        <w:jc w:val="both"/>
        <w:rPr>
          <w:b/>
          <w:bCs/>
          <w:szCs w:val="24"/>
          <w:u w:val="single"/>
        </w:rPr>
      </w:pPr>
    </w:p>
    <w:p w:rsidR="00EA6E77" w:rsidRDefault="00085130" w:rsidP="00EA6E77">
      <w:pPr>
        <w:jc w:val="both"/>
        <w:rPr>
          <w:bCs/>
          <w:szCs w:val="24"/>
        </w:rPr>
      </w:pPr>
      <w:r>
        <w:rPr>
          <w:b/>
          <w:bCs/>
          <w:szCs w:val="24"/>
        </w:rPr>
        <w:t>July</w:t>
      </w:r>
      <w:r w:rsidR="00B51609" w:rsidRPr="00810C24">
        <w:rPr>
          <w:b/>
          <w:bCs/>
          <w:szCs w:val="24"/>
        </w:rPr>
        <w:t xml:space="preserve"> </w:t>
      </w:r>
      <w:r>
        <w:rPr>
          <w:b/>
          <w:bCs/>
          <w:szCs w:val="24"/>
        </w:rPr>
        <w:t>5</w:t>
      </w:r>
      <w:r w:rsidR="00B51609" w:rsidRPr="00810C24">
        <w:rPr>
          <w:b/>
          <w:bCs/>
          <w:szCs w:val="24"/>
          <w:vertAlign w:val="superscript"/>
        </w:rPr>
        <w:t>th</w:t>
      </w:r>
      <w:r w:rsidR="00FB74BF">
        <w:rPr>
          <w:b/>
          <w:bCs/>
          <w:szCs w:val="24"/>
        </w:rPr>
        <w:t>, 2017</w:t>
      </w:r>
      <w:r w:rsidR="00B51609" w:rsidRPr="00810C24">
        <w:rPr>
          <w:b/>
          <w:bCs/>
          <w:szCs w:val="24"/>
        </w:rPr>
        <w:t xml:space="preserve">, Vancouver, British Columbia: Evolving Gold Corp. (CSE: EVG) (FSE: EV7) (OTCB: EVOGF) (the “Company”) </w:t>
      </w:r>
      <w:r w:rsidR="00B51609" w:rsidRPr="00B51609">
        <w:rPr>
          <w:bCs/>
          <w:szCs w:val="24"/>
        </w:rPr>
        <w:t xml:space="preserve">is pleased to </w:t>
      </w:r>
      <w:r w:rsidR="00B51609">
        <w:rPr>
          <w:bCs/>
          <w:szCs w:val="24"/>
        </w:rPr>
        <w:t xml:space="preserve">report that </w:t>
      </w:r>
      <w:r w:rsidR="00EF4B9D">
        <w:rPr>
          <w:bCs/>
          <w:szCs w:val="24"/>
        </w:rPr>
        <w:t>it has received complete analytical</w:t>
      </w:r>
      <w:r w:rsidR="005E00D9">
        <w:rPr>
          <w:bCs/>
          <w:szCs w:val="24"/>
        </w:rPr>
        <w:t xml:space="preserve"> results </w:t>
      </w:r>
      <w:r w:rsidR="00EF4B9D">
        <w:rPr>
          <w:bCs/>
          <w:szCs w:val="24"/>
        </w:rPr>
        <w:t>of its Toro Project till sampl</w:t>
      </w:r>
      <w:r w:rsidR="004B5EEE">
        <w:rPr>
          <w:bCs/>
          <w:szCs w:val="24"/>
        </w:rPr>
        <w:t>ing program</w:t>
      </w:r>
      <w:r w:rsidR="00FF4DD0">
        <w:rPr>
          <w:bCs/>
          <w:szCs w:val="24"/>
        </w:rPr>
        <w:t xml:space="preserve"> </w:t>
      </w:r>
      <w:r w:rsidR="00FF4DD0" w:rsidRPr="00FF4DD0">
        <w:rPr>
          <w:bCs/>
          <w:szCs w:val="24"/>
        </w:rPr>
        <w:t>(</w:t>
      </w:r>
      <w:r w:rsidR="004B5EEE">
        <w:rPr>
          <w:bCs/>
          <w:i/>
          <w:szCs w:val="24"/>
        </w:rPr>
        <w:t xml:space="preserve">for details, </w:t>
      </w:r>
      <w:r w:rsidR="00FF4DD0" w:rsidRPr="00C4636A">
        <w:rPr>
          <w:bCs/>
          <w:i/>
          <w:szCs w:val="24"/>
        </w:rPr>
        <w:t>see news release dated October 13</w:t>
      </w:r>
      <w:r w:rsidR="00FF4DD0" w:rsidRPr="00C4636A">
        <w:rPr>
          <w:bCs/>
          <w:i/>
          <w:szCs w:val="24"/>
          <w:vertAlign w:val="superscript"/>
        </w:rPr>
        <w:t>th</w:t>
      </w:r>
      <w:r w:rsidR="00FF4DD0" w:rsidRPr="00C4636A">
        <w:rPr>
          <w:bCs/>
          <w:i/>
          <w:szCs w:val="24"/>
        </w:rPr>
        <w:t xml:space="preserve"> 2016</w:t>
      </w:r>
      <w:r w:rsidR="00FF4DD0" w:rsidRPr="00FF4DD0">
        <w:rPr>
          <w:bCs/>
          <w:szCs w:val="24"/>
        </w:rPr>
        <w:t>)</w:t>
      </w:r>
      <w:r w:rsidR="00EF4B9D">
        <w:rPr>
          <w:bCs/>
          <w:szCs w:val="24"/>
        </w:rPr>
        <w:t xml:space="preserve"> </w:t>
      </w:r>
      <w:r w:rsidR="005E00D9">
        <w:rPr>
          <w:bCs/>
          <w:szCs w:val="24"/>
        </w:rPr>
        <w:t xml:space="preserve">from </w:t>
      </w:r>
      <w:r w:rsidR="005E00D9" w:rsidRPr="00C16E9E">
        <w:rPr>
          <w:bCs/>
          <w:szCs w:val="24"/>
        </w:rPr>
        <w:t>C</w:t>
      </w:r>
      <w:r w:rsidR="00C16E9E" w:rsidRPr="00C16E9E">
        <w:rPr>
          <w:bCs/>
          <w:szCs w:val="24"/>
        </w:rPr>
        <w:t>.</w:t>
      </w:r>
      <w:r w:rsidR="005E00D9" w:rsidRPr="00C16E9E">
        <w:rPr>
          <w:bCs/>
          <w:szCs w:val="24"/>
        </w:rPr>
        <w:t>F</w:t>
      </w:r>
      <w:r w:rsidR="00C16E9E" w:rsidRPr="00C16E9E">
        <w:rPr>
          <w:bCs/>
          <w:szCs w:val="24"/>
        </w:rPr>
        <w:t>.</w:t>
      </w:r>
      <w:r w:rsidR="005E00D9" w:rsidRPr="00C16E9E">
        <w:rPr>
          <w:bCs/>
          <w:szCs w:val="24"/>
        </w:rPr>
        <w:t xml:space="preserve"> </w:t>
      </w:r>
      <w:r w:rsidR="005E00D9" w:rsidRPr="003311A4">
        <w:rPr>
          <w:bCs/>
          <w:szCs w:val="24"/>
        </w:rPr>
        <w:t xml:space="preserve">Mineral </w:t>
      </w:r>
      <w:r w:rsidR="00C16E9E" w:rsidRPr="003311A4">
        <w:rPr>
          <w:bCs/>
          <w:szCs w:val="24"/>
        </w:rPr>
        <w:t>Research Ltd.</w:t>
      </w:r>
      <w:r w:rsidR="005E00D9" w:rsidRPr="003311A4">
        <w:rPr>
          <w:bCs/>
          <w:szCs w:val="24"/>
        </w:rPr>
        <w:t>, Kelowna, BC</w:t>
      </w:r>
      <w:r w:rsidR="00EF4B9D" w:rsidRPr="003311A4">
        <w:rPr>
          <w:bCs/>
          <w:szCs w:val="24"/>
        </w:rPr>
        <w:t>.</w:t>
      </w:r>
      <w:r w:rsidR="004B5EEE" w:rsidRPr="003311A4">
        <w:rPr>
          <w:bCs/>
          <w:szCs w:val="24"/>
        </w:rPr>
        <w:t xml:space="preserve"> </w:t>
      </w:r>
      <w:r w:rsidR="00B079D3" w:rsidRPr="003311A4">
        <w:rPr>
          <w:bCs/>
          <w:szCs w:val="24"/>
        </w:rPr>
        <w:t>Of all the magnetic features sampled</w:t>
      </w:r>
      <w:r w:rsidR="00EC0012" w:rsidRPr="003311A4">
        <w:rPr>
          <w:bCs/>
          <w:szCs w:val="24"/>
        </w:rPr>
        <w:t>, t</w:t>
      </w:r>
      <w:r w:rsidR="00EA6E77" w:rsidRPr="003311A4">
        <w:rPr>
          <w:bCs/>
          <w:szCs w:val="24"/>
        </w:rPr>
        <w:t xml:space="preserve">he </w:t>
      </w:r>
      <w:r w:rsidR="00B079D3" w:rsidRPr="003311A4">
        <w:rPr>
          <w:bCs/>
          <w:szCs w:val="24"/>
        </w:rPr>
        <w:t xml:space="preserve">exploration </w:t>
      </w:r>
      <w:r w:rsidR="00EA6E77" w:rsidRPr="003311A4">
        <w:rPr>
          <w:bCs/>
          <w:szCs w:val="24"/>
        </w:rPr>
        <w:t>target showing the most interesting combination of metallic anomalies was Toro 7</w:t>
      </w:r>
      <w:r w:rsidR="00C3743F" w:rsidRPr="003311A4">
        <w:rPr>
          <w:bCs/>
          <w:szCs w:val="24"/>
        </w:rPr>
        <w:t>,</w:t>
      </w:r>
      <w:r w:rsidR="00C3743F" w:rsidRPr="003311A4">
        <w:t xml:space="preserve"> located less than 5 kilometers from the Eastmain-01 road.</w:t>
      </w:r>
      <w:r w:rsidR="00EA6E77" w:rsidRPr="003311A4">
        <w:rPr>
          <w:bCs/>
          <w:szCs w:val="24"/>
        </w:rPr>
        <w:t xml:space="preserve"> Till samples were collected on a line 1086 m </w:t>
      </w:r>
      <w:r w:rsidR="004B5EEE" w:rsidRPr="003311A4">
        <w:rPr>
          <w:bCs/>
          <w:szCs w:val="24"/>
        </w:rPr>
        <w:t>in length</w:t>
      </w:r>
      <w:r w:rsidR="00EA6E77" w:rsidRPr="003311A4">
        <w:rPr>
          <w:bCs/>
          <w:szCs w:val="24"/>
        </w:rPr>
        <w:t>, down-ice from the 900m wide high</w:t>
      </w:r>
      <w:r w:rsidR="004B5EEE" w:rsidRPr="003311A4">
        <w:rPr>
          <w:bCs/>
          <w:szCs w:val="24"/>
        </w:rPr>
        <w:t>-</w:t>
      </w:r>
      <w:r w:rsidR="00EA6E77" w:rsidRPr="003311A4">
        <w:rPr>
          <w:bCs/>
          <w:szCs w:val="24"/>
        </w:rPr>
        <w:t>magnetic</w:t>
      </w:r>
      <w:r w:rsidR="004B5EEE" w:rsidRPr="003311A4">
        <w:rPr>
          <w:bCs/>
          <w:szCs w:val="24"/>
        </w:rPr>
        <w:t xml:space="preserve"> geophysical</w:t>
      </w:r>
      <w:r w:rsidR="00EA6E77">
        <w:rPr>
          <w:bCs/>
          <w:szCs w:val="24"/>
        </w:rPr>
        <w:t xml:space="preserve"> </w:t>
      </w:r>
      <w:r w:rsidR="00EA6E77" w:rsidRPr="00CA6E72">
        <w:rPr>
          <w:bCs/>
          <w:szCs w:val="24"/>
        </w:rPr>
        <w:t>target</w:t>
      </w:r>
      <w:r w:rsidR="00EA6E77">
        <w:rPr>
          <w:bCs/>
          <w:szCs w:val="24"/>
        </w:rPr>
        <w:t>.</w:t>
      </w:r>
      <w:r w:rsidR="00DC0379" w:rsidDel="002D7929">
        <w:rPr>
          <w:bCs/>
          <w:szCs w:val="24"/>
        </w:rPr>
        <w:t xml:space="preserve"> </w:t>
      </w:r>
      <w:r w:rsidR="00DC0379">
        <w:rPr>
          <w:bCs/>
          <w:szCs w:val="24"/>
        </w:rPr>
        <w:t xml:space="preserve"> </w:t>
      </w:r>
      <w:r w:rsidR="00EA6E77">
        <w:rPr>
          <w:bCs/>
          <w:szCs w:val="24"/>
        </w:rPr>
        <w:t xml:space="preserve">The highly anomalous </w:t>
      </w:r>
      <w:r w:rsidR="00BE6165">
        <w:rPr>
          <w:bCs/>
          <w:szCs w:val="24"/>
        </w:rPr>
        <w:t xml:space="preserve">Toro 7 </w:t>
      </w:r>
      <w:r w:rsidR="00DC0379">
        <w:rPr>
          <w:bCs/>
          <w:szCs w:val="24"/>
        </w:rPr>
        <w:t>values</w:t>
      </w:r>
      <w:r w:rsidR="00EA6E77">
        <w:rPr>
          <w:bCs/>
          <w:szCs w:val="24"/>
        </w:rPr>
        <w:t xml:space="preserve"> include </w:t>
      </w:r>
      <w:r w:rsidR="00EA6E77" w:rsidRPr="00CA6E72">
        <w:rPr>
          <w:bCs/>
          <w:szCs w:val="24"/>
        </w:rPr>
        <w:t xml:space="preserve">two gold </w:t>
      </w:r>
      <w:r w:rsidR="00DC0379">
        <w:rPr>
          <w:bCs/>
          <w:szCs w:val="24"/>
        </w:rPr>
        <w:t xml:space="preserve">(“Au”) </w:t>
      </w:r>
      <w:r w:rsidR="00DA4E7D">
        <w:rPr>
          <w:bCs/>
          <w:szCs w:val="24"/>
        </w:rPr>
        <w:t xml:space="preserve">results </w:t>
      </w:r>
      <w:r w:rsidR="00DA4E7D" w:rsidRPr="00CA6E72">
        <w:rPr>
          <w:bCs/>
          <w:szCs w:val="24"/>
        </w:rPr>
        <w:t>(</w:t>
      </w:r>
      <w:r w:rsidR="00EA6E77" w:rsidRPr="00CA6E72">
        <w:rPr>
          <w:bCs/>
          <w:szCs w:val="24"/>
        </w:rPr>
        <w:t>12,300 and 11,800</w:t>
      </w:r>
      <w:r w:rsidR="00EA6E77">
        <w:rPr>
          <w:bCs/>
          <w:szCs w:val="24"/>
        </w:rPr>
        <w:t xml:space="preserve"> </w:t>
      </w:r>
      <w:r w:rsidR="00EA6E77" w:rsidRPr="00CA6E72">
        <w:rPr>
          <w:bCs/>
          <w:szCs w:val="24"/>
        </w:rPr>
        <w:t>ppb)</w:t>
      </w:r>
      <w:r w:rsidR="00DC0379">
        <w:rPr>
          <w:bCs/>
          <w:szCs w:val="24"/>
        </w:rPr>
        <w:t>,</w:t>
      </w:r>
      <w:r w:rsidR="00EA6E77" w:rsidRPr="00CA6E72">
        <w:rPr>
          <w:bCs/>
          <w:szCs w:val="24"/>
        </w:rPr>
        <w:t xml:space="preserve"> </w:t>
      </w:r>
      <w:r w:rsidR="00DC0379">
        <w:rPr>
          <w:bCs/>
          <w:szCs w:val="24"/>
        </w:rPr>
        <w:t>three</w:t>
      </w:r>
      <w:r w:rsidR="00EA6E77" w:rsidRPr="00CA6E72">
        <w:rPr>
          <w:bCs/>
          <w:szCs w:val="24"/>
        </w:rPr>
        <w:t xml:space="preserve"> copper (“Cu”) anomalies (110</w:t>
      </w:r>
      <w:r w:rsidR="00EA6E77">
        <w:rPr>
          <w:bCs/>
          <w:szCs w:val="24"/>
        </w:rPr>
        <w:t>.5</w:t>
      </w:r>
      <w:r w:rsidR="00DC0379">
        <w:rPr>
          <w:bCs/>
          <w:szCs w:val="24"/>
        </w:rPr>
        <w:t>,</w:t>
      </w:r>
      <w:r w:rsidR="00EA6E77">
        <w:rPr>
          <w:bCs/>
          <w:szCs w:val="24"/>
        </w:rPr>
        <w:t>62.2</w:t>
      </w:r>
      <w:r w:rsidR="00DC0379">
        <w:rPr>
          <w:bCs/>
          <w:szCs w:val="24"/>
        </w:rPr>
        <w:t xml:space="preserve"> and 54.1</w:t>
      </w:r>
      <w:r w:rsidR="00EA6E77">
        <w:rPr>
          <w:bCs/>
          <w:szCs w:val="24"/>
        </w:rPr>
        <w:t xml:space="preserve"> ppm</w:t>
      </w:r>
      <w:r w:rsidR="00EA6E77" w:rsidRPr="00CA6E72">
        <w:rPr>
          <w:bCs/>
          <w:szCs w:val="24"/>
        </w:rPr>
        <w:t xml:space="preserve"> Cu)</w:t>
      </w:r>
      <w:r w:rsidR="00EA6E77">
        <w:rPr>
          <w:bCs/>
          <w:szCs w:val="24"/>
        </w:rPr>
        <w:t xml:space="preserve"> and five bismuth </w:t>
      </w:r>
      <w:r w:rsidR="00EA6E77" w:rsidRPr="00CA6E72">
        <w:rPr>
          <w:bCs/>
          <w:szCs w:val="24"/>
        </w:rPr>
        <w:t>(“</w:t>
      </w:r>
      <w:r w:rsidR="00EA6E77">
        <w:rPr>
          <w:bCs/>
          <w:szCs w:val="24"/>
        </w:rPr>
        <w:t>Bi</w:t>
      </w:r>
      <w:r w:rsidR="00EA6E77" w:rsidRPr="00CA6E72">
        <w:rPr>
          <w:bCs/>
          <w:szCs w:val="24"/>
        </w:rPr>
        <w:t>”)</w:t>
      </w:r>
      <w:r w:rsidR="00EA6E77">
        <w:rPr>
          <w:bCs/>
          <w:szCs w:val="24"/>
        </w:rPr>
        <w:t xml:space="preserve"> anomalies (3.69, 3.97, 4.9, 6.52 and 8.97 ppm Bi). </w:t>
      </w:r>
      <w:r w:rsidR="003173B6">
        <w:rPr>
          <w:bCs/>
          <w:szCs w:val="24"/>
        </w:rPr>
        <w:t xml:space="preserve">There were six </w:t>
      </w:r>
      <w:r w:rsidR="004B5EEE">
        <w:rPr>
          <w:bCs/>
          <w:szCs w:val="24"/>
        </w:rPr>
        <w:t>additional</w:t>
      </w:r>
      <w:r w:rsidR="003173B6">
        <w:rPr>
          <w:bCs/>
          <w:szCs w:val="24"/>
        </w:rPr>
        <w:t xml:space="preserve"> anomalous gold results, all continuous with the highly anomalous </w:t>
      </w:r>
      <w:r w:rsidR="00DC0379">
        <w:rPr>
          <w:bCs/>
          <w:szCs w:val="24"/>
        </w:rPr>
        <w:t xml:space="preserve">Au </w:t>
      </w:r>
      <w:r w:rsidR="003173B6">
        <w:rPr>
          <w:bCs/>
          <w:szCs w:val="24"/>
        </w:rPr>
        <w:t>results</w:t>
      </w:r>
      <w:r w:rsidR="00DC0379">
        <w:rPr>
          <w:bCs/>
          <w:szCs w:val="24"/>
        </w:rPr>
        <w:t>,</w:t>
      </w:r>
      <w:r w:rsidR="003173B6">
        <w:rPr>
          <w:bCs/>
          <w:szCs w:val="24"/>
        </w:rPr>
        <w:t xml:space="preserve"> </w:t>
      </w:r>
      <w:r w:rsidR="00DC0379">
        <w:rPr>
          <w:bCs/>
          <w:szCs w:val="24"/>
        </w:rPr>
        <w:t>providing a positive gold signal with</w:t>
      </w:r>
      <w:r w:rsidR="003173B6">
        <w:rPr>
          <w:bCs/>
          <w:szCs w:val="24"/>
        </w:rPr>
        <w:t xml:space="preserve"> a </w:t>
      </w:r>
      <w:r w:rsidR="00DC0379">
        <w:rPr>
          <w:bCs/>
          <w:szCs w:val="24"/>
        </w:rPr>
        <w:t xml:space="preserve">total </w:t>
      </w:r>
      <w:r w:rsidR="003173B6">
        <w:rPr>
          <w:bCs/>
          <w:szCs w:val="24"/>
        </w:rPr>
        <w:t xml:space="preserve">length of </w:t>
      </w:r>
      <w:r w:rsidR="00DC0379">
        <w:rPr>
          <w:bCs/>
          <w:szCs w:val="24"/>
        </w:rPr>
        <w:t>greater than</w:t>
      </w:r>
      <w:r w:rsidR="003173B6">
        <w:rPr>
          <w:bCs/>
          <w:szCs w:val="24"/>
        </w:rPr>
        <w:t xml:space="preserve"> 800 m</w:t>
      </w:r>
      <w:r w:rsidR="004B5EEE">
        <w:rPr>
          <w:bCs/>
          <w:szCs w:val="24"/>
        </w:rPr>
        <w:t xml:space="preserve">, </w:t>
      </w:r>
      <w:r w:rsidR="002759B4">
        <w:rPr>
          <w:bCs/>
          <w:szCs w:val="24"/>
        </w:rPr>
        <w:t xml:space="preserve">and </w:t>
      </w:r>
      <w:r w:rsidR="004B5EEE">
        <w:rPr>
          <w:bCs/>
          <w:szCs w:val="24"/>
        </w:rPr>
        <w:t>open to the north</w:t>
      </w:r>
      <w:r w:rsidR="003173B6">
        <w:rPr>
          <w:bCs/>
          <w:szCs w:val="24"/>
        </w:rPr>
        <w:t xml:space="preserve">. </w:t>
      </w:r>
      <w:r w:rsidR="00EA6E77">
        <w:rPr>
          <w:bCs/>
          <w:szCs w:val="24"/>
        </w:rPr>
        <w:t xml:space="preserve">Also anomalous </w:t>
      </w:r>
      <w:r w:rsidR="003173B6">
        <w:rPr>
          <w:bCs/>
          <w:szCs w:val="24"/>
        </w:rPr>
        <w:t>were</w:t>
      </w:r>
      <w:r w:rsidR="00EA6E77">
        <w:rPr>
          <w:bCs/>
          <w:szCs w:val="24"/>
        </w:rPr>
        <w:t xml:space="preserve"> tin (4</w:t>
      </w:r>
      <w:r w:rsidR="00DC0379">
        <w:rPr>
          <w:bCs/>
          <w:szCs w:val="24"/>
        </w:rPr>
        <w:t xml:space="preserve"> anomalous values</w:t>
      </w:r>
      <w:r w:rsidR="00EA6E77">
        <w:rPr>
          <w:bCs/>
          <w:szCs w:val="24"/>
        </w:rPr>
        <w:t>), antimony (</w:t>
      </w:r>
      <w:r w:rsidR="00DC0379">
        <w:rPr>
          <w:bCs/>
          <w:szCs w:val="24"/>
        </w:rPr>
        <w:t>2</w:t>
      </w:r>
      <w:r w:rsidR="00EA6E77">
        <w:rPr>
          <w:bCs/>
          <w:szCs w:val="24"/>
        </w:rPr>
        <w:t>) and silver (2)</w:t>
      </w:r>
      <w:r w:rsidR="00DC0379">
        <w:rPr>
          <w:bCs/>
          <w:szCs w:val="24"/>
        </w:rPr>
        <w:t>, each of which</w:t>
      </w:r>
      <w:r w:rsidR="00EA6E77">
        <w:rPr>
          <w:bCs/>
          <w:szCs w:val="24"/>
        </w:rPr>
        <w:t xml:space="preserve"> are good pathfinders for gold mineralization. Other anomalous</w:t>
      </w:r>
      <w:r w:rsidR="00DC0379">
        <w:rPr>
          <w:bCs/>
          <w:szCs w:val="24"/>
        </w:rPr>
        <w:t xml:space="preserve"> </w:t>
      </w:r>
      <w:r w:rsidR="00D16A25">
        <w:rPr>
          <w:bCs/>
          <w:szCs w:val="24"/>
        </w:rPr>
        <w:t xml:space="preserve">element </w:t>
      </w:r>
      <w:r w:rsidR="00DC0379">
        <w:rPr>
          <w:bCs/>
          <w:szCs w:val="24"/>
        </w:rPr>
        <w:t>levels</w:t>
      </w:r>
      <w:r w:rsidR="00EA6E77">
        <w:rPr>
          <w:bCs/>
          <w:szCs w:val="24"/>
        </w:rPr>
        <w:t xml:space="preserve"> </w:t>
      </w:r>
      <w:r w:rsidR="00DC0379">
        <w:rPr>
          <w:bCs/>
          <w:szCs w:val="24"/>
        </w:rPr>
        <w:t>down-ice from</w:t>
      </w:r>
      <w:r w:rsidR="00EA6E77">
        <w:rPr>
          <w:bCs/>
          <w:szCs w:val="24"/>
        </w:rPr>
        <w:t xml:space="preserve"> Toro 7 </w:t>
      </w:r>
      <w:r w:rsidR="00DC0379">
        <w:rPr>
          <w:bCs/>
          <w:szCs w:val="24"/>
        </w:rPr>
        <w:t>we</w:t>
      </w:r>
      <w:r w:rsidR="00EA6E77">
        <w:rPr>
          <w:bCs/>
          <w:szCs w:val="24"/>
        </w:rPr>
        <w:t>re phosphor</w:t>
      </w:r>
      <w:r w:rsidR="003173B6">
        <w:rPr>
          <w:bCs/>
          <w:szCs w:val="24"/>
        </w:rPr>
        <w:t>us</w:t>
      </w:r>
      <w:r w:rsidR="00EA6E77">
        <w:rPr>
          <w:bCs/>
          <w:szCs w:val="24"/>
        </w:rPr>
        <w:t xml:space="preserve"> (1), niobium (</w:t>
      </w:r>
      <w:r w:rsidR="00DC0379">
        <w:rPr>
          <w:bCs/>
          <w:szCs w:val="24"/>
        </w:rPr>
        <w:t>4</w:t>
      </w:r>
      <w:r w:rsidR="00EA6E77">
        <w:rPr>
          <w:bCs/>
          <w:szCs w:val="24"/>
        </w:rPr>
        <w:t xml:space="preserve">), </w:t>
      </w:r>
      <w:r w:rsidR="00DC0379">
        <w:rPr>
          <w:bCs/>
          <w:szCs w:val="24"/>
        </w:rPr>
        <w:t>rare earth elements (“REE”)</w:t>
      </w:r>
      <w:r w:rsidR="00DA4E7D">
        <w:rPr>
          <w:bCs/>
          <w:szCs w:val="24"/>
        </w:rPr>
        <w:t xml:space="preserve"> </w:t>
      </w:r>
      <w:r w:rsidR="00DC0379">
        <w:rPr>
          <w:bCs/>
          <w:szCs w:val="24"/>
        </w:rPr>
        <w:t xml:space="preserve">(4), </w:t>
      </w:r>
      <w:r w:rsidR="00EA6E77">
        <w:rPr>
          <w:bCs/>
          <w:szCs w:val="24"/>
        </w:rPr>
        <w:t xml:space="preserve">tantalum (2), cobalt (1) and uranium (3).  </w:t>
      </w:r>
      <w:r w:rsidR="00540219" w:rsidRPr="00540219" w:rsidDel="00EC0012">
        <w:rPr>
          <w:bCs/>
          <w:szCs w:val="24"/>
        </w:rPr>
        <w:t xml:space="preserve"> </w:t>
      </w:r>
      <w:r w:rsidR="00EB4418">
        <w:rPr>
          <w:bCs/>
          <w:szCs w:val="24"/>
        </w:rPr>
        <w:t>All m</w:t>
      </w:r>
      <w:r w:rsidR="00540219" w:rsidDel="00EC0012">
        <w:rPr>
          <w:bCs/>
          <w:szCs w:val="24"/>
        </w:rPr>
        <w:t>etallic assays of till concentrate samples were interpreted using statistical population analysis. Values at or above the 90</w:t>
      </w:r>
      <w:r w:rsidR="00540219" w:rsidRPr="002D7929" w:rsidDel="00EC0012">
        <w:rPr>
          <w:bCs/>
          <w:szCs w:val="24"/>
          <w:vertAlign w:val="superscript"/>
        </w:rPr>
        <w:t>th</w:t>
      </w:r>
      <w:r w:rsidR="00540219" w:rsidDel="00EC0012">
        <w:rPr>
          <w:bCs/>
          <w:szCs w:val="24"/>
        </w:rPr>
        <w:t xml:space="preserve"> percentile were deemed to be anomalous. Values at or above the 95</w:t>
      </w:r>
      <w:r w:rsidR="00540219" w:rsidRPr="002D7929" w:rsidDel="00EC0012">
        <w:rPr>
          <w:bCs/>
          <w:szCs w:val="24"/>
          <w:vertAlign w:val="superscript"/>
        </w:rPr>
        <w:t>th</w:t>
      </w:r>
      <w:r w:rsidR="00540219" w:rsidDel="00EC0012">
        <w:rPr>
          <w:bCs/>
          <w:szCs w:val="24"/>
        </w:rPr>
        <w:t xml:space="preserve"> percentile were deemed to be highly anomalous.</w:t>
      </w:r>
      <w:r w:rsidR="00EC0012" w:rsidRPr="00EC0012">
        <w:rPr>
          <w:bCs/>
          <w:szCs w:val="24"/>
        </w:rPr>
        <w:t xml:space="preserve"> </w:t>
      </w:r>
      <w:r w:rsidR="00540219">
        <w:rPr>
          <w:bCs/>
          <w:szCs w:val="24"/>
        </w:rPr>
        <w:t xml:space="preserve">Gold values over 1,000 ppb </w:t>
      </w:r>
      <w:r w:rsidR="00693E0F">
        <w:rPr>
          <w:bCs/>
          <w:szCs w:val="24"/>
        </w:rPr>
        <w:t xml:space="preserve">(equivalent to 1 g/tonne Au in the till concentrate) </w:t>
      </w:r>
      <w:r w:rsidR="00540219">
        <w:rPr>
          <w:bCs/>
          <w:szCs w:val="24"/>
        </w:rPr>
        <w:t xml:space="preserve">were deemed anomalous while </w:t>
      </w:r>
      <w:r w:rsidR="00BE6165">
        <w:rPr>
          <w:bCs/>
          <w:szCs w:val="24"/>
        </w:rPr>
        <w:t>values</w:t>
      </w:r>
      <w:r w:rsidR="00540219">
        <w:rPr>
          <w:bCs/>
          <w:szCs w:val="24"/>
        </w:rPr>
        <w:t xml:space="preserve"> over 10,000 ppb </w:t>
      </w:r>
      <w:r w:rsidR="00693E0F">
        <w:rPr>
          <w:bCs/>
          <w:szCs w:val="24"/>
        </w:rPr>
        <w:t xml:space="preserve">(equivalent to 10 g/tonne Au in the till concentrate) </w:t>
      </w:r>
      <w:r w:rsidR="00BE6165">
        <w:rPr>
          <w:bCs/>
          <w:szCs w:val="24"/>
        </w:rPr>
        <w:t>were deemed</w:t>
      </w:r>
      <w:r w:rsidR="00540219">
        <w:rPr>
          <w:bCs/>
          <w:szCs w:val="24"/>
        </w:rPr>
        <w:t xml:space="preserve"> highly anomalous.</w:t>
      </w:r>
      <w:r w:rsidR="00A6653D">
        <w:rPr>
          <w:bCs/>
          <w:szCs w:val="24"/>
        </w:rPr>
        <w:t xml:space="preserve"> </w:t>
      </w:r>
    </w:p>
    <w:p w:rsidR="006C0AA9" w:rsidRDefault="006C0AA9" w:rsidP="00EA6E77">
      <w:pPr>
        <w:jc w:val="both"/>
        <w:rPr>
          <w:bCs/>
          <w:szCs w:val="24"/>
        </w:rPr>
      </w:pPr>
    </w:p>
    <w:p w:rsidR="00DC0379" w:rsidRDefault="00DC0379" w:rsidP="00DC0379">
      <w:pPr>
        <w:jc w:val="both"/>
        <w:rPr>
          <w:bCs/>
          <w:szCs w:val="24"/>
        </w:rPr>
      </w:pPr>
      <w:r>
        <w:rPr>
          <w:bCs/>
          <w:szCs w:val="24"/>
        </w:rPr>
        <w:t>These geochemical anomalies at Toro 7 are consistent with</w:t>
      </w:r>
      <w:r w:rsidR="004B5EEE">
        <w:rPr>
          <w:bCs/>
          <w:szCs w:val="24"/>
        </w:rPr>
        <w:t xml:space="preserve"> iron oxide</w:t>
      </w:r>
      <w:r>
        <w:rPr>
          <w:bCs/>
          <w:szCs w:val="24"/>
        </w:rPr>
        <w:t xml:space="preserve"> copper gold (“IOCG”) mineralizatio</w:t>
      </w:r>
      <w:r w:rsidR="00255F19">
        <w:rPr>
          <w:bCs/>
          <w:szCs w:val="24"/>
        </w:rPr>
        <w:t xml:space="preserve">n. </w:t>
      </w:r>
      <w:r w:rsidR="00224AAF">
        <w:rPr>
          <w:bCs/>
          <w:szCs w:val="24"/>
        </w:rPr>
        <w:t>Other features of Target</w:t>
      </w:r>
      <w:r>
        <w:rPr>
          <w:bCs/>
          <w:szCs w:val="24"/>
        </w:rPr>
        <w:t xml:space="preserve"> Toro</w:t>
      </w:r>
      <w:r w:rsidR="00D16A25">
        <w:rPr>
          <w:bCs/>
          <w:szCs w:val="24"/>
        </w:rPr>
        <w:t xml:space="preserve"> </w:t>
      </w:r>
      <w:r>
        <w:rPr>
          <w:bCs/>
          <w:szCs w:val="24"/>
        </w:rPr>
        <w:t xml:space="preserve">7 are </w:t>
      </w:r>
      <w:r w:rsidR="00224AAF">
        <w:rPr>
          <w:bCs/>
          <w:szCs w:val="24"/>
        </w:rPr>
        <w:t xml:space="preserve">also </w:t>
      </w:r>
      <w:r>
        <w:rPr>
          <w:bCs/>
          <w:szCs w:val="24"/>
        </w:rPr>
        <w:t xml:space="preserve">comparable with </w:t>
      </w:r>
      <w:r w:rsidR="00224AAF">
        <w:rPr>
          <w:bCs/>
          <w:szCs w:val="24"/>
        </w:rPr>
        <w:t>the</w:t>
      </w:r>
      <w:r>
        <w:rPr>
          <w:bCs/>
          <w:szCs w:val="24"/>
        </w:rPr>
        <w:t xml:space="preserve"> characteristics of IOCG, as shown in Table 1.</w:t>
      </w:r>
    </w:p>
    <w:p w:rsidR="006E7762" w:rsidRDefault="006E7762" w:rsidP="008370B8">
      <w:pPr>
        <w:jc w:val="center"/>
        <w:rPr>
          <w:bCs/>
          <w:szCs w:val="24"/>
        </w:rPr>
      </w:pPr>
    </w:p>
    <w:p w:rsidR="00DC0379" w:rsidRDefault="00EB4418" w:rsidP="008370B8">
      <w:pPr>
        <w:jc w:val="center"/>
        <w:rPr>
          <w:bCs/>
          <w:szCs w:val="24"/>
        </w:rPr>
      </w:pPr>
      <w:r>
        <w:rPr>
          <w:bCs/>
          <w:szCs w:val="24"/>
        </w:rPr>
        <w:t>Table 1: Comparison of IOCG Deposit Characteristics with T</w:t>
      </w:r>
      <w:r w:rsidR="006E7762">
        <w:rPr>
          <w:bCs/>
          <w:szCs w:val="24"/>
        </w:rPr>
        <w:t>arget Toro 7</w:t>
      </w:r>
    </w:p>
    <w:tbl>
      <w:tblPr>
        <w:tblStyle w:val="TableGrid"/>
        <w:tblW w:w="0" w:type="auto"/>
        <w:jc w:val="center"/>
        <w:tblLook w:val="04A0" w:firstRow="1" w:lastRow="0" w:firstColumn="1" w:lastColumn="0" w:noHBand="0" w:noVBand="1"/>
      </w:tblPr>
      <w:tblGrid>
        <w:gridCol w:w="3206"/>
        <w:gridCol w:w="3207"/>
        <w:gridCol w:w="3207"/>
      </w:tblGrid>
      <w:tr w:rsidR="00DC0379" w:rsidTr="008370B8">
        <w:trPr>
          <w:jc w:val="center"/>
        </w:trPr>
        <w:tc>
          <w:tcPr>
            <w:tcW w:w="3206" w:type="dxa"/>
          </w:tcPr>
          <w:p w:rsidR="00DC0379" w:rsidRDefault="006E7762" w:rsidP="008370B8">
            <w:pPr>
              <w:jc w:val="center"/>
              <w:rPr>
                <w:bCs/>
                <w:szCs w:val="24"/>
              </w:rPr>
            </w:pPr>
            <w:r>
              <w:rPr>
                <w:bCs/>
                <w:szCs w:val="24"/>
              </w:rPr>
              <w:t>Criterion</w:t>
            </w:r>
          </w:p>
        </w:tc>
        <w:tc>
          <w:tcPr>
            <w:tcW w:w="3207" w:type="dxa"/>
          </w:tcPr>
          <w:p w:rsidR="00DC0379" w:rsidRDefault="00DC0379" w:rsidP="008370B8">
            <w:pPr>
              <w:jc w:val="center"/>
              <w:rPr>
                <w:bCs/>
                <w:szCs w:val="24"/>
              </w:rPr>
            </w:pPr>
            <w:r>
              <w:rPr>
                <w:bCs/>
                <w:szCs w:val="24"/>
              </w:rPr>
              <w:t xml:space="preserve">IOCG </w:t>
            </w:r>
            <w:r w:rsidR="006E7762">
              <w:rPr>
                <w:bCs/>
                <w:szCs w:val="24"/>
              </w:rPr>
              <w:t>Characteristics</w:t>
            </w:r>
            <w:r w:rsidRPr="000D7B65">
              <w:rPr>
                <w:bCs/>
                <w:szCs w:val="24"/>
                <w:vertAlign w:val="superscript"/>
              </w:rPr>
              <w:t>1</w:t>
            </w:r>
          </w:p>
        </w:tc>
        <w:tc>
          <w:tcPr>
            <w:tcW w:w="3207" w:type="dxa"/>
          </w:tcPr>
          <w:p w:rsidR="00DC0379" w:rsidRDefault="00DC0379" w:rsidP="008370B8">
            <w:pPr>
              <w:jc w:val="center"/>
              <w:rPr>
                <w:bCs/>
                <w:szCs w:val="24"/>
              </w:rPr>
            </w:pPr>
            <w:r>
              <w:rPr>
                <w:bCs/>
                <w:szCs w:val="24"/>
              </w:rPr>
              <w:t>Toro 7</w:t>
            </w:r>
          </w:p>
        </w:tc>
      </w:tr>
      <w:tr w:rsidR="00DC0379" w:rsidTr="008370B8">
        <w:trPr>
          <w:jc w:val="center"/>
        </w:trPr>
        <w:tc>
          <w:tcPr>
            <w:tcW w:w="3206" w:type="dxa"/>
          </w:tcPr>
          <w:p w:rsidR="00DC0379" w:rsidRDefault="00DC0379" w:rsidP="008370B8">
            <w:pPr>
              <w:jc w:val="center"/>
              <w:rPr>
                <w:bCs/>
                <w:szCs w:val="24"/>
              </w:rPr>
            </w:pPr>
            <w:r>
              <w:rPr>
                <w:bCs/>
                <w:szCs w:val="24"/>
              </w:rPr>
              <w:t>Gold and Copper</w:t>
            </w:r>
          </w:p>
        </w:tc>
        <w:tc>
          <w:tcPr>
            <w:tcW w:w="3207" w:type="dxa"/>
          </w:tcPr>
          <w:p w:rsidR="00DC0379" w:rsidRDefault="0052027C" w:rsidP="008370B8">
            <w:pPr>
              <w:jc w:val="center"/>
              <w:rPr>
                <w:bCs/>
                <w:szCs w:val="24"/>
              </w:rPr>
            </w:pPr>
            <w:r>
              <w:rPr>
                <w:bCs/>
                <w:szCs w:val="24"/>
              </w:rPr>
              <w:t>Disseminated copper a</w:t>
            </w:r>
            <w:r w:rsidR="0040476C">
              <w:rPr>
                <w:bCs/>
                <w:szCs w:val="24"/>
              </w:rPr>
              <w:t>nd gold associated with iron ox</w:t>
            </w:r>
            <w:r>
              <w:rPr>
                <w:bCs/>
                <w:szCs w:val="24"/>
              </w:rPr>
              <w:t>ide</w:t>
            </w:r>
          </w:p>
        </w:tc>
        <w:tc>
          <w:tcPr>
            <w:tcW w:w="3207" w:type="dxa"/>
          </w:tcPr>
          <w:p w:rsidR="00DC0379" w:rsidRDefault="00DC0379" w:rsidP="008370B8">
            <w:pPr>
              <w:jc w:val="center"/>
              <w:rPr>
                <w:bCs/>
                <w:szCs w:val="24"/>
              </w:rPr>
            </w:pPr>
            <w:r>
              <w:rPr>
                <w:bCs/>
                <w:szCs w:val="24"/>
              </w:rPr>
              <w:t>Gold and copper anomalies in till. Two highly anomalous and six anomalous Au values.</w:t>
            </w:r>
          </w:p>
        </w:tc>
      </w:tr>
      <w:tr w:rsidR="00DC0379" w:rsidRPr="000A44CF" w:rsidTr="008370B8">
        <w:trPr>
          <w:jc w:val="center"/>
        </w:trPr>
        <w:tc>
          <w:tcPr>
            <w:tcW w:w="3206" w:type="dxa"/>
          </w:tcPr>
          <w:p w:rsidR="00DC0379" w:rsidRDefault="006E7762" w:rsidP="008370B8">
            <w:pPr>
              <w:jc w:val="center"/>
              <w:rPr>
                <w:bCs/>
                <w:szCs w:val="24"/>
              </w:rPr>
            </w:pPr>
            <w:r>
              <w:rPr>
                <w:bCs/>
                <w:szCs w:val="24"/>
              </w:rPr>
              <w:t xml:space="preserve">Other </w:t>
            </w:r>
            <w:r w:rsidR="00DC0379">
              <w:rPr>
                <w:bCs/>
                <w:szCs w:val="24"/>
              </w:rPr>
              <w:t>Metals</w:t>
            </w:r>
          </w:p>
        </w:tc>
        <w:tc>
          <w:tcPr>
            <w:tcW w:w="3207" w:type="dxa"/>
          </w:tcPr>
          <w:p w:rsidR="00DC0379" w:rsidRDefault="00DC0379" w:rsidP="008370B8">
            <w:pPr>
              <w:jc w:val="center"/>
              <w:rPr>
                <w:bCs/>
                <w:szCs w:val="24"/>
              </w:rPr>
            </w:pPr>
            <w:r>
              <w:rPr>
                <w:bCs/>
                <w:szCs w:val="24"/>
              </w:rPr>
              <w:t>Enriched in F, P, Cu, Au, REE, U, Ag, Co, Bi and W.</w:t>
            </w:r>
          </w:p>
        </w:tc>
        <w:tc>
          <w:tcPr>
            <w:tcW w:w="3207" w:type="dxa"/>
          </w:tcPr>
          <w:p w:rsidR="00DC0379" w:rsidRPr="000A44CF" w:rsidRDefault="00DC0379" w:rsidP="008370B8">
            <w:pPr>
              <w:jc w:val="center"/>
              <w:rPr>
                <w:bCs/>
                <w:szCs w:val="24"/>
                <w:highlight w:val="yellow"/>
              </w:rPr>
            </w:pPr>
            <w:r w:rsidRPr="00DC0379">
              <w:rPr>
                <w:bCs/>
                <w:szCs w:val="24"/>
              </w:rPr>
              <w:t>Anomal</w:t>
            </w:r>
            <w:r>
              <w:rPr>
                <w:bCs/>
                <w:szCs w:val="24"/>
              </w:rPr>
              <w:t>ous</w:t>
            </w:r>
            <w:r w:rsidRPr="00DC0379">
              <w:rPr>
                <w:bCs/>
                <w:szCs w:val="24"/>
              </w:rPr>
              <w:t xml:space="preserve"> in</w:t>
            </w:r>
            <w:r>
              <w:rPr>
                <w:bCs/>
                <w:szCs w:val="24"/>
              </w:rPr>
              <w:t xml:space="preserve"> </w:t>
            </w:r>
            <w:r w:rsidRPr="00007887">
              <w:rPr>
                <w:bCs/>
                <w:szCs w:val="24"/>
              </w:rPr>
              <w:t xml:space="preserve">P (1), </w:t>
            </w:r>
            <w:r w:rsidRPr="000A44CF">
              <w:rPr>
                <w:bCs/>
                <w:szCs w:val="24"/>
              </w:rPr>
              <w:t>Cu (</w:t>
            </w:r>
            <w:r>
              <w:rPr>
                <w:bCs/>
                <w:szCs w:val="24"/>
              </w:rPr>
              <w:t>3</w:t>
            </w:r>
            <w:r w:rsidRPr="000A44CF">
              <w:rPr>
                <w:bCs/>
                <w:szCs w:val="24"/>
              </w:rPr>
              <w:t>)</w:t>
            </w:r>
            <w:r w:rsidRPr="00AA09E2">
              <w:rPr>
                <w:bCs/>
                <w:szCs w:val="24"/>
              </w:rPr>
              <w:t>, Au (</w:t>
            </w:r>
            <w:r>
              <w:rPr>
                <w:bCs/>
                <w:szCs w:val="24"/>
              </w:rPr>
              <w:t>8</w:t>
            </w:r>
            <w:r w:rsidRPr="00AA09E2">
              <w:rPr>
                <w:bCs/>
                <w:szCs w:val="24"/>
              </w:rPr>
              <w:t xml:space="preserve">), </w:t>
            </w:r>
            <w:r>
              <w:rPr>
                <w:bCs/>
                <w:szCs w:val="24"/>
              </w:rPr>
              <w:t xml:space="preserve">REE (4), </w:t>
            </w:r>
            <w:r w:rsidRPr="00AA09E2">
              <w:rPr>
                <w:bCs/>
                <w:szCs w:val="24"/>
              </w:rPr>
              <w:t>U (</w:t>
            </w:r>
            <w:r>
              <w:rPr>
                <w:bCs/>
                <w:szCs w:val="24"/>
              </w:rPr>
              <w:t>3</w:t>
            </w:r>
            <w:r w:rsidRPr="00AA09E2">
              <w:rPr>
                <w:bCs/>
                <w:szCs w:val="24"/>
              </w:rPr>
              <w:t xml:space="preserve">), </w:t>
            </w:r>
            <w:r w:rsidRPr="00007887">
              <w:rPr>
                <w:bCs/>
                <w:szCs w:val="24"/>
              </w:rPr>
              <w:t xml:space="preserve">Ag (2), Co (1), </w:t>
            </w:r>
            <w:r>
              <w:rPr>
                <w:bCs/>
                <w:szCs w:val="24"/>
              </w:rPr>
              <w:t>Bi (5), Sn (4), Sb (2), Nb (4), Ta (2)</w:t>
            </w:r>
          </w:p>
        </w:tc>
      </w:tr>
      <w:tr w:rsidR="00DC0379" w:rsidTr="008370B8">
        <w:trPr>
          <w:jc w:val="center"/>
        </w:trPr>
        <w:tc>
          <w:tcPr>
            <w:tcW w:w="3206" w:type="dxa"/>
          </w:tcPr>
          <w:p w:rsidR="00DC0379" w:rsidRDefault="00DC0379" w:rsidP="008370B8">
            <w:pPr>
              <w:jc w:val="center"/>
              <w:rPr>
                <w:bCs/>
                <w:szCs w:val="24"/>
              </w:rPr>
            </w:pPr>
            <w:r>
              <w:rPr>
                <w:bCs/>
                <w:szCs w:val="24"/>
              </w:rPr>
              <w:t>Tectonic Context</w:t>
            </w:r>
          </w:p>
        </w:tc>
        <w:tc>
          <w:tcPr>
            <w:tcW w:w="3207" w:type="dxa"/>
          </w:tcPr>
          <w:p w:rsidR="00DC0379" w:rsidRDefault="00DC0379" w:rsidP="008370B8">
            <w:pPr>
              <w:jc w:val="center"/>
              <w:rPr>
                <w:bCs/>
                <w:szCs w:val="24"/>
              </w:rPr>
            </w:pPr>
            <w:r>
              <w:rPr>
                <w:bCs/>
                <w:szCs w:val="24"/>
              </w:rPr>
              <w:t>Craton rift or continental arc rift context</w:t>
            </w:r>
          </w:p>
        </w:tc>
        <w:tc>
          <w:tcPr>
            <w:tcW w:w="3207" w:type="dxa"/>
          </w:tcPr>
          <w:p w:rsidR="00DC0379" w:rsidRDefault="00DC0379" w:rsidP="008370B8">
            <w:pPr>
              <w:jc w:val="center"/>
              <w:rPr>
                <w:bCs/>
                <w:szCs w:val="24"/>
              </w:rPr>
            </w:pPr>
            <w:r>
              <w:rPr>
                <w:bCs/>
                <w:szCs w:val="24"/>
              </w:rPr>
              <w:t xml:space="preserve">Continental arc context is typical of the signature of </w:t>
            </w:r>
            <w:r>
              <w:rPr>
                <w:bCs/>
                <w:szCs w:val="24"/>
              </w:rPr>
              <w:lastRenderedPageBreak/>
              <w:t>intrusions in the Gamart Suite found on the Toro Property</w:t>
            </w:r>
            <w:r>
              <w:rPr>
                <w:bCs/>
                <w:szCs w:val="24"/>
                <w:vertAlign w:val="superscript"/>
              </w:rPr>
              <w:t>2</w:t>
            </w:r>
          </w:p>
        </w:tc>
      </w:tr>
      <w:tr w:rsidR="00DC0379" w:rsidTr="008370B8">
        <w:trPr>
          <w:jc w:val="center"/>
        </w:trPr>
        <w:tc>
          <w:tcPr>
            <w:tcW w:w="3206" w:type="dxa"/>
          </w:tcPr>
          <w:p w:rsidR="00DC0379" w:rsidRDefault="00DC0379" w:rsidP="00DF692E">
            <w:pPr>
              <w:jc w:val="center"/>
              <w:rPr>
                <w:bCs/>
                <w:szCs w:val="24"/>
              </w:rPr>
            </w:pPr>
            <w:r>
              <w:rPr>
                <w:bCs/>
                <w:szCs w:val="24"/>
              </w:rPr>
              <w:lastRenderedPageBreak/>
              <w:t xml:space="preserve">Crust thickness and </w:t>
            </w:r>
            <w:r w:rsidR="00693E0F">
              <w:rPr>
                <w:bCs/>
                <w:szCs w:val="24"/>
              </w:rPr>
              <w:t xml:space="preserve">depth of </w:t>
            </w:r>
            <w:r>
              <w:rPr>
                <w:bCs/>
                <w:szCs w:val="24"/>
              </w:rPr>
              <w:t xml:space="preserve">fault </w:t>
            </w:r>
          </w:p>
        </w:tc>
        <w:tc>
          <w:tcPr>
            <w:tcW w:w="3207" w:type="dxa"/>
          </w:tcPr>
          <w:p w:rsidR="00DC0379" w:rsidRDefault="00DC0379" w:rsidP="00DF692E">
            <w:pPr>
              <w:jc w:val="center"/>
              <w:rPr>
                <w:bCs/>
                <w:szCs w:val="24"/>
              </w:rPr>
            </w:pPr>
            <w:r>
              <w:rPr>
                <w:bCs/>
                <w:szCs w:val="24"/>
              </w:rPr>
              <w:t>Thick continental crust and deep faults</w:t>
            </w:r>
          </w:p>
        </w:tc>
        <w:tc>
          <w:tcPr>
            <w:tcW w:w="3207" w:type="dxa"/>
          </w:tcPr>
          <w:p w:rsidR="00DC0379" w:rsidRDefault="00DC0379" w:rsidP="00DF692E">
            <w:pPr>
              <w:jc w:val="center"/>
              <w:rPr>
                <w:bCs/>
                <w:szCs w:val="24"/>
              </w:rPr>
            </w:pPr>
            <w:r>
              <w:rPr>
                <w:bCs/>
                <w:szCs w:val="24"/>
              </w:rPr>
              <w:t>Thick continental crust and deep-seated faults (</w:t>
            </w:r>
            <w:r w:rsidRPr="00CA70A3">
              <w:rPr>
                <w:bCs/>
                <w:i/>
                <w:szCs w:val="24"/>
              </w:rPr>
              <w:t xml:space="preserve">see NR dated </w:t>
            </w:r>
            <w:r>
              <w:rPr>
                <w:bCs/>
                <w:i/>
                <w:szCs w:val="24"/>
              </w:rPr>
              <w:t>September 15</w:t>
            </w:r>
            <w:r w:rsidRPr="00C4636A">
              <w:rPr>
                <w:bCs/>
                <w:i/>
                <w:szCs w:val="24"/>
                <w:vertAlign w:val="superscript"/>
              </w:rPr>
              <w:t>th</w:t>
            </w:r>
            <w:r>
              <w:rPr>
                <w:bCs/>
                <w:i/>
                <w:szCs w:val="24"/>
              </w:rPr>
              <w:t xml:space="preserve"> 2017</w:t>
            </w:r>
            <w:r w:rsidRPr="00CA70A3">
              <w:rPr>
                <w:bCs/>
                <w:i/>
                <w:szCs w:val="24"/>
              </w:rPr>
              <w:t>)</w:t>
            </w:r>
          </w:p>
        </w:tc>
      </w:tr>
      <w:tr w:rsidR="00DC0379" w:rsidTr="008370B8">
        <w:trPr>
          <w:jc w:val="center"/>
        </w:trPr>
        <w:tc>
          <w:tcPr>
            <w:tcW w:w="3206" w:type="dxa"/>
          </w:tcPr>
          <w:p w:rsidR="00DC0379" w:rsidRDefault="00DC0379" w:rsidP="00DF692E">
            <w:pPr>
              <w:jc w:val="center"/>
              <w:rPr>
                <w:bCs/>
                <w:szCs w:val="24"/>
              </w:rPr>
            </w:pPr>
            <w:r>
              <w:rPr>
                <w:bCs/>
                <w:szCs w:val="24"/>
              </w:rPr>
              <w:t>Period</w:t>
            </w:r>
          </w:p>
        </w:tc>
        <w:tc>
          <w:tcPr>
            <w:tcW w:w="3207" w:type="dxa"/>
          </w:tcPr>
          <w:p w:rsidR="00DC0379" w:rsidRDefault="00DC0379" w:rsidP="00DF692E">
            <w:pPr>
              <w:jc w:val="center"/>
              <w:rPr>
                <w:bCs/>
                <w:szCs w:val="24"/>
              </w:rPr>
            </w:pPr>
            <w:r>
              <w:rPr>
                <w:bCs/>
                <w:szCs w:val="24"/>
              </w:rPr>
              <w:t>Neoarchean, Paleo- and Meso-Proterozoic, and Cretaceous</w:t>
            </w:r>
          </w:p>
        </w:tc>
        <w:tc>
          <w:tcPr>
            <w:tcW w:w="3207" w:type="dxa"/>
          </w:tcPr>
          <w:p w:rsidR="00DC0379" w:rsidRPr="004A124A" w:rsidRDefault="00DC0379" w:rsidP="00DF692E">
            <w:pPr>
              <w:jc w:val="center"/>
              <w:rPr>
                <w:bCs/>
                <w:szCs w:val="24"/>
              </w:rPr>
            </w:pPr>
            <w:r>
              <w:rPr>
                <w:bCs/>
                <w:szCs w:val="24"/>
              </w:rPr>
              <w:t>Neoarchean (2.647 Gy)</w:t>
            </w:r>
            <w:r w:rsidR="00BE6165">
              <w:rPr>
                <w:bCs/>
                <w:szCs w:val="24"/>
                <w:vertAlign w:val="superscript"/>
              </w:rPr>
              <w:t>2</w:t>
            </w:r>
          </w:p>
        </w:tc>
      </w:tr>
    </w:tbl>
    <w:p w:rsidR="00DC0379" w:rsidRDefault="00DC0379" w:rsidP="00DC0379">
      <w:pPr>
        <w:jc w:val="both"/>
        <w:rPr>
          <w:bCs/>
          <w:szCs w:val="24"/>
        </w:rPr>
      </w:pPr>
      <w:r>
        <w:rPr>
          <w:bCs/>
          <w:szCs w:val="24"/>
        </w:rPr>
        <w:t>Sources :</w:t>
      </w:r>
    </w:p>
    <w:p w:rsidR="00DC0379" w:rsidRPr="000D7B65" w:rsidRDefault="00DC0379" w:rsidP="00DC0379">
      <w:pPr>
        <w:pStyle w:val="ListParagraph"/>
        <w:numPr>
          <w:ilvl w:val="0"/>
          <w:numId w:val="1"/>
        </w:numPr>
        <w:rPr>
          <w:bCs/>
          <w:szCs w:val="24"/>
          <w:lang w:val="fr-CA"/>
        </w:rPr>
      </w:pPr>
      <w:r>
        <w:rPr>
          <w:bCs/>
          <w:szCs w:val="24"/>
          <w:lang w:val="fr-CA"/>
        </w:rPr>
        <w:t>Lafrance</w:t>
      </w:r>
      <w:r w:rsidRPr="000D7B65">
        <w:rPr>
          <w:bCs/>
          <w:szCs w:val="24"/>
          <w:lang w:val="fr-CA"/>
        </w:rPr>
        <w:t xml:space="preserve">, </w:t>
      </w:r>
      <w:r>
        <w:rPr>
          <w:bCs/>
          <w:szCs w:val="24"/>
          <w:lang w:val="fr-CA"/>
        </w:rPr>
        <w:t>B</w:t>
      </w:r>
      <w:r w:rsidRPr="000D7B65">
        <w:rPr>
          <w:bCs/>
          <w:szCs w:val="24"/>
          <w:lang w:val="fr-CA"/>
        </w:rPr>
        <w:t>. 20</w:t>
      </w:r>
      <w:r>
        <w:rPr>
          <w:bCs/>
          <w:szCs w:val="24"/>
          <w:lang w:val="fr-CA"/>
        </w:rPr>
        <w:t>09</w:t>
      </w:r>
      <w:r w:rsidRPr="000D7B65">
        <w:rPr>
          <w:bCs/>
          <w:szCs w:val="24"/>
          <w:lang w:val="fr-CA"/>
        </w:rPr>
        <w:t xml:space="preserve">. </w:t>
      </w:r>
      <w:r>
        <w:rPr>
          <w:bCs/>
          <w:szCs w:val="24"/>
          <w:lang w:val="fr-CA"/>
        </w:rPr>
        <w:t>La filière plutonique comme outil d’exploration pour les IOCG : Applications en Abitibi</w:t>
      </w:r>
      <w:r w:rsidRPr="000D7B65">
        <w:rPr>
          <w:bCs/>
          <w:szCs w:val="24"/>
          <w:lang w:val="fr-CA"/>
        </w:rPr>
        <w:t>.</w:t>
      </w:r>
      <w:r>
        <w:rPr>
          <w:bCs/>
          <w:szCs w:val="24"/>
          <w:lang w:val="fr-CA"/>
        </w:rPr>
        <w:t xml:space="preserve"> </w:t>
      </w:r>
      <w:r w:rsidRPr="004C26B7">
        <w:rPr>
          <w:bCs/>
          <w:szCs w:val="24"/>
          <w:lang w:val="fr-CA"/>
        </w:rPr>
        <w:t xml:space="preserve">Projet 2009-05. Consorem. Online. </w:t>
      </w:r>
      <w:r w:rsidRPr="004C26B7">
        <w:rPr>
          <w:szCs w:val="24"/>
          <w:lang w:val="fr-CA"/>
        </w:rPr>
        <w:t>https://consorem.uqac.ca/production_scientifique/2009_05/Rapport%202009-05%20IOCG%20Abitibi.pdf</w:t>
      </w:r>
      <w:r w:rsidRPr="004C26B7">
        <w:rPr>
          <w:bCs/>
          <w:szCs w:val="24"/>
          <w:lang w:val="fr-CA"/>
        </w:rPr>
        <w:t xml:space="preserve"> . 72 </w:t>
      </w:r>
      <w:r w:rsidRPr="000D7B65">
        <w:rPr>
          <w:bCs/>
          <w:szCs w:val="24"/>
          <w:lang w:val="fr-CA"/>
        </w:rPr>
        <w:t>pages.</w:t>
      </w:r>
    </w:p>
    <w:p w:rsidR="00DC0379" w:rsidRDefault="00DC0379" w:rsidP="00ED128B">
      <w:pPr>
        <w:pStyle w:val="ListParagraph"/>
        <w:numPr>
          <w:ilvl w:val="0"/>
          <w:numId w:val="1"/>
        </w:numPr>
        <w:jc w:val="both"/>
        <w:rPr>
          <w:bCs/>
          <w:szCs w:val="24"/>
          <w:lang w:val="fr-CA"/>
        </w:rPr>
      </w:pPr>
      <w:r w:rsidRPr="000D7B65">
        <w:rPr>
          <w:bCs/>
          <w:szCs w:val="24"/>
          <w:lang w:val="fr-CA"/>
        </w:rPr>
        <w:t>Faure, S. 2012. Potentiel de minéralisations de type IOCG en context</w:t>
      </w:r>
      <w:r>
        <w:rPr>
          <w:bCs/>
          <w:szCs w:val="24"/>
          <w:lang w:val="fr-CA"/>
        </w:rPr>
        <w:t>e</w:t>
      </w:r>
      <w:r w:rsidRPr="000D7B65">
        <w:rPr>
          <w:bCs/>
          <w:szCs w:val="24"/>
          <w:lang w:val="fr-CA"/>
        </w:rPr>
        <w:t xml:space="preserve"> intracratonique ou d’arcs continentaux dans les terrains archéens et protérozoïque du Québec.</w:t>
      </w:r>
      <w:r>
        <w:rPr>
          <w:bCs/>
          <w:szCs w:val="24"/>
          <w:lang w:val="fr-CA"/>
        </w:rPr>
        <w:t xml:space="preserve"> </w:t>
      </w:r>
      <w:r w:rsidRPr="000D7B65">
        <w:rPr>
          <w:bCs/>
          <w:szCs w:val="24"/>
          <w:lang w:val="fr-CA"/>
        </w:rPr>
        <w:t xml:space="preserve">Projet 2010-08. Consorem. Online. </w:t>
      </w:r>
      <w:r w:rsidRPr="000D7B65">
        <w:rPr>
          <w:szCs w:val="24"/>
          <w:lang w:val="fr-CA"/>
        </w:rPr>
        <w:t>https://consorem.uqac.ca/production_scientifique/2010_08/2010-08%20IOCG%20Quebec%202010_FINAL_.pdf</w:t>
      </w:r>
      <w:r w:rsidRPr="000D7B65">
        <w:rPr>
          <w:bCs/>
          <w:szCs w:val="24"/>
          <w:lang w:val="fr-CA"/>
        </w:rPr>
        <w:t xml:space="preserve"> . 29 pages.</w:t>
      </w:r>
    </w:p>
    <w:p w:rsidR="00A92514" w:rsidRPr="000D7B65" w:rsidRDefault="00A92514" w:rsidP="00DC0379">
      <w:pPr>
        <w:pStyle w:val="ListParagraph"/>
        <w:jc w:val="both"/>
        <w:rPr>
          <w:bCs/>
          <w:szCs w:val="24"/>
          <w:lang w:val="fr-CA"/>
        </w:rPr>
      </w:pPr>
    </w:p>
    <w:p w:rsidR="00BA7483" w:rsidRDefault="00BE6165" w:rsidP="00CE798A">
      <w:pPr>
        <w:jc w:val="both"/>
      </w:pPr>
      <w:r>
        <w:rPr>
          <w:bCs/>
          <w:szCs w:val="24"/>
        </w:rPr>
        <w:t>A</w:t>
      </w:r>
      <w:r w:rsidR="00B32EAC">
        <w:rPr>
          <w:bCs/>
          <w:szCs w:val="24"/>
        </w:rPr>
        <w:t xml:space="preserve"> </w:t>
      </w:r>
      <w:r w:rsidR="00B32EAC" w:rsidRPr="00BE6165">
        <w:rPr>
          <w:bCs/>
          <w:szCs w:val="24"/>
        </w:rPr>
        <w:t xml:space="preserve">map </w:t>
      </w:r>
      <w:r>
        <w:rPr>
          <w:bCs/>
          <w:szCs w:val="24"/>
        </w:rPr>
        <w:t>showing</w:t>
      </w:r>
      <w:r w:rsidR="00B32EAC" w:rsidRPr="00BE6165">
        <w:rPr>
          <w:bCs/>
          <w:szCs w:val="24"/>
        </w:rPr>
        <w:t xml:space="preserve"> the </w:t>
      </w:r>
      <w:r>
        <w:rPr>
          <w:bCs/>
          <w:szCs w:val="24"/>
        </w:rPr>
        <w:t xml:space="preserve">various </w:t>
      </w:r>
      <w:r w:rsidR="00224AAF">
        <w:rPr>
          <w:bCs/>
          <w:szCs w:val="24"/>
        </w:rPr>
        <w:t xml:space="preserve">geochemical </w:t>
      </w:r>
      <w:r w:rsidR="00B32EAC" w:rsidRPr="00BE6165">
        <w:rPr>
          <w:bCs/>
          <w:szCs w:val="24"/>
        </w:rPr>
        <w:t xml:space="preserve">anomalies </w:t>
      </w:r>
      <w:r>
        <w:rPr>
          <w:bCs/>
          <w:szCs w:val="24"/>
        </w:rPr>
        <w:t>down-ice from</w:t>
      </w:r>
      <w:r w:rsidR="00B32EAC" w:rsidRPr="00BE6165">
        <w:rPr>
          <w:bCs/>
          <w:szCs w:val="24"/>
        </w:rPr>
        <w:t xml:space="preserve"> </w:t>
      </w:r>
      <w:r>
        <w:rPr>
          <w:bCs/>
          <w:szCs w:val="24"/>
        </w:rPr>
        <w:t xml:space="preserve">magnetic target </w:t>
      </w:r>
      <w:r w:rsidR="00B32EAC" w:rsidRPr="00BE6165">
        <w:rPr>
          <w:bCs/>
          <w:szCs w:val="24"/>
        </w:rPr>
        <w:t xml:space="preserve">Toro 7 can be seen </w:t>
      </w:r>
      <w:r w:rsidR="00ED128B" w:rsidRPr="00BE6165">
        <w:rPr>
          <w:bCs/>
          <w:szCs w:val="24"/>
        </w:rPr>
        <w:t>at:</w:t>
      </w:r>
      <w:r w:rsidR="00B32EAC" w:rsidRPr="00BE6165">
        <w:rPr>
          <w:bCs/>
          <w:szCs w:val="24"/>
        </w:rPr>
        <w:t xml:space="preserve"> </w:t>
      </w:r>
      <w:hyperlink r:id="rId9" w:history="1">
        <w:r w:rsidR="00B32EAC" w:rsidRPr="00BE6165">
          <w:rPr>
            <w:rStyle w:val="Hyperlink"/>
            <w:szCs w:val="24"/>
          </w:rPr>
          <w:t>https://evolvinggold.com/images/Figure-A-4.jpg</w:t>
        </w:r>
      </w:hyperlink>
    </w:p>
    <w:p w:rsidR="00C42A13" w:rsidRDefault="00C42A13" w:rsidP="00CE798A">
      <w:pPr>
        <w:jc w:val="both"/>
      </w:pPr>
    </w:p>
    <w:p w:rsidR="00C42A13" w:rsidRDefault="00C42A13" w:rsidP="00CE798A">
      <w:pPr>
        <w:jc w:val="both"/>
        <w:rPr>
          <w:bCs/>
          <w:szCs w:val="24"/>
        </w:rPr>
      </w:pPr>
      <w:r>
        <w:rPr>
          <w:bCs/>
          <w:szCs w:val="24"/>
        </w:rPr>
        <w:t>Multiple geochemical anomalies were also found associated with other Toro exploration targets (see Table 2, below). Of particular interest are the following:</w:t>
      </w:r>
    </w:p>
    <w:p w:rsidR="00C42A13" w:rsidRDefault="00C42A13" w:rsidP="00CE798A">
      <w:pPr>
        <w:pStyle w:val="ListParagraph"/>
        <w:numPr>
          <w:ilvl w:val="0"/>
          <w:numId w:val="19"/>
        </w:numPr>
        <w:jc w:val="both"/>
        <w:rPr>
          <w:bCs/>
          <w:szCs w:val="24"/>
        </w:rPr>
      </w:pPr>
      <w:r w:rsidRPr="00ED128B">
        <w:rPr>
          <w:bCs/>
          <w:szCs w:val="24"/>
        </w:rPr>
        <w:t>The Toro 2, Toro 4 and Toro 24 geochemical anomalies may potentially be explained by an IOCG source.</w:t>
      </w:r>
    </w:p>
    <w:p w:rsidR="00C42A13" w:rsidRPr="00DA78D8" w:rsidRDefault="00C42A13" w:rsidP="00CE798A">
      <w:pPr>
        <w:pStyle w:val="ListParagraph"/>
        <w:numPr>
          <w:ilvl w:val="0"/>
          <w:numId w:val="19"/>
        </w:numPr>
        <w:jc w:val="both"/>
        <w:rPr>
          <w:bCs/>
          <w:szCs w:val="24"/>
        </w:rPr>
      </w:pPr>
      <w:r w:rsidRPr="00ED128B">
        <w:rPr>
          <w:rStyle w:val="CommentReference"/>
          <w:sz w:val="24"/>
          <w:szCs w:val="24"/>
        </w:rPr>
        <w:t>T</w:t>
      </w:r>
      <w:r w:rsidRPr="00A92514">
        <w:t>he Toro 1, Toro</w:t>
      </w:r>
      <w:r>
        <w:t xml:space="preserve"> 16 and Toro 22 anomalies could correlate with a carbonatite source. Carbonatite intrusions share the same geological context as kimberlites, as well as similar magnetic responses in the aerial geophysical surveys available to the Company. </w:t>
      </w:r>
    </w:p>
    <w:p w:rsidR="00C42A13" w:rsidRDefault="00C42A13" w:rsidP="00CE798A">
      <w:pPr>
        <w:pStyle w:val="ListParagraph"/>
        <w:numPr>
          <w:ilvl w:val="0"/>
          <w:numId w:val="19"/>
        </w:numPr>
        <w:jc w:val="both"/>
        <w:rPr>
          <w:bCs/>
          <w:szCs w:val="24"/>
        </w:rPr>
      </w:pPr>
      <w:r w:rsidRPr="00DA78D8">
        <w:rPr>
          <w:bCs/>
        </w:rPr>
        <w:t xml:space="preserve">Toro 18 had three anomalous gold values (up to 22,000 ppb) and one anomaly in copper, molybdenum, lithium and tantalum. </w:t>
      </w:r>
      <w:r w:rsidRPr="00DA78D8">
        <w:rPr>
          <w:bCs/>
          <w:szCs w:val="24"/>
        </w:rPr>
        <w:t>Toro 19 and Toro 21 had two anomalous gold values. Toro 23 had anomalous gold, copper and tungsten. Toro 24 till concentrates yielded three anomalous gold (up to 14,500 ppb) and copper values. These anomalies may be associated with intrusion-related gold mineralization</w:t>
      </w:r>
      <w:r>
        <w:rPr>
          <w:bCs/>
          <w:szCs w:val="24"/>
        </w:rPr>
        <w:t xml:space="preserve"> near IOCG or carbonatite intrusions</w:t>
      </w:r>
      <w:r w:rsidRPr="00DA78D8">
        <w:rPr>
          <w:bCs/>
          <w:szCs w:val="24"/>
        </w:rPr>
        <w:t>.</w:t>
      </w:r>
    </w:p>
    <w:p w:rsidR="00C42A13" w:rsidRPr="00C42A13" w:rsidRDefault="00C42A13" w:rsidP="00CE798A">
      <w:pPr>
        <w:pStyle w:val="ListParagraph"/>
        <w:numPr>
          <w:ilvl w:val="0"/>
          <w:numId w:val="19"/>
        </w:numPr>
        <w:jc w:val="both"/>
      </w:pPr>
      <w:r w:rsidRPr="00665960">
        <w:t xml:space="preserve">Toro 9, Toro 14, Toro 15 and Toro 20 anomalies have geochemical patterns associated with lithium-bearing pegmatites. Toro 14 is highly prospective, yielding anomalous values in lithium (4), gold (2), zinc (2) and copper (2), as well as niobium, tantalum, tin and silver (1 each). Toro 14 also provided six till concentrate samples anomalous in </w:t>
      </w:r>
      <w:r>
        <w:t xml:space="preserve">total </w:t>
      </w:r>
      <w:r w:rsidRPr="00665960">
        <w:t>REE, with 3 such results well in excess of 1% by weight.</w:t>
      </w:r>
    </w:p>
    <w:p w:rsidR="00BA7483" w:rsidRDefault="00BA7483" w:rsidP="00DC0379">
      <w:pPr>
        <w:jc w:val="both"/>
        <w:rPr>
          <w:bCs/>
          <w:szCs w:val="24"/>
        </w:rPr>
      </w:pPr>
    </w:p>
    <w:p w:rsidR="004A61FC" w:rsidRPr="00876523" w:rsidRDefault="004A61FC" w:rsidP="008370B8">
      <w:pPr>
        <w:jc w:val="center"/>
        <w:rPr>
          <w:bCs/>
          <w:szCs w:val="24"/>
        </w:rPr>
      </w:pPr>
      <w:r w:rsidRPr="00876523">
        <w:rPr>
          <w:bCs/>
          <w:szCs w:val="24"/>
        </w:rPr>
        <w:t xml:space="preserve">Table 2: Anomalous </w:t>
      </w:r>
      <w:r w:rsidR="00EB4418" w:rsidRPr="00876523">
        <w:rPr>
          <w:bCs/>
          <w:szCs w:val="24"/>
        </w:rPr>
        <w:t>Till Sample Results from</w:t>
      </w:r>
      <w:r w:rsidR="00224AAF" w:rsidRPr="00876523">
        <w:rPr>
          <w:bCs/>
          <w:szCs w:val="24"/>
        </w:rPr>
        <w:t xml:space="preserve"> the</w:t>
      </w:r>
      <w:r w:rsidR="00EB4418" w:rsidRPr="00876523">
        <w:rPr>
          <w:bCs/>
          <w:szCs w:val="24"/>
        </w:rPr>
        <w:t xml:space="preserve"> Toro Project</w:t>
      </w:r>
    </w:p>
    <w:tbl>
      <w:tblPr>
        <w:tblStyle w:val="TableGrid"/>
        <w:tblW w:w="0" w:type="auto"/>
        <w:jc w:val="center"/>
        <w:tblLook w:val="04A0" w:firstRow="1" w:lastRow="0" w:firstColumn="1" w:lastColumn="0" w:noHBand="0" w:noVBand="1"/>
      </w:tblPr>
      <w:tblGrid>
        <w:gridCol w:w="2036"/>
        <w:gridCol w:w="7962"/>
      </w:tblGrid>
      <w:tr w:rsidR="00B32EAC" w:rsidTr="008370B8">
        <w:trPr>
          <w:jc w:val="center"/>
        </w:trPr>
        <w:tc>
          <w:tcPr>
            <w:tcW w:w="0" w:type="auto"/>
          </w:tcPr>
          <w:p w:rsidR="00B32EAC" w:rsidRDefault="00B32EAC" w:rsidP="008370B8">
            <w:pPr>
              <w:jc w:val="center"/>
            </w:pPr>
            <w:r>
              <w:t>Exploration Target</w:t>
            </w:r>
          </w:p>
        </w:tc>
        <w:tc>
          <w:tcPr>
            <w:tcW w:w="0" w:type="auto"/>
          </w:tcPr>
          <w:p w:rsidR="00B32EAC" w:rsidRDefault="00B32EAC" w:rsidP="008370B8">
            <w:pPr>
              <w:jc w:val="center"/>
            </w:pPr>
            <w:r>
              <w:t>Anomalous Till Sample Results (number of anomalous results)</w:t>
            </w:r>
          </w:p>
        </w:tc>
      </w:tr>
      <w:tr w:rsidR="00B32EAC" w:rsidTr="008370B8">
        <w:trPr>
          <w:jc w:val="center"/>
        </w:trPr>
        <w:tc>
          <w:tcPr>
            <w:tcW w:w="0" w:type="auto"/>
          </w:tcPr>
          <w:p w:rsidR="00B32EAC" w:rsidRDefault="00B32EAC" w:rsidP="008370B8">
            <w:pPr>
              <w:jc w:val="center"/>
            </w:pPr>
            <w:r>
              <w:t>Toro 1</w:t>
            </w:r>
          </w:p>
        </w:tc>
        <w:tc>
          <w:tcPr>
            <w:tcW w:w="0" w:type="auto"/>
          </w:tcPr>
          <w:p w:rsidR="00B32EAC" w:rsidRDefault="00B32EAC" w:rsidP="00DF692E">
            <w:r>
              <w:t>gold (3), lithium (1), niobium (2), tantalum (4)</w:t>
            </w:r>
          </w:p>
        </w:tc>
      </w:tr>
      <w:tr w:rsidR="00B32EAC" w:rsidTr="008370B8">
        <w:trPr>
          <w:jc w:val="center"/>
        </w:trPr>
        <w:tc>
          <w:tcPr>
            <w:tcW w:w="0" w:type="auto"/>
          </w:tcPr>
          <w:p w:rsidR="00B32EAC" w:rsidRDefault="00B32EAC" w:rsidP="008370B8">
            <w:pPr>
              <w:jc w:val="center"/>
            </w:pPr>
            <w:r>
              <w:t>Toro 2</w:t>
            </w:r>
          </w:p>
        </w:tc>
        <w:tc>
          <w:tcPr>
            <w:tcW w:w="0" w:type="auto"/>
          </w:tcPr>
          <w:p w:rsidR="00B32EAC" w:rsidRDefault="00B32EAC" w:rsidP="00DF692E">
            <w:r>
              <w:t>gold (4, up to 12800 ppb), copper (2) molybdenum (2), lithium (1), niobium (1)</w:t>
            </w:r>
          </w:p>
        </w:tc>
      </w:tr>
      <w:tr w:rsidR="00B32EAC" w:rsidTr="008370B8">
        <w:trPr>
          <w:jc w:val="center"/>
        </w:trPr>
        <w:tc>
          <w:tcPr>
            <w:tcW w:w="0" w:type="auto"/>
          </w:tcPr>
          <w:p w:rsidR="00B32EAC" w:rsidRDefault="00B32EAC" w:rsidP="008370B8">
            <w:pPr>
              <w:jc w:val="center"/>
            </w:pPr>
            <w:r>
              <w:t>Toro 4</w:t>
            </w:r>
          </w:p>
        </w:tc>
        <w:tc>
          <w:tcPr>
            <w:tcW w:w="0" w:type="auto"/>
          </w:tcPr>
          <w:p w:rsidR="00B32EAC" w:rsidRPr="00B32EAC" w:rsidRDefault="00B32EAC" w:rsidP="00DF692E">
            <w:r w:rsidRPr="00B32EAC">
              <w:t>gold (1), silver (1), copper (1), tantalum (2), niobium (4)</w:t>
            </w:r>
          </w:p>
        </w:tc>
      </w:tr>
      <w:tr w:rsidR="00B32EAC" w:rsidTr="008370B8">
        <w:trPr>
          <w:jc w:val="center"/>
        </w:trPr>
        <w:tc>
          <w:tcPr>
            <w:tcW w:w="0" w:type="auto"/>
          </w:tcPr>
          <w:p w:rsidR="00B32EAC" w:rsidRDefault="00B32EAC" w:rsidP="008370B8">
            <w:pPr>
              <w:jc w:val="center"/>
            </w:pPr>
            <w:r>
              <w:t>Toro 9</w:t>
            </w:r>
          </w:p>
        </w:tc>
        <w:tc>
          <w:tcPr>
            <w:tcW w:w="0" w:type="auto"/>
          </w:tcPr>
          <w:p w:rsidR="00B32EAC" w:rsidRPr="00B32EAC" w:rsidRDefault="00B32EAC" w:rsidP="00DF692E">
            <w:r w:rsidRPr="00B32EAC">
              <w:t>gold (1), copper (1), niobium (2), tantalum (3), lithium (1)</w:t>
            </w:r>
          </w:p>
        </w:tc>
      </w:tr>
      <w:tr w:rsidR="00B32EAC" w:rsidTr="008370B8">
        <w:trPr>
          <w:jc w:val="center"/>
        </w:trPr>
        <w:tc>
          <w:tcPr>
            <w:tcW w:w="0" w:type="auto"/>
          </w:tcPr>
          <w:p w:rsidR="00B32EAC" w:rsidRDefault="00B32EAC" w:rsidP="008370B8">
            <w:pPr>
              <w:jc w:val="center"/>
            </w:pPr>
            <w:r>
              <w:t>Toro 14</w:t>
            </w:r>
          </w:p>
        </w:tc>
        <w:tc>
          <w:tcPr>
            <w:tcW w:w="0" w:type="auto"/>
          </w:tcPr>
          <w:p w:rsidR="00B32EAC" w:rsidRPr="00B32EAC" w:rsidRDefault="00B32EAC" w:rsidP="00DF692E">
            <w:r w:rsidRPr="00B32EAC">
              <w:t>gold (2), copper (2), lithium (4), REE (3), niobium (1), tantalum (1), tin (1),</w:t>
            </w:r>
          </w:p>
          <w:p w:rsidR="00B32EAC" w:rsidRPr="00B32EAC" w:rsidRDefault="00B32EAC" w:rsidP="00DF692E">
            <w:r w:rsidRPr="00B32EAC">
              <w:t>zinc (2), silver (1)</w:t>
            </w:r>
          </w:p>
        </w:tc>
      </w:tr>
      <w:tr w:rsidR="00B32EAC" w:rsidTr="008370B8">
        <w:trPr>
          <w:jc w:val="center"/>
        </w:trPr>
        <w:tc>
          <w:tcPr>
            <w:tcW w:w="0" w:type="auto"/>
          </w:tcPr>
          <w:p w:rsidR="00B32EAC" w:rsidRDefault="00B32EAC" w:rsidP="008370B8">
            <w:pPr>
              <w:jc w:val="center"/>
            </w:pPr>
            <w:r>
              <w:lastRenderedPageBreak/>
              <w:t>Toro 15</w:t>
            </w:r>
          </w:p>
        </w:tc>
        <w:tc>
          <w:tcPr>
            <w:tcW w:w="0" w:type="auto"/>
          </w:tcPr>
          <w:p w:rsidR="00B32EAC" w:rsidRPr="00B32EAC" w:rsidRDefault="00B32EAC" w:rsidP="00DF692E">
            <w:r w:rsidRPr="00B32EAC">
              <w:t>gold (4), lithium (2), REE (5)</w:t>
            </w:r>
          </w:p>
        </w:tc>
      </w:tr>
      <w:tr w:rsidR="00B32EAC" w:rsidTr="008370B8">
        <w:trPr>
          <w:jc w:val="center"/>
        </w:trPr>
        <w:tc>
          <w:tcPr>
            <w:tcW w:w="0" w:type="auto"/>
          </w:tcPr>
          <w:p w:rsidR="00B32EAC" w:rsidRDefault="00B32EAC" w:rsidP="00DF692E">
            <w:pPr>
              <w:jc w:val="center"/>
            </w:pPr>
            <w:r>
              <w:t>Toro 16</w:t>
            </w:r>
          </w:p>
        </w:tc>
        <w:tc>
          <w:tcPr>
            <w:tcW w:w="0" w:type="auto"/>
          </w:tcPr>
          <w:p w:rsidR="00B32EAC" w:rsidRPr="00B32EAC" w:rsidRDefault="00B32EAC" w:rsidP="00435BFC">
            <w:r w:rsidRPr="00B32EAC">
              <w:t>gold (2), niobium (1), tantalum (1), tungsten (1), REE (1)</w:t>
            </w:r>
          </w:p>
        </w:tc>
      </w:tr>
      <w:tr w:rsidR="00B32EAC" w:rsidTr="008370B8">
        <w:trPr>
          <w:jc w:val="center"/>
        </w:trPr>
        <w:tc>
          <w:tcPr>
            <w:tcW w:w="0" w:type="auto"/>
          </w:tcPr>
          <w:p w:rsidR="00B32EAC" w:rsidRDefault="00B32EAC" w:rsidP="00DF692E">
            <w:pPr>
              <w:jc w:val="center"/>
            </w:pPr>
            <w:r>
              <w:t>Toro 18</w:t>
            </w:r>
          </w:p>
        </w:tc>
        <w:tc>
          <w:tcPr>
            <w:tcW w:w="0" w:type="auto"/>
          </w:tcPr>
          <w:p w:rsidR="00B32EAC" w:rsidRPr="00B32EAC" w:rsidRDefault="00B32EAC" w:rsidP="00435BFC">
            <w:r w:rsidRPr="00B32EAC">
              <w:t>gold (3, up to 22000 ppb), copper (1), molybdenum (1), lithium (1), tantalum (1)</w:t>
            </w:r>
          </w:p>
        </w:tc>
      </w:tr>
      <w:tr w:rsidR="00B32EAC" w:rsidTr="008370B8">
        <w:trPr>
          <w:jc w:val="center"/>
        </w:trPr>
        <w:tc>
          <w:tcPr>
            <w:tcW w:w="0" w:type="auto"/>
          </w:tcPr>
          <w:p w:rsidR="00B32EAC" w:rsidRDefault="00B32EAC" w:rsidP="00DF692E">
            <w:pPr>
              <w:jc w:val="center"/>
            </w:pPr>
            <w:r>
              <w:t>Toro 19</w:t>
            </w:r>
          </w:p>
        </w:tc>
        <w:tc>
          <w:tcPr>
            <w:tcW w:w="0" w:type="auto"/>
          </w:tcPr>
          <w:p w:rsidR="00B32EAC" w:rsidRPr="00B32EAC" w:rsidRDefault="00B32EAC" w:rsidP="00435BFC">
            <w:r w:rsidRPr="00B32EAC">
              <w:t>gold (2)</w:t>
            </w:r>
          </w:p>
        </w:tc>
      </w:tr>
      <w:tr w:rsidR="00B32EAC" w:rsidTr="008370B8">
        <w:trPr>
          <w:jc w:val="center"/>
        </w:trPr>
        <w:tc>
          <w:tcPr>
            <w:tcW w:w="0" w:type="auto"/>
          </w:tcPr>
          <w:p w:rsidR="00B32EAC" w:rsidRDefault="00B32EAC" w:rsidP="00DF692E">
            <w:pPr>
              <w:jc w:val="center"/>
            </w:pPr>
            <w:r>
              <w:t>Toro 20</w:t>
            </w:r>
          </w:p>
        </w:tc>
        <w:tc>
          <w:tcPr>
            <w:tcW w:w="0" w:type="auto"/>
          </w:tcPr>
          <w:p w:rsidR="00B32EAC" w:rsidRPr="00B32EAC" w:rsidRDefault="00B32EAC" w:rsidP="00435BFC">
            <w:r w:rsidRPr="00B32EAC">
              <w:t>gold (3), lithium (5)</w:t>
            </w:r>
          </w:p>
        </w:tc>
      </w:tr>
      <w:tr w:rsidR="00B32EAC" w:rsidTr="008370B8">
        <w:trPr>
          <w:jc w:val="center"/>
        </w:trPr>
        <w:tc>
          <w:tcPr>
            <w:tcW w:w="0" w:type="auto"/>
          </w:tcPr>
          <w:p w:rsidR="00B32EAC" w:rsidRDefault="00B32EAC" w:rsidP="00DF692E">
            <w:pPr>
              <w:jc w:val="center"/>
            </w:pPr>
            <w:r>
              <w:t>Toro 21</w:t>
            </w:r>
          </w:p>
        </w:tc>
        <w:tc>
          <w:tcPr>
            <w:tcW w:w="0" w:type="auto"/>
          </w:tcPr>
          <w:p w:rsidR="00B32EAC" w:rsidRPr="00B32EAC" w:rsidRDefault="00B32EAC" w:rsidP="00435BFC">
            <w:r w:rsidRPr="00B32EAC">
              <w:t>gold (2),lithium (1)</w:t>
            </w:r>
          </w:p>
        </w:tc>
      </w:tr>
      <w:tr w:rsidR="00B32EAC" w:rsidTr="008370B8">
        <w:trPr>
          <w:jc w:val="center"/>
        </w:trPr>
        <w:tc>
          <w:tcPr>
            <w:tcW w:w="0" w:type="auto"/>
          </w:tcPr>
          <w:p w:rsidR="00B32EAC" w:rsidRDefault="00B32EAC" w:rsidP="00DF692E">
            <w:pPr>
              <w:jc w:val="center"/>
            </w:pPr>
            <w:r>
              <w:t>Toro 22</w:t>
            </w:r>
          </w:p>
        </w:tc>
        <w:tc>
          <w:tcPr>
            <w:tcW w:w="0" w:type="auto"/>
          </w:tcPr>
          <w:p w:rsidR="00B32EAC" w:rsidRPr="00B32EAC" w:rsidRDefault="00B32EAC" w:rsidP="00435BFC">
            <w:r w:rsidRPr="00B32EAC">
              <w:t>gold (2), copper (1), lithium (1), REE (4)</w:t>
            </w:r>
          </w:p>
        </w:tc>
      </w:tr>
      <w:tr w:rsidR="00B32EAC" w:rsidTr="008370B8">
        <w:trPr>
          <w:jc w:val="center"/>
        </w:trPr>
        <w:tc>
          <w:tcPr>
            <w:tcW w:w="0" w:type="auto"/>
          </w:tcPr>
          <w:p w:rsidR="00B32EAC" w:rsidRDefault="00B32EAC" w:rsidP="00DF692E">
            <w:pPr>
              <w:jc w:val="center"/>
            </w:pPr>
            <w:r>
              <w:t>Toro 23</w:t>
            </w:r>
          </w:p>
        </w:tc>
        <w:tc>
          <w:tcPr>
            <w:tcW w:w="0" w:type="auto"/>
          </w:tcPr>
          <w:p w:rsidR="00B32EAC" w:rsidRPr="00B32EAC" w:rsidRDefault="00B32EAC" w:rsidP="00435BFC">
            <w:r w:rsidRPr="00B32EAC">
              <w:t>gold (2), copper (1), tungsten (1)</w:t>
            </w:r>
          </w:p>
        </w:tc>
      </w:tr>
      <w:tr w:rsidR="00B32EAC" w:rsidTr="008370B8">
        <w:trPr>
          <w:jc w:val="center"/>
        </w:trPr>
        <w:tc>
          <w:tcPr>
            <w:tcW w:w="0" w:type="auto"/>
          </w:tcPr>
          <w:p w:rsidR="00B32EAC" w:rsidRDefault="00B32EAC" w:rsidP="00DF692E">
            <w:pPr>
              <w:jc w:val="center"/>
            </w:pPr>
            <w:r>
              <w:t>Toro 24</w:t>
            </w:r>
          </w:p>
        </w:tc>
        <w:tc>
          <w:tcPr>
            <w:tcW w:w="0" w:type="auto"/>
          </w:tcPr>
          <w:p w:rsidR="00B32EAC" w:rsidRPr="00B32EAC" w:rsidRDefault="00B32EAC" w:rsidP="00435BFC">
            <w:r w:rsidRPr="00B32EAC">
              <w:t>gold (3, up to 14500 ppb), copper (2), tantalum (1)</w:t>
            </w:r>
          </w:p>
        </w:tc>
      </w:tr>
    </w:tbl>
    <w:p w:rsidR="004B5EEE" w:rsidRDefault="004B5EEE" w:rsidP="00DC0379">
      <w:pPr>
        <w:jc w:val="both"/>
        <w:rPr>
          <w:bCs/>
          <w:szCs w:val="24"/>
        </w:rPr>
      </w:pPr>
    </w:p>
    <w:p w:rsidR="00DC0379" w:rsidRDefault="00DC0379" w:rsidP="00DC0379">
      <w:pPr>
        <w:jc w:val="both"/>
        <w:rPr>
          <w:bCs/>
          <w:szCs w:val="24"/>
        </w:rPr>
      </w:pPr>
      <w:r>
        <w:rPr>
          <w:bCs/>
          <w:szCs w:val="24"/>
        </w:rPr>
        <w:t>Based on these results, the Company has staked 70 additional claims in the areas where strong geochemical anomalies were defined by the Company’s technical team, increasing the Toro Project’s footprint to a total of 130.32 square km</w:t>
      </w:r>
      <w:r w:rsidR="004B5EEE">
        <w:rPr>
          <w:bCs/>
          <w:szCs w:val="24"/>
        </w:rPr>
        <w:t>.</w:t>
      </w:r>
      <w:r>
        <w:rPr>
          <w:bCs/>
          <w:szCs w:val="24"/>
        </w:rPr>
        <w:t xml:space="preserve"> The till anomalies correlate well with </w:t>
      </w:r>
      <w:r w:rsidR="001A349F">
        <w:rPr>
          <w:bCs/>
          <w:szCs w:val="24"/>
        </w:rPr>
        <w:t xml:space="preserve">14 </w:t>
      </w:r>
      <w:r>
        <w:rPr>
          <w:bCs/>
          <w:szCs w:val="24"/>
        </w:rPr>
        <w:t xml:space="preserve">priority magnetic targets </w:t>
      </w:r>
      <w:r w:rsidR="004B5EEE">
        <w:rPr>
          <w:bCs/>
          <w:szCs w:val="24"/>
        </w:rPr>
        <w:t xml:space="preserve">that could correspond to </w:t>
      </w:r>
      <w:r>
        <w:rPr>
          <w:bCs/>
          <w:szCs w:val="24"/>
        </w:rPr>
        <w:t>gold/copper mineralization in iron oxide copper gold deposits (“IOCG”), rare earth elements (“REE”) in carbonatites,</w:t>
      </w:r>
      <w:r w:rsidR="00732F69">
        <w:rPr>
          <w:bCs/>
          <w:szCs w:val="24"/>
        </w:rPr>
        <w:t xml:space="preserve"> intrus</w:t>
      </w:r>
      <w:r w:rsidR="001A349F">
        <w:rPr>
          <w:bCs/>
          <w:szCs w:val="24"/>
        </w:rPr>
        <w:t xml:space="preserve">ion-related gold deposits, </w:t>
      </w:r>
      <w:r>
        <w:rPr>
          <w:bCs/>
          <w:szCs w:val="24"/>
        </w:rPr>
        <w:t xml:space="preserve">or lithium mineralization in pegmatite. </w:t>
      </w:r>
      <w:r w:rsidR="00D14562">
        <w:rPr>
          <w:bCs/>
          <w:szCs w:val="24"/>
        </w:rPr>
        <w:t xml:space="preserve">The pending claims on Toro 7 can be seen at  </w:t>
      </w:r>
      <w:hyperlink r:id="rId10" w:history="1">
        <w:r w:rsidR="00D14562" w:rsidRPr="009D7028">
          <w:rPr>
            <w:rStyle w:val="Hyperlink"/>
            <w:szCs w:val="24"/>
          </w:rPr>
          <w:t>https://evolvinggold.com/images/Figure-B-2.jpg</w:t>
        </w:r>
      </w:hyperlink>
      <w:r w:rsidR="00D14562">
        <w:rPr>
          <w:bCs/>
          <w:szCs w:val="24"/>
        </w:rPr>
        <w:t xml:space="preserve"> .</w:t>
      </w:r>
      <w:r w:rsidR="00EB4418">
        <w:rPr>
          <w:bCs/>
          <w:szCs w:val="24"/>
        </w:rPr>
        <w:t xml:space="preserve"> The pending claims on the entire Toro Project can be seen at </w:t>
      </w:r>
      <w:hyperlink r:id="rId11" w:tgtFrame="_blank" w:history="1">
        <w:r w:rsidR="007E4D9C">
          <w:rPr>
            <w:rStyle w:val="Hyperlink"/>
          </w:rPr>
          <w:t>https://evolvinggold.com/images/toro-quebec_lg.jpg</w:t>
        </w:r>
      </w:hyperlink>
      <w:r w:rsidR="007E4D9C">
        <w:t>.</w:t>
      </w:r>
    </w:p>
    <w:p w:rsidR="00DC0379" w:rsidRDefault="00DC0379" w:rsidP="00DC0379">
      <w:pPr>
        <w:jc w:val="both"/>
        <w:rPr>
          <w:bCs/>
          <w:szCs w:val="24"/>
        </w:rPr>
      </w:pPr>
    </w:p>
    <w:p w:rsidR="007E44E5" w:rsidRPr="00DD5203" w:rsidRDefault="007E44E5" w:rsidP="00DC0379">
      <w:pPr>
        <w:jc w:val="both"/>
        <w:rPr>
          <w:bCs/>
          <w:szCs w:val="24"/>
        </w:rPr>
      </w:pPr>
      <w:r>
        <w:rPr>
          <w:bCs/>
          <w:szCs w:val="24"/>
        </w:rPr>
        <w:t>Toro 7 and other readily accessible exploration targets will be the subject of further field assessment by an all terrain vehicle based team to be dispatched in the first week of July 2017. A helicopter-based field program of the less accessible exploration targets is in the planning stages, and is expected to begin later this summer.</w:t>
      </w:r>
    </w:p>
    <w:p w:rsidR="00270506" w:rsidRDefault="00EA6E77" w:rsidP="00270506">
      <w:pPr>
        <w:jc w:val="both"/>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r>
      <w:r>
        <w:rPr>
          <w:bCs/>
          <w:szCs w:val="24"/>
        </w:rPr>
        <w:tab/>
        <w:t xml:space="preserve">                 </w:t>
      </w:r>
      <w:r w:rsidR="005E00D9">
        <w:rPr>
          <w:bCs/>
          <w:szCs w:val="24"/>
        </w:rPr>
        <w:t xml:space="preserve"> </w:t>
      </w:r>
      <w:r w:rsidR="006C0AA9">
        <w:rPr>
          <w:bCs/>
          <w:szCs w:val="24"/>
        </w:rPr>
        <w:t>A</w:t>
      </w:r>
      <w:r w:rsidR="00932875">
        <w:rPr>
          <w:bCs/>
          <w:szCs w:val="24"/>
        </w:rPr>
        <w:t>nother goal of</w:t>
      </w:r>
      <w:r w:rsidR="006C0AA9">
        <w:rPr>
          <w:bCs/>
          <w:szCs w:val="24"/>
        </w:rPr>
        <w:t xml:space="preserve"> the</w:t>
      </w:r>
      <w:r w:rsidR="00270506">
        <w:rPr>
          <w:bCs/>
          <w:szCs w:val="24"/>
        </w:rPr>
        <w:t xml:space="preserve"> till sampling program </w:t>
      </w:r>
      <w:r w:rsidR="00932875">
        <w:rPr>
          <w:bCs/>
          <w:szCs w:val="24"/>
        </w:rPr>
        <w:t>was to assess</w:t>
      </w:r>
      <w:r w:rsidR="00270506">
        <w:rPr>
          <w:bCs/>
          <w:szCs w:val="24"/>
        </w:rPr>
        <w:t xml:space="preserve"> kimberlite indicator mineral (“KIM”) content down-ice from selected circular magnetic targets on its Toro Property which were first described in a press release dated September 15</w:t>
      </w:r>
      <w:r w:rsidR="00270506" w:rsidRPr="002B6DD8">
        <w:rPr>
          <w:bCs/>
          <w:szCs w:val="24"/>
          <w:vertAlign w:val="superscript"/>
        </w:rPr>
        <w:t>th</w:t>
      </w:r>
      <w:r w:rsidR="00270506">
        <w:rPr>
          <w:bCs/>
          <w:szCs w:val="24"/>
        </w:rPr>
        <w:t xml:space="preserve">, 2016. A total of 16 </w:t>
      </w:r>
      <w:r w:rsidR="00932875">
        <w:rPr>
          <w:bCs/>
          <w:szCs w:val="24"/>
        </w:rPr>
        <w:t xml:space="preserve">possible </w:t>
      </w:r>
      <w:r w:rsidR="00270506">
        <w:rPr>
          <w:bCs/>
          <w:szCs w:val="24"/>
        </w:rPr>
        <w:t>kimberlite targets were investigated</w:t>
      </w:r>
      <w:r w:rsidR="00932875">
        <w:rPr>
          <w:bCs/>
          <w:szCs w:val="24"/>
        </w:rPr>
        <w:t xml:space="preserve"> for KIM</w:t>
      </w:r>
      <w:r w:rsidR="00270506">
        <w:rPr>
          <w:bCs/>
          <w:szCs w:val="24"/>
        </w:rPr>
        <w:t xml:space="preserve"> out of 24</w:t>
      </w:r>
      <w:r w:rsidR="00932875">
        <w:rPr>
          <w:bCs/>
          <w:szCs w:val="24"/>
        </w:rPr>
        <w:t xml:space="preserve"> </w:t>
      </w:r>
      <w:r w:rsidR="00EB4418">
        <w:rPr>
          <w:bCs/>
          <w:szCs w:val="24"/>
        </w:rPr>
        <w:t xml:space="preserve">such </w:t>
      </w:r>
      <w:r w:rsidR="00932875">
        <w:rPr>
          <w:bCs/>
          <w:szCs w:val="24"/>
        </w:rPr>
        <w:t>targets, selected on the basis of their</w:t>
      </w:r>
      <w:r w:rsidR="00DC0379">
        <w:rPr>
          <w:bCs/>
          <w:szCs w:val="24"/>
        </w:rPr>
        <w:t xml:space="preserve"> geophysical characteristics</w:t>
      </w:r>
      <w:r w:rsidR="00270506">
        <w:rPr>
          <w:bCs/>
          <w:szCs w:val="24"/>
        </w:rPr>
        <w:t xml:space="preserve">. In the field, </w:t>
      </w:r>
      <w:r w:rsidR="00932875">
        <w:rPr>
          <w:bCs/>
          <w:szCs w:val="24"/>
        </w:rPr>
        <w:t>a sampling line was ori</w:t>
      </w:r>
      <w:r w:rsidR="00D41596">
        <w:rPr>
          <w:bCs/>
          <w:szCs w:val="24"/>
        </w:rPr>
        <w:t>ented perpendicular to the historic</w:t>
      </w:r>
      <w:r w:rsidR="00932875">
        <w:rPr>
          <w:bCs/>
          <w:szCs w:val="24"/>
        </w:rPr>
        <w:t xml:space="preserve"> glacial flow and down-ice from the target, </w:t>
      </w:r>
      <w:r w:rsidR="00270506">
        <w:rPr>
          <w:bCs/>
          <w:szCs w:val="24"/>
        </w:rPr>
        <w:t xml:space="preserve">with a sample spacing of </w:t>
      </w:r>
      <w:r w:rsidR="00D41596">
        <w:rPr>
          <w:bCs/>
          <w:szCs w:val="24"/>
        </w:rPr>
        <w:t>approximately</w:t>
      </w:r>
      <w:r w:rsidR="00732F69">
        <w:rPr>
          <w:bCs/>
          <w:szCs w:val="24"/>
        </w:rPr>
        <w:t xml:space="preserve"> </w:t>
      </w:r>
      <w:r w:rsidR="00270506">
        <w:rPr>
          <w:bCs/>
          <w:szCs w:val="24"/>
        </w:rPr>
        <w:t>100 m</w:t>
      </w:r>
      <w:r w:rsidR="00932875">
        <w:rPr>
          <w:bCs/>
          <w:szCs w:val="24"/>
        </w:rPr>
        <w:t>.</w:t>
      </w:r>
      <w:r w:rsidR="00270506">
        <w:rPr>
          <w:bCs/>
          <w:szCs w:val="24"/>
        </w:rPr>
        <w:t xml:space="preserve"> </w:t>
      </w:r>
      <w:r w:rsidR="00932875">
        <w:rPr>
          <w:bCs/>
          <w:szCs w:val="24"/>
        </w:rPr>
        <w:t xml:space="preserve">Each till sample </w:t>
      </w:r>
      <w:r w:rsidR="00270506">
        <w:rPr>
          <w:bCs/>
          <w:szCs w:val="24"/>
        </w:rPr>
        <w:t xml:space="preserve">was screened </w:t>
      </w:r>
      <w:r w:rsidR="005E0F56">
        <w:rPr>
          <w:bCs/>
          <w:szCs w:val="24"/>
        </w:rPr>
        <w:t xml:space="preserve">in the field </w:t>
      </w:r>
      <w:r w:rsidR="00270506">
        <w:rPr>
          <w:bCs/>
          <w:szCs w:val="24"/>
        </w:rPr>
        <w:t xml:space="preserve">to collect </w:t>
      </w:r>
      <w:r w:rsidR="005E0F56">
        <w:rPr>
          <w:bCs/>
          <w:szCs w:val="24"/>
        </w:rPr>
        <w:t>approximately 5 kilograms of</w:t>
      </w:r>
      <w:r w:rsidR="00270506">
        <w:rPr>
          <w:bCs/>
          <w:szCs w:val="24"/>
        </w:rPr>
        <w:t xml:space="preserve"> fine material. For each field sample, a heavy mineral concentrate was isolated in the laboratory by C.F. Minerals using dense media separation </w:t>
      </w:r>
      <w:r w:rsidR="00E61C6D">
        <w:rPr>
          <w:bCs/>
          <w:szCs w:val="24"/>
        </w:rPr>
        <w:t>followed by</w:t>
      </w:r>
      <w:r w:rsidR="00270506">
        <w:rPr>
          <w:bCs/>
          <w:szCs w:val="24"/>
        </w:rPr>
        <w:t xml:space="preserve"> magnetic separation. These concentrates were then assessed for KIM using optical picking and microscopy, and </w:t>
      </w:r>
      <w:r w:rsidR="00932875">
        <w:rPr>
          <w:bCs/>
          <w:szCs w:val="24"/>
        </w:rPr>
        <w:t>later</w:t>
      </w:r>
      <w:r w:rsidR="00270506">
        <w:rPr>
          <w:bCs/>
          <w:szCs w:val="24"/>
        </w:rPr>
        <w:t xml:space="preserve"> assayed for metal content. The KIM results for the</w:t>
      </w:r>
      <w:r w:rsidR="00D41596">
        <w:rPr>
          <w:bCs/>
          <w:szCs w:val="24"/>
        </w:rPr>
        <w:t xml:space="preserve"> potential</w:t>
      </w:r>
      <w:r w:rsidR="00270506">
        <w:rPr>
          <w:bCs/>
          <w:szCs w:val="24"/>
        </w:rPr>
        <w:t xml:space="preserve"> kimberlite targets assessed in the Phase 1 field program were all negative or inconclusive. </w:t>
      </w:r>
      <w:r w:rsidR="00D41596">
        <w:rPr>
          <w:bCs/>
          <w:szCs w:val="24"/>
        </w:rPr>
        <w:t>However, the numerous anomalous and highly anomalous metal results in the till concentrate samples are strongly suggestive of other types of intrusive features with similar magnetic signatures.</w:t>
      </w:r>
    </w:p>
    <w:p w:rsidR="00E41A76" w:rsidRDefault="00E41A76" w:rsidP="00B51609">
      <w:pPr>
        <w:jc w:val="both"/>
        <w:rPr>
          <w:bCs/>
          <w:szCs w:val="24"/>
        </w:rPr>
      </w:pPr>
    </w:p>
    <w:p w:rsidR="00D44301" w:rsidRDefault="00D41596" w:rsidP="00B51609">
      <w:pPr>
        <w:jc w:val="both"/>
        <w:rPr>
          <w:bCs/>
          <w:szCs w:val="24"/>
        </w:rPr>
      </w:pPr>
      <w:r>
        <w:rPr>
          <w:bCs/>
          <w:szCs w:val="24"/>
        </w:rPr>
        <w:t>Evolving Gold’s Chief Executive Officer, Mr. R. Bruce Duncan stated, “We are excited about these exceptional gold anomalies in till concentrate samples of up to 22,000 ppb (22 grams per tonne Au) as well as the prospect of a making an IOCG style discovery.</w:t>
      </w:r>
      <w:r w:rsidRPr="004F0598">
        <w:rPr>
          <w:szCs w:val="24"/>
        </w:rPr>
        <w:t xml:space="preserve"> </w:t>
      </w:r>
      <w:r>
        <w:rPr>
          <w:szCs w:val="24"/>
        </w:rPr>
        <w:t>The Toro Project claims have never before been the target of advanced exploration work. The discovery of significant mineralization in</w:t>
      </w:r>
      <w:r w:rsidR="00224AAF">
        <w:rPr>
          <w:szCs w:val="24"/>
        </w:rPr>
        <w:t xml:space="preserve"> one or more</w:t>
      </w:r>
      <w:r>
        <w:rPr>
          <w:szCs w:val="24"/>
        </w:rPr>
        <w:t xml:space="preserve"> </w:t>
      </w:r>
      <w:r w:rsidR="00EB4418">
        <w:rPr>
          <w:szCs w:val="24"/>
        </w:rPr>
        <w:t xml:space="preserve">different </w:t>
      </w:r>
      <w:r w:rsidR="00876523">
        <w:rPr>
          <w:szCs w:val="24"/>
        </w:rPr>
        <w:t xml:space="preserve">deposit types </w:t>
      </w:r>
      <w:r w:rsidR="000F2459">
        <w:rPr>
          <w:szCs w:val="24"/>
        </w:rPr>
        <w:t xml:space="preserve">suggested by these early results </w:t>
      </w:r>
      <w:r>
        <w:rPr>
          <w:szCs w:val="24"/>
        </w:rPr>
        <w:t xml:space="preserve">could be very important </w:t>
      </w:r>
      <w:r w:rsidR="00C42A13">
        <w:rPr>
          <w:szCs w:val="24"/>
        </w:rPr>
        <w:t xml:space="preserve">not only on the Company’s claims, but also </w:t>
      </w:r>
      <w:r>
        <w:rPr>
          <w:szCs w:val="24"/>
        </w:rPr>
        <w:t>on a regional scale.”</w:t>
      </w:r>
      <w:r>
        <w:rPr>
          <w:bCs/>
          <w:szCs w:val="24"/>
        </w:rPr>
        <w:t xml:space="preserve"> </w:t>
      </w:r>
    </w:p>
    <w:p w:rsidR="006735A1" w:rsidRDefault="006735A1" w:rsidP="00B51609">
      <w:pPr>
        <w:jc w:val="both"/>
        <w:rPr>
          <w:bCs/>
          <w:szCs w:val="24"/>
        </w:rPr>
      </w:pPr>
    </w:p>
    <w:p w:rsidR="006735A1" w:rsidRDefault="006735A1" w:rsidP="00B51609">
      <w:pPr>
        <w:jc w:val="both"/>
        <w:rPr>
          <w:bCs/>
          <w:szCs w:val="24"/>
        </w:rPr>
      </w:pPr>
    </w:p>
    <w:p w:rsidR="00D44301" w:rsidRDefault="00D44301" w:rsidP="00B51609">
      <w:pPr>
        <w:jc w:val="both"/>
        <w:rPr>
          <w:bCs/>
          <w:szCs w:val="24"/>
        </w:rPr>
      </w:pPr>
    </w:p>
    <w:p w:rsidR="00B96212" w:rsidRDefault="00B96212" w:rsidP="00B51609">
      <w:pPr>
        <w:jc w:val="both"/>
        <w:rPr>
          <w:bCs/>
          <w:szCs w:val="24"/>
        </w:rPr>
      </w:pPr>
    </w:p>
    <w:p w:rsidR="00EC76E9" w:rsidRDefault="00EC76E9" w:rsidP="00B51609">
      <w:pPr>
        <w:jc w:val="both"/>
        <w:rPr>
          <w:bCs/>
          <w:szCs w:val="24"/>
        </w:rPr>
      </w:pPr>
    </w:p>
    <w:p w:rsidR="005F6ED6" w:rsidRDefault="005F6ED6" w:rsidP="00B51609">
      <w:pPr>
        <w:jc w:val="both"/>
        <w:rPr>
          <w:bCs/>
          <w:szCs w:val="24"/>
        </w:rPr>
      </w:pPr>
    </w:p>
    <w:p w:rsidR="005F6ED6" w:rsidRDefault="005F6ED6" w:rsidP="00B51609">
      <w:pPr>
        <w:jc w:val="both"/>
        <w:rPr>
          <w:bCs/>
          <w:szCs w:val="24"/>
        </w:rPr>
      </w:pPr>
    </w:p>
    <w:p w:rsidR="00B51609" w:rsidRDefault="00B51609" w:rsidP="00B51609">
      <w:pPr>
        <w:jc w:val="both"/>
        <w:rPr>
          <w:b/>
          <w:bCs/>
          <w:szCs w:val="24"/>
        </w:rPr>
      </w:pPr>
      <w:r w:rsidRPr="00810C24">
        <w:rPr>
          <w:b/>
          <w:bCs/>
          <w:szCs w:val="24"/>
        </w:rPr>
        <w:t>Qualified Person</w:t>
      </w:r>
    </w:p>
    <w:p w:rsidR="006735A1" w:rsidRPr="00810C24" w:rsidRDefault="006735A1" w:rsidP="00B51609">
      <w:pPr>
        <w:jc w:val="both"/>
        <w:rPr>
          <w:b/>
          <w:szCs w:val="24"/>
        </w:rPr>
      </w:pPr>
    </w:p>
    <w:p w:rsidR="00B51609" w:rsidRDefault="002A2DB1" w:rsidP="00B51609">
      <w:pPr>
        <w:jc w:val="both"/>
        <w:rPr>
          <w:bCs/>
          <w:szCs w:val="24"/>
        </w:rPr>
      </w:pPr>
      <w:r>
        <w:rPr>
          <w:szCs w:val="24"/>
        </w:rPr>
        <w:t xml:space="preserve">Steven Lauzier, P.Geo OGQ, A Qualified Person </w:t>
      </w:r>
      <w:r>
        <w:rPr>
          <w:bCs/>
          <w:szCs w:val="24"/>
        </w:rPr>
        <w:t>(“QP”) as defined by Nation Instrument 43-101 guidelines, has reviewed and approved the technical content provided in this news release.</w:t>
      </w:r>
    </w:p>
    <w:p w:rsidR="002A2DB1" w:rsidRPr="00810C24" w:rsidRDefault="002A2DB1" w:rsidP="00B51609">
      <w:pPr>
        <w:jc w:val="both"/>
        <w:rPr>
          <w:szCs w:val="24"/>
        </w:rPr>
      </w:pPr>
    </w:p>
    <w:p w:rsidR="00B51609" w:rsidRPr="00810C24" w:rsidRDefault="00B51609" w:rsidP="00B51609">
      <w:pPr>
        <w:jc w:val="both"/>
        <w:rPr>
          <w:bCs/>
          <w:szCs w:val="24"/>
        </w:rPr>
      </w:pPr>
      <w:r w:rsidRPr="00810C24">
        <w:rPr>
          <w:b/>
          <w:bCs/>
          <w:szCs w:val="24"/>
          <w:u w:val="single"/>
        </w:rPr>
        <w:t>About Evolving Gold</w:t>
      </w:r>
    </w:p>
    <w:p w:rsidR="00B51609" w:rsidRDefault="00B51609" w:rsidP="00B51609">
      <w:pPr>
        <w:spacing w:before="100" w:beforeAutospacing="1" w:after="100" w:afterAutospacing="1"/>
        <w:jc w:val="both"/>
        <w:rPr>
          <w:szCs w:val="24"/>
        </w:rPr>
      </w:pPr>
      <w:r w:rsidRPr="00810C24">
        <w:rPr>
          <w:szCs w:val="24"/>
          <w:lang w:eastAsia="en-CA"/>
        </w:rPr>
        <w:t xml:space="preserve">Evolving Gold is exploring the </w:t>
      </w:r>
      <w:r w:rsidRPr="00810C24">
        <w:rPr>
          <w:szCs w:val="24"/>
        </w:rPr>
        <w:t>72.5 square kilometre (total area)</w:t>
      </w:r>
      <w:r w:rsidRPr="00810C24">
        <w:rPr>
          <w:szCs w:val="24"/>
          <w:lang w:eastAsia="en-CA"/>
        </w:rPr>
        <w:t xml:space="preserve"> Lithium Lakes property in Quebec, located about 10 km north of the Route du Nord and between eight and 30 km from Nemaska Lithium's Whabouchi Project</w:t>
      </w:r>
      <w:r w:rsidRPr="00810C24">
        <w:rPr>
          <w:szCs w:val="24"/>
        </w:rPr>
        <w:t xml:space="preserve">. </w:t>
      </w:r>
      <w:r>
        <w:rPr>
          <w:szCs w:val="24"/>
        </w:rPr>
        <w:t>The Company’s exploration goal is to discover economic quantities of lithium mineralization, hosted in pegmatite.</w:t>
      </w:r>
    </w:p>
    <w:p w:rsidR="001A3207" w:rsidRDefault="00B51609" w:rsidP="001A3207">
      <w:r>
        <w:rPr>
          <w:szCs w:val="24"/>
        </w:rPr>
        <w:t xml:space="preserve">Evolving Gold is also exploring the </w:t>
      </w:r>
      <w:r w:rsidR="001A3207">
        <w:rPr>
          <w:szCs w:val="24"/>
        </w:rPr>
        <w:t>130</w:t>
      </w:r>
      <w:r>
        <w:rPr>
          <w:szCs w:val="24"/>
        </w:rPr>
        <w:t>.3</w:t>
      </w:r>
      <w:r w:rsidR="001A3207">
        <w:rPr>
          <w:szCs w:val="24"/>
        </w:rPr>
        <w:t>2</w:t>
      </w:r>
      <w:r>
        <w:rPr>
          <w:szCs w:val="24"/>
        </w:rPr>
        <w:t xml:space="preserve"> square kilometre (total area) Toro Project, in the vicinity of the Lit</w:t>
      </w:r>
      <w:r w:rsidR="001A3207">
        <w:rPr>
          <w:szCs w:val="24"/>
        </w:rPr>
        <w:t xml:space="preserve">hium Lakes property. </w:t>
      </w:r>
      <w:r w:rsidR="001A3207">
        <w:t xml:space="preserve">The Company's </w:t>
      </w:r>
      <w:r w:rsidR="0056539C">
        <w:t xml:space="preserve">immediate </w:t>
      </w:r>
      <w:r w:rsidR="001A3207">
        <w:t>exploration goal is to assess numerous geochemical anomalies in till samples</w:t>
      </w:r>
      <w:r w:rsidR="0056539C">
        <w:t xml:space="preserve"> collected down-ice from large</w:t>
      </w:r>
      <w:r w:rsidR="001A3207">
        <w:t xml:space="preserve"> magnetic anomalies.</w:t>
      </w:r>
    </w:p>
    <w:p w:rsidR="00B51609" w:rsidRPr="00810C24" w:rsidRDefault="00B51609" w:rsidP="00B51609">
      <w:pPr>
        <w:pStyle w:val="BodyText"/>
        <w:jc w:val="both"/>
        <w:rPr>
          <w:sz w:val="24"/>
          <w:szCs w:val="24"/>
        </w:rPr>
      </w:pPr>
      <w:r w:rsidRPr="00810C24">
        <w:rPr>
          <w:sz w:val="24"/>
          <w:szCs w:val="24"/>
        </w:rPr>
        <w:t xml:space="preserve">On Behalf of the Board of Directors </w:t>
      </w:r>
    </w:p>
    <w:p w:rsidR="00B51609" w:rsidRPr="00810C24" w:rsidRDefault="00B51609" w:rsidP="00B51609">
      <w:pPr>
        <w:pStyle w:val="BodyText"/>
        <w:rPr>
          <w:rStyle w:val="Strong"/>
          <w:sz w:val="24"/>
          <w:szCs w:val="24"/>
        </w:rPr>
      </w:pPr>
      <w:r w:rsidRPr="00810C24">
        <w:rPr>
          <w:rStyle w:val="Strong"/>
          <w:sz w:val="24"/>
          <w:szCs w:val="24"/>
        </w:rPr>
        <w:t>EVOLVING GOLD CORP.</w:t>
      </w:r>
    </w:p>
    <w:p w:rsidR="00B51609" w:rsidRPr="00810C24" w:rsidRDefault="00B51609" w:rsidP="00B51609">
      <w:pPr>
        <w:pStyle w:val="BodyText"/>
        <w:tabs>
          <w:tab w:val="left" w:pos="3119"/>
        </w:tabs>
        <w:rPr>
          <w:rStyle w:val="Emphasis"/>
          <w:sz w:val="24"/>
          <w:szCs w:val="24"/>
        </w:rPr>
      </w:pPr>
      <w:r w:rsidRPr="00810C24">
        <w:rPr>
          <w:rStyle w:val="Emphasis"/>
          <w:sz w:val="24"/>
          <w:szCs w:val="24"/>
          <w:u w:val="single"/>
        </w:rPr>
        <w:t>“R. Bruce Duncan”</w:t>
      </w:r>
    </w:p>
    <w:p w:rsidR="00B51609" w:rsidRPr="00810C24" w:rsidRDefault="00B51609" w:rsidP="00B51609">
      <w:pPr>
        <w:pStyle w:val="BodyText"/>
        <w:rPr>
          <w:sz w:val="24"/>
          <w:szCs w:val="24"/>
        </w:rPr>
      </w:pPr>
      <w:r w:rsidRPr="00810C24">
        <w:rPr>
          <w:sz w:val="24"/>
          <w:szCs w:val="24"/>
        </w:rPr>
        <w:t>President, CEO &amp; Director</w:t>
      </w:r>
    </w:p>
    <w:p w:rsidR="00B51609" w:rsidRPr="00810C24" w:rsidRDefault="00B51609" w:rsidP="00B51609">
      <w:pPr>
        <w:pStyle w:val="BodyText"/>
        <w:rPr>
          <w:rStyle w:val="Strong"/>
          <w:sz w:val="24"/>
          <w:szCs w:val="24"/>
        </w:rPr>
      </w:pPr>
      <w:r w:rsidRPr="00810C24">
        <w:rPr>
          <w:rStyle w:val="Strong"/>
          <w:sz w:val="24"/>
          <w:szCs w:val="24"/>
        </w:rPr>
        <w:t>FOR MORE INFORMATION, PLEASE CONTACT:</w:t>
      </w:r>
    </w:p>
    <w:p w:rsidR="00B51609" w:rsidRPr="00810C24" w:rsidRDefault="00B51609" w:rsidP="00B51609">
      <w:pPr>
        <w:pStyle w:val="BodyText"/>
        <w:rPr>
          <w:rStyle w:val="Hyperlink"/>
          <w:sz w:val="24"/>
          <w:szCs w:val="24"/>
        </w:rPr>
      </w:pPr>
      <w:bookmarkStart w:id="1" w:name="OLE_LINK2"/>
      <w:bookmarkEnd w:id="1"/>
      <w:r w:rsidRPr="00810C24">
        <w:rPr>
          <w:rStyle w:val="Strong"/>
          <w:sz w:val="24"/>
          <w:szCs w:val="24"/>
        </w:rPr>
        <w:t xml:space="preserve">Investor Relations: </w:t>
      </w:r>
      <w:r w:rsidRPr="00810C24">
        <w:rPr>
          <w:sz w:val="24"/>
          <w:szCs w:val="24"/>
        </w:rPr>
        <w:br/>
        <w:t>Tel: 604.685.6375</w:t>
      </w:r>
      <w:r w:rsidRPr="00810C24">
        <w:rPr>
          <w:sz w:val="24"/>
          <w:szCs w:val="24"/>
        </w:rPr>
        <w:br/>
        <w:t>TF:  866.604.3864</w:t>
      </w:r>
      <w:r w:rsidRPr="00810C24">
        <w:rPr>
          <w:rStyle w:val="Hyperlink"/>
          <w:sz w:val="24"/>
          <w:szCs w:val="24"/>
        </w:rPr>
        <w:t xml:space="preserve"> </w:t>
      </w:r>
    </w:p>
    <w:p w:rsidR="00B51609" w:rsidRPr="00810C24" w:rsidRDefault="00B51609" w:rsidP="00B51609">
      <w:pPr>
        <w:pStyle w:val="BodyText"/>
        <w:jc w:val="both"/>
        <w:rPr>
          <w:bCs/>
          <w:sz w:val="24"/>
          <w:szCs w:val="24"/>
        </w:rPr>
      </w:pPr>
      <w:r w:rsidRPr="00810C24">
        <w:rPr>
          <w:bCs/>
          <w:sz w:val="24"/>
          <w:szCs w:val="24"/>
        </w:rPr>
        <w:t>Neither Canadian Securities Exchange nor its Market Regulator (as that term is defined in the policies of the Canadian Securities Exchange) accepts responsibility for the adequacy or accuracy of this release.</w:t>
      </w:r>
    </w:p>
    <w:p w:rsidR="00B51609" w:rsidRPr="00810C24" w:rsidRDefault="00B51609" w:rsidP="00B51609">
      <w:pPr>
        <w:pStyle w:val="BodyText"/>
        <w:jc w:val="both"/>
        <w:rPr>
          <w:bCs/>
          <w:sz w:val="24"/>
          <w:szCs w:val="24"/>
        </w:rPr>
      </w:pPr>
    </w:p>
    <w:p w:rsidR="009459EC" w:rsidRDefault="00B51609" w:rsidP="007738E1">
      <w:pPr>
        <w:suppressAutoHyphens/>
        <w:jc w:val="both"/>
      </w:pPr>
      <w:r w:rsidRPr="007738E1">
        <w:rPr>
          <w:b/>
          <w:bCs/>
          <w:sz w:val="20"/>
          <w:lang w:eastAsia="ar-SA"/>
        </w:rPr>
        <w:t>FORWARD LOOKING STATEMENTS:</w:t>
      </w:r>
      <w:r w:rsidRPr="007738E1">
        <w:rPr>
          <w:sz w:val="20"/>
          <w:lang w:eastAsia="ar-SA"/>
        </w:rPr>
        <w:t xml:space="preserve"> </w:t>
      </w:r>
      <w:r w:rsidRPr="007738E1">
        <w:rPr>
          <w:rStyle w:val="Emphasis"/>
          <w:sz w:val="20"/>
        </w:rPr>
        <w:t xml:space="preserve">This news release contains forward-looking statements, which relate to future events or future performance and reflect management’s current expectations and assumptions.  Such forward-looking statements reflect management’s current beliefs and are based on assumptions made by and information currently available to the Company. Investors are cautioned that these forward looking statements are neither promises nor guarantees, and are subject to risks and uncertainties that may cause future results to differ materially from those expected. These forward-looking statements are made as of the date hereof and, except as required under applicable securities legislation, the Company does not assume any obligation to update or revise them to reflect new events or circumstances. All of the forward-looking statements made in this press release are qualified by these cautionary statements and by those made in our filings with SEDAR in Canada (available at </w:t>
      </w:r>
      <w:r w:rsidRPr="007738E1">
        <w:rPr>
          <w:rStyle w:val="Emphasis"/>
          <w:color w:val="0000FF"/>
          <w:sz w:val="20"/>
          <w:u w:val="single"/>
        </w:rPr>
        <w:t>www.sedar.com</w:t>
      </w:r>
      <w:r w:rsidRPr="007738E1">
        <w:rPr>
          <w:rStyle w:val="Emphasis"/>
          <w:sz w:val="20"/>
        </w:rPr>
        <w:t xml:space="preserve">). </w:t>
      </w:r>
    </w:p>
    <w:sectPr w:rsidR="009459EC" w:rsidSect="00C4636A">
      <w:headerReference w:type="default" r:id="rId12"/>
      <w:footerReference w:type="even" r:id="rId13"/>
      <w:footerReference w:type="default" r:id="rId14"/>
      <w:footerReference w:type="first" r:id="rId15"/>
      <w:pgSz w:w="12240" w:h="15840" w:code="1"/>
      <w:pgMar w:top="907" w:right="907" w:bottom="397" w:left="907" w:header="720" w:footer="8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
        <w:separator/>
      </w:r>
    </w:p>
  </w:endnote>
  <w:endnote w:type="continuationSeparator" w:id="0">
    <w:p w:rsidR="00FB6004" w:rsidRDefault="00FB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64" w:rsidRDefault="00F6176E" w:rsidP="006E4D64">
    <w:pPr>
      <w:pStyle w:val="Footer"/>
    </w:pPr>
    <w:r>
      <w:fldChar w:fldCharType="begin"/>
    </w:r>
    <w:r w:rsidR="006E4D64">
      <w:instrText xml:space="preserve"> DOCVARIABLE RBRO_EasyID_Value \* MERGEFORMAT </w:instrTex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64" w:rsidRPr="00464DCB" w:rsidRDefault="006E4D64" w:rsidP="006E4D64">
    <w:pPr>
      <w:pStyle w:val="BodyText"/>
      <w:jc w:val="center"/>
      <w:rPr>
        <w:sz w:val="16"/>
        <w:szCs w:val="16"/>
      </w:rPr>
    </w:pPr>
    <w:r w:rsidRPr="00464DCB">
      <w:rPr>
        <w:sz w:val="16"/>
        <w:szCs w:val="16"/>
      </w:rPr>
      <w:t>Suite 605 – 1166 Alberni Street, Vancouver, BC, Cana</w:t>
    </w:r>
    <w:r>
      <w:rPr>
        <w:sz w:val="16"/>
        <w:szCs w:val="16"/>
      </w:rPr>
      <w:t>da, V6E 3Z3</w:t>
    </w:r>
    <w:r>
      <w:rPr>
        <w:sz w:val="16"/>
        <w:szCs w:val="16"/>
      </w:rPr>
      <w:br/>
      <w:t xml:space="preserve">Tel:  604.685-6375 Fax. 604 909-1163 </w:t>
    </w:r>
    <w:r w:rsidRPr="00464DCB">
      <w:rPr>
        <w:sz w:val="16"/>
        <w:szCs w:val="16"/>
      </w:rPr>
      <w:t xml:space="preserve">Email:  </w:t>
    </w:r>
    <w:hyperlink r:id="rId1" w:history="1">
      <w:r w:rsidRPr="00464DCB">
        <w:rPr>
          <w:rStyle w:val="Hyperlink"/>
          <w:sz w:val="16"/>
          <w:szCs w:val="16"/>
        </w:rPr>
        <w:t>info@evolvinggold.com</w:t>
      </w:r>
    </w:hyperlink>
    <w:r w:rsidRPr="00464DCB">
      <w:rPr>
        <w:sz w:val="16"/>
        <w:szCs w:val="16"/>
      </w:rPr>
      <w:t xml:space="preserve">  Web: </w:t>
    </w:r>
    <w:hyperlink r:id="rId2" w:history="1">
      <w:r w:rsidRPr="00464DCB">
        <w:rPr>
          <w:rStyle w:val="Hyperlink"/>
          <w:sz w:val="16"/>
          <w:szCs w:val="16"/>
        </w:rPr>
        <w:t>www.evolvinggold.com</w:t>
      </w:r>
    </w:hyperlink>
    <w:r w:rsidRPr="00464DCB">
      <w:rPr>
        <w:sz w:val="16"/>
        <w:szCs w:val="16"/>
      </w:rPr>
      <w:br/>
      <w:t>TSX: EVG FSE: EV7</w:t>
    </w:r>
  </w:p>
  <w:p w:rsidR="006E4D64" w:rsidRPr="00464DCB" w:rsidRDefault="006E4D64" w:rsidP="006E4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64" w:rsidRPr="00464DCB" w:rsidRDefault="006E4D64" w:rsidP="006E4D64">
    <w:pPr>
      <w:pStyle w:val="BodyText"/>
      <w:jc w:val="center"/>
      <w:rPr>
        <w:sz w:val="16"/>
        <w:szCs w:val="16"/>
      </w:rPr>
    </w:pPr>
    <w:r w:rsidRPr="00464DCB">
      <w:rPr>
        <w:sz w:val="16"/>
        <w:szCs w:val="16"/>
      </w:rPr>
      <w:t>Suite 605 – 1166 Alberni Street, Vancouver, BC, Canada, V6E 3Z3</w:t>
    </w:r>
    <w:r>
      <w:rPr>
        <w:sz w:val="16"/>
        <w:szCs w:val="16"/>
      </w:rPr>
      <w:t xml:space="preserve"> </w:t>
    </w:r>
    <w:r>
      <w:rPr>
        <w:sz w:val="16"/>
        <w:szCs w:val="16"/>
      </w:rPr>
      <w:br/>
      <w:t xml:space="preserve">Tel:  604.685-6375 </w:t>
    </w:r>
    <w:r w:rsidRPr="00464DCB">
      <w:rPr>
        <w:sz w:val="16"/>
        <w:szCs w:val="16"/>
      </w:rPr>
      <w:t xml:space="preserve">Fax. 604 909-1163  Email:  </w:t>
    </w:r>
    <w:hyperlink r:id="rId1" w:history="1">
      <w:r w:rsidRPr="00464DCB">
        <w:rPr>
          <w:rStyle w:val="Hyperlink"/>
          <w:sz w:val="16"/>
          <w:szCs w:val="16"/>
        </w:rPr>
        <w:t>info@evolvinggold.com</w:t>
      </w:r>
    </w:hyperlink>
    <w:r w:rsidRPr="00464DCB">
      <w:rPr>
        <w:sz w:val="16"/>
        <w:szCs w:val="16"/>
      </w:rPr>
      <w:t xml:space="preserve">  Web: </w:t>
    </w:r>
    <w:hyperlink r:id="rId2" w:history="1">
      <w:r w:rsidRPr="00464DCB">
        <w:rPr>
          <w:rStyle w:val="Hyperlink"/>
          <w:sz w:val="16"/>
          <w:szCs w:val="16"/>
        </w:rPr>
        <w:t>www.evolvinggold.com</w:t>
      </w:r>
    </w:hyperlink>
    <w:r w:rsidRPr="00464DCB">
      <w:rPr>
        <w:sz w:val="16"/>
        <w:szCs w:val="16"/>
      </w:rPr>
      <w:br/>
      <w:t>TSX: EVG FSE: EV7</w:t>
    </w:r>
  </w:p>
  <w:p w:rsidR="006E4D64" w:rsidRPr="00464DCB" w:rsidRDefault="006E4D64" w:rsidP="006E4D64">
    <w:pPr>
      <w:pStyle w:val="BodyTex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
        <w:separator/>
      </w:r>
    </w:p>
  </w:footnote>
  <w:footnote w:type="continuationSeparator" w:id="0">
    <w:p w:rsidR="00FB6004" w:rsidRDefault="00FB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64" w:rsidRDefault="006E4D64" w:rsidP="006E4D64">
    <w:pPr>
      <w:pStyle w:val="Header"/>
      <w:jc w:val="center"/>
    </w:pPr>
    <w:r>
      <w:rPr>
        <w:snapToGrid w:val="0"/>
      </w:rPr>
      <w:t xml:space="preserve">- </w:t>
    </w:r>
    <w:r w:rsidR="00F6176E">
      <w:rPr>
        <w:snapToGrid w:val="0"/>
      </w:rPr>
      <w:fldChar w:fldCharType="begin"/>
    </w:r>
    <w:r>
      <w:rPr>
        <w:snapToGrid w:val="0"/>
      </w:rPr>
      <w:instrText xml:space="preserve"> PAGE </w:instrText>
    </w:r>
    <w:r w:rsidR="00F6176E">
      <w:rPr>
        <w:snapToGrid w:val="0"/>
      </w:rPr>
      <w:fldChar w:fldCharType="separate"/>
    </w:r>
    <w:r w:rsidR="008177DC">
      <w:rPr>
        <w:noProof/>
        <w:snapToGrid w:val="0"/>
      </w:rPr>
      <w:t>4</w:t>
    </w:r>
    <w:r w:rsidR="00F6176E">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417"/>
    <w:multiLevelType w:val="hybridMultilevel"/>
    <w:tmpl w:val="0FE0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1933"/>
    <w:multiLevelType w:val="hybridMultilevel"/>
    <w:tmpl w:val="C616D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E07FD5"/>
    <w:multiLevelType w:val="hybridMultilevel"/>
    <w:tmpl w:val="D8A6D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505EE"/>
    <w:multiLevelType w:val="hybridMultilevel"/>
    <w:tmpl w:val="5B46E9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25254B8"/>
    <w:multiLevelType w:val="hybridMultilevel"/>
    <w:tmpl w:val="B9020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8643A"/>
    <w:multiLevelType w:val="hybridMultilevel"/>
    <w:tmpl w:val="85769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E584B"/>
    <w:multiLevelType w:val="hybridMultilevel"/>
    <w:tmpl w:val="E51890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3CE1239"/>
    <w:multiLevelType w:val="hybridMultilevel"/>
    <w:tmpl w:val="95986986"/>
    <w:lvl w:ilvl="0" w:tplc="0C4AEBBE">
      <w:start w:val="1"/>
      <w:numFmt w:val="decimal"/>
      <w:lvlText w:val="%1."/>
      <w:lvlJc w:val="left"/>
      <w:pPr>
        <w:ind w:left="435" w:hanging="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13182A"/>
    <w:multiLevelType w:val="hybridMultilevel"/>
    <w:tmpl w:val="73F03F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246516"/>
    <w:multiLevelType w:val="hybridMultilevel"/>
    <w:tmpl w:val="ED2C6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A74269"/>
    <w:multiLevelType w:val="hybridMultilevel"/>
    <w:tmpl w:val="EC8C7B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6C04375"/>
    <w:multiLevelType w:val="hybridMultilevel"/>
    <w:tmpl w:val="0F9E64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2C1F4A"/>
    <w:multiLevelType w:val="hybridMultilevel"/>
    <w:tmpl w:val="0FF8D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835B81"/>
    <w:multiLevelType w:val="hybridMultilevel"/>
    <w:tmpl w:val="80B65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9E7C4D"/>
    <w:multiLevelType w:val="hybridMultilevel"/>
    <w:tmpl w:val="B0B25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C80655"/>
    <w:multiLevelType w:val="hybridMultilevel"/>
    <w:tmpl w:val="6308A75A"/>
    <w:lvl w:ilvl="0" w:tplc="51D82CF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30733BD"/>
    <w:multiLevelType w:val="hybridMultilevel"/>
    <w:tmpl w:val="5A643A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C0B1271"/>
    <w:multiLevelType w:val="hybridMultilevel"/>
    <w:tmpl w:val="ED6CF7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6B09CC"/>
    <w:multiLevelType w:val="hybridMultilevel"/>
    <w:tmpl w:val="11485A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7"/>
  </w:num>
  <w:num w:numId="3">
    <w:abstractNumId w:val="17"/>
  </w:num>
  <w:num w:numId="4">
    <w:abstractNumId w:val="11"/>
  </w:num>
  <w:num w:numId="5">
    <w:abstractNumId w:val="18"/>
  </w:num>
  <w:num w:numId="6">
    <w:abstractNumId w:val="14"/>
  </w:num>
  <w:num w:numId="7">
    <w:abstractNumId w:val="15"/>
  </w:num>
  <w:num w:numId="8">
    <w:abstractNumId w:val="8"/>
  </w:num>
  <w:num w:numId="9">
    <w:abstractNumId w:val="16"/>
  </w:num>
  <w:num w:numId="10">
    <w:abstractNumId w:val="6"/>
  </w:num>
  <w:num w:numId="11">
    <w:abstractNumId w:val="3"/>
  </w:num>
  <w:num w:numId="12">
    <w:abstractNumId w:val="10"/>
  </w:num>
  <w:num w:numId="13">
    <w:abstractNumId w:val="5"/>
  </w:num>
  <w:num w:numId="14">
    <w:abstractNumId w:val="4"/>
  </w:num>
  <w:num w:numId="15">
    <w:abstractNumId w:val="12"/>
  </w:num>
  <w:num w:numId="16">
    <w:abstractNumId w:val="13"/>
  </w:num>
  <w:num w:numId="17">
    <w:abstractNumId w:val="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09"/>
    <w:rsid w:val="00007887"/>
    <w:rsid w:val="00030214"/>
    <w:rsid w:val="0004511E"/>
    <w:rsid w:val="00063FF4"/>
    <w:rsid w:val="00072480"/>
    <w:rsid w:val="00085130"/>
    <w:rsid w:val="00086A93"/>
    <w:rsid w:val="0009440A"/>
    <w:rsid w:val="000975A6"/>
    <w:rsid w:val="000A44CF"/>
    <w:rsid w:val="000A7263"/>
    <w:rsid w:val="000B5133"/>
    <w:rsid w:val="000D6101"/>
    <w:rsid w:val="000D7B65"/>
    <w:rsid w:val="000F2459"/>
    <w:rsid w:val="00107BAD"/>
    <w:rsid w:val="00116EC4"/>
    <w:rsid w:val="00131C77"/>
    <w:rsid w:val="00135F29"/>
    <w:rsid w:val="00177037"/>
    <w:rsid w:val="00194405"/>
    <w:rsid w:val="001A3207"/>
    <w:rsid w:val="001A349F"/>
    <w:rsid w:val="001A3FD0"/>
    <w:rsid w:val="001C1269"/>
    <w:rsid w:val="00220854"/>
    <w:rsid w:val="00224AAF"/>
    <w:rsid w:val="00255F19"/>
    <w:rsid w:val="00270506"/>
    <w:rsid w:val="002759B4"/>
    <w:rsid w:val="00275E7F"/>
    <w:rsid w:val="002953F0"/>
    <w:rsid w:val="002A2DB1"/>
    <w:rsid w:val="002A582B"/>
    <w:rsid w:val="002B0F5E"/>
    <w:rsid w:val="002B6DD8"/>
    <w:rsid w:val="002D7929"/>
    <w:rsid w:val="002E6AEF"/>
    <w:rsid w:val="00300C26"/>
    <w:rsid w:val="00302BC0"/>
    <w:rsid w:val="0030379C"/>
    <w:rsid w:val="003173B6"/>
    <w:rsid w:val="003311A4"/>
    <w:rsid w:val="003726BC"/>
    <w:rsid w:val="003825CB"/>
    <w:rsid w:val="00387723"/>
    <w:rsid w:val="0039395B"/>
    <w:rsid w:val="003F7291"/>
    <w:rsid w:val="00402881"/>
    <w:rsid w:val="0040476C"/>
    <w:rsid w:val="00443E16"/>
    <w:rsid w:val="00447932"/>
    <w:rsid w:val="004608A8"/>
    <w:rsid w:val="004A124A"/>
    <w:rsid w:val="004A539D"/>
    <w:rsid w:val="004A61FC"/>
    <w:rsid w:val="004B5EEE"/>
    <w:rsid w:val="004C26B7"/>
    <w:rsid w:val="004C63A9"/>
    <w:rsid w:val="004E3D00"/>
    <w:rsid w:val="004F0598"/>
    <w:rsid w:val="0052027C"/>
    <w:rsid w:val="00540219"/>
    <w:rsid w:val="0056539C"/>
    <w:rsid w:val="00566B9A"/>
    <w:rsid w:val="00572978"/>
    <w:rsid w:val="00587A1D"/>
    <w:rsid w:val="005E00D9"/>
    <w:rsid w:val="005E0F56"/>
    <w:rsid w:val="005E1D56"/>
    <w:rsid w:val="005F6ED6"/>
    <w:rsid w:val="00625065"/>
    <w:rsid w:val="00634DBB"/>
    <w:rsid w:val="006448D7"/>
    <w:rsid w:val="00665960"/>
    <w:rsid w:val="006735A1"/>
    <w:rsid w:val="00693E0F"/>
    <w:rsid w:val="006B253E"/>
    <w:rsid w:val="006C0AA9"/>
    <w:rsid w:val="006C2197"/>
    <w:rsid w:val="006D4838"/>
    <w:rsid w:val="006E4D64"/>
    <w:rsid w:val="006E7762"/>
    <w:rsid w:val="006F06DB"/>
    <w:rsid w:val="00732F69"/>
    <w:rsid w:val="007352B8"/>
    <w:rsid w:val="00736F36"/>
    <w:rsid w:val="00771C62"/>
    <w:rsid w:val="007738E1"/>
    <w:rsid w:val="007B37D7"/>
    <w:rsid w:val="007D37A8"/>
    <w:rsid w:val="007D4963"/>
    <w:rsid w:val="007E1118"/>
    <w:rsid w:val="007E44E5"/>
    <w:rsid w:val="007E4D9C"/>
    <w:rsid w:val="008177DC"/>
    <w:rsid w:val="008370B8"/>
    <w:rsid w:val="00876523"/>
    <w:rsid w:val="008775DE"/>
    <w:rsid w:val="00880E5B"/>
    <w:rsid w:val="00892D48"/>
    <w:rsid w:val="008B0F02"/>
    <w:rsid w:val="008B5B54"/>
    <w:rsid w:val="008D5767"/>
    <w:rsid w:val="008E5E01"/>
    <w:rsid w:val="008F1DFA"/>
    <w:rsid w:val="008F4ECC"/>
    <w:rsid w:val="009110ED"/>
    <w:rsid w:val="009125F9"/>
    <w:rsid w:val="00932875"/>
    <w:rsid w:val="009459EC"/>
    <w:rsid w:val="0095356F"/>
    <w:rsid w:val="00987ECD"/>
    <w:rsid w:val="00993493"/>
    <w:rsid w:val="00996989"/>
    <w:rsid w:val="009F51C7"/>
    <w:rsid w:val="00A01835"/>
    <w:rsid w:val="00A20C03"/>
    <w:rsid w:val="00A26DE3"/>
    <w:rsid w:val="00A3120A"/>
    <w:rsid w:val="00A412FE"/>
    <w:rsid w:val="00A6653D"/>
    <w:rsid w:val="00A76767"/>
    <w:rsid w:val="00A92514"/>
    <w:rsid w:val="00AA09E2"/>
    <w:rsid w:val="00B041CE"/>
    <w:rsid w:val="00B079D3"/>
    <w:rsid w:val="00B10C67"/>
    <w:rsid w:val="00B32EAC"/>
    <w:rsid w:val="00B50A86"/>
    <w:rsid w:val="00B51609"/>
    <w:rsid w:val="00B7193F"/>
    <w:rsid w:val="00B77BE0"/>
    <w:rsid w:val="00B96212"/>
    <w:rsid w:val="00BA7483"/>
    <w:rsid w:val="00BB3A33"/>
    <w:rsid w:val="00BC1662"/>
    <w:rsid w:val="00BE031C"/>
    <w:rsid w:val="00BE6165"/>
    <w:rsid w:val="00C040AC"/>
    <w:rsid w:val="00C16E9E"/>
    <w:rsid w:val="00C36AE1"/>
    <w:rsid w:val="00C3743F"/>
    <w:rsid w:val="00C42A13"/>
    <w:rsid w:val="00C4636A"/>
    <w:rsid w:val="00C66ED8"/>
    <w:rsid w:val="00C90B54"/>
    <w:rsid w:val="00CA0B99"/>
    <w:rsid w:val="00CA184C"/>
    <w:rsid w:val="00CA6E72"/>
    <w:rsid w:val="00CA70A3"/>
    <w:rsid w:val="00CB116E"/>
    <w:rsid w:val="00CB71C1"/>
    <w:rsid w:val="00CD0348"/>
    <w:rsid w:val="00CE798A"/>
    <w:rsid w:val="00D14562"/>
    <w:rsid w:val="00D16A25"/>
    <w:rsid w:val="00D41596"/>
    <w:rsid w:val="00D43C6E"/>
    <w:rsid w:val="00D44301"/>
    <w:rsid w:val="00D465E6"/>
    <w:rsid w:val="00D56C2B"/>
    <w:rsid w:val="00D72759"/>
    <w:rsid w:val="00D82988"/>
    <w:rsid w:val="00D861F5"/>
    <w:rsid w:val="00DA4E7D"/>
    <w:rsid w:val="00DC0379"/>
    <w:rsid w:val="00DD3D94"/>
    <w:rsid w:val="00DD5203"/>
    <w:rsid w:val="00DF692E"/>
    <w:rsid w:val="00E010B8"/>
    <w:rsid w:val="00E21FBF"/>
    <w:rsid w:val="00E24830"/>
    <w:rsid w:val="00E41A76"/>
    <w:rsid w:val="00E61C6D"/>
    <w:rsid w:val="00E71B04"/>
    <w:rsid w:val="00E8190A"/>
    <w:rsid w:val="00E97BC8"/>
    <w:rsid w:val="00EA6E77"/>
    <w:rsid w:val="00EB4418"/>
    <w:rsid w:val="00EC0012"/>
    <w:rsid w:val="00EC76E9"/>
    <w:rsid w:val="00ED128B"/>
    <w:rsid w:val="00ED282F"/>
    <w:rsid w:val="00EF4B9D"/>
    <w:rsid w:val="00F042F3"/>
    <w:rsid w:val="00F12983"/>
    <w:rsid w:val="00F12E89"/>
    <w:rsid w:val="00F3109E"/>
    <w:rsid w:val="00F56983"/>
    <w:rsid w:val="00F6176E"/>
    <w:rsid w:val="00F70699"/>
    <w:rsid w:val="00F83CB3"/>
    <w:rsid w:val="00FB5BBE"/>
    <w:rsid w:val="00FB6004"/>
    <w:rsid w:val="00FB6F78"/>
    <w:rsid w:val="00FB74BF"/>
    <w:rsid w:val="00FC30C5"/>
    <w:rsid w:val="00FE32C1"/>
    <w:rsid w:val="00FE6DC2"/>
    <w:rsid w:val="00FF2D0C"/>
    <w:rsid w:val="00FF4DD0"/>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4902D-B0A5-4517-8F28-C8D772E6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1609"/>
    <w:pPr>
      <w:spacing w:before="240"/>
    </w:pPr>
    <w:rPr>
      <w:sz w:val="22"/>
    </w:rPr>
  </w:style>
  <w:style w:type="character" w:customStyle="1" w:styleId="BodyTextChar">
    <w:name w:val="Body Text Char"/>
    <w:basedOn w:val="DefaultParagraphFont"/>
    <w:link w:val="BodyText"/>
    <w:rsid w:val="00B51609"/>
    <w:rPr>
      <w:rFonts w:ascii="Times New Roman" w:eastAsia="Times New Roman" w:hAnsi="Times New Roman" w:cs="Times New Roman"/>
      <w:szCs w:val="20"/>
    </w:rPr>
  </w:style>
  <w:style w:type="paragraph" w:styleId="Footer">
    <w:name w:val="footer"/>
    <w:basedOn w:val="Normal"/>
    <w:link w:val="FooterChar"/>
    <w:rsid w:val="00B51609"/>
    <w:pPr>
      <w:tabs>
        <w:tab w:val="center" w:pos="4680"/>
        <w:tab w:val="right" w:pos="9360"/>
      </w:tabs>
    </w:pPr>
    <w:rPr>
      <w:sz w:val="16"/>
    </w:rPr>
  </w:style>
  <w:style w:type="character" w:customStyle="1" w:styleId="FooterChar">
    <w:name w:val="Footer Char"/>
    <w:basedOn w:val="DefaultParagraphFont"/>
    <w:link w:val="Footer"/>
    <w:rsid w:val="00B51609"/>
    <w:rPr>
      <w:rFonts w:ascii="Times New Roman" w:eastAsia="Times New Roman" w:hAnsi="Times New Roman" w:cs="Times New Roman"/>
      <w:sz w:val="16"/>
      <w:szCs w:val="20"/>
    </w:rPr>
  </w:style>
  <w:style w:type="paragraph" w:styleId="Header">
    <w:name w:val="header"/>
    <w:basedOn w:val="Normal"/>
    <w:link w:val="HeaderChar"/>
    <w:rsid w:val="00B51609"/>
    <w:pPr>
      <w:tabs>
        <w:tab w:val="center" w:pos="4680"/>
        <w:tab w:val="right" w:pos="9360"/>
      </w:tabs>
    </w:pPr>
  </w:style>
  <w:style w:type="character" w:customStyle="1" w:styleId="HeaderChar">
    <w:name w:val="Header Char"/>
    <w:basedOn w:val="DefaultParagraphFont"/>
    <w:link w:val="Header"/>
    <w:rsid w:val="00B51609"/>
    <w:rPr>
      <w:rFonts w:ascii="Times New Roman" w:eastAsia="Times New Roman" w:hAnsi="Times New Roman" w:cs="Times New Roman"/>
      <w:sz w:val="24"/>
      <w:szCs w:val="20"/>
    </w:rPr>
  </w:style>
  <w:style w:type="character" w:styleId="Hyperlink">
    <w:name w:val="Hyperlink"/>
    <w:rsid w:val="00B51609"/>
    <w:rPr>
      <w:color w:val="0000FF"/>
      <w:u w:val="single"/>
    </w:rPr>
  </w:style>
  <w:style w:type="character" w:styleId="Strong">
    <w:name w:val="Strong"/>
    <w:qFormat/>
    <w:rsid w:val="00B51609"/>
    <w:rPr>
      <w:rFonts w:cs="Times New Roman"/>
      <w:b/>
      <w:bCs/>
    </w:rPr>
  </w:style>
  <w:style w:type="character" w:styleId="Emphasis">
    <w:name w:val="Emphasis"/>
    <w:uiPriority w:val="20"/>
    <w:qFormat/>
    <w:rsid w:val="00B51609"/>
    <w:rPr>
      <w:rFonts w:cs="Times New Roman"/>
      <w:i/>
      <w:iCs/>
    </w:rPr>
  </w:style>
  <w:style w:type="paragraph" w:styleId="NormalWeb">
    <w:name w:val="Normal (Web)"/>
    <w:basedOn w:val="Normal"/>
    <w:uiPriority w:val="99"/>
    <w:rsid w:val="00B51609"/>
    <w:pPr>
      <w:spacing w:before="100" w:beforeAutospacing="1" w:after="100" w:afterAutospacing="1"/>
    </w:pPr>
    <w:rPr>
      <w:color w:val="000000"/>
      <w:szCs w:val="24"/>
      <w:lang w:eastAsia="en-CA"/>
    </w:rPr>
  </w:style>
  <w:style w:type="character" w:customStyle="1" w:styleId="EasyID">
    <w:name w:val="EasyID"/>
    <w:basedOn w:val="DefaultParagraphFont"/>
    <w:rsid w:val="00B51609"/>
    <w:rPr>
      <w:rFonts w:ascii="Arial" w:hAnsi="Arial" w:cs="Arial"/>
      <w:b w:val="0"/>
      <w:bCs w:val="0"/>
      <w:sz w:val="14"/>
      <w:lang w:val="en-US" w:eastAsia="en-US" w:bidi="ar-SA"/>
    </w:rPr>
  </w:style>
  <w:style w:type="table" w:styleId="TableGrid">
    <w:name w:val="Table Grid"/>
    <w:basedOn w:val="TableNormal"/>
    <w:uiPriority w:val="59"/>
    <w:rsid w:val="0095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511E"/>
    <w:rPr>
      <w:sz w:val="16"/>
      <w:szCs w:val="16"/>
    </w:rPr>
  </w:style>
  <w:style w:type="paragraph" w:styleId="CommentText">
    <w:name w:val="annotation text"/>
    <w:basedOn w:val="Normal"/>
    <w:link w:val="CommentTextChar"/>
    <w:uiPriority w:val="99"/>
    <w:semiHidden/>
    <w:unhideWhenUsed/>
    <w:rsid w:val="0004511E"/>
    <w:rPr>
      <w:sz w:val="20"/>
    </w:rPr>
  </w:style>
  <w:style w:type="character" w:customStyle="1" w:styleId="CommentTextChar">
    <w:name w:val="Comment Text Char"/>
    <w:basedOn w:val="DefaultParagraphFont"/>
    <w:link w:val="CommentText"/>
    <w:uiPriority w:val="99"/>
    <w:semiHidden/>
    <w:rsid w:val="000451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11E"/>
    <w:rPr>
      <w:b/>
      <w:bCs/>
    </w:rPr>
  </w:style>
  <w:style w:type="character" w:customStyle="1" w:styleId="CommentSubjectChar">
    <w:name w:val="Comment Subject Char"/>
    <w:basedOn w:val="CommentTextChar"/>
    <w:link w:val="CommentSubject"/>
    <w:uiPriority w:val="99"/>
    <w:semiHidden/>
    <w:rsid w:val="000451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5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11E"/>
    <w:rPr>
      <w:rFonts w:ascii="Segoe UI" w:eastAsia="Times New Roman" w:hAnsi="Segoe UI" w:cs="Segoe UI"/>
      <w:sz w:val="18"/>
      <w:szCs w:val="18"/>
    </w:rPr>
  </w:style>
  <w:style w:type="character" w:customStyle="1" w:styleId="Mention1">
    <w:name w:val="Mention1"/>
    <w:basedOn w:val="DefaultParagraphFont"/>
    <w:uiPriority w:val="99"/>
    <w:semiHidden/>
    <w:unhideWhenUsed/>
    <w:rsid w:val="004C63A9"/>
    <w:rPr>
      <w:color w:val="2B579A"/>
      <w:shd w:val="clear" w:color="auto" w:fill="E6E6E6"/>
    </w:rPr>
  </w:style>
  <w:style w:type="paragraph" w:styleId="ListParagraph">
    <w:name w:val="List Paragraph"/>
    <w:basedOn w:val="Normal"/>
    <w:uiPriority w:val="34"/>
    <w:qFormat/>
    <w:rsid w:val="000D7B65"/>
    <w:pPr>
      <w:ind w:left="720"/>
      <w:contextualSpacing/>
    </w:pPr>
  </w:style>
  <w:style w:type="character" w:customStyle="1" w:styleId="UnresolvedMention1">
    <w:name w:val="Unresolved Mention1"/>
    <w:basedOn w:val="DefaultParagraphFont"/>
    <w:uiPriority w:val="99"/>
    <w:semiHidden/>
    <w:unhideWhenUsed/>
    <w:rsid w:val="000D7B65"/>
    <w:rPr>
      <w:color w:val="808080"/>
      <w:shd w:val="clear" w:color="auto" w:fill="E6E6E6"/>
    </w:rPr>
  </w:style>
  <w:style w:type="character" w:customStyle="1" w:styleId="UnresolvedMention2">
    <w:name w:val="Unresolved Mention2"/>
    <w:basedOn w:val="DefaultParagraphFont"/>
    <w:uiPriority w:val="99"/>
    <w:semiHidden/>
    <w:unhideWhenUsed/>
    <w:rsid w:val="00B32EAC"/>
    <w:rPr>
      <w:color w:val="808080"/>
      <w:shd w:val="clear" w:color="auto" w:fill="E6E6E6"/>
    </w:rPr>
  </w:style>
  <w:style w:type="paragraph" w:styleId="Revision">
    <w:name w:val="Revision"/>
    <w:hidden/>
    <w:uiPriority w:val="99"/>
    <w:semiHidden/>
    <w:rsid w:val="00A92514"/>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E4D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olvinggold.com/images/toro-quebec_lg.jp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volvinggold.com/images/Figure-B-2.jpg" TargetMode="External"/><Relationship Id="rId4" Type="http://schemas.openxmlformats.org/officeDocument/2006/relationships/settings" Target="settings.xml"/><Relationship Id="rId9" Type="http://schemas.openxmlformats.org/officeDocument/2006/relationships/hyperlink" Target="https://evolvinggold.com/images/Figure-A-4.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volvinggold.com" TargetMode="External"/><Relationship Id="rId1" Type="http://schemas.openxmlformats.org/officeDocument/2006/relationships/hyperlink" Target="mailto:info@evolvinggold.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volvinggold.com" TargetMode="External"/><Relationship Id="rId1" Type="http://schemas.openxmlformats.org/officeDocument/2006/relationships/hyperlink" Target="mailto:info@evolvinggo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0CEA-1660-42C0-B6D9-D4FF2DB7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Lauzier</dc:creator>
  <cp:lastModifiedBy>Charles Jenkins</cp:lastModifiedBy>
  <cp:revision>2</cp:revision>
  <cp:lastPrinted>2017-06-27T17:56:00Z</cp:lastPrinted>
  <dcterms:created xsi:type="dcterms:W3CDTF">2017-07-05T16:08:00Z</dcterms:created>
  <dcterms:modified xsi:type="dcterms:W3CDTF">2017-07-05T16:08:00Z</dcterms:modified>
</cp:coreProperties>
</file>