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609" w:rsidRPr="00152FB2" w:rsidRDefault="00B51609" w:rsidP="00B51609">
      <w:pPr>
        <w:pStyle w:val="NormalWeb"/>
        <w:jc w:val="center"/>
        <w:rPr>
          <w:rFonts w:ascii="Times-Bold" w:hAnsi="Times-Bold"/>
          <w:b/>
          <w:bCs/>
          <w:color w:val="auto"/>
        </w:rPr>
      </w:pPr>
      <w:bookmarkStart w:id="0" w:name="_GoBack"/>
      <w:bookmarkEnd w:id="0"/>
      <w:r w:rsidRPr="00152FB2">
        <w:rPr>
          <w:rFonts w:ascii="Times-Bold" w:hAnsi="Times-Bold"/>
          <w:b/>
          <w:bCs/>
          <w:noProof/>
        </w:rPr>
        <w:drawing>
          <wp:anchor distT="0" distB="0" distL="114300" distR="114300" simplePos="0" relativeHeight="251659264" behindDoc="0" locked="0" layoutInCell="1" allowOverlap="1">
            <wp:simplePos x="0" y="0"/>
            <wp:positionH relativeFrom="column">
              <wp:posOffset>280035</wp:posOffset>
            </wp:positionH>
            <wp:positionV relativeFrom="paragraph">
              <wp:posOffset>-111760</wp:posOffset>
            </wp:positionV>
            <wp:extent cx="43434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9525" r="1895"/>
                    <a:stretch>
                      <a:fillRect/>
                    </a:stretch>
                  </pic:blipFill>
                  <pic:spPr bwMode="auto">
                    <a:xfrm>
                      <a:off x="0" y="0"/>
                      <a:ext cx="4343400" cy="1225550"/>
                    </a:xfrm>
                    <a:prstGeom prst="rect">
                      <a:avLst/>
                    </a:prstGeom>
                    <a:noFill/>
                  </pic:spPr>
                </pic:pic>
              </a:graphicData>
            </a:graphic>
          </wp:anchor>
        </w:drawing>
      </w:r>
    </w:p>
    <w:p w:rsidR="00B51609" w:rsidRPr="00152FB2" w:rsidRDefault="00B51609" w:rsidP="00B51609">
      <w:pPr>
        <w:pStyle w:val="NormalWeb"/>
        <w:rPr>
          <w:rFonts w:ascii="Times-Bold" w:hAnsi="Times-Bold"/>
          <w:b/>
          <w:bCs/>
          <w:color w:val="auto"/>
        </w:rPr>
      </w:pPr>
    </w:p>
    <w:p w:rsidR="00B51609" w:rsidRPr="00152FB2" w:rsidRDefault="00B51609" w:rsidP="00B51609">
      <w:pPr>
        <w:pStyle w:val="NormalWeb"/>
        <w:jc w:val="center"/>
        <w:rPr>
          <w:rFonts w:ascii="Times-Bold" w:hAnsi="Times-Bold"/>
          <w:b/>
          <w:bCs/>
          <w:color w:val="auto"/>
        </w:rPr>
      </w:pPr>
    </w:p>
    <w:p w:rsidR="00B51609" w:rsidRPr="00152FB2" w:rsidRDefault="00B51609" w:rsidP="00B51609">
      <w:pPr>
        <w:pStyle w:val="NormalWeb"/>
        <w:jc w:val="center"/>
        <w:rPr>
          <w:rFonts w:ascii="Times-Bold" w:hAnsi="Times-Bold"/>
          <w:b/>
          <w:bCs/>
          <w:color w:val="auto"/>
        </w:rPr>
      </w:pPr>
    </w:p>
    <w:p w:rsidR="00B51609" w:rsidRPr="00E41A76" w:rsidRDefault="00B51609" w:rsidP="00B51609">
      <w:pPr>
        <w:jc w:val="center"/>
        <w:rPr>
          <w:b/>
          <w:sz w:val="50"/>
          <w:szCs w:val="50"/>
        </w:rPr>
      </w:pPr>
      <w:r w:rsidRPr="00E41A76">
        <w:rPr>
          <w:b/>
          <w:sz w:val="50"/>
          <w:szCs w:val="50"/>
        </w:rPr>
        <w:t>Evolving Gold</w:t>
      </w:r>
      <w:r w:rsidR="005E00D9" w:rsidRPr="00E41A76">
        <w:rPr>
          <w:b/>
          <w:sz w:val="50"/>
          <w:szCs w:val="50"/>
        </w:rPr>
        <w:t xml:space="preserve"> </w:t>
      </w:r>
      <w:r w:rsidR="00EE29FC">
        <w:rPr>
          <w:b/>
          <w:sz w:val="50"/>
          <w:szCs w:val="50"/>
        </w:rPr>
        <w:t>Start</w:t>
      </w:r>
      <w:r w:rsidR="00857B6C">
        <w:rPr>
          <w:b/>
          <w:sz w:val="50"/>
          <w:szCs w:val="50"/>
        </w:rPr>
        <w:t>s</w:t>
      </w:r>
      <w:r w:rsidR="00A07F24">
        <w:rPr>
          <w:b/>
          <w:sz w:val="50"/>
          <w:szCs w:val="50"/>
        </w:rPr>
        <w:t xml:space="preserve"> </w:t>
      </w:r>
      <w:r w:rsidR="00EE29FC">
        <w:rPr>
          <w:b/>
          <w:sz w:val="50"/>
          <w:szCs w:val="50"/>
        </w:rPr>
        <w:t xml:space="preserve">Heliborne High-Resolution Magnetic and </w:t>
      </w:r>
      <w:r w:rsidR="00A07F24">
        <w:rPr>
          <w:b/>
          <w:sz w:val="50"/>
          <w:szCs w:val="50"/>
        </w:rPr>
        <w:t>TD</w:t>
      </w:r>
      <w:r w:rsidR="00E371E6">
        <w:rPr>
          <w:b/>
          <w:sz w:val="50"/>
          <w:szCs w:val="50"/>
        </w:rPr>
        <w:t xml:space="preserve">EM Survey on Toro Property </w:t>
      </w:r>
    </w:p>
    <w:p w:rsidR="00B51609" w:rsidRPr="00152FB2" w:rsidRDefault="00B51609" w:rsidP="00B51609">
      <w:pPr>
        <w:jc w:val="both"/>
        <w:rPr>
          <w:b/>
          <w:bCs/>
          <w:szCs w:val="24"/>
          <w:u w:val="single"/>
        </w:rPr>
      </w:pPr>
    </w:p>
    <w:p w:rsidR="00EE29FC" w:rsidRDefault="00EE29FC" w:rsidP="00EA6E77">
      <w:pPr>
        <w:jc w:val="both"/>
        <w:rPr>
          <w:bCs/>
          <w:szCs w:val="24"/>
        </w:rPr>
      </w:pPr>
      <w:r>
        <w:rPr>
          <w:b/>
          <w:bCs/>
          <w:szCs w:val="24"/>
        </w:rPr>
        <w:t>November</w:t>
      </w:r>
      <w:r w:rsidR="00E371E6">
        <w:rPr>
          <w:b/>
          <w:bCs/>
          <w:szCs w:val="24"/>
        </w:rPr>
        <w:t xml:space="preserve"> </w:t>
      </w:r>
      <w:r w:rsidR="00EC3DB6">
        <w:rPr>
          <w:b/>
          <w:bCs/>
          <w:szCs w:val="24"/>
        </w:rPr>
        <w:t>9</w:t>
      </w:r>
      <w:r w:rsidR="00B51609" w:rsidRPr="00810C24">
        <w:rPr>
          <w:b/>
          <w:bCs/>
          <w:szCs w:val="24"/>
          <w:vertAlign w:val="superscript"/>
        </w:rPr>
        <w:t>th</w:t>
      </w:r>
      <w:r w:rsidR="00FB74BF">
        <w:rPr>
          <w:b/>
          <w:bCs/>
          <w:szCs w:val="24"/>
        </w:rPr>
        <w:t>, 2017</w:t>
      </w:r>
      <w:r w:rsidR="00B51609" w:rsidRPr="00810C24">
        <w:rPr>
          <w:b/>
          <w:bCs/>
          <w:szCs w:val="24"/>
        </w:rPr>
        <w:t>, Vancouver, British Columbia: Evolving Gold Corp. (CSE: EVG) (FSE: EV7</w:t>
      </w:r>
      <w:r w:rsidR="00E371E6">
        <w:rPr>
          <w:b/>
          <w:bCs/>
          <w:szCs w:val="24"/>
        </w:rPr>
        <w:t>) (OTCB: EVOGF) (the “Company”)</w:t>
      </w:r>
      <w:r w:rsidR="00E371E6">
        <w:rPr>
          <w:bCs/>
          <w:szCs w:val="24"/>
        </w:rPr>
        <w:t xml:space="preserve"> is pleased to announce</w:t>
      </w:r>
      <w:r w:rsidR="00857B6C">
        <w:rPr>
          <w:bCs/>
          <w:szCs w:val="24"/>
        </w:rPr>
        <w:t xml:space="preserve"> that</w:t>
      </w:r>
      <w:r w:rsidR="00E371E6">
        <w:rPr>
          <w:bCs/>
          <w:szCs w:val="24"/>
        </w:rPr>
        <w:t xml:space="preserve"> it has </w:t>
      </w:r>
      <w:r>
        <w:rPr>
          <w:bCs/>
          <w:szCs w:val="24"/>
        </w:rPr>
        <w:t>selected Prospectair Geosurveys of Gatineau to perform a high-resolution magnetic and time-domain electromagnetic (“TDEM”) survey on part of its Toro Property.</w:t>
      </w:r>
      <w:r w:rsidR="00132757">
        <w:rPr>
          <w:bCs/>
          <w:szCs w:val="24"/>
        </w:rPr>
        <w:t xml:space="preserve">  The survey will cover the Pistol claim block, the Toro 7 ta</w:t>
      </w:r>
      <w:r w:rsidR="00857B6C">
        <w:rPr>
          <w:bCs/>
          <w:szCs w:val="24"/>
        </w:rPr>
        <w:t>rget, the Toro 14 target and</w:t>
      </w:r>
      <w:r w:rsidR="00132757">
        <w:rPr>
          <w:bCs/>
          <w:szCs w:val="24"/>
        </w:rPr>
        <w:t xml:space="preserve"> Tor</w:t>
      </w:r>
      <w:r w:rsidR="00857B6C">
        <w:rPr>
          <w:bCs/>
          <w:szCs w:val="24"/>
        </w:rPr>
        <w:t xml:space="preserve">o targets 18 to 24, </w:t>
      </w:r>
      <w:r w:rsidR="00B5479A">
        <w:rPr>
          <w:bCs/>
          <w:szCs w:val="24"/>
        </w:rPr>
        <w:t>with a line spacing of 100</w:t>
      </w:r>
      <w:r w:rsidR="00857B6C">
        <w:rPr>
          <w:bCs/>
          <w:szCs w:val="24"/>
        </w:rPr>
        <w:t xml:space="preserve"> </w:t>
      </w:r>
      <w:r w:rsidR="00B5479A">
        <w:rPr>
          <w:bCs/>
          <w:szCs w:val="24"/>
        </w:rPr>
        <w:t>m and control lines every 1,000</w:t>
      </w:r>
      <w:r w:rsidR="00857B6C">
        <w:rPr>
          <w:bCs/>
          <w:szCs w:val="24"/>
        </w:rPr>
        <w:t xml:space="preserve"> </w:t>
      </w:r>
      <w:r w:rsidR="00B5479A">
        <w:rPr>
          <w:bCs/>
          <w:szCs w:val="24"/>
        </w:rPr>
        <w:t>m for a total survey of 1,684 line-km</w:t>
      </w:r>
      <w:r w:rsidR="00857B6C">
        <w:rPr>
          <w:bCs/>
          <w:szCs w:val="24"/>
        </w:rPr>
        <w:t xml:space="preserve"> over an area of </w:t>
      </w:r>
      <w:r w:rsidR="00857B6C" w:rsidRPr="00857B6C">
        <w:rPr>
          <w:bCs/>
          <w:szCs w:val="24"/>
        </w:rPr>
        <w:t>151.57 sq km</w:t>
      </w:r>
      <w:r w:rsidR="00B5479A">
        <w:rPr>
          <w:bCs/>
          <w:szCs w:val="24"/>
        </w:rPr>
        <w:t>.</w:t>
      </w:r>
      <w:r w:rsidR="00857B6C">
        <w:rPr>
          <w:bCs/>
          <w:szCs w:val="24"/>
        </w:rPr>
        <w:t xml:space="preserve"> Weather permitting, the survey program is expected to begin this week</w:t>
      </w:r>
      <w:r w:rsidR="00B53A4D">
        <w:rPr>
          <w:bCs/>
          <w:szCs w:val="24"/>
        </w:rPr>
        <w:t xml:space="preserve"> and </w:t>
      </w:r>
      <w:r w:rsidR="007D6741">
        <w:rPr>
          <w:bCs/>
          <w:szCs w:val="24"/>
        </w:rPr>
        <w:t>will require</w:t>
      </w:r>
      <w:r w:rsidR="00B53A4D">
        <w:rPr>
          <w:bCs/>
          <w:szCs w:val="24"/>
        </w:rPr>
        <w:t xml:space="preserve"> 5 days</w:t>
      </w:r>
      <w:r w:rsidR="007D6741">
        <w:rPr>
          <w:bCs/>
          <w:szCs w:val="24"/>
        </w:rPr>
        <w:t xml:space="preserve"> of flying time.</w:t>
      </w:r>
    </w:p>
    <w:p w:rsidR="00132757" w:rsidRDefault="00132757" w:rsidP="00EA6E77">
      <w:pPr>
        <w:jc w:val="both"/>
        <w:rPr>
          <w:bCs/>
          <w:szCs w:val="24"/>
        </w:rPr>
      </w:pPr>
    </w:p>
    <w:p w:rsidR="007E3E6E" w:rsidRDefault="00857B6C" w:rsidP="007E3E6E">
      <w:pPr>
        <w:jc w:val="both"/>
        <w:rPr>
          <w:bCs/>
          <w:szCs w:val="24"/>
        </w:rPr>
      </w:pPr>
      <w:r>
        <w:rPr>
          <w:bCs/>
          <w:szCs w:val="24"/>
        </w:rPr>
        <w:t>Rush assay results</w:t>
      </w:r>
      <w:r w:rsidR="00EE29FC">
        <w:rPr>
          <w:bCs/>
          <w:szCs w:val="24"/>
        </w:rPr>
        <w:t xml:space="preserve"> (28 samples) from initial prospecting work in September</w:t>
      </w:r>
      <w:r>
        <w:rPr>
          <w:bCs/>
          <w:szCs w:val="24"/>
        </w:rPr>
        <w:t xml:space="preserve"> allowed the Company to assess</w:t>
      </w:r>
      <w:r w:rsidR="00EE29FC">
        <w:rPr>
          <w:bCs/>
          <w:szCs w:val="24"/>
        </w:rPr>
        <w:t xml:space="preserve"> mineralization and anomalous gold content in three distinct mineralization styles: as disseminated sulphides within a basalt unit, as semi-massive sulphide mineralization in basalt, and at the contact between a basalt and a paragneiss unit.  The</w:t>
      </w:r>
      <w:r>
        <w:rPr>
          <w:bCs/>
          <w:szCs w:val="24"/>
        </w:rPr>
        <w:t>se styles of mineralization were</w:t>
      </w:r>
      <w:r w:rsidR="00EE29FC">
        <w:rPr>
          <w:bCs/>
          <w:szCs w:val="24"/>
        </w:rPr>
        <w:t xml:space="preserve"> </w:t>
      </w:r>
      <w:r w:rsidR="00132757">
        <w:rPr>
          <w:bCs/>
          <w:szCs w:val="24"/>
        </w:rPr>
        <w:t xml:space="preserve">found at the Pistol discovery and on Toro target 23 and 24 </w:t>
      </w:r>
      <w:r w:rsidR="00EE29FC">
        <w:rPr>
          <w:bCs/>
          <w:szCs w:val="24"/>
        </w:rPr>
        <w:t>(see news release dated October 6</w:t>
      </w:r>
      <w:r w:rsidR="00EE29FC" w:rsidRPr="00EE29FC">
        <w:rPr>
          <w:bCs/>
          <w:szCs w:val="24"/>
          <w:vertAlign w:val="superscript"/>
        </w:rPr>
        <w:t>th</w:t>
      </w:r>
      <w:r w:rsidR="00EE29FC">
        <w:rPr>
          <w:bCs/>
          <w:szCs w:val="24"/>
        </w:rPr>
        <w:t>).</w:t>
      </w:r>
      <w:r w:rsidR="007E3E6E" w:rsidRPr="007E3E6E">
        <w:rPr>
          <w:bCs/>
          <w:szCs w:val="24"/>
        </w:rPr>
        <w:t xml:space="preserve"> </w:t>
      </w:r>
      <w:r>
        <w:rPr>
          <w:bCs/>
          <w:szCs w:val="24"/>
        </w:rPr>
        <w:t>The Company has not yet received the assay results for the remaining 152 samples collected during the September field work program</w:t>
      </w:r>
      <w:r w:rsidR="007E3E6E">
        <w:rPr>
          <w:bCs/>
          <w:szCs w:val="24"/>
        </w:rPr>
        <w:t xml:space="preserve">.  </w:t>
      </w:r>
    </w:p>
    <w:p w:rsidR="00EE29FC" w:rsidRDefault="00EE29FC" w:rsidP="00EE29FC">
      <w:pPr>
        <w:jc w:val="both"/>
        <w:rPr>
          <w:bCs/>
          <w:szCs w:val="24"/>
        </w:rPr>
      </w:pPr>
    </w:p>
    <w:p w:rsidR="00132757" w:rsidRDefault="00132757" w:rsidP="00132757">
      <w:pPr>
        <w:jc w:val="both"/>
        <w:rPr>
          <w:bCs/>
          <w:szCs w:val="24"/>
        </w:rPr>
      </w:pPr>
      <w:r>
        <w:rPr>
          <w:bCs/>
          <w:szCs w:val="24"/>
        </w:rPr>
        <w:t>The</w:t>
      </w:r>
      <w:r w:rsidR="00857B6C">
        <w:rPr>
          <w:bCs/>
          <w:szCs w:val="24"/>
        </w:rPr>
        <w:t xml:space="preserve"> TDEM</w:t>
      </w:r>
      <w:r>
        <w:rPr>
          <w:bCs/>
          <w:szCs w:val="24"/>
        </w:rPr>
        <w:t xml:space="preserve"> survey will provide the Company with a better understanding of both the regional and the local structural geology of the targets, and will help to determine potent</w:t>
      </w:r>
      <w:r w:rsidR="00857B6C">
        <w:rPr>
          <w:bCs/>
          <w:szCs w:val="24"/>
        </w:rPr>
        <w:t xml:space="preserve">ial bedrock sources for the gold in till samples (see July 5 press release) and the </w:t>
      </w:r>
      <w:r>
        <w:rPr>
          <w:bCs/>
          <w:szCs w:val="24"/>
        </w:rPr>
        <w:t>mineralized glacial float (see news releases dated September 14</w:t>
      </w:r>
      <w:r w:rsidRPr="00FC2003">
        <w:rPr>
          <w:bCs/>
          <w:szCs w:val="24"/>
          <w:vertAlign w:val="superscript"/>
        </w:rPr>
        <w:t>th</w:t>
      </w:r>
      <w:r>
        <w:rPr>
          <w:bCs/>
          <w:szCs w:val="24"/>
        </w:rPr>
        <w:t xml:space="preserve"> and 27</w:t>
      </w:r>
      <w:r w:rsidRPr="00FC2003">
        <w:rPr>
          <w:bCs/>
          <w:szCs w:val="24"/>
          <w:vertAlign w:val="superscript"/>
        </w:rPr>
        <w:t>th</w:t>
      </w:r>
      <w:r>
        <w:rPr>
          <w:bCs/>
          <w:szCs w:val="24"/>
        </w:rPr>
        <w:t>)</w:t>
      </w:r>
      <w:r w:rsidR="00857B6C">
        <w:rPr>
          <w:bCs/>
          <w:szCs w:val="24"/>
        </w:rPr>
        <w:t>, as well as identifying deeper</w:t>
      </w:r>
      <w:r w:rsidR="00B5479A">
        <w:rPr>
          <w:bCs/>
          <w:szCs w:val="24"/>
        </w:rPr>
        <w:t xml:space="preserve"> </w:t>
      </w:r>
      <w:r w:rsidR="00857B6C">
        <w:rPr>
          <w:bCs/>
          <w:szCs w:val="24"/>
        </w:rPr>
        <w:t>structural features that may be associated with</w:t>
      </w:r>
      <w:r w:rsidR="00B5479A">
        <w:rPr>
          <w:bCs/>
          <w:szCs w:val="24"/>
        </w:rPr>
        <w:t xml:space="preserve"> gold deposition</w:t>
      </w:r>
      <w:r>
        <w:rPr>
          <w:bCs/>
          <w:szCs w:val="24"/>
        </w:rPr>
        <w:t>.  Potential orogenic gold mineralization in interpreted fault systems and shear zones will be priority targets for further field exploration. The TDEM survey wi</w:t>
      </w:r>
      <w:r w:rsidR="00857B6C">
        <w:rPr>
          <w:bCs/>
          <w:szCs w:val="24"/>
        </w:rPr>
        <w:t>ll also identify conductors which may be associated with</w:t>
      </w:r>
      <w:r>
        <w:rPr>
          <w:bCs/>
          <w:szCs w:val="24"/>
        </w:rPr>
        <w:t xml:space="preserve"> sulphid</w:t>
      </w:r>
      <w:r w:rsidR="00857B6C">
        <w:rPr>
          <w:bCs/>
          <w:szCs w:val="24"/>
        </w:rPr>
        <w:t>e mineralization. As the early assay results already show that sulphide samples contain gold and base metals, the geophysical program should yield two distinct</w:t>
      </w:r>
      <w:r>
        <w:rPr>
          <w:bCs/>
          <w:szCs w:val="24"/>
        </w:rPr>
        <w:t xml:space="preserve"> </w:t>
      </w:r>
      <w:r w:rsidR="00857B6C">
        <w:rPr>
          <w:bCs/>
          <w:szCs w:val="24"/>
        </w:rPr>
        <w:t>categories</w:t>
      </w:r>
      <w:r>
        <w:rPr>
          <w:bCs/>
          <w:szCs w:val="24"/>
        </w:rPr>
        <w:t xml:space="preserve"> of exploration targets.</w:t>
      </w:r>
    </w:p>
    <w:p w:rsidR="00B5479A" w:rsidRDefault="00B5479A" w:rsidP="00B5479A">
      <w:pPr>
        <w:jc w:val="both"/>
        <w:rPr>
          <w:bCs/>
          <w:szCs w:val="24"/>
        </w:rPr>
      </w:pPr>
    </w:p>
    <w:p w:rsidR="00B5479A" w:rsidRDefault="00B5479A" w:rsidP="00B5479A">
      <w:pPr>
        <w:jc w:val="both"/>
        <w:rPr>
          <w:bCs/>
          <w:szCs w:val="24"/>
        </w:rPr>
      </w:pPr>
      <w:r>
        <w:rPr>
          <w:bCs/>
          <w:szCs w:val="24"/>
        </w:rPr>
        <w:t>Evolving Gold’s Chief Executive Officer, M</w:t>
      </w:r>
      <w:r w:rsidR="00857B6C">
        <w:rPr>
          <w:bCs/>
          <w:szCs w:val="24"/>
        </w:rPr>
        <w:t>r. R. Bruce Duncan stated, “These high-resolution magnetic</w:t>
      </w:r>
      <w:r>
        <w:rPr>
          <w:bCs/>
          <w:szCs w:val="24"/>
        </w:rPr>
        <w:t xml:space="preserve"> and electr</w:t>
      </w:r>
      <w:r w:rsidR="00857B6C">
        <w:rPr>
          <w:bCs/>
          <w:szCs w:val="24"/>
        </w:rPr>
        <w:t>omagnetic surveys will provide the Company with detailed geostructural</w:t>
      </w:r>
      <w:r>
        <w:rPr>
          <w:bCs/>
          <w:szCs w:val="24"/>
        </w:rPr>
        <w:t xml:space="preserve"> infor</w:t>
      </w:r>
      <w:r w:rsidR="00857B6C">
        <w:rPr>
          <w:bCs/>
          <w:szCs w:val="24"/>
        </w:rPr>
        <w:t>mation in an</w:t>
      </w:r>
      <w:r>
        <w:rPr>
          <w:bCs/>
          <w:szCs w:val="24"/>
        </w:rPr>
        <w:t xml:space="preserve"> area </w:t>
      </w:r>
      <w:r w:rsidR="00857B6C">
        <w:rPr>
          <w:bCs/>
          <w:szCs w:val="24"/>
        </w:rPr>
        <w:t xml:space="preserve">of Quebec </w:t>
      </w:r>
      <w:r>
        <w:rPr>
          <w:bCs/>
          <w:szCs w:val="24"/>
        </w:rPr>
        <w:t>where</w:t>
      </w:r>
      <w:r w:rsidR="00857B6C">
        <w:rPr>
          <w:bCs/>
          <w:szCs w:val="24"/>
        </w:rPr>
        <w:t xml:space="preserve"> only very</w:t>
      </w:r>
      <w:r>
        <w:rPr>
          <w:bCs/>
          <w:szCs w:val="24"/>
        </w:rPr>
        <w:t xml:space="preserve"> limited exploration wa</w:t>
      </w:r>
      <w:r w:rsidR="00857B6C">
        <w:rPr>
          <w:bCs/>
          <w:szCs w:val="24"/>
        </w:rPr>
        <w:t>s conducted</w:t>
      </w:r>
      <w:r w:rsidR="0069411A">
        <w:rPr>
          <w:bCs/>
          <w:szCs w:val="24"/>
        </w:rPr>
        <w:t xml:space="preserve"> in the past</w:t>
      </w:r>
      <w:r>
        <w:rPr>
          <w:bCs/>
          <w:szCs w:val="24"/>
        </w:rPr>
        <w:t>.</w:t>
      </w:r>
      <w:r w:rsidR="00857B6C">
        <w:rPr>
          <w:bCs/>
          <w:szCs w:val="24"/>
        </w:rPr>
        <w:t xml:space="preserve"> Along with data collected in the field through mapping, grab sampling, and additional till samples, the geophysical data will allow the Company to focus the up</w:t>
      </w:r>
      <w:r w:rsidR="0069411A">
        <w:rPr>
          <w:bCs/>
          <w:szCs w:val="24"/>
        </w:rPr>
        <w:t>coming 2018 exploration pro</w:t>
      </w:r>
      <w:r w:rsidR="00857B6C">
        <w:rPr>
          <w:bCs/>
          <w:szCs w:val="24"/>
        </w:rPr>
        <w:t>gram on targets with a higher probability of hosting</w:t>
      </w:r>
      <w:r w:rsidR="0069411A">
        <w:rPr>
          <w:bCs/>
          <w:szCs w:val="24"/>
        </w:rPr>
        <w:t xml:space="preserve"> gold mineralization</w:t>
      </w:r>
      <w:r w:rsidR="00857B6C">
        <w:rPr>
          <w:bCs/>
          <w:szCs w:val="24"/>
        </w:rPr>
        <w:t xml:space="preserve"> on the Toro Property</w:t>
      </w:r>
      <w:r w:rsidR="0069411A">
        <w:rPr>
          <w:bCs/>
          <w:szCs w:val="24"/>
        </w:rPr>
        <w:t>.</w:t>
      </w:r>
      <w:r>
        <w:rPr>
          <w:szCs w:val="24"/>
        </w:rPr>
        <w:t>”</w:t>
      </w:r>
      <w:r>
        <w:rPr>
          <w:bCs/>
          <w:szCs w:val="24"/>
        </w:rPr>
        <w:t xml:space="preserve"> </w:t>
      </w:r>
    </w:p>
    <w:p w:rsidR="00E371E6" w:rsidRDefault="00E371E6" w:rsidP="00EA6E77">
      <w:pPr>
        <w:jc w:val="both"/>
        <w:rPr>
          <w:b/>
          <w:bCs/>
          <w:szCs w:val="24"/>
        </w:rPr>
      </w:pPr>
    </w:p>
    <w:p w:rsidR="007B2EDD" w:rsidRDefault="007B2EDD" w:rsidP="00EA6E77">
      <w:pPr>
        <w:jc w:val="both"/>
        <w:rPr>
          <w:b/>
          <w:bCs/>
          <w:szCs w:val="24"/>
        </w:rPr>
      </w:pPr>
    </w:p>
    <w:p w:rsidR="007B2EDD" w:rsidRDefault="007B2EDD" w:rsidP="00EA6E77">
      <w:pPr>
        <w:jc w:val="both"/>
        <w:rPr>
          <w:b/>
          <w:bCs/>
          <w:szCs w:val="24"/>
        </w:rPr>
      </w:pPr>
    </w:p>
    <w:p w:rsidR="00DA5E9A" w:rsidRDefault="00DA5E9A" w:rsidP="00EA6E77">
      <w:pPr>
        <w:jc w:val="both"/>
        <w:rPr>
          <w:b/>
          <w:bCs/>
          <w:szCs w:val="24"/>
        </w:rPr>
      </w:pPr>
    </w:p>
    <w:p w:rsidR="00B51609" w:rsidRPr="00810C24" w:rsidRDefault="00B51609" w:rsidP="00B51609">
      <w:pPr>
        <w:jc w:val="both"/>
        <w:rPr>
          <w:b/>
          <w:szCs w:val="24"/>
        </w:rPr>
      </w:pPr>
      <w:r w:rsidRPr="00810C24">
        <w:rPr>
          <w:b/>
          <w:bCs/>
          <w:szCs w:val="24"/>
        </w:rPr>
        <w:t>Qualified Person</w:t>
      </w:r>
    </w:p>
    <w:p w:rsidR="00B51609" w:rsidRDefault="002A2DB1" w:rsidP="00B51609">
      <w:pPr>
        <w:jc w:val="both"/>
        <w:rPr>
          <w:bCs/>
          <w:szCs w:val="24"/>
        </w:rPr>
      </w:pPr>
      <w:r>
        <w:rPr>
          <w:szCs w:val="24"/>
        </w:rPr>
        <w:t xml:space="preserve">Steven Lauzier, </w:t>
      </w:r>
      <w:proofErr w:type="gramStart"/>
      <w:r>
        <w:rPr>
          <w:szCs w:val="24"/>
        </w:rPr>
        <w:t>P.Geo</w:t>
      </w:r>
      <w:proofErr w:type="gramEnd"/>
      <w:r>
        <w:rPr>
          <w:szCs w:val="24"/>
        </w:rPr>
        <w:t xml:space="preserve"> OGQ, A Qualified Person </w:t>
      </w:r>
      <w:r>
        <w:rPr>
          <w:bCs/>
          <w:szCs w:val="24"/>
        </w:rPr>
        <w:t>(“QP”) as defined by Nation</w:t>
      </w:r>
      <w:r w:rsidR="00844316">
        <w:rPr>
          <w:bCs/>
          <w:szCs w:val="24"/>
        </w:rPr>
        <w:t>al</w:t>
      </w:r>
      <w:r>
        <w:rPr>
          <w:bCs/>
          <w:szCs w:val="24"/>
        </w:rPr>
        <w:t xml:space="preserve"> Instrument 43-101 guidelines, has reviewed and approved the technical content provided in this news release.</w:t>
      </w:r>
    </w:p>
    <w:p w:rsidR="002A2DB1" w:rsidRPr="00810C24" w:rsidRDefault="002A2DB1" w:rsidP="00B51609">
      <w:pPr>
        <w:jc w:val="both"/>
        <w:rPr>
          <w:szCs w:val="24"/>
        </w:rPr>
      </w:pPr>
    </w:p>
    <w:p w:rsidR="00B51609" w:rsidRPr="00810C24" w:rsidRDefault="00B51609" w:rsidP="00B51609">
      <w:pPr>
        <w:jc w:val="both"/>
        <w:rPr>
          <w:bCs/>
          <w:szCs w:val="24"/>
        </w:rPr>
      </w:pPr>
      <w:r w:rsidRPr="00810C24">
        <w:rPr>
          <w:b/>
          <w:bCs/>
          <w:szCs w:val="24"/>
          <w:u w:val="single"/>
        </w:rPr>
        <w:t>About Evolving Gold</w:t>
      </w:r>
    </w:p>
    <w:p w:rsidR="00B51609" w:rsidRDefault="00B51609" w:rsidP="00B51609">
      <w:pPr>
        <w:spacing w:before="100" w:beforeAutospacing="1" w:after="100" w:afterAutospacing="1"/>
        <w:jc w:val="both"/>
        <w:rPr>
          <w:szCs w:val="24"/>
        </w:rPr>
      </w:pPr>
      <w:r w:rsidRPr="00810C24">
        <w:rPr>
          <w:szCs w:val="24"/>
          <w:lang w:eastAsia="en-CA"/>
        </w:rPr>
        <w:t xml:space="preserve">Evolving Gold is exploring the </w:t>
      </w:r>
      <w:r w:rsidRPr="00810C24">
        <w:rPr>
          <w:szCs w:val="24"/>
        </w:rPr>
        <w:t>72.5 square kilometre (total area)</w:t>
      </w:r>
      <w:r w:rsidRPr="00810C24">
        <w:rPr>
          <w:szCs w:val="24"/>
          <w:lang w:eastAsia="en-CA"/>
        </w:rPr>
        <w:t xml:space="preserve"> Lithium Lakes property in Quebec, located about 10 km north of the Route du Nord and between eight and 30 km from Nemaska Lithium's Whabouchi Project</w:t>
      </w:r>
      <w:r w:rsidRPr="00810C24">
        <w:rPr>
          <w:szCs w:val="24"/>
        </w:rPr>
        <w:t xml:space="preserve">. </w:t>
      </w:r>
      <w:r>
        <w:rPr>
          <w:szCs w:val="24"/>
        </w:rPr>
        <w:t>The Company’s exploration goal is to discover economic quantities of lithium mineralization, hosted in pegmatite.</w:t>
      </w:r>
    </w:p>
    <w:p w:rsidR="001A3207" w:rsidRDefault="00B51609" w:rsidP="001A3207">
      <w:r>
        <w:rPr>
          <w:szCs w:val="24"/>
        </w:rPr>
        <w:t xml:space="preserve">Evolving Gold is also exploring the </w:t>
      </w:r>
      <w:r w:rsidR="00184528" w:rsidRPr="00E64E82">
        <w:rPr>
          <w:szCs w:val="24"/>
        </w:rPr>
        <w:t>172</w:t>
      </w:r>
      <w:r w:rsidRPr="00E64E82">
        <w:rPr>
          <w:szCs w:val="24"/>
        </w:rPr>
        <w:t>.</w:t>
      </w:r>
      <w:r w:rsidR="00184528" w:rsidRPr="00E64E82">
        <w:rPr>
          <w:szCs w:val="24"/>
        </w:rPr>
        <w:t>82</w:t>
      </w:r>
      <w:r w:rsidR="00184528">
        <w:rPr>
          <w:szCs w:val="24"/>
        </w:rPr>
        <w:t xml:space="preserve"> </w:t>
      </w:r>
      <w:r>
        <w:rPr>
          <w:szCs w:val="24"/>
        </w:rPr>
        <w:t>square kilometre (total area) Toro Project, in the vicinity of the Lit</w:t>
      </w:r>
      <w:r w:rsidR="001A3207">
        <w:rPr>
          <w:szCs w:val="24"/>
        </w:rPr>
        <w:t xml:space="preserve">hium Lakes property. </w:t>
      </w:r>
      <w:r w:rsidR="001A3207">
        <w:t xml:space="preserve">The Company's </w:t>
      </w:r>
      <w:r w:rsidR="0056539C">
        <w:t xml:space="preserve">immediate </w:t>
      </w:r>
      <w:r w:rsidR="001A3207">
        <w:t>exploration goal is to assess numerous geochemical anomalies in till samples</w:t>
      </w:r>
      <w:r w:rsidR="0056539C">
        <w:t xml:space="preserve"> collected down-ice from large</w:t>
      </w:r>
      <w:r w:rsidR="001A3207">
        <w:t xml:space="preserve"> magnetic anomalies.</w:t>
      </w:r>
    </w:p>
    <w:p w:rsidR="00B51609" w:rsidRPr="00810C24" w:rsidRDefault="00B51609" w:rsidP="00B51609">
      <w:pPr>
        <w:pStyle w:val="BodyText"/>
        <w:jc w:val="both"/>
        <w:rPr>
          <w:sz w:val="24"/>
          <w:szCs w:val="24"/>
        </w:rPr>
      </w:pPr>
      <w:r w:rsidRPr="00810C24">
        <w:rPr>
          <w:sz w:val="24"/>
          <w:szCs w:val="24"/>
        </w:rPr>
        <w:t xml:space="preserve">On Behalf of the Board of Directors </w:t>
      </w:r>
    </w:p>
    <w:p w:rsidR="00B51609" w:rsidRPr="00810C24" w:rsidRDefault="00B51609" w:rsidP="00B51609">
      <w:pPr>
        <w:pStyle w:val="BodyText"/>
        <w:rPr>
          <w:rStyle w:val="Strong"/>
          <w:sz w:val="24"/>
          <w:szCs w:val="24"/>
        </w:rPr>
      </w:pPr>
      <w:r w:rsidRPr="00810C24">
        <w:rPr>
          <w:rStyle w:val="Strong"/>
          <w:sz w:val="24"/>
          <w:szCs w:val="24"/>
        </w:rPr>
        <w:t>EVOLVING GOLD CORP.</w:t>
      </w:r>
    </w:p>
    <w:p w:rsidR="00B51609" w:rsidRPr="00810C24" w:rsidRDefault="00B51609" w:rsidP="00B51609">
      <w:pPr>
        <w:pStyle w:val="BodyText"/>
        <w:tabs>
          <w:tab w:val="left" w:pos="3119"/>
        </w:tabs>
        <w:rPr>
          <w:rStyle w:val="Emphasis"/>
          <w:sz w:val="24"/>
          <w:szCs w:val="24"/>
        </w:rPr>
      </w:pPr>
      <w:r w:rsidRPr="00810C24">
        <w:rPr>
          <w:rStyle w:val="Emphasis"/>
          <w:sz w:val="24"/>
          <w:szCs w:val="24"/>
          <w:u w:val="single"/>
        </w:rPr>
        <w:t>“R. Bruce Duncan”</w:t>
      </w:r>
    </w:p>
    <w:p w:rsidR="00B51609" w:rsidRPr="00810C24" w:rsidRDefault="00B51609" w:rsidP="00B51609">
      <w:pPr>
        <w:pStyle w:val="BodyText"/>
        <w:rPr>
          <w:sz w:val="24"/>
          <w:szCs w:val="24"/>
        </w:rPr>
      </w:pPr>
      <w:r w:rsidRPr="00810C24">
        <w:rPr>
          <w:sz w:val="24"/>
          <w:szCs w:val="24"/>
        </w:rPr>
        <w:t>President, CEO &amp; Director</w:t>
      </w:r>
    </w:p>
    <w:p w:rsidR="00B51609" w:rsidRPr="00810C24" w:rsidRDefault="00B51609" w:rsidP="00B51609">
      <w:pPr>
        <w:pStyle w:val="BodyText"/>
        <w:rPr>
          <w:rStyle w:val="Strong"/>
          <w:sz w:val="24"/>
          <w:szCs w:val="24"/>
        </w:rPr>
      </w:pPr>
      <w:r w:rsidRPr="00810C24">
        <w:rPr>
          <w:rStyle w:val="Strong"/>
          <w:sz w:val="24"/>
          <w:szCs w:val="24"/>
        </w:rPr>
        <w:t>FOR MORE INFORMATION, PLEASE CONTACT:</w:t>
      </w:r>
    </w:p>
    <w:p w:rsidR="00B51609" w:rsidRPr="00810C24" w:rsidRDefault="00B51609" w:rsidP="00B51609">
      <w:pPr>
        <w:pStyle w:val="BodyText"/>
        <w:rPr>
          <w:rStyle w:val="Hyperlink"/>
          <w:sz w:val="24"/>
          <w:szCs w:val="24"/>
        </w:rPr>
      </w:pPr>
      <w:bookmarkStart w:id="1" w:name="OLE_LINK2"/>
      <w:bookmarkEnd w:id="1"/>
      <w:r w:rsidRPr="00810C24">
        <w:rPr>
          <w:rStyle w:val="Strong"/>
          <w:sz w:val="24"/>
          <w:szCs w:val="24"/>
        </w:rPr>
        <w:t xml:space="preserve">Investor Relations: </w:t>
      </w:r>
      <w:r w:rsidRPr="00810C24">
        <w:rPr>
          <w:sz w:val="24"/>
          <w:szCs w:val="24"/>
        </w:rPr>
        <w:br/>
        <w:t>Tel: 604.685.6375</w:t>
      </w:r>
      <w:r w:rsidRPr="00810C24">
        <w:rPr>
          <w:sz w:val="24"/>
          <w:szCs w:val="24"/>
        </w:rPr>
        <w:br/>
        <w:t>TF:  866.604.3864</w:t>
      </w:r>
      <w:r w:rsidRPr="00810C24">
        <w:rPr>
          <w:rStyle w:val="Hyperlink"/>
          <w:sz w:val="24"/>
          <w:szCs w:val="24"/>
        </w:rPr>
        <w:t xml:space="preserve"> </w:t>
      </w:r>
    </w:p>
    <w:p w:rsidR="00B51609" w:rsidRPr="00810C24" w:rsidRDefault="00B51609" w:rsidP="00B51609">
      <w:pPr>
        <w:pStyle w:val="BodyText"/>
        <w:jc w:val="both"/>
        <w:rPr>
          <w:bCs/>
          <w:sz w:val="24"/>
          <w:szCs w:val="24"/>
        </w:rPr>
      </w:pPr>
      <w:r w:rsidRPr="00810C24">
        <w:rPr>
          <w:bCs/>
          <w:sz w:val="24"/>
          <w:szCs w:val="24"/>
        </w:rPr>
        <w:t>Neither Canadian Securities Exchange nor its Market Regulator (as that term is defined in the policies of the Canadian Securities Exchange) accepts responsibility for the adequacy or accuracy of this release.</w:t>
      </w:r>
    </w:p>
    <w:p w:rsidR="00B51609" w:rsidRPr="00810C24" w:rsidRDefault="00B51609" w:rsidP="00B51609">
      <w:pPr>
        <w:pStyle w:val="BodyText"/>
        <w:jc w:val="both"/>
        <w:rPr>
          <w:bCs/>
          <w:sz w:val="24"/>
          <w:szCs w:val="24"/>
        </w:rPr>
      </w:pPr>
    </w:p>
    <w:p w:rsidR="009459EC" w:rsidRDefault="00B51609" w:rsidP="007738E1">
      <w:pPr>
        <w:suppressAutoHyphens/>
        <w:jc w:val="both"/>
      </w:pPr>
      <w:r w:rsidRPr="007738E1">
        <w:rPr>
          <w:b/>
          <w:bCs/>
          <w:sz w:val="20"/>
          <w:lang w:eastAsia="ar-SA"/>
        </w:rPr>
        <w:t>FORWARD LOOKING STATEMENTS:</w:t>
      </w:r>
      <w:r w:rsidRPr="007738E1">
        <w:rPr>
          <w:sz w:val="20"/>
          <w:lang w:eastAsia="ar-SA"/>
        </w:rPr>
        <w:t xml:space="preserve"> </w:t>
      </w:r>
      <w:r w:rsidRPr="007738E1">
        <w:rPr>
          <w:rStyle w:val="Emphasis"/>
          <w:sz w:val="20"/>
        </w:rPr>
        <w:t xml:space="preserve">This news release contains forward-looking statements, which relate to future events or future performance and reflect management’s current expectations and assumptions.  Such forward-looking statements reflect management’s current beliefs and are based on assumptions made by and information currently available to the Company. Investors are cautioned that these </w:t>
      </w:r>
      <w:proofErr w:type="gramStart"/>
      <w:r w:rsidRPr="007738E1">
        <w:rPr>
          <w:rStyle w:val="Emphasis"/>
          <w:sz w:val="20"/>
        </w:rPr>
        <w:t>forward looking</w:t>
      </w:r>
      <w:proofErr w:type="gramEnd"/>
      <w:r w:rsidRPr="007738E1">
        <w:rPr>
          <w:rStyle w:val="Emphasis"/>
          <w:sz w:val="20"/>
        </w:rPr>
        <w:t xml:space="preserve"> statements are neither promises nor guarantees, and are subject to risks and uncertainties that may cause future results to differ materially from those expected. These forward-looking statements are made as of the date hereof and, except as required under applicable securities legislation, the Company does not assume any obligation to update or revise them to reflect new events or circumstances. All of the forward-looking statements made in this press release are qualified by these cautionary statements and by those made in our filings with SEDAR in Canada (available at </w:t>
      </w:r>
      <w:r w:rsidRPr="007738E1">
        <w:rPr>
          <w:rStyle w:val="Emphasis"/>
          <w:color w:val="0000FF"/>
          <w:sz w:val="20"/>
          <w:u w:val="single"/>
        </w:rPr>
        <w:t>www.sedar.com</w:t>
      </w:r>
      <w:r w:rsidRPr="007738E1">
        <w:rPr>
          <w:rStyle w:val="Emphasis"/>
          <w:sz w:val="20"/>
        </w:rPr>
        <w:t xml:space="preserve">). </w:t>
      </w:r>
    </w:p>
    <w:sectPr w:rsidR="009459EC" w:rsidSect="00C4636A">
      <w:headerReference w:type="default" r:id="rId9"/>
      <w:footerReference w:type="even" r:id="rId10"/>
      <w:footerReference w:type="default" r:id="rId11"/>
      <w:footerReference w:type="first" r:id="rId12"/>
      <w:pgSz w:w="12240" w:h="15840" w:code="1"/>
      <w:pgMar w:top="907" w:right="907" w:bottom="397" w:left="907" w:header="720" w:footer="8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F64" w:rsidRDefault="001C5F64">
      <w:r>
        <w:separator/>
      </w:r>
    </w:p>
  </w:endnote>
  <w:endnote w:type="continuationSeparator" w:id="0">
    <w:p w:rsidR="001C5F64" w:rsidRDefault="001C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64" w:rsidRDefault="00780961" w:rsidP="006E4D64">
    <w:pPr>
      <w:pStyle w:val="Footer"/>
    </w:pPr>
    <w:r>
      <w:fldChar w:fldCharType="begin"/>
    </w:r>
    <w:r w:rsidR="006E4D64">
      <w:instrText xml:space="preserve"> DOCVARIABLE RBRO_EasyID_Value \* MERGEFORMAT </w:instrTex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64" w:rsidRPr="00464DCB" w:rsidRDefault="006E4D64" w:rsidP="006E4D64">
    <w:pPr>
      <w:pStyle w:val="BodyText"/>
      <w:jc w:val="center"/>
      <w:rPr>
        <w:sz w:val="16"/>
        <w:szCs w:val="16"/>
      </w:rPr>
    </w:pPr>
    <w:r w:rsidRPr="00464DCB">
      <w:rPr>
        <w:sz w:val="16"/>
        <w:szCs w:val="16"/>
      </w:rPr>
      <w:t>Suite 605 – 1166 Alberni Street, Vancouver, BC, Cana</w:t>
    </w:r>
    <w:r>
      <w:rPr>
        <w:sz w:val="16"/>
        <w:szCs w:val="16"/>
      </w:rPr>
      <w:t>da, V6E 3Z3</w:t>
    </w:r>
    <w:r>
      <w:rPr>
        <w:sz w:val="16"/>
        <w:szCs w:val="16"/>
      </w:rPr>
      <w:br/>
      <w:t xml:space="preserve">Tel:  604.685-6375 Fax. 604 909-1163 </w:t>
    </w:r>
    <w:r w:rsidRPr="00464DCB">
      <w:rPr>
        <w:sz w:val="16"/>
        <w:szCs w:val="16"/>
      </w:rPr>
      <w:t xml:space="preserve">Email:  </w:t>
    </w:r>
    <w:hyperlink r:id="rId1" w:history="1">
      <w:r w:rsidRPr="00464DCB">
        <w:rPr>
          <w:rStyle w:val="Hyperlink"/>
          <w:sz w:val="16"/>
          <w:szCs w:val="16"/>
        </w:rPr>
        <w:t>info@evolvinggold.com</w:t>
      </w:r>
    </w:hyperlink>
    <w:r w:rsidRPr="00464DCB">
      <w:rPr>
        <w:sz w:val="16"/>
        <w:szCs w:val="16"/>
      </w:rPr>
      <w:t xml:space="preserve">  Web: </w:t>
    </w:r>
    <w:hyperlink r:id="rId2" w:history="1">
      <w:r w:rsidRPr="00464DCB">
        <w:rPr>
          <w:rStyle w:val="Hyperlink"/>
          <w:sz w:val="16"/>
          <w:szCs w:val="16"/>
        </w:rPr>
        <w:t>www.evolvinggold.com</w:t>
      </w:r>
    </w:hyperlink>
    <w:r w:rsidRPr="00464DCB">
      <w:rPr>
        <w:sz w:val="16"/>
        <w:szCs w:val="16"/>
      </w:rPr>
      <w:br/>
      <w:t>TSX: EVG FSE: EV7</w:t>
    </w:r>
  </w:p>
  <w:p w:rsidR="006E4D64" w:rsidRPr="00464DCB" w:rsidRDefault="006E4D64" w:rsidP="006E4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64" w:rsidRPr="00464DCB" w:rsidRDefault="006E4D64" w:rsidP="006E4D64">
    <w:pPr>
      <w:pStyle w:val="BodyText"/>
      <w:jc w:val="center"/>
      <w:rPr>
        <w:sz w:val="16"/>
        <w:szCs w:val="16"/>
      </w:rPr>
    </w:pPr>
    <w:r w:rsidRPr="00464DCB">
      <w:rPr>
        <w:sz w:val="16"/>
        <w:szCs w:val="16"/>
      </w:rPr>
      <w:t>Suite 605 – 1166 Alberni Street, Vancouver, BC, Canada, V6E 3Z3</w:t>
    </w:r>
    <w:r>
      <w:rPr>
        <w:sz w:val="16"/>
        <w:szCs w:val="16"/>
      </w:rPr>
      <w:t xml:space="preserve"> </w:t>
    </w:r>
    <w:r>
      <w:rPr>
        <w:sz w:val="16"/>
        <w:szCs w:val="16"/>
      </w:rPr>
      <w:br/>
      <w:t xml:space="preserve">Tel:  604.685-6375 </w:t>
    </w:r>
    <w:r w:rsidRPr="00464DCB">
      <w:rPr>
        <w:sz w:val="16"/>
        <w:szCs w:val="16"/>
      </w:rPr>
      <w:t>Fax. 604 909-</w:t>
    </w:r>
    <w:proofErr w:type="gramStart"/>
    <w:r w:rsidRPr="00464DCB">
      <w:rPr>
        <w:sz w:val="16"/>
        <w:szCs w:val="16"/>
      </w:rPr>
      <w:t>1163  Email</w:t>
    </w:r>
    <w:proofErr w:type="gramEnd"/>
    <w:r w:rsidRPr="00464DCB">
      <w:rPr>
        <w:sz w:val="16"/>
        <w:szCs w:val="16"/>
      </w:rPr>
      <w:t xml:space="preserve">:  </w:t>
    </w:r>
    <w:hyperlink r:id="rId1" w:history="1">
      <w:r w:rsidRPr="00464DCB">
        <w:rPr>
          <w:rStyle w:val="Hyperlink"/>
          <w:sz w:val="16"/>
          <w:szCs w:val="16"/>
        </w:rPr>
        <w:t>info@evolvinggold.com</w:t>
      </w:r>
    </w:hyperlink>
    <w:r w:rsidRPr="00464DCB">
      <w:rPr>
        <w:sz w:val="16"/>
        <w:szCs w:val="16"/>
      </w:rPr>
      <w:t xml:space="preserve">  Web: </w:t>
    </w:r>
    <w:hyperlink r:id="rId2" w:history="1">
      <w:r w:rsidRPr="00464DCB">
        <w:rPr>
          <w:rStyle w:val="Hyperlink"/>
          <w:sz w:val="16"/>
          <w:szCs w:val="16"/>
        </w:rPr>
        <w:t>www.evolvinggold.com</w:t>
      </w:r>
    </w:hyperlink>
    <w:r w:rsidRPr="00464DCB">
      <w:rPr>
        <w:sz w:val="16"/>
        <w:szCs w:val="16"/>
      </w:rPr>
      <w:br/>
      <w:t>TSX: EVG FSE: EV7</w:t>
    </w:r>
  </w:p>
  <w:p w:rsidR="006E4D64" w:rsidRPr="00464DCB" w:rsidRDefault="006E4D64" w:rsidP="006E4D64">
    <w:pPr>
      <w:pStyle w:val="BodyTex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F64" w:rsidRDefault="001C5F64">
      <w:r>
        <w:separator/>
      </w:r>
    </w:p>
  </w:footnote>
  <w:footnote w:type="continuationSeparator" w:id="0">
    <w:p w:rsidR="001C5F64" w:rsidRDefault="001C5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64" w:rsidRDefault="006E4D64" w:rsidP="006E4D64">
    <w:pPr>
      <w:pStyle w:val="Header"/>
      <w:jc w:val="center"/>
    </w:pPr>
    <w:r>
      <w:rPr>
        <w:snapToGrid w:val="0"/>
      </w:rPr>
      <w:t xml:space="preserve">- </w:t>
    </w:r>
    <w:r w:rsidR="00780961">
      <w:rPr>
        <w:snapToGrid w:val="0"/>
      </w:rPr>
      <w:fldChar w:fldCharType="begin"/>
    </w:r>
    <w:r>
      <w:rPr>
        <w:snapToGrid w:val="0"/>
      </w:rPr>
      <w:instrText xml:space="preserve"> PAGE </w:instrText>
    </w:r>
    <w:r w:rsidR="00780961">
      <w:rPr>
        <w:snapToGrid w:val="0"/>
      </w:rPr>
      <w:fldChar w:fldCharType="separate"/>
    </w:r>
    <w:r w:rsidR="00B64DAE">
      <w:rPr>
        <w:noProof/>
        <w:snapToGrid w:val="0"/>
      </w:rPr>
      <w:t>2</w:t>
    </w:r>
    <w:r w:rsidR="00780961">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417"/>
    <w:multiLevelType w:val="hybridMultilevel"/>
    <w:tmpl w:val="0FE0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1933"/>
    <w:multiLevelType w:val="hybridMultilevel"/>
    <w:tmpl w:val="C616D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E07FD5"/>
    <w:multiLevelType w:val="hybridMultilevel"/>
    <w:tmpl w:val="D8A6D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7505EE"/>
    <w:multiLevelType w:val="hybridMultilevel"/>
    <w:tmpl w:val="5B46E9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25254B8"/>
    <w:multiLevelType w:val="hybridMultilevel"/>
    <w:tmpl w:val="B9020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98643A"/>
    <w:multiLevelType w:val="hybridMultilevel"/>
    <w:tmpl w:val="85769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E584B"/>
    <w:multiLevelType w:val="hybridMultilevel"/>
    <w:tmpl w:val="E51890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3CE1239"/>
    <w:multiLevelType w:val="hybridMultilevel"/>
    <w:tmpl w:val="95986986"/>
    <w:lvl w:ilvl="0" w:tplc="0C4AEBBE">
      <w:start w:val="1"/>
      <w:numFmt w:val="decimal"/>
      <w:lvlText w:val="%1."/>
      <w:lvlJc w:val="left"/>
      <w:pPr>
        <w:ind w:left="435" w:hanging="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13182A"/>
    <w:multiLevelType w:val="hybridMultilevel"/>
    <w:tmpl w:val="73F03F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246516"/>
    <w:multiLevelType w:val="hybridMultilevel"/>
    <w:tmpl w:val="ED2C6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A74269"/>
    <w:multiLevelType w:val="hybridMultilevel"/>
    <w:tmpl w:val="EC8C7B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6C04375"/>
    <w:multiLevelType w:val="hybridMultilevel"/>
    <w:tmpl w:val="0F9E64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2C1F4A"/>
    <w:multiLevelType w:val="hybridMultilevel"/>
    <w:tmpl w:val="0FF8D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835B81"/>
    <w:multiLevelType w:val="hybridMultilevel"/>
    <w:tmpl w:val="80B65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9E7C4D"/>
    <w:multiLevelType w:val="hybridMultilevel"/>
    <w:tmpl w:val="B0B253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C80655"/>
    <w:multiLevelType w:val="hybridMultilevel"/>
    <w:tmpl w:val="6308A75A"/>
    <w:lvl w:ilvl="0" w:tplc="51D82CF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30733BD"/>
    <w:multiLevelType w:val="hybridMultilevel"/>
    <w:tmpl w:val="5A643A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C0B1271"/>
    <w:multiLevelType w:val="hybridMultilevel"/>
    <w:tmpl w:val="ED6CF7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6B09CC"/>
    <w:multiLevelType w:val="hybridMultilevel"/>
    <w:tmpl w:val="11485A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17"/>
  </w:num>
  <w:num w:numId="4">
    <w:abstractNumId w:val="11"/>
  </w:num>
  <w:num w:numId="5">
    <w:abstractNumId w:val="18"/>
  </w:num>
  <w:num w:numId="6">
    <w:abstractNumId w:val="14"/>
  </w:num>
  <w:num w:numId="7">
    <w:abstractNumId w:val="15"/>
  </w:num>
  <w:num w:numId="8">
    <w:abstractNumId w:val="8"/>
  </w:num>
  <w:num w:numId="9">
    <w:abstractNumId w:val="16"/>
  </w:num>
  <w:num w:numId="10">
    <w:abstractNumId w:val="6"/>
  </w:num>
  <w:num w:numId="11">
    <w:abstractNumId w:val="3"/>
  </w:num>
  <w:num w:numId="12">
    <w:abstractNumId w:val="10"/>
  </w:num>
  <w:num w:numId="13">
    <w:abstractNumId w:val="5"/>
  </w:num>
  <w:num w:numId="14">
    <w:abstractNumId w:val="4"/>
  </w:num>
  <w:num w:numId="15">
    <w:abstractNumId w:val="12"/>
  </w:num>
  <w:num w:numId="16">
    <w:abstractNumId w:val="13"/>
  </w:num>
  <w:num w:numId="17">
    <w:abstractNumId w:val="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09"/>
    <w:rsid w:val="00007887"/>
    <w:rsid w:val="00030214"/>
    <w:rsid w:val="0004511E"/>
    <w:rsid w:val="00053AB0"/>
    <w:rsid w:val="00063FF4"/>
    <w:rsid w:val="00072480"/>
    <w:rsid w:val="00076DC7"/>
    <w:rsid w:val="00077243"/>
    <w:rsid w:val="0009440A"/>
    <w:rsid w:val="000956B1"/>
    <w:rsid w:val="000975A6"/>
    <w:rsid w:val="000A3561"/>
    <w:rsid w:val="000A44CF"/>
    <w:rsid w:val="000A7263"/>
    <w:rsid w:val="000D2008"/>
    <w:rsid w:val="000D6101"/>
    <w:rsid w:val="000D7B65"/>
    <w:rsid w:val="000E7542"/>
    <w:rsid w:val="000F2459"/>
    <w:rsid w:val="000F40F9"/>
    <w:rsid w:val="00106FA0"/>
    <w:rsid w:val="00107BAD"/>
    <w:rsid w:val="00116EC4"/>
    <w:rsid w:val="00131C77"/>
    <w:rsid w:val="00132757"/>
    <w:rsid w:val="00151892"/>
    <w:rsid w:val="001532F4"/>
    <w:rsid w:val="00175B96"/>
    <w:rsid w:val="00177037"/>
    <w:rsid w:val="00184528"/>
    <w:rsid w:val="00185B93"/>
    <w:rsid w:val="00190DB6"/>
    <w:rsid w:val="00194395"/>
    <w:rsid w:val="00194405"/>
    <w:rsid w:val="001A3207"/>
    <w:rsid w:val="001A349F"/>
    <w:rsid w:val="001A3FD0"/>
    <w:rsid w:val="001A4F0C"/>
    <w:rsid w:val="001A66A9"/>
    <w:rsid w:val="001A7AAC"/>
    <w:rsid w:val="001B1201"/>
    <w:rsid w:val="001C1269"/>
    <w:rsid w:val="001C300C"/>
    <w:rsid w:val="001C5F64"/>
    <w:rsid w:val="001D2DA2"/>
    <w:rsid w:val="001E7B5B"/>
    <w:rsid w:val="001F48BE"/>
    <w:rsid w:val="0020249F"/>
    <w:rsid w:val="0021007F"/>
    <w:rsid w:val="00224AAF"/>
    <w:rsid w:val="00227C68"/>
    <w:rsid w:val="00251F12"/>
    <w:rsid w:val="002530D5"/>
    <w:rsid w:val="002674F7"/>
    <w:rsid w:val="00270506"/>
    <w:rsid w:val="002759B4"/>
    <w:rsid w:val="00275E7F"/>
    <w:rsid w:val="002953F0"/>
    <w:rsid w:val="002A2DB1"/>
    <w:rsid w:val="002A582B"/>
    <w:rsid w:val="002B0F5E"/>
    <w:rsid w:val="002B41B5"/>
    <w:rsid w:val="002B6DD8"/>
    <w:rsid w:val="002D574D"/>
    <w:rsid w:val="002D7929"/>
    <w:rsid w:val="002E22FD"/>
    <w:rsid w:val="002E3862"/>
    <w:rsid w:val="002E6AEF"/>
    <w:rsid w:val="002F21F6"/>
    <w:rsid w:val="00300243"/>
    <w:rsid w:val="00300C26"/>
    <w:rsid w:val="00302BC0"/>
    <w:rsid w:val="0030379C"/>
    <w:rsid w:val="0030536D"/>
    <w:rsid w:val="003173B6"/>
    <w:rsid w:val="003408B7"/>
    <w:rsid w:val="0034159C"/>
    <w:rsid w:val="00350A80"/>
    <w:rsid w:val="003515F7"/>
    <w:rsid w:val="00362587"/>
    <w:rsid w:val="003726BC"/>
    <w:rsid w:val="00377B0C"/>
    <w:rsid w:val="00377D61"/>
    <w:rsid w:val="003809F5"/>
    <w:rsid w:val="003825CB"/>
    <w:rsid w:val="0039395B"/>
    <w:rsid w:val="003979A2"/>
    <w:rsid w:val="003A255E"/>
    <w:rsid w:val="003B4ABD"/>
    <w:rsid w:val="003D5DEC"/>
    <w:rsid w:val="003D75A0"/>
    <w:rsid w:val="00402881"/>
    <w:rsid w:val="00402DE9"/>
    <w:rsid w:val="00404CFC"/>
    <w:rsid w:val="00410456"/>
    <w:rsid w:val="00410C68"/>
    <w:rsid w:val="004161F4"/>
    <w:rsid w:val="004343C0"/>
    <w:rsid w:val="00443E16"/>
    <w:rsid w:val="00445578"/>
    <w:rsid w:val="00447932"/>
    <w:rsid w:val="004608A8"/>
    <w:rsid w:val="004622EF"/>
    <w:rsid w:val="00463EA6"/>
    <w:rsid w:val="004800B6"/>
    <w:rsid w:val="004A124A"/>
    <w:rsid w:val="004A539D"/>
    <w:rsid w:val="004A61FC"/>
    <w:rsid w:val="004B4C59"/>
    <w:rsid w:val="004B5EEE"/>
    <w:rsid w:val="004B60A4"/>
    <w:rsid w:val="004C26B7"/>
    <w:rsid w:val="004C63A9"/>
    <w:rsid w:val="004D5054"/>
    <w:rsid w:val="004E3D00"/>
    <w:rsid w:val="004F0598"/>
    <w:rsid w:val="005316AB"/>
    <w:rsid w:val="005330EB"/>
    <w:rsid w:val="00540219"/>
    <w:rsid w:val="005406F8"/>
    <w:rsid w:val="00543F83"/>
    <w:rsid w:val="005476AA"/>
    <w:rsid w:val="00552554"/>
    <w:rsid w:val="0055695B"/>
    <w:rsid w:val="0056539C"/>
    <w:rsid w:val="00566B9A"/>
    <w:rsid w:val="00572978"/>
    <w:rsid w:val="005738F9"/>
    <w:rsid w:val="00574C1D"/>
    <w:rsid w:val="0057699D"/>
    <w:rsid w:val="00583E97"/>
    <w:rsid w:val="00587A1D"/>
    <w:rsid w:val="00590B0D"/>
    <w:rsid w:val="00593665"/>
    <w:rsid w:val="005B52FA"/>
    <w:rsid w:val="005B6D4D"/>
    <w:rsid w:val="005C1B26"/>
    <w:rsid w:val="005E00D9"/>
    <w:rsid w:val="005E0F56"/>
    <w:rsid w:val="005E1D56"/>
    <w:rsid w:val="005E39CB"/>
    <w:rsid w:val="005E5A93"/>
    <w:rsid w:val="006018FF"/>
    <w:rsid w:val="0060680D"/>
    <w:rsid w:val="00606F60"/>
    <w:rsid w:val="00607030"/>
    <w:rsid w:val="00625065"/>
    <w:rsid w:val="00634DBB"/>
    <w:rsid w:val="006448D7"/>
    <w:rsid w:val="00665960"/>
    <w:rsid w:val="00667410"/>
    <w:rsid w:val="00672A96"/>
    <w:rsid w:val="006827C3"/>
    <w:rsid w:val="0069411A"/>
    <w:rsid w:val="006B0283"/>
    <w:rsid w:val="006B0E3F"/>
    <w:rsid w:val="006B253E"/>
    <w:rsid w:val="006C0AA9"/>
    <w:rsid w:val="006C2197"/>
    <w:rsid w:val="006C6E40"/>
    <w:rsid w:val="006D4838"/>
    <w:rsid w:val="006E0EC7"/>
    <w:rsid w:val="006E1FFB"/>
    <w:rsid w:val="006E4D64"/>
    <w:rsid w:val="006E7762"/>
    <w:rsid w:val="006F06DB"/>
    <w:rsid w:val="00732F69"/>
    <w:rsid w:val="007352B8"/>
    <w:rsid w:val="00736F36"/>
    <w:rsid w:val="0075685C"/>
    <w:rsid w:val="00761733"/>
    <w:rsid w:val="00762A44"/>
    <w:rsid w:val="00771C62"/>
    <w:rsid w:val="007738E1"/>
    <w:rsid w:val="00780961"/>
    <w:rsid w:val="00782FF4"/>
    <w:rsid w:val="0079099B"/>
    <w:rsid w:val="00792B57"/>
    <w:rsid w:val="007B2EDD"/>
    <w:rsid w:val="007B37D7"/>
    <w:rsid w:val="007B7A9D"/>
    <w:rsid w:val="007C5140"/>
    <w:rsid w:val="007D4963"/>
    <w:rsid w:val="007D6741"/>
    <w:rsid w:val="007E093A"/>
    <w:rsid w:val="007E1118"/>
    <w:rsid w:val="007E3E6E"/>
    <w:rsid w:val="007E44E5"/>
    <w:rsid w:val="007F56E7"/>
    <w:rsid w:val="00811646"/>
    <w:rsid w:val="0081683D"/>
    <w:rsid w:val="00833F03"/>
    <w:rsid w:val="00835245"/>
    <w:rsid w:val="00844316"/>
    <w:rsid w:val="0084712F"/>
    <w:rsid w:val="00857B6C"/>
    <w:rsid w:val="00874357"/>
    <w:rsid w:val="00876523"/>
    <w:rsid w:val="008775DE"/>
    <w:rsid w:val="00880E5B"/>
    <w:rsid w:val="00890C2B"/>
    <w:rsid w:val="00892D48"/>
    <w:rsid w:val="008B0F02"/>
    <w:rsid w:val="008B5B54"/>
    <w:rsid w:val="008D5767"/>
    <w:rsid w:val="008D7E5E"/>
    <w:rsid w:val="008E5E01"/>
    <w:rsid w:val="008F1DFA"/>
    <w:rsid w:val="008F4ECC"/>
    <w:rsid w:val="008F562C"/>
    <w:rsid w:val="008F7A8E"/>
    <w:rsid w:val="00900B74"/>
    <w:rsid w:val="00902847"/>
    <w:rsid w:val="00907B47"/>
    <w:rsid w:val="009110ED"/>
    <w:rsid w:val="00913A2C"/>
    <w:rsid w:val="00932875"/>
    <w:rsid w:val="009459EC"/>
    <w:rsid w:val="0095356F"/>
    <w:rsid w:val="00953F0C"/>
    <w:rsid w:val="00975885"/>
    <w:rsid w:val="009836A0"/>
    <w:rsid w:val="00993493"/>
    <w:rsid w:val="009A1693"/>
    <w:rsid w:val="009C570E"/>
    <w:rsid w:val="009E5EE4"/>
    <w:rsid w:val="009E71B5"/>
    <w:rsid w:val="009F51C7"/>
    <w:rsid w:val="009F63F0"/>
    <w:rsid w:val="009F785D"/>
    <w:rsid w:val="00A07F24"/>
    <w:rsid w:val="00A20C03"/>
    <w:rsid w:val="00A26684"/>
    <w:rsid w:val="00A30035"/>
    <w:rsid w:val="00A30837"/>
    <w:rsid w:val="00A35B69"/>
    <w:rsid w:val="00A37895"/>
    <w:rsid w:val="00A412FE"/>
    <w:rsid w:val="00A45386"/>
    <w:rsid w:val="00A75D87"/>
    <w:rsid w:val="00A76767"/>
    <w:rsid w:val="00A77C07"/>
    <w:rsid w:val="00A81C10"/>
    <w:rsid w:val="00A91B12"/>
    <w:rsid w:val="00A92514"/>
    <w:rsid w:val="00A92BF5"/>
    <w:rsid w:val="00AA09E2"/>
    <w:rsid w:val="00AA5F62"/>
    <w:rsid w:val="00AA7734"/>
    <w:rsid w:val="00AB21BF"/>
    <w:rsid w:val="00AE0426"/>
    <w:rsid w:val="00AF66E4"/>
    <w:rsid w:val="00B037AA"/>
    <w:rsid w:val="00B041CE"/>
    <w:rsid w:val="00B079D3"/>
    <w:rsid w:val="00B10C67"/>
    <w:rsid w:val="00B32EAC"/>
    <w:rsid w:val="00B40FBD"/>
    <w:rsid w:val="00B4369E"/>
    <w:rsid w:val="00B45B5A"/>
    <w:rsid w:val="00B50A86"/>
    <w:rsid w:val="00B51609"/>
    <w:rsid w:val="00B53A4D"/>
    <w:rsid w:val="00B5479A"/>
    <w:rsid w:val="00B64DAE"/>
    <w:rsid w:val="00B67025"/>
    <w:rsid w:val="00B7193F"/>
    <w:rsid w:val="00B77BE0"/>
    <w:rsid w:val="00BA7483"/>
    <w:rsid w:val="00BB3A33"/>
    <w:rsid w:val="00BC1662"/>
    <w:rsid w:val="00BE6165"/>
    <w:rsid w:val="00C068DF"/>
    <w:rsid w:val="00C12D1F"/>
    <w:rsid w:val="00C16E9E"/>
    <w:rsid w:val="00C24D2F"/>
    <w:rsid w:val="00C25BA6"/>
    <w:rsid w:val="00C36AE1"/>
    <w:rsid w:val="00C42A13"/>
    <w:rsid w:val="00C4636A"/>
    <w:rsid w:val="00C50EDE"/>
    <w:rsid w:val="00C55B73"/>
    <w:rsid w:val="00C63CB0"/>
    <w:rsid w:val="00C661CE"/>
    <w:rsid w:val="00C66ED8"/>
    <w:rsid w:val="00C80AF9"/>
    <w:rsid w:val="00C90A43"/>
    <w:rsid w:val="00C90B54"/>
    <w:rsid w:val="00C95527"/>
    <w:rsid w:val="00CA0036"/>
    <w:rsid w:val="00CA035E"/>
    <w:rsid w:val="00CA0B99"/>
    <w:rsid w:val="00CA0DA0"/>
    <w:rsid w:val="00CA184C"/>
    <w:rsid w:val="00CA611A"/>
    <w:rsid w:val="00CA6E72"/>
    <w:rsid w:val="00CA70A3"/>
    <w:rsid w:val="00CB116E"/>
    <w:rsid w:val="00CB308E"/>
    <w:rsid w:val="00CD0169"/>
    <w:rsid w:val="00CD0348"/>
    <w:rsid w:val="00CE798A"/>
    <w:rsid w:val="00CF5F04"/>
    <w:rsid w:val="00CF74CF"/>
    <w:rsid w:val="00D14562"/>
    <w:rsid w:val="00D16A25"/>
    <w:rsid w:val="00D21763"/>
    <w:rsid w:val="00D305FE"/>
    <w:rsid w:val="00D33A98"/>
    <w:rsid w:val="00D342B1"/>
    <w:rsid w:val="00D41596"/>
    <w:rsid w:val="00D43C6E"/>
    <w:rsid w:val="00D44301"/>
    <w:rsid w:val="00D465E6"/>
    <w:rsid w:val="00D530F1"/>
    <w:rsid w:val="00D56C2B"/>
    <w:rsid w:val="00D573C5"/>
    <w:rsid w:val="00D62ECB"/>
    <w:rsid w:val="00D66FA2"/>
    <w:rsid w:val="00D70C38"/>
    <w:rsid w:val="00D72A67"/>
    <w:rsid w:val="00D82988"/>
    <w:rsid w:val="00D861F5"/>
    <w:rsid w:val="00D96DB1"/>
    <w:rsid w:val="00DA5E60"/>
    <w:rsid w:val="00DA5E9A"/>
    <w:rsid w:val="00DB4D7F"/>
    <w:rsid w:val="00DC0379"/>
    <w:rsid w:val="00DD2224"/>
    <w:rsid w:val="00DD3D94"/>
    <w:rsid w:val="00DD4A77"/>
    <w:rsid w:val="00DD5203"/>
    <w:rsid w:val="00DE6A25"/>
    <w:rsid w:val="00DF1072"/>
    <w:rsid w:val="00E010B8"/>
    <w:rsid w:val="00E04970"/>
    <w:rsid w:val="00E0628D"/>
    <w:rsid w:val="00E06AB1"/>
    <w:rsid w:val="00E110F3"/>
    <w:rsid w:val="00E17851"/>
    <w:rsid w:val="00E217D3"/>
    <w:rsid w:val="00E21FBF"/>
    <w:rsid w:val="00E2392D"/>
    <w:rsid w:val="00E24830"/>
    <w:rsid w:val="00E371E6"/>
    <w:rsid w:val="00E41A76"/>
    <w:rsid w:val="00E43B3A"/>
    <w:rsid w:val="00E51DEC"/>
    <w:rsid w:val="00E61C6D"/>
    <w:rsid w:val="00E64E82"/>
    <w:rsid w:val="00E71B04"/>
    <w:rsid w:val="00E8190A"/>
    <w:rsid w:val="00E90545"/>
    <w:rsid w:val="00E952B0"/>
    <w:rsid w:val="00E97BC8"/>
    <w:rsid w:val="00EA1C92"/>
    <w:rsid w:val="00EA6E77"/>
    <w:rsid w:val="00EB0C35"/>
    <w:rsid w:val="00EB2D8A"/>
    <w:rsid w:val="00EB4418"/>
    <w:rsid w:val="00EC0012"/>
    <w:rsid w:val="00EC3DB6"/>
    <w:rsid w:val="00ED128B"/>
    <w:rsid w:val="00ED1D63"/>
    <w:rsid w:val="00ED282F"/>
    <w:rsid w:val="00EE29FC"/>
    <w:rsid w:val="00EF2764"/>
    <w:rsid w:val="00EF4B9D"/>
    <w:rsid w:val="00F042F3"/>
    <w:rsid w:val="00F12983"/>
    <w:rsid w:val="00F12E89"/>
    <w:rsid w:val="00F3109E"/>
    <w:rsid w:val="00F3355A"/>
    <w:rsid w:val="00F418AE"/>
    <w:rsid w:val="00F47551"/>
    <w:rsid w:val="00F56983"/>
    <w:rsid w:val="00F701DE"/>
    <w:rsid w:val="00F70699"/>
    <w:rsid w:val="00F72315"/>
    <w:rsid w:val="00F73800"/>
    <w:rsid w:val="00F801B0"/>
    <w:rsid w:val="00F83CB3"/>
    <w:rsid w:val="00F9368A"/>
    <w:rsid w:val="00FA7341"/>
    <w:rsid w:val="00FB255B"/>
    <w:rsid w:val="00FB447F"/>
    <w:rsid w:val="00FB6F78"/>
    <w:rsid w:val="00FB74BF"/>
    <w:rsid w:val="00FC2003"/>
    <w:rsid w:val="00FD76B0"/>
    <w:rsid w:val="00FE4396"/>
    <w:rsid w:val="00FE6DC2"/>
    <w:rsid w:val="00FF2888"/>
    <w:rsid w:val="00FF2D0C"/>
    <w:rsid w:val="00FF4DD0"/>
    <w:rsid w:val="00FF7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B7E37-427A-46D7-B586-11555CAA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1609"/>
    <w:pPr>
      <w:spacing w:before="240"/>
    </w:pPr>
    <w:rPr>
      <w:sz w:val="22"/>
    </w:rPr>
  </w:style>
  <w:style w:type="character" w:customStyle="1" w:styleId="BodyTextChar">
    <w:name w:val="Body Text Char"/>
    <w:basedOn w:val="DefaultParagraphFont"/>
    <w:link w:val="BodyText"/>
    <w:rsid w:val="00B51609"/>
    <w:rPr>
      <w:rFonts w:ascii="Times New Roman" w:eastAsia="Times New Roman" w:hAnsi="Times New Roman" w:cs="Times New Roman"/>
      <w:szCs w:val="20"/>
    </w:rPr>
  </w:style>
  <w:style w:type="paragraph" w:styleId="Footer">
    <w:name w:val="footer"/>
    <w:basedOn w:val="Normal"/>
    <w:link w:val="FooterChar"/>
    <w:rsid w:val="00B51609"/>
    <w:pPr>
      <w:tabs>
        <w:tab w:val="center" w:pos="4680"/>
        <w:tab w:val="right" w:pos="9360"/>
      </w:tabs>
    </w:pPr>
    <w:rPr>
      <w:sz w:val="16"/>
    </w:rPr>
  </w:style>
  <w:style w:type="character" w:customStyle="1" w:styleId="FooterChar">
    <w:name w:val="Footer Char"/>
    <w:basedOn w:val="DefaultParagraphFont"/>
    <w:link w:val="Footer"/>
    <w:rsid w:val="00B51609"/>
    <w:rPr>
      <w:rFonts w:ascii="Times New Roman" w:eastAsia="Times New Roman" w:hAnsi="Times New Roman" w:cs="Times New Roman"/>
      <w:sz w:val="16"/>
      <w:szCs w:val="20"/>
    </w:rPr>
  </w:style>
  <w:style w:type="paragraph" w:styleId="Header">
    <w:name w:val="header"/>
    <w:basedOn w:val="Normal"/>
    <w:link w:val="HeaderChar"/>
    <w:rsid w:val="00B51609"/>
    <w:pPr>
      <w:tabs>
        <w:tab w:val="center" w:pos="4680"/>
        <w:tab w:val="right" w:pos="9360"/>
      </w:tabs>
    </w:pPr>
  </w:style>
  <w:style w:type="character" w:customStyle="1" w:styleId="HeaderChar">
    <w:name w:val="Header Char"/>
    <w:basedOn w:val="DefaultParagraphFont"/>
    <w:link w:val="Header"/>
    <w:rsid w:val="00B51609"/>
    <w:rPr>
      <w:rFonts w:ascii="Times New Roman" w:eastAsia="Times New Roman" w:hAnsi="Times New Roman" w:cs="Times New Roman"/>
      <w:sz w:val="24"/>
      <w:szCs w:val="20"/>
    </w:rPr>
  </w:style>
  <w:style w:type="character" w:styleId="Hyperlink">
    <w:name w:val="Hyperlink"/>
    <w:rsid w:val="00B51609"/>
    <w:rPr>
      <w:color w:val="0000FF"/>
      <w:u w:val="single"/>
    </w:rPr>
  </w:style>
  <w:style w:type="character" w:styleId="Strong">
    <w:name w:val="Strong"/>
    <w:qFormat/>
    <w:rsid w:val="00B51609"/>
    <w:rPr>
      <w:rFonts w:cs="Times New Roman"/>
      <w:b/>
      <w:bCs/>
    </w:rPr>
  </w:style>
  <w:style w:type="character" w:styleId="Emphasis">
    <w:name w:val="Emphasis"/>
    <w:uiPriority w:val="20"/>
    <w:qFormat/>
    <w:rsid w:val="00B51609"/>
    <w:rPr>
      <w:rFonts w:cs="Times New Roman"/>
      <w:i/>
      <w:iCs/>
    </w:rPr>
  </w:style>
  <w:style w:type="paragraph" w:styleId="NormalWeb">
    <w:name w:val="Normal (Web)"/>
    <w:basedOn w:val="Normal"/>
    <w:uiPriority w:val="99"/>
    <w:rsid w:val="00B51609"/>
    <w:pPr>
      <w:spacing w:before="100" w:beforeAutospacing="1" w:after="100" w:afterAutospacing="1"/>
    </w:pPr>
    <w:rPr>
      <w:color w:val="000000"/>
      <w:szCs w:val="24"/>
      <w:lang w:eastAsia="en-CA"/>
    </w:rPr>
  </w:style>
  <w:style w:type="character" w:customStyle="1" w:styleId="EasyID">
    <w:name w:val="EasyID"/>
    <w:basedOn w:val="DefaultParagraphFont"/>
    <w:rsid w:val="00B51609"/>
    <w:rPr>
      <w:rFonts w:ascii="Arial" w:hAnsi="Arial" w:cs="Arial"/>
      <w:b w:val="0"/>
      <w:bCs w:val="0"/>
      <w:sz w:val="14"/>
      <w:lang w:val="en-US" w:eastAsia="en-US" w:bidi="ar-SA"/>
    </w:rPr>
  </w:style>
  <w:style w:type="table" w:styleId="TableGrid">
    <w:name w:val="Table Grid"/>
    <w:basedOn w:val="TableNormal"/>
    <w:uiPriority w:val="59"/>
    <w:rsid w:val="0095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511E"/>
    <w:rPr>
      <w:sz w:val="16"/>
      <w:szCs w:val="16"/>
    </w:rPr>
  </w:style>
  <w:style w:type="paragraph" w:styleId="CommentText">
    <w:name w:val="annotation text"/>
    <w:basedOn w:val="Normal"/>
    <w:link w:val="CommentTextChar"/>
    <w:uiPriority w:val="99"/>
    <w:semiHidden/>
    <w:unhideWhenUsed/>
    <w:rsid w:val="0004511E"/>
    <w:rPr>
      <w:sz w:val="20"/>
    </w:rPr>
  </w:style>
  <w:style w:type="character" w:customStyle="1" w:styleId="CommentTextChar">
    <w:name w:val="Comment Text Char"/>
    <w:basedOn w:val="DefaultParagraphFont"/>
    <w:link w:val="CommentText"/>
    <w:uiPriority w:val="99"/>
    <w:semiHidden/>
    <w:rsid w:val="000451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511E"/>
    <w:rPr>
      <w:b/>
      <w:bCs/>
    </w:rPr>
  </w:style>
  <w:style w:type="character" w:customStyle="1" w:styleId="CommentSubjectChar">
    <w:name w:val="Comment Subject Char"/>
    <w:basedOn w:val="CommentTextChar"/>
    <w:link w:val="CommentSubject"/>
    <w:uiPriority w:val="99"/>
    <w:semiHidden/>
    <w:rsid w:val="000451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5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11E"/>
    <w:rPr>
      <w:rFonts w:ascii="Segoe UI" w:eastAsia="Times New Roman" w:hAnsi="Segoe UI" w:cs="Segoe UI"/>
      <w:sz w:val="18"/>
      <w:szCs w:val="18"/>
    </w:rPr>
  </w:style>
  <w:style w:type="character" w:customStyle="1" w:styleId="Mention1">
    <w:name w:val="Mention1"/>
    <w:basedOn w:val="DefaultParagraphFont"/>
    <w:uiPriority w:val="99"/>
    <w:semiHidden/>
    <w:unhideWhenUsed/>
    <w:rsid w:val="004C63A9"/>
    <w:rPr>
      <w:color w:val="2B579A"/>
      <w:shd w:val="clear" w:color="auto" w:fill="E6E6E6"/>
    </w:rPr>
  </w:style>
  <w:style w:type="paragraph" w:styleId="ListParagraph">
    <w:name w:val="List Paragraph"/>
    <w:basedOn w:val="Normal"/>
    <w:uiPriority w:val="34"/>
    <w:qFormat/>
    <w:rsid w:val="000D7B65"/>
    <w:pPr>
      <w:ind w:left="720"/>
      <w:contextualSpacing/>
    </w:pPr>
  </w:style>
  <w:style w:type="character" w:customStyle="1" w:styleId="UnresolvedMention1">
    <w:name w:val="Unresolved Mention1"/>
    <w:basedOn w:val="DefaultParagraphFont"/>
    <w:uiPriority w:val="99"/>
    <w:semiHidden/>
    <w:unhideWhenUsed/>
    <w:rsid w:val="000D7B65"/>
    <w:rPr>
      <w:color w:val="808080"/>
      <w:shd w:val="clear" w:color="auto" w:fill="E6E6E6"/>
    </w:rPr>
  </w:style>
  <w:style w:type="character" w:customStyle="1" w:styleId="UnresolvedMention2">
    <w:name w:val="Unresolved Mention2"/>
    <w:basedOn w:val="DefaultParagraphFont"/>
    <w:uiPriority w:val="99"/>
    <w:semiHidden/>
    <w:unhideWhenUsed/>
    <w:rsid w:val="00B32EAC"/>
    <w:rPr>
      <w:color w:val="808080"/>
      <w:shd w:val="clear" w:color="auto" w:fill="E6E6E6"/>
    </w:rPr>
  </w:style>
  <w:style w:type="paragraph" w:styleId="Revision">
    <w:name w:val="Revision"/>
    <w:hidden/>
    <w:uiPriority w:val="99"/>
    <w:semiHidden/>
    <w:rsid w:val="00A92514"/>
    <w:pPr>
      <w:spacing w:after="0" w:line="240" w:lineRule="auto"/>
    </w:pPr>
    <w:rPr>
      <w:rFonts w:ascii="Times New Roman" w:eastAsia="Times New Roman" w:hAnsi="Times New Roman" w:cs="Times New Roman"/>
      <w:sz w:val="24"/>
      <w:szCs w:val="20"/>
    </w:rPr>
  </w:style>
  <w:style w:type="character" w:customStyle="1" w:styleId="UnresolvedMention3">
    <w:name w:val="Unresolved Mention3"/>
    <w:basedOn w:val="DefaultParagraphFont"/>
    <w:uiPriority w:val="99"/>
    <w:semiHidden/>
    <w:unhideWhenUsed/>
    <w:rsid w:val="003979A2"/>
    <w:rPr>
      <w:color w:val="808080"/>
      <w:shd w:val="clear" w:color="auto" w:fill="E6E6E6"/>
    </w:rPr>
  </w:style>
  <w:style w:type="character" w:customStyle="1" w:styleId="UnresolvedMention4">
    <w:name w:val="Unresolved Mention4"/>
    <w:basedOn w:val="DefaultParagraphFont"/>
    <w:uiPriority w:val="99"/>
    <w:semiHidden/>
    <w:unhideWhenUsed/>
    <w:rsid w:val="00D70C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2904">
      <w:bodyDiv w:val="1"/>
      <w:marLeft w:val="0"/>
      <w:marRight w:val="0"/>
      <w:marTop w:val="0"/>
      <w:marBottom w:val="0"/>
      <w:divBdr>
        <w:top w:val="none" w:sz="0" w:space="0" w:color="auto"/>
        <w:left w:val="none" w:sz="0" w:space="0" w:color="auto"/>
        <w:bottom w:val="none" w:sz="0" w:space="0" w:color="auto"/>
        <w:right w:val="none" w:sz="0" w:space="0" w:color="auto"/>
      </w:divBdr>
    </w:div>
    <w:div w:id="1774477964">
      <w:bodyDiv w:val="1"/>
      <w:marLeft w:val="0"/>
      <w:marRight w:val="0"/>
      <w:marTop w:val="0"/>
      <w:marBottom w:val="0"/>
      <w:divBdr>
        <w:top w:val="none" w:sz="0" w:space="0" w:color="auto"/>
        <w:left w:val="none" w:sz="0" w:space="0" w:color="auto"/>
        <w:bottom w:val="none" w:sz="0" w:space="0" w:color="auto"/>
        <w:right w:val="none" w:sz="0" w:space="0" w:color="auto"/>
      </w:divBdr>
    </w:div>
    <w:div w:id="20165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volvinggold.com" TargetMode="External"/><Relationship Id="rId1" Type="http://schemas.openxmlformats.org/officeDocument/2006/relationships/hyperlink" Target="mailto:info@evolvinggold.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volvinggold.com" TargetMode="External"/><Relationship Id="rId1" Type="http://schemas.openxmlformats.org/officeDocument/2006/relationships/hyperlink" Target="mailto:info@evolvinggo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34F2E-D719-459D-9199-13C4A6CE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Lauzier</dc:creator>
  <cp:lastModifiedBy>Charles Jenkins</cp:lastModifiedBy>
  <cp:revision>2</cp:revision>
  <cp:lastPrinted>2017-10-05T14:32:00Z</cp:lastPrinted>
  <dcterms:created xsi:type="dcterms:W3CDTF">2017-11-09T16:44:00Z</dcterms:created>
  <dcterms:modified xsi:type="dcterms:W3CDTF">2017-11-09T16:44:00Z</dcterms:modified>
</cp:coreProperties>
</file>