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C6BE66" w14:textId="77777777" w:rsidR="0023080E" w:rsidRDefault="0023080E" w:rsidP="0023080E">
      <w:pPr>
        <w:spacing w:before="240"/>
        <w:jc w:val="center"/>
        <w:rPr>
          <w:b/>
        </w:rPr>
      </w:pPr>
    </w:p>
    <w:p w14:paraId="4D834165" w14:textId="77777777" w:rsidR="0023080E" w:rsidRPr="00735713" w:rsidRDefault="0023080E" w:rsidP="0023080E">
      <w:pPr>
        <w:spacing w:before="240"/>
        <w:jc w:val="center"/>
        <w:rPr>
          <w:rFonts w:ascii="Verdana" w:hAnsi="Verdana" w:cs="Times New Roman"/>
          <w:b/>
          <w:bCs/>
          <w:color w:val="000000"/>
          <w:sz w:val="28"/>
          <w:szCs w:val="28"/>
          <w:lang w:val="en-CA"/>
        </w:rPr>
      </w:pPr>
      <w:r w:rsidRPr="00735713">
        <w:rPr>
          <w:b/>
        </w:rPr>
        <w:t xml:space="preserve">NOT FOR DISTRIBUTION TO UNITED STATES NEWSWIRE SERVICES OR FOR DISSEMINATION IN </w:t>
      </w:r>
      <w:r>
        <w:rPr>
          <w:b/>
        </w:rPr>
        <w:t>THE UNITED STATES.</w:t>
      </w:r>
    </w:p>
    <w:p w14:paraId="3F70A0B9" w14:textId="77777777" w:rsidR="0023080E" w:rsidRDefault="0023080E" w:rsidP="0023080E">
      <w:pPr>
        <w:spacing w:before="240"/>
        <w:jc w:val="center"/>
        <w:rPr>
          <w:rFonts w:ascii="Verdana" w:hAnsi="Verdana" w:cs="Times New Roman"/>
          <w:b/>
          <w:bCs/>
          <w:color w:val="000000"/>
          <w:sz w:val="28"/>
          <w:szCs w:val="28"/>
          <w:lang w:val="en-CA"/>
        </w:rPr>
      </w:pPr>
      <w:r w:rsidRPr="00B205AA">
        <w:rPr>
          <w:rFonts w:ascii="Verdana" w:hAnsi="Verdana" w:cs="Times New Roman"/>
          <w:b/>
          <w:bCs/>
          <w:color w:val="000000"/>
          <w:sz w:val="28"/>
          <w:szCs w:val="28"/>
          <w:lang w:val="en-CA"/>
        </w:rPr>
        <w:t xml:space="preserve">EMPOWER ANNOUNCES </w:t>
      </w:r>
      <w:r>
        <w:rPr>
          <w:rFonts w:ascii="Verdana" w:hAnsi="Verdana" w:cs="Times New Roman"/>
          <w:b/>
          <w:bCs/>
          <w:color w:val="000000"/>
          <w:sz w:val="28"/>
          <w:szCs w:val="28"/>
          <w:lang w:val="en-CA"/>
        </w:rPr>
        <w:t xml:space="preserve">SECOND TRANCHE </w:t>
      </w:r>
      <w:r w:rsidRPr="00B205AA">
        <w:rPr>
          <w:rFonts w:ascii="Verdana" w:hAnsi="Verdana" w:cs="Times New Roman"/>
          <w:b/>
          <w:bCs/>
          <w:color w:val="000000"/>
          <w:sz w:val="28"/>
          <w:szCs w:val="28"/>
          <w:lang w:val="en-CA"/>
        </w:rPr>
        <w:t>CLOSING OF DEBENTURE AND UNIT OFFERINGS</w:t>
      </w:r>
      <w:r>
        <w:rPr>
          <w:rFonts w:ascii="Verdana" w:hAnsi="Verdana" w:cs="Times New Roman"/>
          <w:b/>
          <w:bCs/>
          <w:color w:val="000000"/>
          <w:sz w:val="28"/>
          <w:szCs w:val="28"/>
          <w:lang w:val="en-CA"/>
        </w:rPr>
        <w:t xml:space="preserve"> AND ANNOUNCES BOARD OF DIRECTOR CHANGES</w:t>
      </w:r>
    </w:p>
    <w:p w14:paraId="5ED2BBA9" w14:textId="77777777" w:rsidR="0023080E" w:rsidRPr="00876E46" w:rsidRDefault="0023080E" w:rsidP="0023080E">
      <w:pPr>
        <w:spacing w:before="240"/>
        <w:jc w:val="both"/>
        <w:rPr>
          <w:rFonts w:ascii="Verdana" w:hAnsi="Verdana" w:cs="Times New Roman"/>
          <w:color w:val="000000"/>
          <w:lang w:val="en-CA"/>
        </w:rPr>
      </w:pPr>
      <w:r w:rsidRPr="00876E46">
        <w:rPr>
          <w:rFonts w:ascii="Verdana" w:eastAsia="Times New Roman" w:hAnsi="Verdana" w:cs="Arial"/>
          <w:b/>
        </w:rPr>
        <w:t xml:space="preserve">VANCOUVER BC: </w:t>
      </w:r>
      <w:r>
        <w:rPr>
          <w:rFonts w:ascii="Verdana" w:eastAsia="Times New Roman" w:hAnsi="Verdana" w:cs="Arial"/>
          <w:b/>
        </w:rPr>
        <w:t>May 3</w:t>
      </w:r>
      <w:r w:rsidRPr="00876E46">
        <w:rPr>
          <w:rFonts w:ascii="Verdana" w:eastAsia="Times New Roman" w:hAnsi="Verdana" w:cs="Arial"/>
          <w:b/>
        </w:rPr>
        <w:t xml:space="preserve">, 2019 – </w:t>
      </w:r>
      <w:r w:rsidRPr="00876E46">
        <w:rPr>
          <w:rFonts w:ascii="Verdana" w:hAnsi="Verdana" w:cs="Arial"/>
          <w:b/>
        </w:rPr>
        <w:t>EMPOWER CLINICS INC.</w:t>
      </w:r>
      <w:r w:rsidR="00316E02">
        <w:rPr>
          <w:rFonts w:ascii="Verdana" w:hAnsi="Verdana" w:cs="Arial"/>
        </w:rPr>
        <w:t xml:space="preserve"> (CSE: CBDT</w:t>
      </w:r>
      <w:bookmarkStart w:id="0" w:name="_GoBack"/>
      <w:bookmarkEnd w:id="0"/>
      <w:r w:rsidRPr="00876E46">
        <w:rPr>
          <w:rFonts w:ascii="Verdana" w:hAnsi="Verdana" w:cs="Arial"/>
        </w:rPr>
        <w:t>) (Frankfurt 8EC) (“</w:t>
      </w:r>
      <w:r w:rsidRPr="00876E46">
        <w:rPr>
          <w:rFonts w:ascii="Verdana" w:hAnsi="Verdana" w:cs="Arial"/>
          <w:b/>
        </w:rPr>
        <w:t>Empower</w:t>
      </w:r>
      <w:r w:rsidRPr="00876E46">
        <w:rPr>
          <w:rFonts w:ascii="Verdana" w:hAnsi="Verdana" w:cs="Arial"/>
        </w:rPr>
        <w:t>” or the “</w:t>
      </w:r>
      <w:r w:rsidRPr="00876E46">
        <w:rPr>
          <w:rFonts w:ascii="Verdana" w:hAnsi="Verdana" w:cs="Arial"/>
          <w:b/>
        </w:rPr>
        <w:t>Company</w:t>
      </w:r>
      <w:r w:rsidRPr="00876E46">
        <w:rPr>
          <w:rFonts w:ascii="Verdana" w:hAnsi="Verdana" w:cs="Arial"/>
        </w:rPr>
        <w:t xml:space="preserve">”), </w:t>
      </w:r>
      <w:r w:rsidRPr="00876E46">
        <w:rPr>
          <w:rFonts w:ascii="Verdana" w:hAnsi="Verdana"/>
        </w:rPr>
        <w:t>a growth oriented and diversified medical cannabis company, is pleased</w:t>
      </w:r>
      <w:r>
        <w:rPr>
          <w:rFonts w:ascii="Verdana" w:hAnsi="Verdana"/>
        </w:rPr>
        <w:t xml:space="preserve"> to</w:t>
      </w:r>
      <w:r w:rsidRPr="00876E46">
        <w:rPr>
          <w:rFonts w:ascii="Verdana" w:hAnsi="Verdana" w:cs="Times New Roman"/>
          <w:color w:val="000000"/>
          <w:lang w:val="en-CA"/>
        </w:rPr>
        <w:t xml:space="preserve"> announce the closing of </w:t>
      </w:r>
      <w:r>
        <w:rPr>
          <w:rFonts w:ascii="Verdana" w:hAnsi="Verdana" w:cs="Times New Roman"/>
          <w:color w:val="000000"/>
          <w:lang w:val="en-CA"/>
        </w:rPr>
        <w:t>the second tranche of a</w:t>
      </w:r>
      <w:r w:rsidRPr="00876E46">
        <w:rPr>
          <w:rFonts w:ascii="Verdana" w:hAnsi="Verdana" w:cs="Times New Roman"/>
          <w:color w:val="000000"/>
          <w:lang w:val="en-CA"/>
        </w:rPr>
        <w:t xml:space="preserve"> non-brokered private placement of unsecured convertible debentures (the “</w:t>
      </w:r>
      <w:r w:rsidRPr="00876E46">
        <w:rPr>
          <w:rFonts w:ascii="Verdana" w:hAnsi="Verdana" w:cs="Times New Roman"/>
          <w:b/>
          <w:bCs/>
          <w:color w:val="000000"/>
          <w:lang w:val="en-CA"/>
        </w:rPr>
        <w:t>Debentures</w:t>
      </w:r>
      <w:r w:rsidRPr="00876E46">
        <w:rPr>
          <w:rFonts w:ascii="Verdana" w:hAnsi="Verdana" w:cs="Times New Roman"/>
          <w:color w:val="000000"/>
          <w:lang w:val="en-CA"/>
        </w:rPr>
        <w:t>”)</w:t>
      </w:r>
      <w:r>
        <w:rPr>
          <w:rFonts w:ascii="Verdana" w:hAnsi="Verdana" w:cs="Times New Roman"/>
          <w:color w:val="000000"/>
          <w:lang w:val="en-CA"/>
        </w:rPr>
        <w:t xml:space="preserve">, pursuant to which it has issued Debentures </w:t>
      </w:r>
      <w:r w:rsidRPr="00876E46">
        <w:rPr>
          <w:rFonts w:ascii="Verdana" w:hAnsi="Verdana" w:cs="Times New Roman"/>
          <w:color w:val="000000"/>
          <w:lang w:val="en-CA"/>
        </w:rPr>
        <w:t>in the aggregate principal amount of $</w:t>
      </w:r>
      <w:r>
        <w:rPr>
          <w:rFonts w:ascii="Verdana" w:hAnsi="Verdana" w:cs="Times New Roman"/>
          <w:color w:val="000000"/>
          <w:lang w:val="en-CA"/>
        </w:rPr>
        <w:t xml:space="preserve">207,270, </w:t>
      </w:r>
      <w:r w:rsidRPr="00876E46">
        <w:rPr>
          <w:rFonts w:ascii="Verdana" w:hAnsi="Verdana" w:cs="Times New Roman"/>
          <w:color w:val="000000"/>
          <w:lang w:val="en-CA"/>
        </w:rPr>
        <w:t xml:space="preserve">and </w:t>
      </w:r>
      <w:r>
        <w:rPr>
          <w:rFonts w:ascii="Verdana" w:hAnsi="Verdana" w:cs="Times New Roman"/>
          <w:color w:val="000000"/>
          <w:lang w:val="en-CA"/>
        </w:rPr>
        <w:t>the second tranche of a</w:t>
      </w:r>
      <w:r w:rsidRPr="00876E46">
        <w:rPr>
          <w:rFonts w:ascii="Verdana" w:hAnsi="Verdana" w:cs="Times New Roman"/>
          <w:color w:val="000000"/>
          <w:lang w:val="en-CA"/>
        </w:rPr>
        <w:t xml:space="preserve"> non-brokered private placement of an aggregate of </w:t>
      </w:r>
      <w:r>
        <w:rPr>
          <w:rFonts w:ascii="Verdana" w:hAnsi="Verdana" w:cs="Times New Roman"/>
          <w:color w:val="000000"/>
          <w:lang w:val="en-CA"/>
        </w:rPr>
        <w:t>5,762,500</w:t>
      </w:r>
      <w:r w:rsidRPr="00876E46">
        <w:rPr>
          <w:rFonts w:ascii="Verdana" w:hAnsi="Verdana" w:cs="Times New Roman"/>
          <w:color w:val="000000"/>
          <w:lang w:val="en-CA"/>
        </w:rPr>
        <w:t xml:space="preserve"> units of the Company (each, a </w:t>
      </w:r>
      <w:r w:rsidRPr="00876E46">
        <w:rPr>
          <w:rFonts w:ascii="Verdana" w:hAnsi="Verdana" w:cs="Times New Roman"/>
          <w:b/>
          <w:bCs/>
          <w:color w:val="000000"/>
          <w:lang w:val="en-CA"/>
        </w:rPr>
        <w:t>Unit</w:t>
      </w:r>
      <w:r w:rsidRPr="00876E46">
        <w:rPr>
          <w:rFonts w:ascii="Verdana" w:hAnsi="Verdana" w:cs="Times New Roman"/>
          <w:color w:val="000000"/>
          <w:lang w:val="en-CA"/>
        </w:rPr>
        <w:t>") at a price of $0.10 per Unit for gross proceeds of $</w:t>
      </w:r>
      <w:r>
        <w:rPr>
          <w:rFonts w:ascii="Verdana" w:hAnsi="Verdana" w:cs="Times New Roman"/>
          <w:color w:val="000000"/>
          <w:lang w:val="en-CA"/>
        </w:rPr>
        <w:t xml:space="preserve">576,250, for combined </w:t>
      </w:r>
      <w:r w:rsidRPr="00876E46">
        <w:rPr>
          <w:rFonts w:ascii="Verdana" w:hAnsi="Verdana" w:cs="Times New Roman"/>
          <w:color w:val="000000"/>
          <w:lang w:val="en-CA"/>
        </w:rPr>
        <w:t xml:space="preserve">total </w:t>
      </w:r>
      <w:r>
        <w:rPr>
          <w:rFonts w:ascii="Verdana" w:hAnsi="Verdana" w:cs="Times New Roman"/>
          <w:color w:val="000000"/>
          <w:lang w:val="en-CA"/>
        </w:rPr>
        <w:t xml:space="preserve">proceeds </w:t>
      </w:r>
      <w:r w:rsidRPr="00876E46">
        <w:rPr>
          <w:rFonts w:ascii="Verdana" w:hAnsi="Verdana" w:cs="Times New Roman"/>
          <w:color w:val="000000"/>
          <w:lang w:val="en-CA"/>
        </w:rPr>
        <w:t xml:space="preserve">of </w:t>
      </w:r>
      <w:r w:rsidRPr="00266D91">
        <w:rPr>
          <w:rFonts w:ascii="Verdana" w:hAnsi="Verdana" w:cs="Times New Roman"/>
          <w:color w:val="000000"/>
          <w:lang w:val="en-CA"/>
        </w:rPr>
        <w:t>$783,520 (</w:t>
      </w:r>
      <w:r w:rsidRPr="00876E46">
        <w:rPr>
          <w:rFonts w:ascii="Verdana" w:hAnsi="Verdana" w:cs="Times New Roman"/>
          <w:color w:val="000000"/>
          <w:lang w:val="en-CA"/>
        </w:rPr>
        <w:t>together, the "</w:t>
      </w:r>
      <w:r w:rsidRPr="00876E46">
        <w:rPr>
          <w:rFonts w:ascii="Verdana" w:hAnsi="Verdana" w:cs="Times New Roman"/>
          <w:b/>
          <w:bCs/>
          <w:color w:val="000000"/>
          <w:lang w:val="en-CA"/>
        </w:rPr>
        <w:t>Offerings</w:t>
      </w:r>
      <w:r w:rsidRPr="00876E46">
        <w:rPr>
          <w:rFonts w:ascii="Verdana" w:hAnsi="Verdana" w:cs="Times New Roman"/>
          <w:color w:val="000000"/>
          <w:lang w:val="en-CA"/>
        </w:rPr>
        <w:t>").</w:t>
      </w:r>
    </w:p>
    <w:p w14:paraId="55763628" w14:textId="77777777" w:rsidR="0023080E" w:rsidRPr="00876E46" w:rsidRDefault="0023080E" w:rsidP="0023080E">
      <w:pPr>
        <w:jc w:val="both"/>
        <w:rPr>
          <w:rFonts w:ascii="Verdana" w:hAnsi="Verdana" w:cs="Times New Roman"/>
          <w:color w:val="000000"/>
          <w:lang w:val="en-CA"/>
        </w:rPr>
      </w:pPr>
    </w:p>
    <w:p w14:paraId="33088EB9" w14:textId="77777777" w:rsidR="0023080E" w:rsidRPr="00876E46" w:rsidRDefault="0023080E" w:rsidP="0023080E">
      <w:pPr>
        <w:jc w:val="both"/>
        <w:rPr>
          <w:rFonts w:ascii="Verdana" w:hAnsi="Verdana" w:cs="Times New Roman"/>
          <w:color w:val="000000"/>
          <w:lang w:val="en-CA"/>
        </w:rPr>
      </w:pPr>
      <w:r w:rsidRPr="00876E46">
        <w:rPr>
          <w:rFonts w:ascii="Verdana" w:hAnsi="Verdana" w:cs="Times New Roman"/>
          <w:color w:val="000000"/>
          <w:lang w:val="en-CA"/>
        </w:rPr>
        <w:t xml:space="preserve">The proceeds of the Offerings </w:t>
      </w:r>
      <w:proofErr w:type="gramStart"/>
      <w:r w:rsidRPr="00876E46">
        <w:rPr>
          <w:rFonts w:ascii="Verdana" w:hAnsi="Verdana" w:cs="Times New Roman"/>
          <w:color w:val="000000"/>
          <w:lang w:val="en-CA"/>
        </w:rPr>
        <w:t>are expected to be used</w:t>
      </w:r>
      <w:proofErr w:type="gramEnd"/>
      <w:r w:rsidRPr="00876E46">
        <w:rPr>
          <w:rFonts w:ascii="Verdana" w:hAnsi="Verdana" w:cs="Times New Roman"/>
          <w:color w:val="000000"/>
          <w:lang w:val="en-CA"/>
        </w:rPr>
        <w:t xml:space="preserve"> by the Company for the completion of strategic acquisitions and for general working capital and corporate purposes.</w:t>
      </w:r>
    </w:p>
    <w:p w14:paraId="6A582227" w14:textId="77777777" w:rsidR="0023080E" w:rsidRDefault="0023080E" w:rsidP="0023080E">
      <w:pPr>
        <w:jc w:val="both"/>
        <w:rPr>
          <w:rFonts w:ascii="Verdana" w:hAnsi="Verdana"/>
        </w:rPr>
      </w:pPr>
    </w:p>
    <w:p w14:paraId="52230EEE" w14:textId="77777777" w:rsidR="0023080E" w:rsidRPr="00266D91" w:rsidRDefault="0023080E" w:rsidP="0023080E">
      <w:pPr>
        <w:jc w:val="both"/>
        <w:rPr>
          <w:rFonts w:ascii="Verdana" w:hAnsi="Verdana" w:cs="Times New Roman"/>
          <w:color w:val="000000"/>
          <w:lang w:val="en-CA"/>
        </w:rPr>
      </w:pPr>
      <w:r w:rsidRPr="00876E46">
        <w:rPr>
          <w:rFonts w:ascii="Verdana" w:hAnsi="Verdana"/>
        </w:rPr>
        <w:t xml:space="preserve">“The strong support </w:t>
      </w:r>
      <w:r>
        <w:rPr>
          <w:rFonts w:ascii="Verdana" w:hAnsi="Verdana"/>
        </w:rPr>
        <w:t>of</w:t>
      </w:r>
      <w:r w:rsidRPr="00876E46">
        <w:rPr>
          <w:rFonts w:ascii="Verdana" w:hAnsi="Verdana"/>
        </w:rPr>
        <w:t xml:space="preserve"> our financing round demonstrates that shareholders and investors have fai</w:t>
      </w:r>
      <w:r>
        <w:rPr>
          <w:rFonts w:ascii="Verdana" w:hAnsi="Verdana"/>
        </w:rPr>
        <w:t xml:space="preserve">th in our ability to execute on </w:t>
      </w:r>
      <w:r w:rsidRPr="00876E46">
        <w:rPr>
          <w:rFonts w:ascii="Verdana" w:hAnsi="Verdana"/>
        </w:rPr>
        <w:t xml:space="preserve">initiatives, as we establish vertical integration connecting patient efficacy in our clinics with a diverse CBD product strategy and the backing of the science of extraction, </w:t>
      </w:r>
      <w:r>
        <w:rPr>
          <w:rFonts w:ascii="Verdana" w:hAnsi="Verdana"/>
        </w:rPr>
        <w:t>all driven by data and analysis,</w:t>
      </w:r>
      <w:r w:rsidRPr="00876E46">
        <w:rPr>
          <w:rFonts w:ascii="Verdana" w:hAnsi="Verdana"/>
        </w:rPr>
        <w:t>” stated Steven McAuley, Empower Chairman and CEO.</w:t>
      </w:r>
    </w:p>
    <w:p w14:paraId="2600955B" w14:textId="77777777" w:rsidR="0023080E" w:rsidRPr="00876E46" w:rsidRDefault="0023080E" w:rsidP="0023080E">
      <w:pPr>
        <w:jc w:val="both"/>
        <w:rPr>
          <w:rFonts w:ascii="Verdana" w:hAnsi="Verdana"/>
          <w:b/>
        </w:rPr>
      </w:pPr>
    </w:p>
    <w:p w14:paraId="7F6E962D" w14:textId="77777777" w:rsidR="0023080E" w:rsidRPr="00876E46" w:rsidRDefault="0023080E" w:rsidP="0023080E">
      <w:pPr>
        <w:jc w:val="both"/>
        <w:rPr>
          <w:rFonts w:ascii="Verdana" w:hAnsi="Verdana"/>
          <w:b/>
        </w:rPr>
      </w:pPr>
      <w:r>
        <w:rPr>
          <w:rFonts w:ascii="Verdana" w:hAnsi="Verdana"/>
          <w:b/>
        </w:rPr>
        <w:t>RECENT</w:t>
      </w:r>
      <w:r w:rsidRPr="00876E46">
        <w:rPr>
          <w:rFonts w:ascii="Verdana" w:hAnsi="Verdana"/>
          <w:b/>
        </w:rPr>
        <w:t xml:space="preserve"> HIGHLIGHTS</w:t>
      </w:r>
    </w:p>
    <w:p w14:paraId="50843F8C" w14:textId="77777777" w:rsidR="0023080E" w:rsidRPr="00876E46" w:rsidRDefault="0023080E" w:rsidP="0023080E">
      <w:pPr>
        <w:jc w:val="both"/>
        <w:rPr>
          <w:rFonts w:ascii="Verdana" w:hAnsi="Verdana"/>
          <w:b/>
        </w:rPr>
      </w:pPr>
    </w:p>
    <w:p w14:paraId="7C86B9CB" w14:textId="77777777" w:rsidR="0023080E" w:rsidRDefault="0023080E" w:rsidP="0023080E">
      <w:pPr>
        <w:pStyle w:val="ListParagraph"/>
        <w:numPr>
          <w:ilvl w:val="0"/>
          <w:numId w:val="4"/>
        </w:numPr>
        <w:jc w:val="both"/>
        <w:rPr>
          <w:rFonts w:ascii="Verdana" w:hAnsi="Verdana"/>
        </w:rPr>
      </w:pPr>
      <w:r w:rsidRPr="0023080E">
        <w:rPr>
          <w:rFonts w:ascii="Verdana" w:hAnsi="Verdana"/>
          <w:b/>
        </w:rPr>
        <w:t>Intention to Launch CBD Extraction Facility</w:t>
      </w:r>
      <w:r w:rsidRPr="0023080E">
        <w:rPr>
          <w:rFonts w:ascii="Verdana" w:hAnsi="Verdana"/>
        </w:rPr>
        <w:t xml:space="preserve"> The Company intends to open a fully functioning hemp-based CBD extraction facility in greater Portland, Oregon in Q2 2019, with the first extraction system expected to have the capacity to produce 6,000 kilograms of extracted product per year. </w:t>
      </w:r>
      <w:r>
        <w:rPr>
          <w:rFonts w:ascii="Verdana" w:hAnsi="Verdana"/>
        </w:rPr>
        <w:t>The 5,000 sq. ft. facility in Sandy, OR has now been secured through a 5 year lease agreement and preparations are underway to begin licensing and permit requirements to commence operations in 2019.</w:t>
      </w:r>
    </w:p>
    <w:p w14:paraId="57929C14" w14:textId="77777777" w:rsidR="0023080E" w:rsidRPr="0023080E" w:rsidRDefault="0023080E" w:rsidP="0023080E">
      <w:pPr>
        <w:jc w:val="both"/>
        <w:rPr>
          <w:rFonts w:ascii="Verdana" w:hAnsi="Verdana"/>
        </w:rPr>
      </w:pPr>
    </w:p>
    <w:p w14:paraId="2E7A8482" w14:textId="77777777" w:rsidR="0023080E" w:rsidRPr="00876E46" w:rsidRDefault="0023080E" w:rsidP="0023080E">
      <w:pPr>
        <w:pStyle w:val="ListParagraph"/>
        <w:numPr>
          <w:ilvl w:val="0"/>
          <w:numId w:val="3"/>
        </w:numPr>
        <w:jc w:val="both"/>
        <w:rPr>
          <w:rFonts w:ascii="Verdana" w:hAnsi="Verdana"/>
        </w:rPr>
      </w:pPr>
      <w:r w:rsidRPr="00876E46">
        <w:rPr>
          <w:rFonts w:ascii="Verdana" w:hAnsi="Verdana"/>
          <w:b/>
        </w:rPr>
        <w:t xml:space="preserve">Acquisition of Sun Valley Clinics </w:t>
      </w:r>
      <w:r w:rsidRPr="00876E46">
        <w:rPr>
          <w:rFonts w:ascii="Verdana" w:hAnsi="Verdana"/>
        </w:rPr>
        <w:t xml:space="preserve">Empower has </w:t>
      </w:r>
      <w:r>
        <w:rPr>
          <w:rFonts w:ascii="Verdana" w:hAnsi="Verdana"/>
        </w:rPr>
        <w:t>completed the acquisition of</w:t>
      </w:r>
      <w:r w:rsidRPr="00876E46">
        <w:rPr>
          <w:rFonts w:ascii="Verdana" w:hAnsi="Verdana"/>
        </w:rPr>
        <w:t xml:space="preserve"> the business of Sun Valley Certification Clinics Holdings LLC (“</w:t>
      </w:r>
      <w:r w:rsidRPr="00876E46">
        <w:rPr>
          <w:rFonts w:ascii="Verdana" w:hAnsi="Verdana"/>
          <w:b/>
        </w:rPr>
        <w:t>Sun Valley</w:t>
      </w:r>
      <w:r w:rsidRPr="00876E46">
        <w:rPr>
          <w:rFonts w:ascii="Verdana" w:hAnsi="Verdana"/>
        </w:rPr>
        <w:t xml:space="preserve">”), including its interests in certain affiliates, by way of a share acquisition. Sun Valley operates a network of professional medical cannabis and pain management practices, with five clinics in Arizona, one clinic in Las Vegas, a </w:t>
      </w:r>
      <w:proofErr w:type="spellStart"/>
      <w:r w:rsidRPr="00876E46">
        <w:rPr>
          <w:rFonts w:ascii="Verdana" w:hAnsi="Verdana"/>
        </w:rPr>
        <w:t>tele</w:t>
      </w:r>
      <w:proofErr w:type="spellEnd"/>
      <w:r w:rsidRPr="00876E46">
        <w:rPr>
          <w:rFonts w:ascii="Verdana" w:hAnsi="Verdana"/>
        </w:rPr>
        <w:t>-medicine platform serving California, and a fully developed franchise business model for the domestic cannabis industry. The current Sun Valley clinic locations are as follows:</w:t>
      </w:r>
    </w:p>
    <w:p w14:paraId="2D3A2F84" w14:textId="77777777" w:rsidR="0023080E" w:rsidRPr="00876E46" w:rsidRDefault="0023080E" w:rsidP="0023080E">
      <w:pPr>
        <w:ind w:left="360"/>
        <w:jc w:val="both"/>
        <w:rPr>
          <w:rFonts w:ascii="Verdana" w:hAnsi="Verdana"/>
          <w:lang w:val="en-CA"/>
        </w:rPr>
      </w:pPr>
    </w:p>
    <w:p w14:paraId="2C3DAEF3" w14:textId="77777777" w:rsidR="0023080E" w:rsidRPr="00876E46" w:rsidRDefault="0023080E" w:rsidP="0023080E">
      <w:pPr>
        <w:ind w:left="1890"/>
        <w:jc w:val="both"/>
        <w:rPr>
          <w:rFonts w:ascii="Verdana" w:hAnsi="Verdana"/>
          <w:lang w:val="en-CA"/>
        </w:rPr>
      </w:pPr>
      <w:r w:rsidRPr="00876E46">
        <w:rPr>
          <w:rFonts w:ascii="Verdana" w:hAnsi="Verdana"/>
          <w:lang w:val="en-CA"/>
        </w:rPr>
        <w:t xml:space="preserve">4218 W Dunlap Ave, Phoenix, AZ </w:t>
      </w:r>
    </w:p>
    <w:p w14:paraId="556D6B81" w14:textId="77777777" w:rsidR="0023080E" w:rsidRPr="00876E46" w:rsidRDefault="0023080E" w:rsidP="0023080E">
      <w:pPr>
        <w:ind w:left="1890"/>
        <w:jc w:val="both"/>
        <w:rPr>
          <w:rFonts w:ascii="Verdana" w:hAnsi="Verdana"/>
          <w:lang w:val="en-CA"/>
        </w:rPr>
      </w:pPr>
      <w:r w:rsidRPr="00876E46">
        <w:rPr>
          <w:rFonts w:ascii="Verdana" w:hAnsi="Verdana"/>
          <w:lang w:val="en-CA"/>
        </w:rPr>
        <w:t>12801 W Bell Rd #145, Surprise, AZ</w:t>
      </w:r>
    </w:p>
    <w:p w14:paraId="61C21BC9" w14:textId="77777777" w:rsidR="0023080E" w:rsidRPr="00876E46" w:rsidRDefault="0023080E" w:rsidP="0023080E">
      <w:pPr>
        <w:ind w:left="1890"/>
        <w:jc w:val="both"/>
        <w:rPr>
          <w:rFonts w:ascii="Verdana" w:hAnsi="Verdana"/>
          <w:lang w:val="en-CA"/>
        </w:rPr>
      </w:pPr>
      <w:r w:rsidRPr="00876E46">
        <w:rPr>
          <w:rFonts w:ascii="Verdana" w:hAnsi="Verdana"/>
          <w:lang w:val="en-CA"/>
        </w:rPr>
        <w:t>4015 E Bell Rd #130, Phoenix, AZ</w:t>
      </w:r>
    </w:p>
    <w:p w14:paraId="6EB0EBBF" w14:textId="77777777" w:rsidR="0023080E" w:rsidRPr="00876E46" w:rsidRDefault="0023080E" w:rsidP="0023080E">
      <w:pPr>
        <w:ind w:left="1890"/>
        <w:jc w:val="both"/>
        <w:rPr>
          <w:rFonts w:ascii="Verdana" w:hAnsi="Verdana"/>
          <w:lang w:val="en-CA"/>
        </w:rPr>
      </w:pPr>
      <w:r w:rsidRPr="00876E46">
        <w:rPr>
          <w:rFonts w:ascii="Verdana" w:hAnsi="Verdana"/>
          <w:lang w:val="en-CA"/>
        </w:rPr>
        <w:t xml:space="preserve">2011 E University </w:t>
      </w:r>
      <w:proofErr w:type="spellStart"/>
      <w:r w:rsidRPr="00876E46">
        <w:rPr>
          <w:rFonts w:ascii="Verdana" w:hAnsi="Verdana"/>
          <w:lang w:val="en-CA"/>
        </w:rPr>
        <w:t>Dr</w:t>
      </w:r>
      <w:proofErr w:type="spellEnd"/>
      <w:r w:rsidRPr="00876E46">
        <w:rPr>
          <w:rFonts w:ascii="Verdana" w:hAnsi="Verdana"/>
          <w:lang w:val="en-CA"/>
        </w:rPr>
        <w:t>, Mesa, AZ</w:t>
      </w:r>
    </w:p>
    <w:p w14:paraId="1450F6A6" w14:textId="77777777" w:rsidR="0023080E" w:rsidRPr="00876E46" w:rsidRDefault="0023080E" w:rsidP="0023080E">
      <w:pPr>
        <w:ind w:left="1890"/>
        <w:jc w:val="both"/>
        <w:rPr>
          <w:rFonts w:ascii="Verdana" w:hAnsi="Verdana"/>
          <w:lang w:val="en-CA"/>
        </w:rPr>
      </w:pPr>
      <w:r w:rsidRPr="00876E46">
        <w:rPr>
          <w:rFonts w:ascii="Verdana" w:hAnsi="Verdana"/>
          <w:lang w:val="en-CA"/>
        </w:rPr>
        <w:t>7074 E Speedway Blvd, Tucson, AZ</w:t>
      </w:r>
    </w:p>
    <w:p w14:paraId="01130651" w14:textId="77777777" w:rsidR="0023080E" w:rsidRPr="00876E46" w:rsidRDefault="0023080E" w:rsidP="0023080E">
      <w:pPr>
        <w:ind w:left="1890"/>
        <w:jc w:val="both"/>
        <w:rPr>
          <w:rFonts w:ascii="Verdana" w:hAnsi="Verdana"/>
          <w:lang w:val="en-CA"/>
        </w:rPr>
      </w:pPr>
      <w:r w:rsidRPr="00876E46">
        <w:rPr>
          <w:rFonts w:ascii="Verdana" w:hAnsi="Verdana"/>
          <w:lang w:val="en-CA"/>
        </w:rPr>
        <w:t>2550 S Rainbow Blvd, Las Vegas, NV</w:t>
      </w:r>
    </w:p>
    <w:p w14:paraId="51E5F3E4" w14:textId="77777777" w:rsidR="0023080E" w:rsidRPr="00876E46" w:rsidRDefault="0023080E" w:rsidP="0023080E">
      <w:pPr>
        <w:rPr>
          <w:rFonts w:ascii="Verdana" w:hAnsi="Verdana"/>
        </w:rPr>
      </w:pPr>
    </w:p>
    <w:p w14:paraId="7DCA60F2" w14:textId="77777777" w:rsidR="0023080E" w:rsidRPr="00876E46" w:rsidRDefault="0023080E" w:rsidP="0023080E">
      <w:pPr>
        <w:pStyle w:val="ListParagraph"/>
        <w:numPr>
          <w:ilvl w:val="0"/>
          <w:numId w:val="3"/>
        </w:numPr>
        <w:jc w:val="both"/>
        <w:rPr>
          <w:rFonts w:ascii="Verdana" w:hAnsi="Verdana"/>
          <w:b/>
        </w:rPr>
      </w:pPr>
      <w:r w:rsidRPr="00876E46">
        <w:rPr>
          <w:rFonts w:ascii="Verdana" w:hAnsi="Verdana"/>
          <w:b/>
        </w:rPr>
        <w:t>Focus on CBD Product Sales</w:t>
      </w:r>
      <w:r w:rsidRPr="00876E46">
        <w:rPr>
          <w:rFonts w:ascii="Verdana" w:hAnsi="Verdana"/>
        </w:rPr>
        <w:t xml:space="preserve"> Empower has commenced selling its proprietary line of CBD-based products called SOLLIEVO, through its network of company-owned clinics in the United States. </w:t>
      </w:r>
      <w:proofErr w:type="spellStart"/>
      <w:r w:rsidRPr="00876E46">
        <w:rPr>
          <w:rFonts w:ascii="Verdana" w:hAnsi="Verdana"/>
        </w:rPr>
        <w:t>Empower’s</w:t>
      </w:r>
      <w:proofErr w:type="spellEnd"/>
      <w:r w:rsidRPr="00876E46">
        <w:rPr>
          <w:rFonts w:ascii="Verdana" w:hAnsi="Verdana"/>
        </w:rPr>
        <w:t xml:space="preserve"> patient base and customers are expected to benefit from access to high margin derivative products, including CBD lotion, tinctures, spectrum oils, capsules, lozenges, patches, e-drinks, topical lotions, gel caps, hemp extract drops and pet elixir hemp extract drops. Patients and customers will be able to access </w:t>
      </w:r>
      <w:proofErr w:type="spellStart"/>
      <w:r w:rsidRPr="00876E46">
        <w:rPr>
          <w:rFonts w:ascii="Verdana" w:hAnsi="Verdana"/>
        </w:rPr>
        <w:t>Empower’s</w:t>
      </w:r>
      <w:proofErr w:type="spellEnd"/>
      <w:r w:rsidRPr="00876E46">
        <w:rPr>
          <w:rFonts w:ascii="Verdana" w:hAnsi="Verdana"/>
        </w:rPr>
        <w:t xml:space="preserve"> home delivery and e-commerce platform. </w:t>
      </w:r>
    </w:p>
    <w:p w14:paraId="57F61787" w14:textId="77777777" w:rsidR="0023080E" w:rsidRPr="00876E46" w:rsidRDefault="0023080E" w:rsidP="0023080E">
      <w:pPr>
        <w:jc w:val="both"/>
        <w:rPr>
          <w:rFonts w:ascii="Verdana" w:hAnsi="Verdana"/>
          <w:b/>
        </w:rPr>
      </w:pPr>
    </w:p>
    <w:p w14:paraId="16F17A60" w14:textId="77777777" w:rsidR="0023080E" w:rsidRPr="00876E46" w:rsidRDefault="0023080E" w:rsidP="0023080E">
      <w:pPr>
        <w:pStyle w:val="ListParagraph"/>
        <w:numPr>
          <w:ilvl w:val="0"/>
          <w:numId w:val="3"/>
        </w:numPr>
        <w:jc w:val="both"/>
        <w:rPr>
          <w:rFonts w:ascii="Verdana" w:hAnsi="Verdana"/>
        </w:rPr>
      </w:pPr>
      <w:r w:rsidRPr="00876E46">
        <w:rPr>
          <w:rFonts w:ascii="Verdana" w:hAnsi="Verdana"/>
          <w:b/>
        </w:rPr>
        <w:t>CBD Market Demand</w:t>
      </w:r>
      <w:r w:rsidRPr="00876E46">
        <w:rPr>
          <w:rFonts w:ascii="Verdana" w:hAnsi="Verdana"/>
        </w:rPr>
        <w:t xml:space="preserve"> The passing in the United States of the US$867 billion </w:t>
      </w:r>
      <w:r w:rsidRPr="00876E46">
        <w:rPr>
          <w:rFonts w:ascii="Verdana" w:hAnsi="Verdana"/>
          <w:i/>
        </w:rPr>
        <w:t xml:space="preserve">Agriculture Improvement Act </w:t>
      </w:r>
      <w:r w:rsidRPr="00876E46">
        <w:rPr>
          <w:rFonts w:ascii="Verdana" w:hAnsi="Verdana"/>
        </w:rPr>
        <w:t>(the “</w:t>
      </w:r>
      <w:r w:rsidRPr="00876E46">
        <w:rPr>
          <w:rFonts w:ascii="Verdana" w:hAnsi="Verdana"/>
          <w:b/>
        </w:rPr>
        <w:t>Farm Bill</w:t>
      </w:r>
      <w:r w:rsidRPr="00876E46">
        <w:rPr>
          <w:rFonts w:ascii="Verdana" w:hAnsi="Verdana"/>
        </w:rPr>
        <w:t>”) has legalized hemp and hemp-based products. This has created an opportunity for the production and sale of a variety of CBD-based products that can provide genuine help and effective relief to millions of people suffering from a variety of qualifying conditions. Recent reports and studies indicate the approval of the Farm Bill could create a US$20 billion industry by 2022.</w:t>
      </w:r>
    </w:p>
    <w:p w14:paraId="48F070AB" w14:textId="77777777" w:rsidR="0023080E" w:rsidRPr="00876E46" w:rsidRDefault="0023080E" w:rsidP="0023080E">
      <w:pPr>
        <w:ind w:left="360"/>
        <w:jc w:val="both"/>
        <w:rPr>
          <w:rFonts w:ascii="Verdana" w:hAnsi="Verdana"/>
          <w:b/>
        </w:rPr>
      </w:pPr>
    </w:p>
    <w:p w14:paraId="4B1F2803" w14:textId="77777777" w:rsidR="0023080E" w:rsidRPr="00876E46" w:rsidRDefault="0023080E" w:rsidP="0023080E">
      <w:pPr>
        <w:pStyle w:val="ListParagraph"/>
        <w:numPr>
          <w:ilvl w:val="0"/>
          <w:numId w:val="3"/>
        </w:numPr>
        <w:jc w:val="both"/>
        <w:rPr>
          <w:rFonts w:ascii="Verdana" w:hAnsi="Verdana"/>
          <w:b/>
        </w:rPr>
      </w:pPr>
      <w:r w:rsidRPr="00876E46">
        <w:rPr>
          <w:rFonts w:ascii="Verdana" w:hAnsi="Verdana"/>
          <w:b/>
        </w:rPr>
        <w:t>Increased Patient Access</w:t>
      </w:r>
      <w:r w:rsidRPr="00876E46">
        <w:rPr>
          <w:rFonts w:ascii="Verdana" w:hAnsi="Verdana"/>
        </w:rPr>
        <w:t xml:space="preserve"> With a rapidly expanding company-owned clinic network and significant expansion opportunity assuming the successful acquisition of the Sun Valley franchise model, Empower anticipates it will grow its total patient list substantially in the years ahead. This is expected to provide greater opportunity for treatment analysis using artificial intelligence (AI). </w:t>
      </w:r>
    </w:p>
    <w:p w14:paraId="054ED768" w14:textId="77777777" w:rsidR="0023080E" w:rsidRPr="00876E46" w:rsidRDefault="0023080E" w:rsidP="0023080E">
      <w:pPr>
        <w:ind w:left="360"/>
        <w:jc w:val="both"/>
        <w:rPr>
          <w:rFonts w:ascii="Verdana" w:hAnsi="Verdana"/>
          <w:b/>
        </w:rPr>
      </w:pPr>
    </w:p>
    <w:p w14:paraId="3CAA5BDE" w14:textId="77777777" w:rsidR="0023080E" w:rsidRPr="0040198B" w:rsidRDefault="0023080E" w:rsidP="0023080E">
      <w:pPr>
        <w:pStyle w:val="ListParagraph"/>
        <w:numPr>
          <w:ilvl w:val="0"/>
          <w:numId w:val="3"/>
        </w:numPr>
        <w:jc w:val="both"/>
        <w:rPr>
          <w:rFonts w:ascii="Verdana" w:hAnsi="Verdana"/>
          <w:b/>
        </w:rPr>
      </w:pPr>
      <w:r w:rsidRPr="00876E46">
        <w:rPr>
          <w:rFonts w:ascii="Verdana" w:hAnsi="Verdana"/>
          <w:b/>
        </w:rPr>
        <w:t>Market Leading Technology</w:t>
      </w:r>
      <w:r w:rsidRPr="00876E46">
        <w:rPr>
          <w:rFonts w:ascii="Verdana" w:hAnsi="Verdana"/>
        </w:rPr>
        <w:t xml:space="preserve"> Empower utilizes a market-leading patient electronic management and POS system that is HIPAA compliant and provides insight to patient care. The Company supports remote patients using its </w:t>
      </w:r>
      <w:proofErr w:type="spellStart"/>
      <w:r w:rsidRPr="00876E46">
        <w:rPr>
          <w:rFonts w:ascii="Verdana" w:hAnsi="Verdana"/>
        </w:rPr>
        <w:t>tele</w:t>
      </w:r>
      <w:proofErr w:type="spellEnd"/>
      <w:r w:rsidRPr="00876E46">
        <w:rPr>
          <w:rFonts w:ascii="Verdana" w:hAnsi="Verdana"/>
        </w:rPr>
        <w:t>-medicine portal, enabling patients who are unable to come to a location to ben</w:t>
      </w:r>
      <w:r>
        <w:rPr>
          <w:rFonts w:ascii="Verdana" w:hAnsi="Verdana"/>
        </w:rPr>
        <w:t>efit from a doctor consultation.</w:t>
      </w:r>
    </w:p>
    <w:p w14:paraId="6E931821" w14:textId="77777777" w:rsidR="0023080E" w:rsidRPr="00876E46" w:rsidRDefault="0023080E" w:rsidP="0023080E">
      <w:pPr>
        <w:spacing w:before="240"/>
        <w:jc w:val="both"/>
        <w:rPr>
          <w:rFonts w:ascii="Verdana" w:hAnsi="Verdana" w:cs="Times New Roman"/>
          <w:color w:val="000000"/>
          <w:lang w:val="en-CA"/>
        </w:rPr>
      </w:pPr>
      <w:r w:rsidRPr="00876E46">
        <w:rPr>
          <w:rFonts w:ascii="Verdana" w:hAnsi="Verdana" w:cs="Times New Roman"/>
          <w:color w:val="000000"/>
          <w:lang w:val="en-CA"/>
        </w:rPr>
        <w:t xml:space="preserve">The Debentures bear interest at the rate of 6.0% per annum and mature on </w:t>
      </w:r>
      <w:r>
        <w:rPr>
          <w:rFonts w:ascii="Verdana" w:hAnsi="Verdana" w:cs="Times New Roman"/>
          <w:color w:val="000000"/>
          <w:lang w:val="en-CA"/>
        </w:rPr>
        <w:t>May 3</w:t>
      </w:r>
      <w:r w:rsidRPr="00876E46">
        <w:rPr>
          <w:rFonts w:ascii="Verdana" w:hAnsi="Verdana" w:cs="Times New Roman"/>
          <w:color w:val="000000"/>
          <w:lang w:val="en-CA"/>
        </w:rPr>
        <w:t>, 2020, being 12 months from the closing of the Offerings (the "</w:t>
      </w:r>
      <w:r w:rsidRPr="00876E46">
        <w:rPr>
          <w:rFonts w:ascii="Verdana" w:hAnsi="Verdana" w:cs="Times New Roman"/>
          <w:b/>
          <w:bCs/>
          <w:color w:val="000000"/>
          <w:lang w:val="en-CA"/>
        </w:rPr>
        <w:t>Closing</w:t>
      </w:r>
      <w:r w:rsidRPr="00876E46">
        <w:rPr>
          <w:rFonts w:ascii="Verdana" w:hAnsi="Verdana" w:cs="Times New Roman"/>
          <w:color w:val="000000"/>
          <w:lang w:val="en-CA"/>
        </w:rPr>
        <w:t>"). The Debentures are convertible, at the option of the Company or the holder, into units of the Company (each, a “</w:t>
      </w:r>
      <w:r w:rsidRPr="00876E46">
        <w:rPr>
          <w:rFonts w:ascii="Verdana" w:hAnsi="Verdana" w:cs="Times New Roman"/>
          <w:b/>
          <w:bCs/>
          <w:color w:val="000000"/>
          <w:lang w:val="en-CA"/>
        </w:rPr>
        <w:t>Debenture Unit</w:t>
      </w:r>
      <w:r w:rsidRPr="00876E46">
        <w:rPr>
          <w:rFonts w:ascii="Verdana" w:hAnsi="Verdana" w:cs="Times New Roman"/>
          <w:color w:val="000000"/>
          <w:lang w:val="en-CA"/>
        </w:rPr>
        <w:t>”) at a conversion price of $0.11 per Debenture Unit, with each Debenture Unit consisting of one common share in the capital of the Company (each, a “</w:t>
      </w:r>
      <w:r w:rsidRPr="00876E46">
        <w:rPr>
          <w:rFonts w:ascii="Verdana" w:hAnsi="Verdana" w:cs="Times New Roman"/>
          <w:b/>
          <w:bCs/>
          <w:color w:val="000000"/>
          <w:lang w:val="en-CA"/>
        </w:rPr>
        <w:t>Share</w:t>
      </w:r>
      <w:r w:rsidRPr="00876E46">
        <w:rPr>
          <w:rFonts w:ascii="Verdana" w:hAnsi="Verdana" w:cs="Times New Roman"/>
          <w:color w:val="000000"/>
          <w:lang w:val="en-CA"/>
        </w:rPr>
        <w:t>”) and one share purchase warrant (each, a “</w:t>
      </w:r>
      <w:r w:rsidRPr="00876E46">
        <w:rPr>
          <w:rFonts w:ascii="Verdana" w:hAnsi="Verdana" w:cs="Times New Roman"/>
          <w:b/>
          <w:bCs/>
          <w:color w:val="000000"/>
          <w:lang w:val="en-CA"/>
        </w:rPr>
        <w:t>Warrant</w:t>
      </w:r>
      <w:r w:rsidRPr="00876E46">
        <w:rPr>
          <w:rFonts w:ascii="Verdana" w:hAnsi="Verdana" w:cs="Times New Roman"/>
          <w:color w:val="000000"/>
          <w:lang w:val="en-CA"/>
        </w:rPr>
        <w:t>”), with each Warrant exercisable into one Share (each, a “</w:t>
      </w:r>
      <w:r w:rsidRPr="00876E46">
        <w:rPr>
          <w:rFonts w:ascii="Verdana" w:hAnsi="Verdana" w:cs="Times New Roman"/>
          <w:b/>
          <w:bCs/>
          <w:color w:val="000000"/>
          <w:lang w:val="en-CA"/>
        </w:rPr>
        <w:t>Warrant Share</w:t>
      </w:r>
      <w:r w:rsidRPr="00876E46">
        <w:rPr>
          <w:rFonts w:ascii="Verdana" w:hAnsi="Verdana" w:cs="Times New Roman"/>
          <w:color w:val="000000"/>
          <w:lang w:val="en-CA"/>
        </w:rPr>
        <w:t xml:space="preserve">”) at a price of $0.16 per Warrant Share for a period of two years following the Closing, provided that the Company will have the right to accelerate the expiry date of the Warrants in the event that the closing sale price of the Shares on the </w:t>
      </w:r>
      <w:r w:rsidRPr="00876E46">
        <w:rPr>
          <w:rFonts w:ascii="Verdana" w:hAnsi="Verdana" w:cs="Times New Roman"/>
          <w:color w:val="000000"/>
          <w:lang w:val="en-CA"/>
        </w:rPr>
        <w:lastRenderedPageBreak/>
        <w:t>Canadian Securities Exchange (the "</w:t>
      </w:r>
      <w:r w:rsidRPr="00876E46">
        <w:rPr>
          <w:rFonts w:ascii="Verdana" w:hAnsi="Verdana" w:cs="Times New Roman"/>
          <w:b/>
          <w:bCs/>
          <w:color w:val="000000"/>
          <w:lang w:val="en-CA"/>
        </w:rPr>
        <w:t>CSE</w:t>
      </w:r>
      <w:r w:rsidRPr="00876E46">
        <w:rPr>
          <w:rFonts w:ascii="Verdana" w:hAnsi="Verdana" w:cs="Times New Roman"/>
          <w:color w:val="000000"/>
          <w:lang w:val="en-CA"/>
        </w:rPr>
        <w:t>") (or such other stock exchange as the Shares are then principally traded) is greater than $0.40 per Share for a period of 10 consecutive trading days at any time after the issuance of the Warrants.</w:t>
      </w:r>
    </w:p>
    <w:p w14:paraId="1C11AAF1" w14:textId="77777777" w:rsidR="0023080E" w:rsidRPr="00876E46" w:rsidRDefault="0023080E" w:rsidP="0023080E">
      <w:pPr>
        <w:spacing w:before="240"/>
        <w:jc w:val="both"/>
        <w:rPr>
          <w:rFonts w:ascii="Verdana" w:hAnsi="Verdana" w:cs="Times New Roman"/>
          <w:color w:val="000000"/>
          <w:lang w:val="en-CA"/>
        </w:rPr>
      </w:pPr>
      <w:r w:rsidRPr="00876E46">
        <w:rPr>
          <w:rFonts w:ascii="Verdana" w:hAnsi="Verdana" w:cs="Times New Roman"/>
          <w:color w:val="000000"/>
          <w:lang w:val="en-CA"/>
        </w:rPr>
        <w:t>Each Unit is comprised of one Share and one Warrant, with each Warrant exercisable into one Warrant Share at an exercise price of $0.16 per Warrant Share for a period of two years following the Closing, provided that the Company will have the right to accelerate the expiry date of the Warrants in the event that the closing sale price of the Shares on the CSE (or such other stock exchange as the Shares are then principally traded) is greater than $0.40 per Share for a period of 10 consecutive trading days at any time after the issuance of the Warrants.</w:t>
      </w:r>
    </w:p>
    <w:p w14:paraId="6CD7AA40" w14:textId="77777777" w:rsidR="0023080E" w:rsidRPr="00876E46" w:rsidRDefault="0023080E" w:rsidP="0023080E">
      <w:pPr>
        <w:jc w:val="both"/>
        <w:rPr>
          <w:rFonts w:ascii="Verdana" w:hAnsi="Verdana" w:cs="Times New Roman"/>
          <w:color w:val="000000"/>
          <w:lang w:val="en-CA"/>
        </w:rPr>
      </w:pPr>
      <w:r w:rsidRPr="00876E46">
        <w:rPr>
          <w:rFonts w:ascii="Verdana" w:hAnsi="Verdana" w:cs="Times New Roman"/>
          <w:color w:val="000000"/>
          <w:lang w:val="en-CA"/>
        </w:rPr>
        <w:t>  </w:t>
      </w:r>
    </w:p>
    <w:p w14:paraId="28AB5D20" w14:textId="77777777" w:rsidR="0023080E" w:rsidRDefault="0023080E" w:rsidP="0023080E">
      <w:pPr>
        <w:jc w:val="both"/>
        <w:rPr>
          <w:rFonts w:ascii="Verdana" w:hAnsi="Verdana" w:cs="Times New Roman"/>
          <w:color w:val="000000"/>
          <w:lang w:val="en-CA"/>
        </w:rPr>
      </w:pPr>
      <w:r w:rsidRPr="00876E46">
        <w:rPr>
          <w:rFonts w:ascii="Verdana" w:hAnsi="Verdana" w:cs="Times New Roman"/>
          <w:color w:val="000000"/>
          <w:lang w:val="en-CA"/>
        </w:rPr>
        <w:t>The Debentures and the Units, and the underlying Shares, Warrants and Warrant Shares (collectively, the “</w:t>
      </w:r>
      <w:r w:rsidRPr="00876E46">
        <w:rPr>
          <w:rFonts w:ascii="Verdana" w:hAnsi="Verdana" w:cs="Times New Roman"/>
          <w:b/>
          <w:bCs/>
          <w:color w:val="000000"/>
          <w:lang w:val="en-CA"/>
        </w:rPr>
        <w:t>Securities</w:t>
      </w:r>
      <w:r w:rsidRPr="00876E46">
        <w:rPr>
          <w:rFonts w:ascii="Verdana" w:hAnsi="Verdana" w:cs="Times New Roman"/>
          <w:color w:val="000000"/>
          <w:lang w:val="en-CA"/>
        </w:rPr>
        <w:t>”), are subject to restrictions on resale under applicable Canadian securities laws for a period of four months and one day from the closing of the Offerings. None of the Securities have been or will be registered under the United States</w:t>
      </w:r>
      <w:r>
        <w:rPr>
          <w:rFonts w:ascii="Verdana" w:hAnsi="Verdana" w:cs="Times New Roman"/>
          <w:color w:val="000000"/>
          <w:lang w:val="en-CA"/>
        </w:rPr>
        <w:t xml:space="preserve"> </w:t>
      </w:r>
      <w:r w:rsidRPr="00876E46">
        <w:rPr>
          <w:rFonts w:ascii="Verdana" w:hAnsi="Verdana" w:cs="Times New Roman"/>
          <w:i/>
          <w:iCs/>
          <w:color w:val="000000"/>
          <w:lang w:val="en-CA"/>
        </w:rPr>
        <w:t>Securities Act of 1933</w:t>
      </w:r>
      <w:r w:rsidRPr="00876E46">
        <w:rPr>
          <w:rFonts w:ascii="Verdana" w:hAnsi="Verdana" w:cs="Times New Roman"/>
          <w:color w:val="000000"/>
          <w:lang w:val="en-CA"/>
        </w:rPr>
        <w:t>, as amended, and may not be offered or sold in the United States absent registration or an applicable exemption from the registration requirements. This news release shall not constitute an offer to sell or the solicitation of an offer to buy, nor shall there be any sale of the securities, in any jurisdiction in which such offer, solicitation or sale would require registration or otherwise be unlawful.</w:t>
      </w:r>
    </w:p>
    <w:p w14:paraId="5120627A" w14:textId="77777777" w:rsidR="0023080E" w:rsidRDefault="0023080E" w:rsidP="0023080E">
      <w:pPr>
        <w:jc w:val="both"/>
        <w:rPr>
          <w:rFonts w:ascii="Verdana" w:hAnsi="Verdana" w:cs="Times New Roman"/>
          <w:color w:val="000000"/>
          <w:lang w:val="en-CA"/>
        </w:rPr>
      </w:pPr>
    </w:p>
    <w:p w14:paraId="626EB198" w14:textId="77777777" w:rsidR="0023080E" w:rsidRDefault="0023080E" w:rsidP="0023080E">
      <w:pPr>
        <w:jc w:val="both"/>
        <w:rPr>
          <w:rFonts w:ascii="Verdana" w:hAnsi="Verdana" w:cs="Times New Roman"/>
          <w:color w:val="000000"/>
          <w:lang w:val="en-CA"/>
        </w:rPr>
      </w:pPr>
      <w:r>
        <w:rPr>
          <w:rFonts w:ascii="Verdana" w:hAnsi="Verdana" w:cs="Times New Roman"/>
          <w:color w:val="000000"/>
          <w:lang w:val="en-CA"/>
        </w:rPr>
        <w:t xml:space="preserve">The Company also announces that Emily Davis has resigned as a Director and member of the effective immediately. The Company thanks Ms. Davis for her valuable contributions. </w:t>
      </w:r>
    </w:p>
    <w:p w14:paraId="4B9FF4CD" w14:textId="77777777" w:rsidR="0023080E" w:rsidRDefault="0023080E" w:rsidP="0023080E">
      <w:pPr>
        <w:jc w:val="both"/>
        <w:rPr>
          <w:rFonts w:ascii="Verdana" w:hAnsi="Verdana" w:cs="Times New Roman"/>
          <w:color w:val="000000"/>
          <w:lang w:val="en-CA"/>
        </w:rPr>
      </w:pPr>
    </w:p>
    <w:p w14:paraId="527F3B7B" w14:textId="77777777" w:rsidR="0023080E" w:rsidRPr="0040198B" w:rsidRDefault="0023080E" w:rsidP="0023080E">
      <w:pPr>
        <w:jc w:val="both"/>
        <w:rPr>
          <w:rFonts w:ascii="Verdana" w:hAnsi="Verdana" w:cs="Times New Roman"/>
          <w:color w:val="000000"/>
          <w:lang w:val="en-CA"/>
        </w:rPr>
      </w:pPr>
      <w:r>
        <w:rPr>
          <w:rFonts w:ascii="Verdana" w:hAnsi="Verdana" w:cs="Times New Roman"/>
          <w:color w:val="000000"/>
          <w:lang w:val="en-CA"/>
        </w:rPr>
        <w:t xml:space="preserve">In addition, the Company announces that Dustin Klein has been appointed as a Director in conjunction with the previously announced closing of the Sun Valley acquisition. </w:t>
      </w:r>
    </w:p>
    <w:p w14:paraId="7619C3CF" w14:textId="77777777" w:rsidR="0023080E" w:rsidRPr="00876E46" w:rsidRDefault="0023080E" w:rsidP="0023080E">
      <w:pPr>
        <w:spacing w:after="200"/>
        <w:jc w:val="both"/>
        <w:rPr>
          <w:rFonts w:ascii="Verdana" w:eastAsia="Times New Roman" w:hAnsi="Verdana" w:cs="Arial"/>
          <w:b/>
          <w:color w:val="000000"/>
        </w:rPr>
      </w:pPr>
      <w:bookmarkStart w:id="1" w:name="_Hlk523393064"/>
    </w:p>
    <w:p w14:paraId="5579CC24" w14:textId="77777777" w:rsidR="0023080E" w:rsidRPr="00876E46" w:rsidRDefault="0023080E" w:rsidP="0023080E">
      <w:pPr>
        <w:spacing w:after="200"/>
        <w:jc w:val="both"/>
        <w:rPr>
          <w:rFonts w:ascii="Verdana" w:eastAsia="Times New Roman" w:hAnsi="Verdana" w:cs="Arial"/>
          <w:color w:val="000000"/>
        </w:rPr>
      </w:pPr>
      <w:r w:rsidRPr="00876E46">
        <w:rPr>
          <w:rFonts w:ascii="Verdana" w:eastAsia="Times New Roman" w:hAnsi="Verdana" w:cs="Arial"/>
          <w:b/>
          <w:color w:val="000000"/>
        </w:rPr>
        <w:t xml:space="preserve">ABOUT EMPOWER </w:t>
      </w:r>
    </w:p>
    <w:p w14:paraId="3C99694E" w14:textId="77777777" w:rsidR="0023080E" w:rsidRPr="0023080E" w:rsidRDefault="0023080E" w:rsidP="0023080E">
      <w:pPr>
        <w:spacing w:after="200"/>
        <w:jc w:val="both"/>
        <w:rPr>
          <w:rFonts w:ascii="Verdana" w:eastAsia="Times New Roman" w:hAnsi="Verdana" w:cs="Arial"/>
          <w:color w:val="000000"/>
        </w:rPr>
      </w:pPr>
      <w:r w:rsidRPr="0023080E">
        <w:rPr>
          <w:rFonts w:ascii="Verdana" w:eastAsia="Times New Roman" w:hAnsi="Verdana" w:cs="Arial"/>
          <w:color w:val="000000"/>
        </w:rPr>
        <w:t xml:space="preserve">Empower is a leading multi-state operator of a network of physician-staffed clinics focused on helping patients improve and protect their health through innovative physician recommended treatment options. It is expected that </w:t>
      </w:r>
      <w:proofErr w:type="spellStart"/>
      <w:r w:rsidRPr="0023080E">
        <w:rPr>
          <w:rFonts w:ascii="Verdana" w:eastAsia="Times New Roman" w:hAnsi="Verdana" w:cs="Arial"/>
          <w:color w:val="000000"/>
        </w:rPr>
        <w:t>Empower’s</w:t>
      </w:r>
      <w:proofErr w:type="spellEnd"/>
      <w:r w:rsidRPr="0023080E">
        <w:rPr>
          <w:rFonts w:ascii="Verdana" w:eastAsia="Times New Roman" w:hAnsi="Verdana" w:cs="Arial"/>
          <w:color w:val="000000"/>
        </w:rPr>
        <w:t xml:space="preserve"> proprietary product line “Sollievo” will offer patients a variety of delivery methods of doctor recommended cannabidiol (CBD) based products in its clinics, online and at major retailers. With over 165,000 patients, an expanding clinic footprint, a focus on new technologies, including </w:t>
      </w:r>
      <w:proofErr w:type="spellStart"/>
      <w:r w:rsidRPr="0023080E">
        <w:rPr>
          <w:rFonts w:ascii="Verdana" w:eastAsia="Times New Roman" w:hAnsi="Verdana" w:cs="Arial"/>
          <w:color w:val="000000"/>
        </w:rPr>
        <w:t>tele</w:t>
      </w:r>
      <w:proofErr w:type="spellEnd"/>
      <w:r w:rsidRPr="0023080E">
        <w:rPr>
          <w:rFonts w:ascii="Verdana" w:eastAsia="Times New Roman" w:hAnsi="Verdana" w:cs="Arial"/>
          <w:color w:val="000000"/>
        </w:rPr>
        <w:t>-medicine, and an expanded product development strategy, Empower is undertaking new growth initiatives to be positioned as a vertically integrated, diverse, market-leading service provider for complex patient requirements in 2019 and beyond.</w:t>
      </w:r>
    </w:p>
    <w:p w14:paraId="6469A236" w14:textId="77777777" w:rsidR="0023080E" w:rsidRDefault="0023080E" w:rsidP="0023080E">
      <w:pPr>
        <w:spacing w:after="200"/>
        <w:jc w:val="both"/>
        <w:rPr>
          <w:rFonts w:ascii="Verdana" w:eastAsia="Times New Roman" w:hAnsi="Verdana" w:cs="Arial"/>
          <w:color w:val="000000"/>
        </w:rPr>
      </w:pPr>
    </w:p>
    <w:p w14:paraId="4380D965" w14:textId="77777777" w:rsidR="0023080E" w:rsidRDefault="0023080E" w:rsidP="0023080E">
      <w:pPr>
        <w:spacing w:after="200"/>
        <w:jc w:val="both"/>
        <w:rPr>
          <w:rFonts w:ascii="Verdana" w:eastAsia="Times New Roman" w:hAnsi="Verdana" w:cs="Arial"/>
          <w:color w:val="000000"/>
        </w:rPr>
      </w:pPr>
    </w:p>
    <w:p w14:paraId="4120C11F" w14:textId="77777777" w:rsidR="0023080E" w:rsidRPr="00B205AA" w:rsidRDefault="0023080E" w:rsidP="0023080E">
      <w:pPr>
        <w:keepNext/>
        <w:spacing w:after="200"/>
        <w:jc w:val="both"/>
        <w:rPr>
          <w:rFonts w:ascii="Verdana" w:hAnsi="Verdana" w:cs="Times New Roman"/>
          <w:b/>
          <w:color w:val="1E222B"/>
          <w:sz w:val="20"/>
          <w:szCs w:val="20"/>
        </w:rPr>
      </w:pPr>
      <w:r w:rsidRPr="00B205AA">
        <w:rPr>
          <w:rFonts w:ascii="Verdana" w:eastAsia="Times New Roman" w:hAnsi="Verdana" w:cs="Arial"/>
          <w:b/>
          <w:color w:val="000000"/>
          <w:sz w:val="20"/>
          <w:szCs w:val="20"/>
        </w:rPr>
        <w:lastRenderedPageBreak/>
        <w:t>ON BEHALF OF THE BOARD OF DIRECTORS:</w:t>
      </w:r>
    </w:p>
    <w:p w14:paraId="209D9C67" w14:textId="77777777" w:rsidR="0023080E" w:rsidRPr="00B205AA" w:rsidRDefault="0023080E" w:rsidP="0023080E">
      <w:pPr>
        <w:keepNext/>
        <w:rPr>
          <w:rFonts w:ascii="Verdana" w:hAnsi="Verdana"/>
          <w:sz w:val="20"/>
          <w:szCs w:val="20"/>
        </w:rPr>
      </w:pPr>
      <w:r w:rsidRPr="00B205AA">
        <w:rPr>
          <w:rFonts w:ascii="Verdana" w:hAnsi="Verdana"/>
          <w:sz w:val="20"/>
          <w:szCs w:val="20"/>
        </w:rPr>
        <w:t>Steven McAuley</w:t>
      </w:r>
      <w:r w:rsidRPr="00B205AA">
        <w:rPr>
          <w:rFonts w:ascii="Verdana" w:hAnsi="Verdana"/>
          <w:sz w:val="20"/>
          <w:szCs w:val="20"/>
        </w:rPr>
        <w:br/>
        <w:t>Chief Executive Officer</w:t>
      </w:r>
    </w:p>
    <w:p w14:paraId="5985E299" w14:textId="77777777" w:rsidR="0023080E" w:rsidRPr="00B205AA" w:rsidRDefault="0023080E" w:rsidP="0023080E">
      <w:pPr>
        <w:rPr>
          <w:rFonts w:ascii="Verdana" w:hAnsi="Verdana"/>
          <w:sz w:val="20"/>
          <w:szCs w:val="20"/>
        </w:rPr>
      </w:pPr>
    </w:p>
    <w:p w14:paraId="0052F6DB" w14:textId="77777777" w:rsidR="0023080E" w:rsidRPr="00B205AA" w:rsidRDefault="0023080E" w:rsidP="0023080E">
      <w:pPr>
        <w:rPr>
          <w:rFonts w:ascii="Verdana" w:hAnsi="Verdana"/>
          <w:sz w:val="20"/>
          <w:szCs w:val="20"/>
        </w:rPr>
      </w:pPr>
      <w:r w:rsidRPr="00B205AA">
        <w:rPr>
          <w:rFonts w:ascii="Verdana" w:hAnsi="Verdana"/>
          <w:sz w:val="20"/>
          <w:szCs w:val="20"/>
        </w:rPr>
        <w:t>CONTACTS:</w:t>
      </w:r>
    </w:p>
    <w:p w14:paraId="09D4D8EC" w14:textId="77777777" w:rsidR="0023080E" w:rsidRPr="00266D91" w:rsidRDefault="0023080E" w:rsidP="0023080E">
      <w:pPr>
        <w:pStyle w:val="NormalWeb"/>
        <w:ind w:left="1440" w:hanging="1440"/>
        <w:rPr>
          <w:rFonts w:ascii="Verdana" w:hAnsi="Verdana" w:cs="Arial"/>
        </w:rPr>
      </w:pPr>
      <w:r w:rsidRPr="00B205AA">
        <w:rPr>
          <w:rFonts w:ascii="Verdana" w:hAnsi="Verdana" w:cs="Arial"/>
          <w:color w:val="111C24"/>
        </w:rPr>
        <w:t xml:space="preserve">Investors: </w:t>
      </w:r>
      <w:r w:rsidRPr="00B205AA">
        <w:rPr>
          <w:rFonts w:ascii="Verdana" w:hAnsi="Verdana" w:cs="Arial"/>
          <w:color w:val="111C24"/>
        </w:rPr>
        <w:tab/>
        <w:t>Steve Low</w:t>
      </w:r>
      <w:r w:rsidRPr="00B205AA">
        <w:rPr>
          <w:rFonts w:ascii="Verdana" w:hAnsi="Verdana" w:cs="Arial"/>
          <w:color w:val="111C24"/>
        </w:rPr>
        <w:br/>
      </w:r>
      <w:r w:rsidRPr="00B205AA">
        <w:rPr>
          <w:rFonts w:ascii="Verdana" w:hAnsi="Verdana" w:cs="Arial"/>
        </w:rPr>
        <w:t>Boom Capital Markets</w:t>
      </w:r>
      <w:r w:rsidRPr="00B205AA">
        <w:rPr>
          <w:rFonts w:ascii="Verdana" w:hAnsi="Verdana" w:cs="Arial"/>
        </w:rPr>
        <w:br/>
      </w:r>
      <w:hyperlink r:id="rId8" w:history="1">
        <w:r w:rsidRPr="00B205AA">
          <w:rPr>
            <w:rStyle w:val="Hyperlink"/>
            <w:rFonts w:ascii="Verdana" w:hAnsi="Verdana" w:cs="Arial"/>
          </w:rPr>
          <w:t>steve@boomcapitalmarkets.com</w:t>
        </w:r>
      </w:hyperlink>
      <w:r w:rsidRPr="00B205AA">
        <w:rPr>
          <w:rStyle w:val="Hyperlink"/>
          <w:rFonts w:ascii="Verdana" w:hAnsi="Verdana" w:cs="Arial"/>
        </w:rPr>
        <w:br/>
      </w:r>
      <w:r w:rsidRPr="00B205AA">
        <w:rPr>
          <w:rFonts w:ascii="Verdana" w:hAnsi="Verdana" w:cs="Arial"/>
        </w:rPr>
        <w:t>647-620-5101</w:t>
      </w:r>
    </w:p>
    <w:p w14:paraId="45929367" w14:textId="77777777" w:rsidR="0023080E" w:rsidRPr="00B205AA" w:rsidRDefault="0023080E" w:rsidP="0023080E">
      <w:pPr>
        <w:pStyle w:val="NormalWeb"/>
        <w:spacing w:before="0" w:beforeAutospacing="0" w:after="0" w:afterAutospacing="0"/>
        <w:ind w:left="1440" w:hanging="1440"/>
        <w:rPr>
          <w:rFonts w:ascii="Verdana" w:hAnsi="Verdana" w:cs="Arial"/>
          <w:color w:val="111C24"/>
        </w:rPr>
      </w:pPr>
      <w:r w:rsidRPr="00B205AA">
        <w:rPr>
          <w:rFonts w:ascii="Verdana" w:hAnsi="Verdana" w:cs="Arial"/>
          <w:color w:val="111C24"/>
        </w:rPr>
        <w:t>Investors:</w:t>
      </w:r>
      <w:r w:rsidRPr="00B205AA">
        <w:rPr>
          <w:rFonts w:ascii="Verdana" w:hAnsi="Verdana" w:cs="Arial"/>
          <w:color w:val="111C24"/>
        </w:rPr>
        <w:tab/>
        <w:t>Steven McAuley</w:t>
      </w:r>
    </w:p>
    <w:p w14:paraId="232DAB14" w14:textId="77777777" w:rsidR="0023080E" w:rsidRPr="00B205AA" w:rsidRDefault="0023080E" w:rsidP="0023080E">
      <w:pPr>
        <w:pStyle w:val="NormalWeb"/>
        <w:spacing w:before="0" w:beforeAutospacing="0" w:after="0" w:afterAutospacing="0"/>
        <w:ind w:left="1440" w:hanging="1440"/>
        <w:rPr>
          <w:rFonts w:ascii="Verdana" w:hAnsi="Verdana" w:cs="Arial"/>
          <w:color w:val="111C24"/>
        </w:rPr>
      </w:pPr>
      <w:r w:rsidRPr="00B205AA">
        <w:rPr>
          <w:rFonts w:ascii="Verdana" w:hAnsi="Verdana" w:cs="Arial"/>
          <w:color w:val="111C24"/>
        </w:rPr>
        <w:tab/>
        <w:t>CEO</w:t>
      </w:r>
    </w:p>
    <w:p w14:paraId="2A08F290" w14:textId="77777777" w:rsidR="0023080E" w:rsidRPr="00B205AA" w:rsidRDefault="0023080E" w:rsidP="0023080E">
      <w:pPr>
        <w:pStyle w:val="NormalWeb"/>
        <w:spacing w:before="0" w:beforeAutospacing="0" w:after="0" w:afterAutospacing="0"/>
        <w:ind w:left="1440" w:hanging="1440"/>
        <w:rPr>
          <w:rFonts w:ascii="Verdana" w:hAnsi="Verdana" w:cs="Arial"/>
          <w:color w:val="111C24"/>
        </w:rPr>
      </w:pPr>
      <w:r w:rsidRPr="00B205AA">
        <w:rPr>
          <w:rFonts w:ascii="Verdana" w:hAnsi="Verdana" w:cs="Arial"/>
          <w:color w:val="111C24"/>
        </w:rPr>
        <w:tab/>
      </w:r>
      <w:hyperlink r:id="rId9" w:history="1">
        <w:r w:rsidRPr="00B205AA">
          <w:rPr>
            <w:rStyle w:val="Hyperlink"/>
            <w:rFonts w:ascii="Verdana" w:hAnsi="Verdana" w:cs="Arial"/>
          </w:rPr>
          <w:t>s.mcauley@empowerclinics.com</w:t>
        </w:r>
      </w:hyperlink>
    </w:p>
    <w:p w14:paraId="344E3F0D" w14:textId="77777777" w:rsidR="0023080E" w:rsidRDefault="0023080E" w:rsidP="0023080E">
      <w:pPr>
        <w:pStyle w:val="NormalWeb"/>
        <w:spacing w:before="0" w:beforeAutospacing="0" w:after="0" w:afterAutospacing="0"/>
        <w:ind w:left="1440" w:hanging="1440"/>
        <w:rPr>
          <w:rFonts w:ascii="Verdana" w:hAnsi="Verdana" w:cs="Arial"/>
          <w:color w:val="111C24"/>
        </w:rPr>
      </w:pPr>
      <w:r w:rsidRPr="00B205AA">
        <w:rPr>
          <w:rFonts w:ascii="Verdana" w:hAnsi="Verdana" w:cs="Arial"/>
          <w:color w:val="111C24"/>
        </w:rPr>
        <w:tab/>
        <w:t>604-789-2146</w:t>
      </w:r>
    </w:p>
    <w:p w14:paraId="38D5AD2A" w14:textId="77777777" w:rsidR="003E23CC" w:rsidRDefault="003E23CC" w:rsidP="0023080E">
      <w:pPr>
        <w:pStyle w:val="NormalWeb"/>
        <w:spacing w:before="0" w:beforeAutospacing="0" w:after="0" w:afterAutospacing="0"/>
        <w:ind w:left="1440" w:hanging="1440"/>
        <w:rPr>
          <w:rFonts w:ascii="Verdana" w:hAnsi="Verdana" w:cs="Arial"/>
          <w:color w:val="111C24"/>
        </w:rPr>
      </w:pPr>
    </w:p>
    <w:p w14:paraId="7860FD1F" w14:textId="77777777" w:rsidR="003E23CC" w:rsidRPr="00B205AA" w:rsidRDefault="003E23CC" w:rsidP="003E23CC">
      <w:pPr>
        <w:pStyle w:val="NormalWeb"/>
        <w:spacing w:after="0"/>
        <w:ind w:left="1440" w:hanging="1440"/>
        <w:rPr>
          <w:rFonts w:ascii="Verdana" w:hAnsi="Verdana" w:cs="Arial"/>
          <w:color w:val="111C24"/>
        </w:rPr>
      </w:pPr>
      <w:r w:rsidRPr="003E23CC">
        <w:rPr>
          <w:rFonts w:ascii="Verdana" w:hAnsi="Verdana" w:cs="Arial"/>
          <w:color w:val="111C24"/>
        </w:rPr>
        <w:t xml:space="preserve">For French inquiries: Remy </w:t>
      </w:r>
      <w:proofErr w:type="spellStart"/>
      <w:r w:rsidRPr="003E23CC">
        <w:rPr>
          <w:rFonts w:ascii="Verdana" w:hAnsi="Verdana" w:cs="Arial"/>
          <w:color w:val="111C24"/>
        </w:rPr>
        <w:t>Scalabrini</w:t>
      </w:r>
      <w:proofErr w:type="spellEnd"/>
      <w:r w:rsidRPr="003E23CC">
        <w:rPr>
          <w:rFonts w:ascii="Verdana" w:hAnsi="Verdana" w:cs="Arial"/>
          <w:color w:val="111C24"/>
        </w:rPr>
        <w:t xml:space="preserve">, </w:t>
      </w:r>
      <w:proofErr w:type="spellStart"/>
      <w:r w:rsidRPr="003E23CC">
        <w:rPr>
          <w:rFonts w:ascii="Verdana" w:hAnsi="Verdana" w:cs="Arial"/>
          <w:color w:val="111C24"/>
        </w:rPr>
        <w:t>Maricom</w:t>
      </w:r>
      <w:proofErr w:type="spellEnd"/>
      <w:r w:rsidRPr="003E23CC">
        <w:rPr>
          <w:rFonts w:ascii="Verdana" w:hAnsi="Verdana" w:cs="Arial"/>
          <w:color w:val="111C24"/>
        </w:rPr>
        <w:t xml:space="preserve"> Inc., E: rs@maricom.ca, T: (888) 585-6274</w:t>
      </w:r>
    </w:p>
    <w:p w14:paraId="3BDB7870" w14:textId="77777777" w:rsidR="0023080E" w:rsidRDefault="0023080E" w:rsidP="0023080E">
      <w:pPr>
        <w:spacing w:after="200"/>
        <w:jc w:val="both"/>
        <w:rPr>
          <w:rFonts w:ascii="Verdana" w:eastAsia="Times New Roman" w:hAnsi="Verdana" w:cs="Arial"/>
          <w:i/>
          <w:color w:val="000000"/>
          <w:sz w:val="18"/>
          <w:szCs w:val="18"/>
        </w:rPr>
      </w:pPr>
    </w:p>
    <w:p w14:paraId="6DA822FF" w14:textId="77777777" w:rsidR="0023080E" w:rsidRPr="00B205AA" w:rsidRDefault="0023080E" w:rsidP="0023080E">
      <w:pPr>
        <w:spacing w:after="200"/>
        <w:jc w:val="both"/>
        <w:rPr>
          <w:rFonts w:ascii="Verdana" w:eastAsia="Times New Roman" w:hAnsi="Verdana" w:cs="Arial"/>
          <w:i/>
          <w:color w:val="000000"/>
          <w:sz w:val="18"/>
          <w:szCs w:val="18"/>
        </w:rPr>
      </w:pPr>
      <w:r w:rsidRPr="00B205AA">
        <w:rPr>
          <w:rFonts w:ascii="Verdana" w:eastAsia="Times New Roman" w:hAnsi="Verdana" w:cs="Arial"/>
          <w:i/>
          <w:color w:val="000000"/>
          <w:sz w:val="18"/>
          <w:szCs w:val="18"/>
        </w:rPr>
        <w:t>DISCLAIMER FOR FORWARD-LOOKING STATEMENTS</w:t>
      </w:r>
    </w:p>
    <w:p w14:paraId="66538752" w14:textId="77777777" w:rsidR="0023080E" w:rsidRPr="00B205AA" w:rsidRDefault="0023080E" w:rsidP="0023080E">
      <w:pPr>
        <w:spacing w:after="200"/>
        <w:jc w:val="both"/>
        <w:rPr>
          <w:rFonts w:ascii="Verdana" w:eastAsia="Times New Roman" w:hAnsi="Verdana" w:cs="Arial"/>
          <w:sz w:val="18"/>
          <w:szCs w:val="18"/>
        </w:rPr>
      </w:pPr>
      <w:r w:rsidRPr="00B205AA">
        <w:rPr>
          <w:rFonts w:ascii="Verdana" w:eastAsia="Times New Roman" w:hAnsi="Verdana" w:cs="Arial"/>
          <w:i/>
          <w:sz w:val="18"/>
          <w:szCs w:val="18"/>
        </w:rPr>
        <w:t>This news release contains certain “forward-looking statements” or “forward-looking information” (collectively “forward looking statements”) within the meaning of applicable Canadian securities laws.</w:t>
      </w:r>
      <w:r w:rsidRPr="00B205AA">
        <w:rPr>
          <w:rFonts w:ascii="Verdana" w:hAnsi="Verdana" w:cs="Helvetica"/>
          <w:i/>
          <w:iCs/>
          <w:sz w:val="18"/>
          <w:szCs w:val="18"/>
        </w:rPr>
        <w:t xml:space="preserve"> All statements, other than statements of historical fact, are forward-looking statements and are based on expectations, estimates and projections as at the date of this news release.</w:t>
      </w:r>
      <w:r w:rsidRPr="00B205AA">
        <w:rPr>
          <w:rFonts w:ascii="Verdana" w:eastAsia="Times New Roman" w:hAnsi="Verdana" w:cs="Arial"/>
          <w:i/>
          <w:sz w:val="18"/>
          <w:szCs w:val="18"/>
        </w:rPr>
        <w:t xml:space="preserve"> Forward-looking </w:t>
      </w:r>
      <w:r w:rsidRPr="00B205AA">
        <w:rPr>
          <w:rFonts w:ascii="Verdana" w:hAnsi="Verdana" w:cs="Helvetica"/>
          <w:i/>
          <w:iCs/>
          <w:sz w:val="18"/>
          <w:szCs w:val="18"/>
        </w:rPr>
        <w:t xml:space="preserve">statements can frequently be identified by words such as “plans”, “continues”, “expects”, “projects”, “intends”, “believes”, “anticipates”, “estimates”, “may”, “will”, “potential”, “proposed” and other similar words, or information that certain events or conditions “may” or “will” occur. Forward-looking statements in this news release include statements regarding: the proposed acquisition of Sun Valley; the Company’s intention to open a hemp-based CBD extraction facility, the expected benefits to the Company and its shareholders as a result of the proposed acquisitions and partnerships; the terms of the proposed acquisitions and partnerships; the expected location of the proposed CBD extraction facility; the effectiveness of the extraction technology; the size of the leased facility; the expected benefits for </w:t>
      </w:r>
      <w:proofErr w:type="spellStart"/>
      <w:r w:rsidRPr="00B205AA">
        <w:rPr>
          <w:rFonts w:ascii="Verdana" w:hAnsi="Verdana" w:cs="Helvetica"/>
          <w:i/>
          <w:iCs/>
          <w:sz w:val="18"/>
          <w:szCs w:val="18"/>
        </w:rPr>
        <w:t>Empower’s</w:t>
      </w:r>
      <w:proofErr w:type="spellEnd"/>
      <w:r w:rsidRPr="00B205AA">
        <w:rPr>
          <w:rFonts w:ascii="Verdana" w:hAnsi="Verdana" w:cs="Helvetica"/>
          <w:i/>
          <w:iCs/>
          <w:sz w:val="18"/>
          <w:szCs w:val="18"/>
        </w:rPr>
        <w:t xml:space="preserve"> patient base and customers; access to </w:t>
      </w:r>
      <w:proofErr w:type="spellStart"/>
      <w:r w:rsidRPr="00B205AA">
        <w:rPr>
          <w:rFonts w:ascii="Verdana" w:hAnsi="Verdana" w:cs="Helvetica"/>
          <w:i/>
          <w:iCs/>
          <w:sz w:val="18"/>
          <w:szCs w:val="18"/>
        </w:rPr>
        <w:t>Empower’s</w:t>
      </w:r>
      <w:proofErr w:type="spellEnd"/>
      <w:r w:rsidRPr="00B205AA">
        <w:rPr>
          <w:rFonts w:ascii="Verdana" w:hAnsi="Verdana" w:cs="Helvetica"/>
          <w:i/>
          <w:iCs/>
          <w:sz w:val="18"/>
          <w:szCs w:val="18"/>
        </w:rPr>
        <w:t xml:space="preserve"> home delivery and e-commerce platform; the benefits of CBD based products; the effect of the approval of the Farm Bill; the growth of the Company’s patient list and that the Company will be positioned to be a market-leading service provider for complex patient requirements in 2019 and beyond. Such statements are only projections, are based on assumptions known to management at this time, and are subject to risks and uncertainties that may cause actual results, performance or developments to differ materially from those contained in the forward-looking statements, including that: the proposed acquisitions and partnerships, including the Sun Valley and </w:t>
      </w:r>
      <w:proofErr w:type="spellStart"/>
      <w:r w:rsidRPr="00B205AA">
        <w:rPr>
          <w:rFonts w:ascii="Verdana" w:hAnsi="Verdana" w:cs="Helvetica"/>
          <w:i/>
          <w:iCs/>
          <w:sz w:val="18"/>
          <w:szCs w:val="18"/>
        </w:rPr>
        <w:t>Aibeida</w:t>
      </w:r>
      <w:proofErr w:type="spellEnd"/>
      <w:r w:rsidRPr="00B205AA">
        <w:rPr>
          <w:rFonts w:ascii="Verdana" w:hAnsi="Verdana" w:cs="Helvetica"/>
          <w:i/>
          <w:iCs/>
          <w:sz w:val="18"/>
          <w:szCs w:val="18"/>
        </w:rPr>
        <w:t xml:space="preserve"> transactions, may not be completed on the terms expected or at all; that the Company may not open a hemp-based CBD extraction facility; that the hemp-based CBD extraction facility may not be fully operation by Q2 2019 if at all; that legislative changes may have an adverse effect on the Company’s business and product development; that the Company may not be able to obtain adequate financing to pursue its business plan; general business, economic, competitive, political and social uncertainties; failure to obtain any necessary approvals in connection with the proposed acquisitions and partnerships; and other factors beyond the Company’s control. No assurance can be given that any of the events anticipated by the forward-looking statements will occur or, if they do occur, what benefits the Company will obtain from them. Readers are cautioned not to place undue reliance on the forward-looking statements in this release, which are qualified in their entirety by these cautionary statements. The Company is under no obligation, and expressly disclaims any intention or obligation, to update or revise any forward-looking </w:t>
      </w:r>
      <w:r w:rsidRPr="00B205AA">
        <w:rPr>
          <w:rFonts w:ascii="Verdana" w:hAnsi="Verdana" w:cs="Helvetica"/>
          <w:i/>
          <w:iCs/>
          <w:sz w:val="18"/>
          <w:szCs w:val="18"/>
        </w:rPr>
        <w:lastRenderedPageBreak/>
        <w:t>statements in this release, whether as a result of new information, future events or otherwise, except as expressly required by applicable laws.</w:t>
      </w:r>
    </w:p>
    <w:p w14:paraId="2D7B4A34" w14:textId="77777777" w:rsidR="0023080E" w:rsidRPr="00B205AA" w:rsidRDefault="0023080E" w:rsidP="0023080E">
      <w:pPr>
        <w:spacing w:after="200"/>
        <w:jc w:val="both"/>
        <w:rPr>
          <w:rFonts w:ascii="Verdana" w:eastAsia="Times New Roman" w:hAnsi="Verdana" w:cs="Arial"/>
          <w:b/>
          <w:color w:val="000000"/>
          <w:sz w:val="20"/>
          <w:szCs w:val="20"/>
        </w:rPr>
      </w:pPr>
    </w:p>
    <w:bookmarkEnd w:id="1"/>
    <w:p w14:paraId="6DDA7891" w14:textId="77777777" w:rsidR="0023080E" w:rsidRPr="00B205AA" w:rsidRDefault="0023080E" w:rsidP="0023080E">
      <w:pPr>
        <w:spacing w:after="200"/>
        <w:jc w:val="both"/>
        <w:rPr>
          <w:rFonts w:ascii="Verdana" w:eastAsia="Times New Roman" w:hAnsi="Verdana" w:cs="Arial"/>
          <w:color w:val="000000"/>
          <w:sz w:val="18"/>
          <w:szCs w:val="18"/>
        </w:rPr>
      </w:pPr>
    </w:p>
    <w:p w14:paraId="71503E0C" w14:textId="77777777" w:rsidR="0023080E" w:rsidRPr="001A6518" w:rsidRDefault="0023080E" w:rsidP="0023080E"/>
    <w:sectPr w:rsidR="0023080E" w:rsidRPr="001A651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646AE4" w14:textId="77777777" w:rsidR="0023080E" w:rsidRDefault="0023080E">
      <w:r>
        <w:separator/>
      </w:r>
    </w:p>
  </w:endnote>
  <w:endnote w:type="continuationSeparator" w:id="0">
    <w:p w14:paraId="2C821B99" w14:textId="77777777" w:rsidR="0023080E" w:rsidRDefault="00230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Segoe UI">
    <w:altName w:val="Calibri"/>
    <w:charset w:val="00"/>
    <w:family w:val="swiss"/>
    <w:pitch w:val="variable"/>
    <w:sig w:usb0="E4002EFF" w:usb1="C000E47F"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D1C0E" w14:textId="77777777" w:rsidR="0023080E" w:rsidRDefault="0023080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8875A" w14:textId="77777777" w:rsidR="0023080E" w:rsidRDefault="0023080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B6ED1" w14:textId="77777777" w:rsidR="0023080E" w:rsidRDefault="0023080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693770" w14:textId="77777777" w:rsidR="0023080E" w:rsidRDefault="0023080E">
      <w:r>
        <w:separator/>
      </w:r>
    </w:p>
  </w:footnote>
  <w:footnote w:type="continuationSeparator" w:id="0">
    <w:p w14:paraId="025BD364" w14:textId="77777777" w:rsidR="0023080E" w:rsidRDefault="002308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824D8" w14:textId="77777777" w:rsidR="0023080E" w:rsidRDefault="0023080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F82AE" w14:textId="77777777" w:rsidR="0023080E" w:rsidRPr="00712F52" w:rsidRDefault="0023080E" w:rsidP="0023080E">
    <w:pPr>
      <w:pStyle w:val="Header"/>
      <w:jc w:val="center"/>
      <w:rPr>
        <w:i/>
      </w:rPr>
    </w:pPr>
    <w:r w:rsidRPr="00712F52">
      <w:rPr>
        <w:rFonts w:ascii="Arial" w:hAnsi="Arial" w:cs="Arial"/>
        <w:b/>
        <w:bCs/>
        <w:i/>
        <w:color w:val="000000"/>
        <w:sz w:val="23"/>
        <w:szCs w:val="23"/>
      </w:rPr>
      <w:t>NOT FOR DISTRIBUTION TO UNITED STATES NEWSWIRE SERVICES OR FOR DISSEMINATION IN THE UNITED STATES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A69E7" w14:textId="77777777" w:rsidR="0023080E" w:rsidRDefault="0023080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D9ED04A"/>
    <w:lvl w:ilvl="0">
      <w:start w:val="1"/>
      <w:numFmt w:val="bullet"/>
      <w:pStyle w:val="BodyTextFirstIndent"/>
      <w:lvlText w:val=""/>
      <w:lvlJc w:val="left"/>
      <w:pPr>
        <w:tabs>
          <w:tab w:val="left" w:pos="720"/>
          <w:tab w:val="num" w:pos="1800"/>
        </w:tabs>
        <w:ind w:left="1800" w:hanging="360"/>
      </w:pPr>
      <w:rPr>
        <w:rFonts w:ascii="Symbol" w:hAnsi="Symbol"/>
        <w:sz w:val="24"/>
      </w:rPr>
    </w:lvl>
  </w:abstractNum>
  <w:abstractNum w:abstractNumId="1">
    <w:nsid w:val="39791569"/>
    <w:multiLevelType w:val="multilevel"/>
    <w:tmpl w:val="3484F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A345CF"/>
    <w:multiLevelType w:val="hybridMultilevel"/>
    <w:tmpl w:val="ABEC1774"/>
    <w:lvl w:ilvl="0" w:tplc="C064325E">
      <w:start w:val="1"/>
      <w:numFmt w:val="bullet"/>
      <w:lvlText w:val=""/>
      <w:lvlJc w:val="left"/>
      <w:pPr>
        <w:ind w:left="720" w:hanging="360"/>
      </w:pPr>
      <w:rPr>
        <w:rFonts w:ascii="Symbol" w:hAnsi="Symbol" w:hint="default"/>
      </w:rPr>
    </w:lvl>
    <w:lvl w:ilvl="1" w:tplc="B2E800A6" w:tentative="1">
      <w:start w:val="1"/>
      <w:numFmt w:val="bullet"/>
      <w:lvlText w:val="o"/>
      <w:lvlJc w:val="left"/>
      <w:pPr>
        <w:ind w:left="1440" w:hanging="360"/>
      </w:pPr>
      <w:rPr>
        <w:rFonts w:ascii="Courier New" w:hAnsi="Courier New" w:hint="default"/>
      </w:rPr>
    </w:lvl>
    <w:lvl w:ilvl="2" w:tplc="1910EE28" w:tentative="1">
      <w:start w:val="1"/>
      <w:numFmt w:val="bullet"/>
      <w:lvlText w:val=""/>
      <w:lvlJc w:val="left"/>
      <w:pPr>
        <w:ind w:left="2160" w:hanging="360"/>
      </w:pPr>
      <w:rPr>
        <w:rFonts w:ascii="Wingdings" w:hAnsi="Wingdings" w:hint="default"/>
      </w:rPr>
    </w:lvl>
    <w:lvl w:ilvl="3" w:tplc="0C322EB8" w:tentative="1">
      <w:start w:val="1"/>
      <w:numFmt w:val="bullet"/>
      <w:lvlText w:val=""/>
      <w:lvlJc w:val="left"/>
      <w:pPr>
        <w:ind w:left="2880" w:hanging="360"/>
      </w:pPr>
      <w:rPr>
        <w:rFonts w:ascii="Symbol" w:hAnsi="Symbol" w:hint="default"/>
      </w:rPr>
    </w:lvl>
    <w:lvl w:ilvl="4" w:tplc="C8EC8A00" w:tentative="1">
      <w:start w:val="1"/>
      <w:numFmt w:val="bullet"/>
      <w:lvlText w:val="o"/>
      <w:lvlJc w:val="left"/>
      <w:pPr>
        <w:ind w:left="3600" w:hanging="360"/>
      </w:pPr>
      <w:rPr>
        <w:rFonts w:ascii="Courier New" w:hAnsi="Courier New" w:hint="default"/>
      </w:rPr>
    </w:lvl>
    <w:lvl w:ilvl="5" w:tplc="A71A1374" w:tentative="1">
      <w:start w:val="1"/>
      <w:numFmt w:val="bullet"/>
      <w:lvlText w:val=""/>
      <w:lvlJc w:val="left"/>
      <w:pPr>
        <w:ind w:left="4320" w:hanging="360"/>
      </w:pPr>
      <w:rPr>
        <w:rFonts w:ascii="Wingdings" w:hAnsi="Wingdings" w:hint="default"/>
      </w:rPr>
    </w:lvl>
    <w:lvl w:ilvl="6" w:tplc="CB6CA6D6" w:tentative="1">
      <w:start w:val="1"/>
      <w:numFmt w:val="bullet"/>
      <w:lvlText w:val=""/>
      <w:lvlJc w:val="left"/>
      <w:pPr>
        <w:ind w:left="5040" w:hanging="360"/>
      </w:pPr>
      <w:rPr>
        <w:rFonts w:ascii="Symbol" w:hAnsi="Symbol" w:hint="default"/>
      </w:rPr>
    </w:lvl>
    <w:lvl w:ilvl="7" w:tplc="1242F3BA" w:tentative="1">
      <w:start w:val="1"/>
      <w:numFmt w:val="bullet"/>
      <w:lvlText w:val="o"/>
      <w:lvlJc w:val="left"/>
      <w:pPr>
        <w:ind w:left="5760" w:hanging="360"/>
      </w:pPr>
      <w:rPr>
        <w:rFonts w:ascii="Courier New" w:hAnsi="Courier New" w:hint="default"/>
      </w:rPr>
    </w:lvl>
    <w:lvl w:ilvl="8" w:tplc="BA5010A8" w:tentative="1">
      <w:start w:val="1"/>
      <w:numFmt w:val="bullet"/>
      <w:lvlText w:val=""/>
      <w:lvlJc w:val="left"/>
      <w:pPr>
        <w:ind w:left="6480" w:hanging="360"/>
      </w:pPr>
      <w:rPr>
        <w:rFonts w:ascii="Wingdings" w:hAnsi="Wingdings" w:hint="default"/>
      </w:rPr>
    </w:lvl>
  </w:abstractNum>
  <w:abstractNum w:abstractNumId="3">
    <w:nsid w:val="489955A5"/>
    <w:multiLevelType w:val="hybridMultilevel"/>
    <w:tmpl w:val="B8F87784"/>
    <w:lvl w:ilvl="0" w:tplc="EDCA0F02">
      <w:start w:val="1"/>
      <w:numFmt w:val="bullet"/>
      <w:lvlText w:val=""/>
      <w:lvlJc w:val="left"/>
      <w:pPr>
        <w:ind w:left="720" w:hanging="360"/>
      </w:pPr>
      <w:rPr>
        <w:rFonts w:ascii="Symbol" w:hAnsi="Symbol" w:hint="default"/>
      </w:rPr>
    </w:lvl>
    <w:lvl w:ilvl="1" w:tplc="194AB110">
      <w:start w:val="1"/>
      <w:numFmt w:val="bullet"/>
      <w:lvlText w:val="o"/>
      <w:lvlJc w:val="left"/>
      <w:pPr>
        <w:ind w:left="1440" w:hanging="360"/>
      </w:pPr>
      <w:rPr>
        <w:rFonts w:ascii="Courier New" w:hAnsi="Courier New" w:hint="default"/>
      </w:rPr>
    </w:lvl>
    <w:lvl w:ilvl="2" w:tplc="38CAF36C" w:tentative="1">
      <w:start w:val="1"/>
      <w:numFmt w:val="bullet"/>
      <w:lvlText w:val=""/>
      <w:lvlJc w:val="left"/>
      <w:pPr>
        <w:ind w:left="2160" w:hanging="360"/>
      </w:pPr>
      <w:rPr>
        <w:rFonts w:ascii="Wingdings" w:hAnsi="Wingdings" w:hint="default"/>
      </w:rPr>
    </w:lvl>
    <w:lvl w:ilvl="3" w:tplc="24A423B2" w:tentative="1">
      <w:start w:val="1"/>
      <w:numFmt w:val="bullet"/>
      <w:lvlText w:val=""/>
      <w:lvlJc w:val="left"/>
      <w:pPr>
        <w:ind w:left="2880" w:hanging="360"/>
      </w:pPr>
      <w:rPr>
        <w:rFonts w:ascii="Symbol" w:hAnsi="Symbol" w:hint="default"/>
      </w:rPr>
    </w:lvl>
    <w:lvl w:ilvl="4" w:tplc="BB3A2220" w:tentative="1">
      <w:start w:val="1"/>
      <w:numFmt w:val="bullet"/>
      <w:lvlText w:val="o"/>
      <w:lvlJc w:val="left"/>
      <w:pPr>
        <w:ind w:left="3600" w:hanging="360"/>
      </w:pPr>
      <w:rPr>
        <w:rFonts w:ascii="Courier New" w:hAnsi="Courier New" w:hint="default"/>
      </w:rPr>
    </w:lvl>
    <w:lvl w:ilvl="5" w:tplc="89167E04" w:tentative="1">
      <w:start w:val="1"/>
      <w:numFmt w:val="bullet"/>
      <w:lvlText w:val=""/>
      <w:lvlJc w:val="left"/>
      <w:pPr>
        <w:ind w:left="4320" w:hanging="360"/>
      </w:pPr>
      <w:rPr>
        <w:rFonts w:ascii="Wingdings" w:hAnsi="Wingdings" w:hint="default"/>
      </w:rPr>
    </w:lvl>
    <w:lvl w:ilvl="6" w:tplc="EBBE553C" w:tentative="1">
      <w:start w:val="1"/>
      <w:numFmt w:val="bullet"/>
      <w:lvlText w:val=""/>
      <w:lvlJc w:val="left"/>
      <w:pPr>
        <w:ind w:left="5040" w:hanging="360"/>
      </w:pPr>
      <w:rPr>
        <w:rFonts w:ascii="Symbol" w:hAnsi="Symbol" w:hint="default"/>
      </w:rPr>
    </w:lvl>
    <w:lvl w:ilvl="7" w:tplc="38069F84" w:tentative="1">
      <w:start w:val="1"/>
      <w:numFmt w:val="bullet"/>
      <w:lvlText w:val="o"/>
      <w:lvlJc w:val="left"/>
      <w:pPr>
        <w:ind w:left="5760" w:hanging="360"/>
      </w:pPr>
      <w:rPr>
        <w:rFonts w:ascii="Courier New" w:hAnsi="Courier New" w:hint="default"/>
      </w:rPr>
    </w:lvl>
    <w:lvl w:ilvl="8" w:tplc="FF980D7A"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80E"/>
    <w:rsid w:val="0023080E"/>
    <w:rsid w:val="00316E02"/>
    <w:rsid w:val="003E23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C93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AE7"/>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2CA5"/>
    <w:pPr>
      <w:spacing w:before="100" w:beforeAutospacing="1" w:after="100" w:afterAutospacing="1"/>
    </w:pPr>
    <w:rPr>
      <w:rFonts w:ascii="Times New Roman" w:eastAsiaTheme="minorEastAsia" w:hAnsi="Times New Roman" w:cs="Times New Roman"/>
      <w:sz w:val="20"/>
      <w:szCs w:val="20"/>
      <w:lang w:val="en-CA"/>
    </w:rPr>
  </w:style>
  <w:style w:type="character" w:styleId="Hyperlink">
    <w:name w:val="Hyperlink"/>
    <w:basedOn w:val="DefaultParagraphFont"/>
    <w:uiPriority w:val="99"/>
    <w:unhideWhenUsed/>
    <w:rsid w:val="00F12CA5"/>
    <w:rPr>
      <w:color w:val="0000FF"/>
      <w:u w:val="single"/>
    </w:rPr>
  </w:style>
  <w:style w:type="paragraph" w:styleId="Header">
    <w:name w:val="header"/>
    <w:basedOn w:val="Normal"/>
    <w:link w:val="HeaderChar"/>
    <w:uiPriority w:val="99"/>
    <w:unhideWhenUsed/>
    <w:rsid w:val="00AF1FBC"/>
    <w:pPr>
      <w:tabs>
        <w:tab w:val="center" w:pos="4680"/>
        <w:tab w:val="right" w:pos="9360"/>
      </w:tabs>
    </w:pPr>
  </w:style>
  <w:style w:type="character" w:customStyle="1" w:styleId="HeaderChar">
    <w:name w:val="Header Char"/>
    <w:basedOn w:val="DefaultParagraphFont"/>
    <w:link w:val="Header"/>
    <w:uiPriority w:val="99"/>
    <w:rsid w:val="00AF1FBC"/>
    <w:rPr>
      <w:rFonts w:ascii="Calibri" w:hAnsi="Calibri" w:cs="Calibri"/>
    </w:rPr>
  </w:style>
  <w:style w:type="paragraph" w:styleId="Footer">
    <w:name w:val="footer"/>
    <w:basedOn w:val="Normal"/>
    <w:link w:val="FooterChar"/>
    <w:uiPriority w:val="99"/>
    <w:unhideWhenUsed/>
    <w:rsid w:val="00AF1FBC"/>
    <w:pPr>
      <w:tabs>
        <w:tab w:val="center" w:pos="4680"/>
        <w:tab w:val="right" w:pos="9360"/>
      </w:tabs>
    </w:pPr>
  </w:style>
  <w:style w:type="character" w:customStyle="1" w:styleId="FooterChar">
    <w:name w:val="Footer Char"/>
    <w:basedOn w:val="DefaultParagraphFont"/>
    <w:link w:val="Footer"/>
    <w:uiPriority w:val="99"/>
    <w:rsid w:val="00AF1FBC"/>
    <w:rPr>
      <w:rFonts w:ascii="Calibri" w:hAnsi="Calibri" w:cs="Calibri"/>
    </w:rPr>
  </w:style>
  <w:style w:type="paragraph" w:styleId="BalloonText">
    <w:name w:val="Balloon Text"/>
    <w:basedOn w:val="Normal"/>
    <w:link w:val="BalloonTextChar"/>
    <w:uiPriority w:val="99"/>
    <w:semiHidden/>
    <w:unhideWhenUsed/>
    <w:rsid w:val="00EB49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98E"/>
    <w:rPr>
      <w:rFonts w:ascii="Segoe UI" w:hAnsi="Segoe UI" w:cs="Segoe UI"/>
      <w:sz w:val="18"/>
      <w:szCs w:val="18"/>
    </w:rPr>
  </w:style>
  <w:style w:type="paragraph" w:styleId="BodyText">
    <w:name w:val="Body Text"/>
    <w:basedOn w:val="Normal"/>
    <w:link w:val="BodyTextChar"/>
    <w:uiPriority w:val="99"/>
    <w:semiHidden/>
    <w:unhideWhenUsed/>
    <w:rsid w:val="007958CD"/>
    <w:pPr>
      <w:spacing w:after="120"/>
    </w:pPr>
  </w:style>
  <w:style w:type="character" w:customStyle="1" w:styleId="BodyTextChar">
    <w:name w:val="Body Text Char"/>
    <w:basedOn w:val="DefaultParagraphFont"/>
    <w:link w:val="BodyText"/>
    <w:uiPriority w:val="99"/>
    <w:semiHidden/>
    <w:rsid w:val="007958CD"/>
    <w:rPr>
      <w:rFonts w:ascii="Calibri" w:hAnsi="Calibri" w:cs="Calibri"/>
    </w:rPr>
  </w:style>
  <w:style w:type="paragraph" w:styleId="BodyTextFirstIndent">
    <w:name w:val="Body Text First Indent"/>
    <w:aliases w:val="btfi"/>
    <w:basedOn w:val="BodyText"/>
    <w:link w:val="BodyTextFirstIndentChar"/>
    <w:rsid w:val="007958CD"/>
    <w:pPr>
      <w:numPr>
        <w:numId w:val="1"/>
      </w:numPr>
      <w:tabs>
        <w:tab w:val="clear" w:pos="1800"/>
        <w:tab w:val="left" w:pos="0"/>
        <w:tab w:val="num" w:pos="2880"/>
      </w:tabs>
      <w:suppressAutoHyphens/>
      <w:autoSpaceDE w:val="0"/>
      <w:autoSpaceDN w:val="0"/>
      <w:adjustRightInd w:val="0"/>
      <w:spacing w:after="240"/>
      <w:ind w:left="0" w:firstLine="2160"/>
      <w:jc w:val="both"/>
    </w:pPr>
    <w:rPr>
      <w:rFonts w:ascii="Times New Roman" w:eastAsia="Times New Roman" w:hAnsi="Times New Roman" w:cs="Times New Roman"/>
      <w:sz w:val="19"/>
      <w:szCs w:val="19"/>
    </w:rPr>
  </w:style>
  <w:style w:type="character" w:customStyle="1" w:styleId="BodyTextFirstIndentChar">
    <w:name w:val="Body Text First Indent Char"/>
    <w:aliases w:val="btfi Char"/>
    <w:basedOn w:val="BodyTextChar"/>
    <w:link w:val="BodyTextFirstIndent"/>
    <w:rsid w:val="007958CD"/>
    <w:rPr>
      <w:rFonts w:ascii="Times New Roman" w:eastAsia="Times New Roman" w:hAnsi="Times New Roman" w:cs="Times New Roman"/>
      <w:sz w:val="19"/>
      <w:szCs w:val="19"/>
    </w:rPr>
  </w:style>
  <w:style w:type="paragraph" w:styleId="ListParagraph">
    <w:name w:val="List Paragraph"/>
    <w:basedOn w:val="Normal"/>
    <w:uiPriority w:val="34"/>
    <w:qFormat/>
    <w:rsid w:val="006E615C"/>
    <w:pPr>
      <w:ind w:left="720"/>
      <w:contextualSpacing/>
    </w:pPr>
  </w:style>
  <w:style w:type="paragraph" w:customStyle="1" w:styleId="MacPacTrailer">
    <w:name w:val="MacPac Trailer"/>
    <w:rsid w:val="001D3607"/>
    <w:pPr>
      <w:widowControl w:val="0"/>
      <w:spacing w:after="0" w:line="200" w:lineRule="exact"/>
    </w:pPr>
    <w:rPr>
      <w:rFonts w:ascii="Times New Roman" w:eastAsia="Times New Roman" w:hAnsi="Times New Roman" w:cs="Times New Roman"/>
      <w:sz w:val="16"/>
    </w:rPr>
  </w:style>
  <w:style w:type="character" w:styleId="PlaceholderText">
    <w:name w:val="Placeholder Text"/>
    <w:basedOn w:val="DefaultParagraphFont"/>
    <w:uiPriority w:val="99"/>
    <w:semiHidden/>
    <w:rsid w:val="000366FC"/>
    <w:rPr>
      <w:color w:val="808080"/>
    </w:rPr>
  </w:style>
  <w:style w:type="character" w:customStyle="1" w:styleId="apple-converted-space">
    <w:name w:val="apple-converted-space"/>
    <w:basedOn w:val="DefaultParagraphFont"/>
    <w:rsid w:val="00C16ED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AE7"/>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2CA5"/>
    <w:pPr>
      <w:spacing w:before="100" w:beforeAutospacing="1" w:after="100" w:afterAutospacing="1"/>
    </w:pPr>
    <w:rPr>
      <w:rFonts w:ascii="Times New Roman" w:eastAsiaTheme="minorEastAsia" w:hAnsi="Times New Roman" w:cs="Times New Roman"/>
      <w:sz w:val="20"/>
      <w:szCs w:val="20"/>
      <w:lang w:val="en-CA"/>
    </w:rPr>
  </w:style>
  <w:style w:type="character" w:styleId="Hyperlink">
    <w:name w:val="Hyperlink"/>
    <w:basedOn w:val="DefaultParagraphFont"/>
    <w:uiPriority w:val="99"/>
    <w:unhideWhenUsed/>
    <w:rsid w:val="00F12CA5"/>
    <w:rPr>
      <w:color w:val="0000FF"/>
      <w:u w:val="single"/>
    </w:rPr>
  </w:style>
  <w:style w:type="paragraph" w:styleId="Header">
    <w:name w:val="header"/>
    <w:basedOn w:val="Normal"/>
    <w:link w:val="HeaderChar"/>
    <w:uiPriority w:val="99"/>
    <w:unhideWhenUsed/>
    <w:rsid w:val="00AF1FBC"/>
    <w:pPr>
      <w:tabs>
        <w:tab w:val="center" w:pos="4680"/>
        <w:tab w:val="right" w:pos="9360"/>
      </w:tabs>
    </w:pPr>
  </w:style>
  <w:style w:type="character" w:customStyle="1" w:styleId="HeaderChar">
    <w:name w:val="Header Char"/>
    <w:basedOn w:val="DefaultParagraphFont"/>
    <w:link w:val="Header"/>
    <w:uiPriority w:val="99"/>
    <w:rsid w:val="00AF1FBC"/>
    <w:rPr>
      <w:rFonts w:ascii="Calibri" w:hAnsi="Calibri" w:cs="Calibri"/>
    </w:rPr>
  </w:style>
  <w:style w:type="paragraph" w:styleId="Footer">
    <w:name w:val="footer"/>
    <w:basedOn w:val="Normal"/>
    <w:link w:val="FooterChar"/>
    <w:uiPriority w:val="99"/>
    <w:unhideWhenUsed/>
    <w:rsid w:val="00AF1FBC"/>
    <w:pPr>
      <w:tabs>
        <w:tab w:val="center" w:pos="4680"/>
        <w:tab w:val="right" w:pos="9360"/>
      </w:tabs>
    </w:pPr>
  </w:style>
  <w:style w:type="character" w:customStyle="1" w:styleId="FooterChar">
    <w:name w:val="Footer Char"/>
    <w:basedOn w:val="DefaultParagraphFont"/>
    <w:link w:val="Footer"/>
    <w:uiPriority w:val="99"/>
    <w:rsid w:val="00AF1FBC"/>
    <w:rPr>
      <w:rFonts w:ascii="Calibri" w:hAnsi="Calibri" w:cs="Calibri"/>
    </w:rPr>
  </w:style>
  <w:style w:type="paragraph" w:styleId="BalloonText">
    <w:name w:val="Balloon Text"/>
    <w:basedOn w:val="Normal"/>
    <w:link w:val="BalloonTextChar"/>
    <w:uiPriority w:val="99"/>
    <w:semiHidden/>
    <w:unhideWhenUsed/>
    <w:rsid w:val="00EB49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98E"/>
    <w:rPr>
      <w:rFonts w:ascii="Segoe UI" w:hAnsi="Segoe UI" w:cs="Segoe UI"/>
      <w:sz w:val="18"/>
      <w:szCs w:val="18"/>
    </w:rPr>
  </w:style>
  <w:style w:type="paragraph" w:styleId="BodyText">
    <w:name w:val="Body Text"/>
    <w:basedOn w:val="Normal"/>
    <w:link w:val="BodyTextChar"/>
    <w:uiPriority w:val="99"/>
    <w:semiHidden/>
    <w:unhideWhenUsed/>
    <w:rsid w:val="007958CD"/>
    <w:pPr>
      <w:spacing w:after="120"/>
    </w:pPr>
  </w:style>
  <w:style w:type="character" w:customStyle="1" w:styleId="BodyTextChar">
    <w:name w:val="Body Text Char"/>
    <w:basedOn w:val="DefaultParagraphFont"/>
    <w:link w:val="BodyText"/>
    <w:uiPriority w:val="99"/>
    <w:semiHidden/>
    <w:rsid w:val="007958CD"/>
    <w:rPr>
      <w:rFonts w:ascii="Calibri" w:hAnsi="Calibri" w:cs="Calibri"/>
    </w:rPr>
  </w:style>
  <w:style w:type="paragraph" w:styleId="BodyTextFirstIndent">
    <w:name w:val="Body Text First Indent"/>
    <w:aliases w:val="btfi"/>
    <w:basedOn w:val="BodyText"/>
    <w:link w:val="BodyTextFirstIndentChar"/>
    <w:rsid w:val="007958CD"/>
    <w:pPr>
      <w:numPr>
        <w:numId w:val="1"/>
      </w:numPr>
      <w:tabs>
        <w:tab w:val="clear" w:pos="1800"/>
        <w:tab w:val="left" w:pos="0"/>
        <w:tab w:val="num" w:pos="2880"/>
      </w:tabs>
      <w:suppressAutoHyphens/>
      <w:autoSpaceDE w:val="0"/>
      <w:autoSpaceDN w:val="0"/>
      <w:adjustRightInd w:val="0"/>
      <w:spacing w:after="240"/>
      <w:ind w:left="0" w:firstLine="2160"/>
      <w:jc w:val="both"/>
    </w:pPr>
    <w:rPr>
      <w:rFonts w:ascii="Times New Roman" w:eastAsia="Times New Roman" w:hAnsi="Times New Roman" w:cs="Times New Roman"/>
      <w:sz w:val="19"/>
      <w:szCs w:val="19"/>
    </w:rPr>
  </w:style>
  <w:style w:type="character" w:customStyle="1" w:styleId="BodyTextFirstIndentChar">
    <w:name w:val="Body Text First Indent Char"/>
    <w:aliases w:val="btfi Char"/>
    <w:basedOn w:val="BodyTextChar"/>
    <w:link w:val="BodyTextFirstIndent"/>
    <w:rsid w:val="007958CD"/>
    <w:rPr>
      <w:rFonts w:ascii="Times New Roman" w:eastAsia="Times New Roman" w:hAnsi="Times New Roman" w:cs="Times New Roman"/>
      <w:sz w:val="19"/>
      <w:szCs w:val="19"/>
    </w:rPr>
  </w:style>
  <w:style w:type="paragraph" w:styleId="ListParagraph">
    <w:name w:val="List Paragraph"/>
    <w:basedOn w:val="Normal"/>
    <w:uiPriority w:val="34"/>
    <w:qFormat/>
    <w:rsid w:val="006E615C"/>
    <w:pPr>
      <w:ind w:left="720"/>
      <w:contextualSpacing/>
    </w:pPr>
  </w:style>
  <w:style w:type="paragraph" w:customStyle="1" w:styleId="MacPacTrailer">
    <w:name w:val="MacPac Trailer"/>
    <w:rsid w:val="001D3607"/>
    <w:pPr>
      <w:widowControl w:val="0"/>
      <w:spacing w:after="0" w:line="200" w:lineRule="exact"/>
    </w:pPr>
    <w:rPr>
      <w:rFonts w:ascii="Times New Roman" w:eastAsia="Times New Roman" w:hAnsi="Times New Roman" w:cs="Times New Roman"/>
      <w:sz w:val="16"/>
    </w:rPr>
  </w:style>
  <w:style w:type="character" w:styleId="PlaceholderText">
    <w:name w:val="Placeholder Text"/>
    <w:basedOn w:val="DefaultParagraphFont"/>
    <w:uiPriority w:val="99"/>
    <w:semiHidden/>
    <w:rsid w:val="000366FC"/>
    <w:rPr>
      <w:color w:val="808080"/>
    </w:rPr>
  </w:style>
  <w:style w:type="character" w:customStyle="1" w:styleId="apple-converted-space">
    <w:name w:val="apple-converted-space"/>
    <w:basedOn w:val="DefaultParagraphFont"/>
    <w:rsid w:val="00C16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teve@boomcapitalmarkets.com" TargetMode="External"/><Relationship Id="rId9" Type="http://schemas.openxmlformats.org/officeDocument/2006/relationships/hyperlink" Target="mailto:s.mcauley@empowerclinics.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1745</Words>
  <Characters>9952</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Steven McAuley</cp:lastModifiedBy>
  <cp:revision>3</cp:revision>
  <dcterms:created xsi:type="dcterms:W3CDTF">2019-05-06T15:08:00Z</dcterms:created>
  <dcterms:modified xsi:type="dcterms:W3CDTF">2019-05-07T00:42:00Z</dcterms:modified>
</cp:coreProperties>
</file>