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28A9D" w14:textId="77777777" w:rsidR="004D21DE" w:rsidRPr="0005534E" w:rsidRDefault="004903AA" w:rsidP="004D21DE">
      <w:pPr>
        <w:spacing w:before="100" w:beforeAutospacing="1" w:after="100" w:afterAutospacing="1"/>
        <w:jc w:val="center"/>
        <w:rPr>
          <w:rFonts w:ascii="Verdana" w:hAnsi="Verdana"/>
          <w:b/>
          <w:sz w:val="28"/>
          <w:szCs w:val="28"/>
        </w:rPr>
      </w:pPr>
      <w:r w:rsidRPr="0005534E">
        <w:rPr>
          <w:rFonts w:ascii="Verdana" w:hAnsi="Verdana"/>
          <w:b/>
          <w:sz w:val="28"/>
          <w:szCs w:val="28"/>
        </w:rPr>
        <w:t xml:space="preserve">Empower Clinics </w:t>
      </w:r>
      <w:r>
        <w:rPr>
          <w:rFonts w:ascii="Verdana" w:hAnsi="Verdana"/>
          <w:b/>
          <w:sz w:val="28"/>
          <w:szCs w:val="28"/>
        </w:rPr>
        <w:t>Announces Private Placement of Convertible Debentures</w:t>
      </w:r>
    </w:p>
    <w:p w14:paraId="5FBC8B44" w14:textId="77777777" w:rsidR="006B17AC" w:rsidRDefault="004903AA" w:rsidP="0027549C">
      <w:pPr>
        <w:spacing w:before="100" w:beforeAutospacing="1" w:after="100" w:afterAutospacing="1"/>
        <w:jc w:val="both"/>
        <w:rPr>
          <w:rFonts w:ascii="Verdana" w:hAnsi="Verdana"/>
          <w:sz w:val="20"/>
          <w:szCs w:val="20"/>
        </w:rPr>
      </w:pPr>
      <w:r>
        <w:rPr>
          <w:rFonts w:ascii="Verdana" w:eastAsia="Times New Roman" w:hAnsi="Verdana" w:cs="Arial"/>
          <w:b/>
          <w:sz w:val="20"/>
          <w:szCs w:val="20"/>
        </w:rPr>
        <w:t>VANCOUVER BC</w:t>
      </w:r>
      <w:r>
        <w:rPr>
          <w:rFonts w:ascii="Verdana" w:eastAsia="Times New Roman" w:hAnsi="Verdana" w:cs="Arial"/>
          <w:b/>
          <w:sz w:val="20"/>
          <w:szCs w:val="20"/>
        </w:rPr>
        <w:t>:</w:t>
      </w:r>
      <w:r w:rsidRPr="0035664D">
        <w:rPr>
          <w:rFonts w:ascii="Verdana" w:eastAsia="Times New Roman" w:hAnsi="Verdana" w:cs="Arial"/>
          <w:b/>
          <w:sz w:val="20"/>
          <w:szCs w:val="20"/>
        </w:rPr>
        <w:t xml:space="preserve"> </w:t>
      </w:r>
      <w:r>
        <w:rPr>
          <w:rFonts w:ascii="Verdana" w:eastAsia="Times New Roman" w:hAnsi="Verdana" w:cs="Arial"/>
          <w:b/>
          <w:sz w:val="20"/>
          <w:szCs w:val="20"/>
        </w:rPr>
        <w:t>March 4th</w:t>
      </w:r>
      <w:r>
        <w:rPr>
          <w:rFonts w:ascii="Verdana" w:eastAsia="Times New Roman" w:hAnsi="Verdana" w:cs="Arial"/>
          <w:b/>
          <w:sz w:val="20"/>
          <w:szCs w:val="20"/>
        </w:rPr>
        <w:t xml:space="preserve">, </w:t>
      </w:r>
      <w:r w:rsidRPr="0035664D">
        <w:rPr>
          <w:rFonts w:ascii="Verdana" w:eastAsia="Times New Roman" w:hAnsi="Verdana" w:cs="Arial"/>
          <w:b/>
          <w:sz w:val="20"/>
          <w:szCs w:val="20"/>
        </w:rPr>
        <w:t xml:space="preserve">2019 – </w:t>
      </w:r>
      <w:r w:rsidRPr="0035664D">
        <w:rPr>
          <w:rFonts w:ascii="Verdana" w:hAnsi="Verdana" w:cs="Arial"/>
          <w:b/>
          <w:sz w:val="20"/>
          <w:szCs w:val="20"/>
        </w:rPr>
        <w:t>EMPOWER CLINICS INC.</w:t>
      </w:r>
      <w:r>
        <w:rPr>
          <w:rFonts w:ascii="Verdana" w:hAnsi="Verdana" w:cs="Arial"/>
          <w:sz w:val="20"/>
          <w:szCs w:val="20"/>
        </w:rPr>
        <w:t xml:space="preserve"> (CSE: EPW) (Frankfurt</w:t>
      </w:r>
      <w:r w:rsidRPr="007336B4">
        <w:rPr>
          <w:rFonts w:ascii="Verdana" w:hAnsi="Verdana" w:cs="Arial"/>
          <w:sz w:val="20"/>
          <w:szCs w:val="20"/>
        </w:rPr>
        <w:t xml:space="preserve"> 8EC)</w:t>
      </w:r>
      <w:r>
        <w:rPr>
          <w:rFonts w:ascii="Verdana" w:hAnsi="Verdana" w:cs="Arial"/>
          <w:sz w:val="20"/>
          <w:szCs w:val="20"/>
        </w:rPr>
        <w:t xml:space="preserve"> (“</w:t>
      </w:r>
      <w:r w:rsidRPr="0093646A">
        <w:rPr>
          <w:rFonts w:ascii="Verdana" w:hAnsi="Verdana" w:cs="Arial"/>
          <w:b/>
          <w:sz w:val="20"/>
          <w:szCs w:val="20"/>
        </w:rPr>
        <w:t>Empower</w:t>
      </w:r>
      <w:r>
        <w:rPr>
          <w:rFonts w:ascii="Verdana" w:hAnsi="Verdana" w:cs="Arial"/>
          <w:sz w:val="20"/>
          <w:szCs w:val="20"/>
        </w:rPr>
        <w:t>” or the “</w:t>
      </w:r>
      <w:r w:rsidRPr="0093646A">
        <w:rPr>
          <w:rFonts w:ascii="Verdana" w:hAnsi="Verdana" w:cs="Arial"/>
          <w:b/>
          <w:sz w:val="20"/>
          <w:szCs w:val="20"/>
        </w:rPr>
        <w:t>Company</w:t>
      </w:r>
      <w:r>
        <w:rPr>
          <w:rFonts w:ascii="Verdana" w:hAnsi="Verdana" w:cs="Arial"/>
          <w:sz w:val="20"/>
          <w:szCs w:val="20"/>
        </w:rPr>
        <w:t xml:space="preserve">”) </w:t>
      </w:r>
      <w:r w:rsidRPr="0027549C">
        <w:rPr>
          <w:rFonts w:ascii="Verdana" w:hAnsi="Verdana"/>
          <w:sz w:val="20"/>
          <w:szCs w:val="20"/>
        </w:rPr>
        <w:t>today</w:t>
      </w:r>
      <w:r>
        <w:rPr>
          <w:rFonts w:ascii="Verdana" w:hAnsi="Verdana"/>
          <w:sz w:val="20"/>
          <w:szCs w:val="20"/>
        </w:rPr>
        <w:t xml:space="preserve"> </w:t>
      </w:r>
      <w:r>
        <w:rPr>
          <w:rFonts w:ascii="Verdana" w:hAnsi="Verdana"/>
          <w:sz w:val="20"/>
          <w:szCs w:val="20"/>
        </w:rPr>
        <w:t xml:space="preserve">announces </w:t>
      </w:r>
      <w:r w:rsidRPr="0027549C">
        <w:rPr>
          <w:rFonts w:ascii="Verdana" w:hAnsi="Verdana"/>
          <w:sz w:val="20"/>
          <w:szCs w:val="20"/>
        </w:rPr>
        <w:t xml:space="preserve">it will be conducting a non-brokered private placement </w:t>
      </w:r>
      <w:r w:rsidRPr="0027549C">
        <w:rPr>
          <w:rFonts w:ascii="Verdana" w:hAnsi="Verdana"/>
          <w:sz w:val="20"/>
          <w:szCs w:val="20"/>
        </w:rPr>
        <w:t>(the “</w:t>
      </w:r>
      <w:r w:rsidRPr="0027549C">
        <w:rPr>
          <w:rFonts w:ascii="Verdana" w:hAnsi="Verdana"/>
          <w:b/>
          <w:sz w:val="20"/>
          <w:szCs w:val="20"/>
        </w:rPr>
        <w:t>Financing</w:t>
      </w:r>
      <w:r w:rsidRPr="0027549C">
        <w:rPr>
          <w:rFonts w:ascii="Verdana" w:hAnsi="Verdana"/>
          <w:sz w:val="20"/>
          <w:szCs w:val="20"/>
        </w:rPr>
        <w:t xml:space="preserve">”) of </w:t>
      </w:r>
      <w:r>
        <w:rPr>
          <w:rFonts w:ascii="Verdana" w:hAnsi="Verdana"/>
          <w:sz w:val="20"/>
          <w:szCs w:val="20"/>
        </w:rPr>
        <w:t xml:space="preserve">unsecured </w:t>
      </w:r>
      <w:r w:rsidRPr="0027549C">
        <w:rPr>
          <w:rFonts w:ascii="Verdana" w:hAnsi="Verdana"/>
          <w:sz w:val="20"/>
          <w:szCs w:val="20"/>
        </w:rPr>
        <w:t>convertible debentures (each, a “</w:t>
      </w:r>
      <w:r w:rsidRPr="0027549C">
        <w:rPr>
          <w:rFonts w:ascii="Verdana" w:hAnsi="Verdana"/>
          <w:b/>
          <w:sz w:val="20"/>
          <w:szCs w:val="20"/>
        </w:rPr>
        <w:t>Debenture</w:t>
      </w:r>
      <w:r w:rsidRPr="0027549C">
        <w:rPr>
          <w:rFonts w:ascii="Verdana" w:hAnsi="Verdana"/>
          <w:sz w:val="20"/>
          <w:szCs w:val="20"/>
        </w:rPr>
        <w:t>”) in the aggregate principal amount of up to $</w:t>
      </w:r>
      <w:r>
        <w:rPr>
          <w:rFonts w:ascii="Verdana" w:hAnsi="Verdana"/>
          <w:sz w:val="20"/>
          <w:szCs w:val="20"/>
        </w:rPr>
        <w:t>1,500,000.</w:t>
      </w:r>
      <w:r w:rsidRPr="0027549C">
        <w:rPr>
          <w:rFonts w:ascii="Verdana" w:hAnsi="Verdana"/>
          <w:sz w:val="20"/>
          <w:szCs w:val="20"/>
        </w:rPr>
        <w:t xml:space="preserve"> Each Debenture will be convertible into units of the Company (each, a “</w:t>
      </w:r>
      <w:r w:rsidRPr="0027549C">
        <w:rPr>
          <w:rFonts w:ascii="Verdana" w:hAnsi="Verdana"/>
          <w:b/>
          <w:sz w:val="20"/>
          <w:szCs w:val="20"/>
        </w:rPr>
        <w:t>Unit</w:t>
      </w:r>
      <w:r w:rsidRPr="0027549C">
        <w:rPr>
          <w:rFonts w:ascii="Verdana" w:hAnsi="Verdana"/>
          <w:sz w:val="20"/>
          <w:szCs w:val="20"/>
        </w:rPr>
        <w:t>”) at a conversion price of $</w:t>
      </w:r>
      <w:r>
        <w:rPr>
          <w:rFonts w:ascii="Verdana" w:hAnsi="Verdana"/>
          <w:sz w:val="20"/>
          <w:szCs w:val="20"/>
        </w:rPr>
        <w:t>0.15</w:t>
      </w:r>
      <w:r w:rsidRPr="0027549C">
        <w:rPr>
          <w:rFonts w:ascii="Verdana" w:hAnsi="Verdana"/>
          <w:sz w:val="20"/>
          <w:szCs w:val="20"/>
        </w:rPr>
        <w:t xml:space="preserve"> per Unit</w:t>
      </w:r>
      <w:r>
        <w:rPr>
          <w:rFonts w:ascii="Verdana" w:hAnsi="Verdana"/>
          <w:sz w:val="20"/>
          <w:szCs w:val="20"/>
        </w:rPr>
        <w:t>, with e</w:t>
      </w:r>
      <w:r>
        <w:rPr>
          <w:rFonts w:ascii="Verdana" w:hAnsi="Verdana"/>
          <w:sz w:val="20"/>
          <w:szCs w:val="20"/>
        </w:rPr>
        <w:t>ach Unit to consist</w:t>
      </w:r>
      <w:r w:rsidRPr="0027549C">
        <w:rPr>
          <w:rFonts w:ascii="Verdana" w:hAnsi="Verdana"/>
          <w:sz w:val="20"/>
          <w:szCs w:val="20"/>
        </w:rPr>
        <w:t xml:space="preserve"> of one common share</w:t>
      </w:r>
      <w:r>
        <w:rPr>
          <w:rFonts w:ascii="Verdana" w:hAnsi="Verdana"/>
          <w:sz w:val="20"/>
          <w:szCs w:val="20"/>
        </w:rPr>
        <w:t xml:space="preserve"> in the capital of the Company</w:t>
      </w:r>
      <w:r w:rsidRPr="0027549C">
        <w:rPr>
          <w:rFonts w:ascii="Verdana" w:hAnsi="Verdana"/>
          <w:sz w:val="20"/>
          <w:szCs w:val="20"/>
        </w:rPr>
        <w:t xml:space="preserve"> (each, a “</w:t>
      </w:r>
      <w:r w:rsidRPr="0027549C">
        <w:rPr>
          <w:rFonts w:ascii="Verdana" w:hAnsi="Verdana"/>
          <w:b/>
          <w:sz w:val="20"/>
          <w:szCs w:val="20"/>
        </w:rPr>
        <w:t>Share</w:t>
      </w:r>
      <w:r w:rsidRPr="0027549C">
        <w:rPr>
          <w:rFonts w:ascii="Verdana" w:hAnsi="Verdana"/>
          <w:sz w:val="20"/>
          <w:szCs w:val="20"/>
        </w:rPr>
        <w:t>”) and one non-transferable share purchase warrant (each, a “</w:t>
      </w:r>
      <w:r w:rsidRPr="0027549C">
        <w:rPr>
          <w:rFonts w:ascii="Verdana" w:hAnsi="Verdana"/>
          <w:b/>
          <w:sz w:val="20"/>
          <w:szCs w:val="20"/>
        </w:rPr>
        <w:t>Warrant</w:t>
      </w:r>
      <w:r>
        <w:rPr>
          <w:rFonts w:ascii="Verdana" w:hAnsi="Verdana"/>
          <w:sz w:val="20"/>
          <w:szCs w:val="20"/>
        </w:rPr>
        <w:t>”).</w:t>
      </w:r>
      <w:r w:rsidRPr="0027549C">
        <w:rPr>
          <w:rFonts w:ascii="Verdana" w:hAnsi="Verdana"/>
          <w:sz w:val="20"/>
          <w:szCs w:val="20"/>
        </w:rPr>
        <w:t xml:space="preserve"> Each Warrant will entitle the holder to purchase one Share at a price of $0.2</w:t>
      </w:r>
      <w:r>
        <w:rPr>
          <w:rFonts w:ascii="Verdana" w:hAnsi="Verdana"/>
          <w:sz w:val="20"/>
          <w:szCs w:val="20"/>
        </w:rPr>
        <w:t>0</w:t>
      </w:r>
      <w:r w:rsidRPr="0027549C">
        <w:rPr>
          <w:rFonts w:ascii="Verdana" w:hAnsi="Verdana"/>
          <w:sz w:val="20"/>
          <w:szCs w:val="20"/>
        </w:rPr>
        <w:t xml:space="preserve"> per Share for a peri</w:t>
      </w:r>
      <w:r w:rsidRPr="0027549C">
        <w:rPr>
          <w:rFonts w:ascii="Verdana" w:hAnsi="Verdana"/>
          <w:sz w:val="20"/>
          <w:szCs w:val="20"/>
        </w:rPr>
        <w:t xml:space="preserve">od of </w:t>
      </w:r>
      <w:r>
        <w:rPr>
          <w:rFonts w:ascii="Verdana" w:hAnsi="Verdana"/>
          <w:sz w:val="20"/>
          <w:szCs w:val="20"/>
        </w:rPr>
        <w:t>two years</w:t>
      </w:r>
      <w:r>
        <w:rPr>
          <w:rFonts w:ascii="Verdana" w:hAnsi="Verdana"/>
          <w:sz w:val="20"/>
          <w:szCs w:val="20"/>
        </w:rPr>
        <w:t xml:space="preserve"> from the closing of the Financing (the </w:t>
      </w:r>
      <w:r w:rsidRPr="0027549C">
        <w:rPr>
          <w:rFonts w:ascii="Verdana" w:hAnsi="Verdana"/>
          <w:sz w:val="20"/>
          <w:szCs w:val="20"/>
        </w:rPr>
        <w:t>“</w:t>
      </w:r>
      <w:r>
        <w:rPr>
          <w:rFonts w:ascii="Verdana" w:hAnsi="Verdana"/>
          <w:b/>
          <w:sz w:val="20"/>
          <w:szCs w:val="20"/>
        </w:rPr>
        <w:t>Closing</w:t>
      </w:r>
      <w:r>
        <w:rPr>
          <w:rFonts w:ascii="Verdana" w:hAnsi="Verdana"/>
          <w:sz w:val="20"/>
          <w:szCs w:val="20"/>
        </w:rPr>
        <w:t xml:space="preserve">”), subject to acceleration in the event that the closing price of the Shares on the Canadian Securities Exchange (the </w:t>
      </w:r>
      <w:r w:rsidRPr="0027549C">
        <w:rPr>
          <w:rFonts w:ascii="Verdana" w:hAnsi="Verdana"/>
          <w:sz w:val="20"/>
          <w:szCs w:val="20"/>
        </w:rPr>
        <w:t>“</w:t>
      </w:r>
      <w:r>
        <w:rPr>
          <w:rFonts w:ascii="Verdana" w:hAnsi="Verdana"/>
          <w:b/>
          <w:sz w:val="20"/>
          <w:szCs w:val="20"/>
        </w:rPr>
        <w:t>CSE</w:t>
      </w:r>
      <w:r>
        <w:rPr>
          <w:rFonts w:ascii="Verdana" w:hAnsi="Verdana"/>
          <w:sz w:val="20"/>
          <w:szCs w:val="20"/>
        </w:rPr>
        <w:t>”), or such other stock exchange as the Shares are then principally tr</w:t>
      </w:r>
      <w:r>
        <w:rPr>
          <w:rFonts w:ascii="Verdana" w:hAnsi="Verdana"/>
          <w:sz w:val="20"/>
          <w:szCs w:val="20"/>
        </w:rPr>
        <w:t xml:space="preserve">aded, is greater than $0.40 per Share for at least 10 consecutive trading days. </w:t>
      </w:r>
    </w:p>
    <w:p w14:paraId="5F378E90" w14:textId="77777777" w:rsidR="00364849" w:rsidRDefault="004903AA" w:rsidP="0027549C">
      <w:pPr>
        <w:spacing w:before="100" w:beforeAutospacing="1" w:after="100" w:afterAutospacing="1"/>
        <w:jc w:val="both"/>
        <w:rPr>
          <w:rFonts w:ascii="Verdana" w:hAnsi="Verdana"/>
          <w:sz w:val="20"/>
          <w:szCs w:val="20"/>
        </w:rPr>
      </w:pPr>
      <w:r w:rsidRPr="0027549C">
        <w:rPr>
          <w:rFonts w:ascii="Verdana" w:hAnsi="Verdana"/>
          <w:sz w:val="20"/>
          <w:szCs w:val="20"/>
        </w:rPr>
        <w:t>The Debentures</w:t>
      </w:r>
      <w:r>
        <w:rPr>
          <w:rFonts w:ascii="Verdana" w:hAnsi="Verdana"/>
          <w:sz w:val="20"/>
          <w:szCs w:val="20"/>
        </w:rPr>
        <w:t xml:space="preserve"> will</w:t>
      </w:r>
      <w:r w:rsidRPr="0027549C">
        <w:rPr>
          <w:rFonts w:ascii="Verdana" w:hAnsi="Verdana"/>
          <w:sz w:val="20"/>
          <w:szCs w:val="20"/>
        </w:rPr>
        <w:t xml:space="preserve"> mature </w:t>
      </w:r>
      <w:r>
        <w:t xml:space="preserve">12 </w:t>
      </w:r>
      <w:r w:rsidRPr="0027549C">
        <w:rPr>
          <w:rFonts w:ascii="Verdana" w:hAnsi="Verdana"/>
          <w:sz w:val="20"/>
          <w:szCs w:val="20"/>
        </w:rPr>
        <w:t xml:space="preserve">months from the </w:t>
      </w:r>
      <w:r>
        <w:rPr>
          <w:rFonts w:ascii="Verdana" w:hAnsi="Verdana"/>
          <w:sz w:val="20"/>
          <w:szCs w:val="20"/>
        </w:rPr>
        <w:t xml:space="preserve">Closing </w:t>
      </w:r>
      <w:r w:rsidRPr="0027549C">
        <w:rPr>
          <w:rFonts w:ascii="Verdana" w:hAnsi="Verdana"/>
          <w:sz w:val="20"/>
          <w:szCs w:val="20"/>
        </w:rPr>
        <w:t xml:space="preserve">and bear interest at the rate of </w:t>
      </w:r>
      <w:r>
        <w:rPr>
          <w:rFonts w:ascii="Verdana" w:hAnsi="Verdana"/>
          <w:sz w:val="20"/>
          <w:szCs w:val="20"/>
        </w:rPr>
        <w:t>6</w:t>
      </w:r>
      <w:r w:rsidRPr="0027549C">
        <w:rPr>
          <w:rFonts w:ascii="Verdana" w:hAnsi="Verdana"/>
          <w:sz w:val="20"/>
          <w:szCs w:val="20"/>
        </w:rPr>
        <w:t xml:space="preserve">% per </w:t>
      </w:r>
      <w:r>
        <w:rPr>
          <w:rFonts w:ascii="Verdana" w:hAnsi="Verdana"/>
          <w:sz w:val="20"/>
          <w:szCs w:val="20"/>
        </w:rPr>
        <w:t xml:space="preserve">annum, payable at maturity. The accrued interest will be convertible into Shares </w:t>
      </w:r>
      <w:r>
        <w:rPr>
          <w:rFonts w:ascii="Verdana" w:hAnsi="Verdana"/>
          <w:sz w:val="20"/>
          <w:szCs w:val="20"/>
        </w:rPr>
        <w:t>at a conversion price equal to the greater of $0.15 per Share and (ii) the market price of the Shares on the date of any applicable conversion.</w:t>
      </w:r>
    </w:p>
    <w:p w14:paraId="71650280" w14:textId="77777777" w:rsidR="00364849" w:rsidRPr="006B17AC" w:rsidRDefault="004903AA" w:rsidP="0027549C">
      <w:pPr>
        <w:spacing w:before="100" w:beforeAutospacing="1" w:after="100" w:afterAutospacing="1"/>
        <w:jc w:val="both"/>
        <w:rPr>
          <w:rFonts w:ascii="Verdana" w:hAnsi="Verdana"/>
          <w:sz w:val="20"/>
          <w:szCs w:val="20"/>
        </w:rPr>
      </w:pPr>
      <w:r>
        <w:rPr>
          <w:rFonts w:ascii="Verdana" w:hAnsi="Verdana"/>
          <w:sz w:val="20"/>
          <w:szCs w:val="20"/>
        </w:rPr>
        <w:t>All of the securities issued in connection with the Financing will be subject to a hold period of four months an</w:t>
      </w:r>
      <w:r>
        <w:rPr>
          <w:rFonts w:ascii="Verdana" w:hAnsi="Verdana"/>
          <w:sz w:val="20"/>
          <w:szCs w:val="20"/>
        </w:rPr>
        <w:t xml:space="preserve">d one day from the Closing under applicable Canadian securities laws. Completion of the Financing is subject to the consent of the CSE. The proceeds of the Financing </w:t>
      </w:r>
      <w:proofErr w:type="gramStart"/>
      <w:r>
        <w:rPr>
          <w:rFonts w:ascii="Verdana" w:hAnsi="Verdana"/>
          <w:sz w:val="20"/>
          <w:szCs w:val="20"/>
        </w:rPr>
        <w:t>are expected to be used</w:t>
      </w:r>
      <w:proofErr w:type="gramEnd"/>
      <w:r>
        <w:rPr>
          <w:rFonts w:ascii="Verdana" w:hAnsi="Verdana"/>
          <w:sz w:val="20"/>
          <w:szCs w:val="20"/>
        </w:rPr>
        <w:t xml:space="preserve"> for general working capital.</w:t>
      </w:r>
    </w:p>
    <w:p w14:paraId="4B1DE0AF" w14:textId="77777777" w:rsidR="004A72D8" w:rsidRPr="000D6724" w:rsidRDefault="004903AA" w:rsidP="004D21DE">
      <w:pPr>
        <w:jc w:val="both"/>
        <w:rPr>
          <w:rFonts w:ascii="Verdana" w:hAnsi="Verdana"/>
          <w:sz w:val="20"/>
          <w:szCs w:val="20"/>
          <w:lang w:val="en-GB"/>
        </w:rPr>
      </w:pPr>
      <w:r>
        <w:rPr>
          <w:rFonts w:ascii="Verdana" w:hAnsi="Verdana"/>
          <w:sz w:val="20"/>
          <w:szCs w:val="20"/>
          <w:lang w:val="en-GB"/>
        </w:rPr>
        <w:t xml:space="preserve">None of the </w:t>
      </w:r>
      <w:r>
        <w:rPr>
          <w:rFonts w:ascii="Verdana" w:hAnsi="Verdana"/>
          <w:sz w:val="20"/>
          <w:szCs w:val="20"/>
          <w:lang w:val="en-GB"/>
        </w:rPr>
        <w:t>securities</w:t>
      </w:r>
      <w:r>
        <w:rPr>
          <w:rFonts w:ascii="Verdana" w:hAnsi="Verdana"/>
          <w:sz w:val="20"/>
          <w:szCs w:val="20"/>
          <w:lang w:val="en-GB"/>
        </w:rPr>
        <w:t xml:space="preserve"> to be issued in connection with the </w:t>
      </w:r>
      <w:r>
        <w:rPr>
          <w:rFonts w:ascii="Verdana" w:hAnsi="Verdana"/>
          <w:sz w:val="20"/>
          <w:szCs w:val="20"/>
          <w:lang w:val="en-GB"/>
        </w:rPr>
        <w:t>Financing</w:t>
      </w:r>
      <w:r>
        <w:rPr>
          <w:rFonts w:ascii="Verdana" w:hAnsi="Verdana"/>
          <w:sz w:val="20"/>
          <w:szCs w:val="20"/>
          <w:lang w:val="en-GB"/>
        </w:rPr>
        <w:t xml:space="preserve"> </w:t>
      </w:r>
      <w:r>
        <w:rPr>
          <w:rFonts w:ascii="Verdana" w:hAnsi="Verdana"/>
          <w:sz w:val="20"/>
          <w:szCs w:val="20"/>
          <w:lang w:val="en-GB"/>
        </w:rPr>
        <w:t>will</w:t>
      </w:r>
      <w:r>
        <w:rPr>
          <w:rFonts w:ascii="Verdana" w:hAnsi="Verdana"/>
          <w:sz w:val="20"/>
          <w:szCs w:val="20"/>
          <w:lang w:val="en-GB"/>
        </w:rPr>
        <w:t xml:space="preserve"> be registered under the United States </w:t>
      </w:r>
      <w:r w:rsidRPr="006B17AC">
        <w:rPr>
          <w:rFonts w:ascii="Verdana" w:hAnsi="Verdana"/>
          <w:i/>
          <w:sz w:val="20"/>
          <w:szCs w:val="20"/>
          <w:lang w:val="en-GB"/>
        </w:rPr>
        <w:t>Securities Act of 1933</w:t>
      </w:r>
      <w:r>
        <w:rPr>
          <w:rFonts w:ascii="Verdana" w:hAnsi="Verdana"/>
          <w:sz w:val="20"/>
          <w:szCs w:val="20"/>
          <w:lang w:val="en-GB"/>
        </w:rPr>
        <w:t>, as amended (the "</w:t>
      </w:r>
      <w:r w:rsidRPr="004A72D8">
        <w:rPr>
          <w:rFonts w:ascii="Verdana" w:hAnsi="Verdana"/>
          <w:b/>
          <w:sz w:val="20"/>
          <w:szCs w:val="20"/>
          <w:lang w:val="en-GB"/>
        </w:rPr>
        <w:t>1933 Act</w:t>
      </w:r>
      <w:r>
        <w:rPr>
          <w:rFonts w:ascii="Verdana" w:hAnsi="Verdana"/>
          <w:sz w:val="20"/>
          <w:szCs w:val="20"/>
          <w:lang w:val="en-GB"/>
        </w:rPr>
        <w:t>"), or applicable state securities laws, and may not be offered or sold to, or for the account or benefit of, persons</w:t>
      </w:r>
      <w:r>
        <w:rPr>
          <w:rFonts w:ascii="Verdana" w:hAnsi="Verdana"/>
          <w:sz w:val="20"/>
          <w:szCs w:val="20"/>
          <w:lang w:val="en-GB"/>
        </w:rPr>
        <w:t xml:space="preserve"> </w:t>
      </w:r>
      <w:proofErr w:type="gramStart"/>
      <w:r>
        <w:rPr>
          <w:rFonts w:ascii="Verdana" w:hAnsi="Verdana"/>
          <w:sz w:val="20"/>
          <w:szCs w:val="20"/>
          <w:lang w:val="en-GB"/>
        </w:rPr>
        <w:t>in</w:t>
      </w:r>
      <w:proofErr w:type="gramEnd"/>
      <w:r>
        <w:rPr>
          <w:rFonts w:ascii="Verdana" w:hAnsi="Verdana"/>
          <w:sz w:val="20"/>
          <w:szCs w:val="20"/>
          <w:lang w:val="en-GB"/>
        </w:rPr>
        <w:t xml:space="preserve"> the United States or "U.S. Persons" (as such term is defined in Regulation S under the 1933 Act), absent registration or an applicable exemption from such registration requirements.</w:t>
      </w:r>
    </w:p>
    <w:p w14:paraId="544180E6" w14:textId="77777777" w:rsidR="00D22B1C" w:rsidRDefault="004903AA" w:rsidP="004D21DE">
      <w:pPr>
        <w:jc w:val="both"/>
        <w:rPr>
          <w:rFonts w:ascii="Verdana" w:hAnsi="Verdana"/>
          <w:sz w:val="20"/>
          <w:szCs w:val="20"/>
        </w:rPr>
      </w:pPr>
    </w:p>
    <w:p w14:paraId="6FFAE3E6" w14:textId="77777777" w:rsidR="004D21DE" w:rsidRPr="00691B36" w:rsidRDefault="004903AA" w:rsidP="004D21DE">
      <w:pPr>
        <w:spacing w:after="200"/>
        <w:jc w:val="both"/>
        <w:rPr>
          <w:rFonts w:ascii="Verdana" w:eastAsia="Times New Roman" w:hAnsi="Verdana" w:cs="Arial"/>
          <w:color w:val="000000"/>
          <w:sz w:val="20"/>
          <w:szCs w:val="20"/>
        </w:rPr>
      </w:pPr>
      <w:bookmarkStart w:id="0" w:name="_Hlk523393064"/>
      <w:r w:rsidRPr="00691B36">
        <w:rPr>
          <w:rFonts w:ascii="Verdana" w:eastAsia="Times New Roman" w:hAnsi="Verdana" w:cs="Arial"/>
          <w:b/>
          <w:color w:val="000000"/>
          <w:sz w:val="20"/>
          <w:szCs w:val="20"/>
        </w:rPr>
        <w:t xml:space="preserve">ABOUT EMPOWER </w:t>
      </w:r>
    </w:p>
    <w:p w14:paraId="0705E16C" w14:textId="77777777" w:rsidR="004D21DE" w:rsidRDefault="004903AA" w:rsidP="004D21DE">
      <w:pPr>
        <w:spacing w:after="200"/>
        <w:jc w:val="both"/>
        <w:rPr>
          <w:rFonts w:ascii="Verdana" w:eastAsia="Times New Roman" w:hAnsi="Verdana" w:cs="Arial"/>
          <w:color w:val="000000"/>
          <w:sz w:val="20"/>
          <w:szCs w:val="20"/>
        </w:rPr>
      </w:pPr>
      <w:bookmarkStart w:id="1" w:name="_Hlk508109355"/>
      <w:r>
        <w:rPr>
          <w:rFonts w:ascii="Verdana" w:eastAsia="Times New Roman" w:hAnsi="Verdana" w:cs="Arial"/>
          <w:color w:val="000000"/>
          <w:sz w:val="20"/>
          <w:szCs w:val="20"/>
        </w:rPr>
        <w:t>Empower is a leading owner/operator of a network of ph</w:t>
      </w:r>
      <w:r>
        <w:rPr>
          <w:rFonts w:ascii="Verdana" w:eastAsia="Times New Roman" w:hAnsi="Verdana" w:cs="Arial"/>
          <w:color w:val="000000"/>
          <w:sz w:val="20"/>
          <w:szCs w:val="20"/>
        </w:rPr>
        <w:t xml:space="preserve">ysician-staffed clinics focused on helping patients improve and protect their health through innovative uses of medical cannabis. Treatment solutions are focused on education, data and efficacy in combination with other modalities to support patients with </w:t>
      </w:r>
      <w:r>
        <w:rPr>
          <w:rFonts w:ascii="Verdana" w:eastAsia="Times New Roman" w:hAnsi="Verdana" w:cs="Arial"/>
          <w:color w:val="000000"/>
          <w:sz w:val="20"/>
          <w:szCs w:val="20"/>
        </w:rPr>
        <w:t>serious qualifying conditions, such as chronic pain, PTSD, sleep disorders, opioid dependency, epilepsy and mo</w:t>
      </w:r>
      <w:r>
        <w:rPr>
          <w:rFonts w:ascii="Verdana" w:eastAsia="Times New Roman" w:hAnsi="Verdana" w:cs="Arial"/>
          <w:color w:val="000000"/>
          <w:sz w:val="20"/>
          <w:szCs w:val="20"/>
        </w:rPr>
        <w:t>re. It is expected that Empower</w:t>
      </w:r>
      <w:r>
        <w:rPr>
          <w:rFonts w:ascii="Verdana" w:eastAsia="Times New Roman" w:hAnsi="Verdana" w:cs="Arial"/>
          <w:color w:val="000000"/>
          <w:sz w:val="20"/>
          <w:szCs w:val="20"/>
        </w:rPr>
        <w:t>'</w:t>
      </w:r>
      <w:r>
        <w:rPr>
          <w:rFonts w:ascii="Verdana" w:eastAsia="Times New Roman" w:hAnsi="Verdana" w:cs="Arial"/>
          <w:color w:val="000000"/>
          <w:sz w:val="20"/>
          <w:szCs w:val="20"/>
        </w:rPr>
        <w:t xml:space="preserve">s proprietary product line “Sollievo” will offer patients a variety of delivery methods of doctor recommended </w:t>
      </w:r>
      <w:r>
        <w:rPr>
          <w:rFonts w:ascii="Verdana" w:eastAsia="Times New Roman" w:hAnsi="Verdana" w:cs="Arial"/>
          <w:color w:val="000000"/>
          <w:sz w:val="20"/>
          <w:szCs w:val="20"/>
        </w:rPr>
        <w:t>cannabidiol (CBD) based</w:t>
      </w:r>
      <w:r>
        <w:rPr>
          <w:rFonts w:ascii="Verdana" w:eastAsia="Times New Roman" w:hAnsi="Verdana" w:cs="Arial"/>
          <w:color w:val="000000"/>
          <w:sz w:val="20"/>
          <w:szCs w:val="20"/>
        </w:rPr>
        <w:t xml:space="preserve"> product options in its clinics, online and at major retailers. With over 120,000 patients, an expanding clinic footprint, a focus on new technologies, including tele-medicine and an expanded product development strategy, Empower </w:t>
      </w:r>
      <w:r>
        <w:rPr>
          <w:rFonts w:ascii="Verdana" w:eastAsia="Times New Roman" w:hAnsi="Verdana" w:cs="Arial"/>
          <w:color w:val="000000"/>
          <w:sz w:val="20"/>
          <w:szCs w:val="20"/>
        </w:rPr>
        <w:t xml:space="preserve">is </w:t>
      </w:r>
      <w:r>
        <w:rPr>
          <w:rFonts w:ascii="Verdana" w:eastAsia="Times New Roman" w:hAnsi="Verdana" w:cs="Arial"/>
          <w:color w:val="000000"/>
          <w:sz w:val="20"/>
          <w:szCs w:val="20"/>
        </w:rPr>
        <w:t>undertaking new growth initiatives to be</w:t>
      </w:r>
      <w:r>
        <w:rPr>
          <w:rFonts w:ascii="Verdana" w:eastAsia="Times New Roman" w:hAnsi="Verdana" w:cs="Arial"/>
          <w:color w:val="000000"/>
          <w:sz w:val="20"/>
          <w:szCs w:val="20"/>
        </w:rPr>
        <w:t xml:space="preserve"> positioned </w:t>
      </w:r>
      <w:r>
        <w:rPr>
          <w:rFonts w:ascii="Verdana" w:eastAsia="Times New Roman" w:hAnsi="Verdana" w:cs="Arial"/>
          <w:color w:val="000000"/>
          <w:sz w:val="20"/>
          <w:szCs w:val="20"/>
        </w:rPr>
        <w:t>as</w:t>
      </w:r>
      <w:r>
        <w:rPr>
          <w:rFonts w:ascii="Verdana" w:eastAsia="Times New Roman" w:hAnsi="Verdana" w:cs="Arial"/>
          <w:color w:val="000000"/>
          <w:sz w:val="20"/>
          <w:szCs w:val="20"/>
        </w:rPr>
        <w:t xml:space="preserve"> a </w:t>
      </w:r>
      <w:r>
        <w:rPr>
          <w:rFonts w:ascii="Verdana" w:eastAsia="Times New Roman" w:hAnsi="Verdana" w:cs="Arial"/>
          <w:color w:val="000000"/>
          <w:sz w:val="20"/>
          <w:szCs w:val="20"/>
        </w:rPr>
        <w:t xml:space="preserve">vertically integrated diverse </w:t>
      </w:r>
      <w:r>
        <w:rPr>
          <w:rFonts w:ascii="Verdana" w:eastAsia="Times New Roman" w:hAnsi="Verdana" w:cs="Arial"/>
          <w:color w:val="000000"/>
          <w:sz w:val="20"/>
          <w:szCs w:val="20"/>
        </w:rPr>
        <w:t>market-leading service provider for complex patient requirements in 2019 and beyond.</w:t>
      </w:r>
    </w:p>
    <w:bookmarkEnd w:id="0"/>
    <w:bookmarkEnd w:id="1"/>
    <w:p w14:paraId="07A5B13F" w14:textId="77777777" w:rsidR="004D21DE" w:rsidRPr="00721414" w:rsidRDefault="004903AA" w:rsidP="00364849">
      <w:pPr>
        <w:keepNext/>
        <w:spacing w:after="200"/>
        <w:jc w:val="both"/>
        <w:rPr>
          <w:rFonts w:ascii="Helvetica" w:hAnsi="Helvetica" w:cs="Times New Roman"/>
          <w:b/>
          <w:color w:val="1E222B"/>
          <w:sz w:val="20"/>
          <w:szCs w:val="20"/>
        </w:rPr>
      </w:pPr>
      <w:r w:rsidRPr="00721414">
        <w:rPr>
          <w:rFonts w:ascii="Verdana" w:eastAsia="Times New Roman" w:hAnsi="Verdana" w:cs="Arial"/>
          <w:b/>
          <w:color w:val="000000"/>
          <w:sz w:val="20"/>
          <w:szCs w:val="20"/>
        </w:rPr>
        <w:lastRenderedPageBreak/>
        <w:t>ON BEHALF OF THE BOARD OF DIRECTORS:</w:t>
      </w:r>
    </w:p>
    <w:p w14:paraId="7A8D7C86" w14:textId="77777777" w:rsidR="004D21DE" w:rsidRDefault="004903AA" w:rsidP="00364849">
      <w:pPr>
        <w:keepNext/>
        <w:rPr>
          <w:rFonts w:ascii="Verdana" w:hAnsi="Verdana"/>
          <w:sz w:val="20"/>
          <w:szCs w:val="20"/>
        </w:rPr>
      </w:pPr>
      <w:r>
        <w:rPr>
          <w:rFonts w:ascii="Verdana" w:hAnsi="Verdana"/>
          <w:sz w:val="20"/>
          <w:szCs w:val="20"/>
        </w:rPr>
        <w:t>Steven McAuley</w:t>
      </w:r>
      <w:r>
        <w:rPr>
          <w:rFonts w:ascii="Verdana" w:hAnsi="Verdana"/>
          <w:sz w:val="20"/>
          <w:szCs w:val="20"/>
        </w:rPr>
        <w:br/>
        <w:t>Chief Executive Officer</w:t>
      </w:r>
    </w:p>
    <w:p w14:paraId="20EF1B31" w14:textId="77777777" w:rsidR="004D21DE" w:rsidRDefault="004903AA" w:rsidP="004D21DE">
      <w:pPr>
        <w:rPr>
          <w:rFonts w:ascii="Verdana" w:hAnsi="Verdana"/>
          <w:sz w:val="20"/>
          <w:szCs w:val="20"/>
        </w:rPr>
      </w:pPr>
    </w:p>
    <w:p w14:paraId="0FF2D9AE" w14:textId="77777777" w:rsidR="004D21DE" w:rsidRPr="003D261D" w:rsidRDefault="004903AA" w:rsidP="004D21DE">
      <w:pPr>
        <w:rPr>
          <w:rFonts w:ascii="Verdana" w:hAnsi="Verdana"/>
          <w:sz w:val="20"/>
          <w:szCs w:val="20"/>
        </w:rPr>
      </w:pPr>
      <w:r>
        <w:rPr>
          <w:rFonts w:ascii="Verdana" w:hAnsi="Verdana"/>
          <w:sz w:val="20"/>
          <w:szCs w:val="20"/>
        </w:rPr>
        <w:t>CONTACT</w:t>
      </w:r>
      <w:r>
        <w:rPr>
          <w:rFonts w:ascii="Verdana" w:hAnsi="Verdana"/>
          <w:sz w:val="20"/>
          <w:szCs w:val="20"/>
        </w:rPr>
        <w:t>S:</w:t>
      </w:r>
    </w:p>
    <w:p w14:paraId="7295A87F" w14:textId="77777777" w:rsidR="004D21DE" w:rsidRDefault="004903AA" w:rsidP="004D21DE">
      <w:pPr>
        <w:pStyle w:val="NormalWeb"/>
        <w:ind w:left="1440" w:hanging="1440"/>
        <w:rPr>
          <w:rFonts w:ascii="Verdana" w:hAnsi="Verdana" w:cs="Arial"/>
        </w:rPr>
      </w:pPr>
      <w:r w:rsidRPr="00691B36">
        <w:rPr>
          <w:rFonts w:ascii="Verdana" w:hAnsi="Verdana" w:cs="Arial"/>
          <w:color w:val="111C24"/>
        </w:rPr>
        <w:t>Investors:</w:t>
      </w:r>
      <w:r>
        <w:rPr>
          <w:rFonts w:ascii="Verdana" w:hAnsi="Verdana" w:cs="Arial"/>
          <w:color w:val="111C24"/>
        </w:rPr>
        <w:t xml:space="preserve"> </w:t>
      </w:r>
      <w:r>
        <w:rPr>
          <w:rFonts w:ascii="Verdana" w:hAnsi="Verdana" w:cs="Arial"/>
          <w:color w:val="111C24"/>
        </w:rPr>
        <w:tab/>
      </w:r>
      <w:r w:rsidRPr="00691B36">
        <w:rPr>
          <w:rFonts w:ascii="Verdana" w:hAnsi="Verdana" w:cs="Arial"/>
          <w:color w:val="111C24"/>
        </w:rPr>
        <w:t>Steve Low</w:t>
      </w:r>
      <w:r>
        <w:rPr>
          <w:rFonts w:ascii="Verdana" w:hAnsi="Verdana" w:cs="Arial"/>
          <w:color w:val="111C24"/>
        </w:rPr>
        <w:br/>
      </w:r>
      <w:r>
        <w:rPr>
          <w:rFonts w:ascii="Verdana" w:hAnsi="Verdana" w:cs="Arial"/>
        </w:rPr>
        <w:t>Boom Capital Markets</w:t>
      </w:r>
      <w:r>
        <w:rPr>
          <w:rFonts w:ascii="Verdana" w:hAnsi="Verdana" w:cs="Arial"/>
        </w:rPr>
        <w:br/>
      </w:r>
      <w:hyperlink r:id="rId8" w:history="1">
        <w:r w:rsidRPr="00691B36">
          <w:rPr>
            <w:rStyle w:val="Hyperlink"/>
            <w:rFonts w:ascii="Verdana" w:hAnsi="Verdana" w:cs="Arial"/>
          </w:rPr>
          <w:t>steve@boomcapitalmarkets.com</w:t>
        </w:r>
      </w:hyperlink>
      <w:r>
        <w:rPr>
          <w:rStyle w:val="Hyperlink"/>
          <w:rFonts w:ascii="Verdana" w:hAnsi="Verdana" w:cs="Arial"/>
        </w:rPr>
        <w:br/>
      </w:r>
      <w:r w:rsidRPr="00691B36">
        <w:rPr>
          <w:rFonts w:ascii="Verdana" w:hAnsi="Verdana" w:cs="Arial"/>
        </w:rPr>
        <w:t>647-620-5101</w:t>
      </w:r>
    </w:p>
    <w:p w14:paraId="726E0A7E" w14:textId="77777777" w:rsidR="004903AA" w:rsidRDefault="004903AA" w:rsidP="004D21DE">
      <w:pPr>
        <w:pStyle w:val="NormalWeb"/>
        <w:ind w:left="1440" w:hanging="1440"/>
        <w:rPr>
          <w:rFonts w:ascii="Verdana" w:hAnsi="Verdana" w:cs="Arial"/>
          <w:color w:val="111C24"/>
        </w:rPr>
      </w:pPr>
    </w:p>
    <w:p w14:paraId="02957572" w14:textId="77777777" w:rsidR="004903AA" w:rsidRDefault="004903AA" w:rsidP="004903AA">
      <w:pPr>
        <w:pStyle w:val="NormalWeb"/>
        <w:spacing w:before="0" w:beforeAutospacing="0" w:after="0" w:afterAutospacing="0"/>
        <w:ind w:left="1440" w:hanging="1440"/>
        <w:rPr>
          <w:rFonts w:ascii="Verdana" w:hAnsi="Verdana" w:cs="Arial"/>
          <w:color w:val="111C24"/>
        </w:rPr>
      </w:pPr>
      <w:r>
        <w:rPr>
          <w:rFonts w:ascii="Verdana" w:hAnsi="Verdana" w:cs="Arial"/>
          <w:color w:val="111C24"/>
        </w:rPr>
        <w:t>Investors:</w:t>
      </w:r>
      <w:r>
        <w:rPr>
          <w:rFonts w:ascii="Verdana" w:hAnsi="Verdana" w:cs="Arial"/>
          <w:color w:val="111C24"/>
        </w:rPr>
        <w:tab/>
        <w:t>Steven McAuley</w:t>
      </w:r>
    </w:p>
    <w:p w14:paraId="3AC738A8" w14:textId="77777777" w:rsidR="004903AA" w:rsidRDefault="004903AA" w:rsidP="004903AA">
      <w:pPr>
        <w:pStyle w:val="NormalWeb"/>
        <w:spacing w:before="0" w:beforeAutospacing="0" w:after="0" w:afterAutospacing="0"/>
        <w:ind w:left="1440" w:hanging="1440"/>
        <w:rPr>
          <w:rFonts w:ascii="Verdana" w:hAnsi="Verdana" w:cs="Arial"/>
          <w:color w:val="111C24"/>
        </w:rPr>
      </w:pPr>
      <w:r>
        <w:rPr>
          <w:rFonts w:ascii="Verdana" w:hAnsi="Verdana" w:cs="Arial"/>
          <w:color w:val="111C24"/>
        </w:rPr>
        <w:tab/>
        <w:t>CEO</w:t>
      </w:r>
    </w:p>
    <w:p w14:paraId="07D55F40" w14:textId="77777777" w:rsidR="004903AA" w:rsidRDefault="004903AA" w:rsidP="004903AA">
      <w:pPr>
        <w:pStyle w:val="NormalWeb"/>
        <w:spacing w:before="0" w:beforeAutospacing="0" w:after="0" w:afterAutospacing="0"/>
        <w:ind w:left="1440" w:hanging="1440"/>
        <w:rPr>
          <w:rFonts w:ascii="Verdana" w:hAnsi="Verdana" w:cs="Arial"/>
          <w:color w:val="111C24"/>
        </w:rPr>
      </w:pPr>
      <w:r>
        <w:rPr>
          <w:rFonts w:ascii="Verdana" w:hAnsi="Verdana" w:cs="Arial"/>
          <w:color w:val="111C24"/>
        </w:rPr>
        <w:tab/>
      </w:r>
      <w:hyperlink r:id="rId9" w:history="1">
        <w:r w:rsidRPr="00B6733B">
          <w:rPr>
            <w:rStyle w:val="Hyperlink"/>
            <w:rFonts w:ascii="Verdana" w:hAnsi="Verdana" w:cs="Arial"/>
          </w:rPr>
          <w:t>s.mcauley@empowerclinics.com</w:t>
        </w:r>
      </w:hyperlink>
    </w:p>
    <w:p w14:paraId="1FB3D90B" w14:textId="77777777" w:rsidR="004903AA" w:rsidRDefault="004903AA" w:rsidP="004903AA">
      <w:pPr>
        <w:pStyle w:val="NormalWeb"/>
        <w:spacing w:before="0" w:beforeAutospacing="0" w:after="0" w:afterAutospacing="0"/>
        <w:ind w:left="1440" w:hanging="1440"/>
        <w:rPr>
          <w:rFonts w:ascii="Verdana" w:hAnsi="Verdana" w:cs="Arial"/>
          <w:color w:val="111C24"/>
        </w:rPr>
      </w:pPr>
      <w:r>
        <w:rPr>
          <w:rFonts w:ascii="Verdana" w:hAnsi="Verdana" w:cs="Arial"/>
          <w:color w:val="111C24"/>
        </w:rPr>
        <w:tab/>
        <w:t>604-789-2146</w:t>
      </w:r>
    </w:p>
    <w:p w14:paraId="519A36B7" w14:textId="77777777" w:rsidR="004903AA" w:rsidRPr="00EF1C18" w:rsidRDefault="004903AA" w:rsidP="004D21DE">
      <w:pPr>
        <w:pStyle w:val="NormalWeb"/>
        <w:ind w:left="1440" w:hanging="1440"/>
        <w:rPr>
          <w:rFonts w:ascii="Verdana" w:hAnsi="Verdana" w:cs="Arial"/>
          <w:color w:val="111C24"/>
        </w:rPr>
      </w:pPr>
      <w:bookmarkStart w:id="2" w:name="_GoBack"/>
      <w:bookmarkEnd w:id="2"/>
    </w:p>
    <w:p w14:paraId="2431DB68" w14:textId="77777777" w:rsidR="004D21DE" w:rsidRPr="00EF1C18" w:rsidRDefault="004903AA" w:rsidP="004D21DE">
      <w:pPr>
        <w:spacing w:after="200"/>
        <w:jc w:val="both"/>
        <w:rPr>
          <w:rFonts w:ascii="Verdana" w:eastAsia="Times New Roman" w:hAnsi="Verdana" w:cs="Arial"/>
          <w:i/>
          <w:color w:val="000000"/>
          <w:sz w:val="18"/>
          <w:szCs w:val="18"/>
        </w:rPr>
      </w:pPr>
      <w:r>
        <w:rPr>
          <w:rFonts w:ascii="Verdana" w:eastAsia="Times New Roman" w:hAnsi="Verdana" w:cs="Arial"/>
          <w:i/>
          <w:color w:val="000000"/>
          <w:sz w:val="18"/>
          <w:szCs w:val="18"/>
        </w:rPr>
        <w:t xml:space="preserve">DISCLAIMER FOR </w:t>
      </w:r>
      <w:r w:rsidRPr="00EF1C18">
        <w:rPr>
          <w:rFonts w:ascii="Verdana" w:eastAsia="Times New Roman" w:hAnsi="Verdana" w:cs="Arial"/>
          <w:i/>
          <w:color w:val="000000"/>
          <w:sz w:val="18"/>
          <w:szCs w:val="18"/>
        </w:rPr>
        <w:t>FORWARD-LOOKING STATEMENTS</w:t>
      </w:r>
    </w:p>
    <w:p w14:paraId="27BADEDA" w14:textId="77777777" w:rsidR="004D21DE" w:rsidRPr="000D6724" w:rsidRDefault="004903AA" w:rsidP="000D6724">
      <w:pPr>
        <w:spacing w:after="200"/>
        <w:jc w:val="both"/>
        <w:rPr>
          <w:rFonts w:ascii="Verdana" w:eastAsia="Times New Roman" w:hAnsi="Verdana" w:cs="Arial"/>
          <w:color w:val="000000"/>
          <w:sz w:val="18"/>
          <w:szCs w:val="18"/>
        </w:rPr>
      </w:pPr>
      <w:r w:rsidRPr="00EF1C18">
        <w:rPr>
          <w:rFonts w:ascii="Verdana" w:eastAsia="Times New Roman" w:hAnsi="Verdana" w:cs="Arial"/>
          <w:i/>
          <w:color w:val="000000"/>
          <w:sz w:val="18"/>
          <w:szCs w:val="18"/>
        </w:rPr>
        <w:t xml:space="preserve">This news release contains certain “forward-looking statements” or </w:t>
      </w:r>
      <w:r w:rsidRPr="00EF1C18">
        <w:rPr>
          <w:rFonts w:ascii="Verdana" w:eastAsia="Times New Roman" w:hAnsi="Verdana" w:cs="Arial"/>
          <w:i/>
          <w:color w:val="000000"/>
          <w:sz w:val="18"/>
          <w:szCs w:val="18"/>
        </w:rPr>
        <w:t>“forward-looking information”</w:t>
      </w:r>
      <w:r>
        <w:rPr>
          <w:rFonts w:ascii="Verdana" w:eastAsia="Times New Roman" w:hAnsi="Verdana" w:cs="Arial"/>
          <w:i/>
          <w:color w:val="000000"/>
          <w:sz w:val="18"/>
          <w:szCs w:val="18"/>
        </w:rPr>
        <w:t xml:space="preserve"> </w:t>
      </w:r>
      <w:r w:rsidRPr="00B87642">
        <w:rPr>
          <w:rFonts w:ascii="Verdana" w:eastAsia="Times New Roman" w:hAnsi="Verdana" w:cs="Arial"/>
          <w:i/>
          <w:color w:val="000000"/>
          <w:sz w:val="18"/>
          <w:szCs w:val="18"/>
        </w:rPr>
        <w:t>(collectively "forward looking statements") within the meaning of</w:t>
      </w:r>
      <w:r w:rsidRPr="00B87642">
        <w:rPr>
          <w:rFonts w:ascii="Verdana" w:eastAsia="Times New Roman" w:hAnsi="Verdana" w:cs="Arial"/>
          <w:i/>
          <w:color w:val="000000"/>
          <w:sz w:val="18"/>
          <w:szCs w:val="18"/>
        </w:rPr>
        <w:t xml:space="preserve"> applicable Canadian securities law</w:t>
      </w:r>
      <w:r w:rsidRPr="00B87642">
        <w:rPr>
          <w:rFonts w:ascii="Verdana" w:eastAsia="Times New Roman" w:hAnsi="Verdana" w:cs="Arial"/>
          <w:i/>
          <w:color w:val="000000"/>
          <w:sz w:val="18"/>
          <w:szCs w:val="18"/>
        </w:rPr>
        <w:t>s</w:t>
      </w:r>
      <w:r w:rsidRPr="00B87642">
        <w:rPr>
          <w:rFonts w:ascii="Verdana" w:eastAsia="Times New Roman" w:hAnsi="Verdana" w:cs="Arial"/>
          <w:i/>
          <w:color w:val="000000"/>
          <w:sz w:val="18"/>
          <w:szCs w:val="18"/>
        </w:rPr>
        <w:t>.</w:t>
      </w:r>
      <w:r w:rsidRPr="00B87642">
        <w:rPr>
          <w:rFonts w:ascii="Verdana" w:hAnsi="Verdana" w:cs="Helvetica"/>
          <w:i/>
          <w:iCs/>
          <w:color w:val="373737"/>
          <w:sz w:val="18"/>
          <w:szCs w:val="18"/>
        </w:rPr>
        <w:t xml:space="preserve"> All statements, other than statements of historical fact, are forward-looking statements and are based on expectations, estimates and projections as at the date of this news release.</w:t>
      </w:r>
      <w:r w:rsidRPr="00B87642">
        <w:rPr>
          <w:rFonts w:ascii="Verdana" w:eastAsia="Times New Roman" w:hAnsi="Verdana" w:cs="Arial"/>
          <w:i/>
          <w:color w:val="000000"/>
          <w:sz w:val="18"/>
          <w:szCs w:val="18"/>
        </w:rPr>
        <w:t xml:space="preserve"> Forward-looking statements </w:t>
      </w:r>
      <w:r w:rsidRPr="00B87642">
        <w:rPr>
          <w:rFonts w:ascii="Verdana" w:eastAsia="Times New Roman" w:hAnsi="Verdana" w:cs="Arial"/>
          <w:i/>
          <w:color w:val="000000"/>
          <w:sz w:val="18"/>
          <w:szCs w:val="18"/>
        </w:rPr>
        <w:t>can frequently be identified</w:t>
      </w:r>
      <w:r w:rsidRPr="00B87642">
        <w:rPr>
          <w:rFonts w:ascii="Verdana" w:eastAsia="Times New Roman" w:hAnsi="Verdana" w:cs="Arial"/>
          <w:i/>
          <w:color w:val="000000"/>
          <w:sz w:val="18"/>
          <w:szCs w:val="18"/>
        </w:rPr>
        <w:t xml:space="preserve"> by words such as</w:t>
      </w:r>
      <w:r w:rsidRPr="00B87642">
        <w:rPr>
          <w:rFonts w:ascii="Verdana" w:eastAsia="Times New Roman" w:hAnsi="Verdana" w:cs="Arial"/>
          <w:i/>
          <w:color w:val="000000"/>
          <w:sz w:val="18"/>
          <w:szCs w:val="18"/>
        </w:rPr>
        <w:t xml:space="preserve"> “plans”, “continues”, “expects”, “projects”, “intends”, “believes”, “anticipates”, “estimates”, “may”, “will”, “potential”, “proposed” and other similar words, or information that certain events or conditions “may” or “will” occur. Forward-looking stateme</w:t>
      </w:r>
      <w:r w:rsidRPr="00B87642">
        <w:rPr>
          <w:rFonts w:ascii="Verdana" w:eastAsia="Times New Roman" w:hAnsi="Verdana" w:cs="Arial"/>
          <w:i/>
          <w:color w:val="000000"/>
          <w:sz w:val="18"/>
          <w:szCs w:val="18"/>
        </w:rPr>
        <w:t>nts in this news release include, but are not limited to, statements regarding</w:t>
      </w:r>
      <w:r>
        <w:rPr>
          <w:rFonts w:ascii="Verdana" w:eastAsia="Times New Roman" w:hAnsi="Verdana" w:cs="Arial"/>
          <w:i/>
          <w:color w:val="000000"/>
          <w:sz w:val="18"/>
          <w:szCs w:val="18"/>
        </w:rPr>
        <w:t xml:space="preserve"> the expected terms of the Financing and the use of proceeds thereof</w:t>
      </w:r>
      <w:r>
        <w:rPr>
          <w:rFonts w:ascii="Verdana" w:eastAsia="Times New Roman" w:hAnsi="Verdana" w:cs="Arial"/>
          <w:i/>
          <w:color w:val="000000"/>
          <w:sz w:val="18"/>
          <w:szCs w:val="18"/>
        </w:rPr>
        <w:t xml:space="preserve">. Such statements are only </w:t>
      </w:r>
      <w:r w:rsidRPr="00EF1C18">
        <w:rPr>
          <w:rFonts w:ascii="Verdana" w:eastAsia="Times New Roman" w:hAnsi="Verdana" w:cs="Arial"/>
          <w:i/>
          <w:color w:val="000000"/>
          <w:sz w:val="18"/>
          <w:szCs w:val="18"/>
        </w:rPr>
        <w:t>projection</w:t>
      </w:r>
      <w:r>
        <w:rPr>
          <w:rFonts w:ascii="Verdana" w:eastAsia="Times New Roman" w:hAnsi="Verdana" w:cs="Arial"/>
          <w:i/>
          <w:color w:val="000000"/>
          <w:sz w:val="18"/>
          <w:szCs w:val="18"/>
        </w:rPr>
        <w:t>s, are</w:t>
      </w:r>
      <w:r w:rsidRPr="00EF1C18">
        <w:rPr>
          <w:rFonts w:ascii="Verdana" w:eastAsia="Times New Roman" w:hAnsi="Verdana" w:cs="Arial"/>
          <w:i/>
          <w:color w:val="000000"/>
          <w:sz w:val="18"/>
          <w:szCs w:val="18"/>
        </w:rPr>
        <w:t xml:space="preserve"> based on assumptions known to management at this time, and are sub</w:t>
      </w:r>
      <w:r w:rsidRPr="00EF1C18">
        <w:rPr>
          <w:rFonts w:ascii="Verdana" w:eastAsia="Times New Roman" w:hAnsi="Verdana" w:cs="Arial"/>
          <w:i/>
          <w:color w:val="000000"/>
          <w:sz w:val="18"/>
          <w:szCs w:val="18"/>
        </w:rPr>
        <w:t>ject to risks and uncertainties that may cause actual results, performance or developments to differ materially from those contained in the forwar</w:t>
      </w:r>
      <w:r>
        <w:rPr>
          <w:rFonts w:ascii="Verdana" w:eastAsia="Times New Roman" w:hAnsi="Verdana" w:cs="Arial"/>
          <w:i/>
          <w:color w:val="000000"/>
          <w:sz w:val="18"/>
          <w:szCs w:val="18"/>
        </w:rPr>
        <w:t>d-looking statements, including that the Company may be unable to complete the Financing on the terms expected</w:t>
      </w:r>
      <w:r>
        <w:rPr>
          <w:rFonts w:ascii="Verdana" w:eastAsia="Times New Roman" w:hAnsi="Verdana" w:cs="Arial"/>
          <w:i/>
          <w:color w:val="000000"/>
          <w:sz w:val="18"/>
          <w:szCs w:val="18"/>
        </w:rPr>
        <w:t xml:space="preserve"> or at all; that the Company may deem it necessary to allocate the proceeds of the Financing other than as provided herein; </w:t>
      </w:r>
      <w:r>
        <w:rPr>
          <w:rFonts w:ascii="Verdana" w:eastAsia="Times New Roman" w:hAnsi="Verdana" w:cs="Arial"/>
          <w:i/>
          <w:color w:val="000000"/>
          <w:sz w:val="18"/>
          <w:szCs w:val="18"/>
        </w:rPr>
        <w:t xml:space="preserve">and </w:t>
      </w:r>
      <w:r w:rsidRPr="00EF1C18">
        <w:rPr>
          <w:rFonts w:ascii="Verdana" w:eastAsia="Times New Roman" w:hAnsi="Verdana" w:cs="Arial"/>
          <w:i/>
          <w:color w:val="000000"/>
          <w:sz w:val="18"/>
          <w:szCs w:val="18"/>
        </w:rPr>
        <w:t xml:space="preserve">other factors beyond the Company’s control. No assurance can be given that any of the events anticipated by the forward-looking </w:t>
      </w:r>
      <w:r w:rsidRPr="00EF1C18">
        <w:rPr>
          <w:rFonts w:ascii="Verdana" w:eastAsia="Times New Roman" w:hAnsi="Verdana" w:cs="Arial"/>
          <w:i/>
          <w:color w:val="000000"/>
          <w:sz w:val="18"/>
          <w:szCs w:val="18"/>
        </w:rPr>
        <w:t>statements will occur or, if they do occur, what benefits the Company will obtain from them. Readers are cautioned not to place undue reliance on the forward-looking statements in this release, which are qualified in their entirety by these cautionary stat</w:t>
      </w:r>
      <w:r w:rsidRPr="00EF1C18">
        <w:rPr>
          <w:rFonts w:ascii="Verdana" w:eastAsia="Times New Roman" w:hAnsi="Verdana" w:cs="Arial"/>
          <w:i/>
          <w:color w:val="000000"/>
          <w:sz w:val="18"/>
          <w:szCs w:val="18"/>
        </w:rPr>
        <w:t>ements. The Company is under no obligation, and expressly disclaims any intention or obligation, to update or revise any forward-looking statements in this release, whether as a result of new information, future events or otherwise, except as expressly req</w:t>
      </w:r>
      <w:r w:rsidRPr="00EF1C18">
        <w:rPr>
          <w:rFonts w:ascii="Verdana" w:eastAsia="Times New Roman" w:hAnsi="Verdana" w:cs="Arial"/>
          <w:i/>
          <w:color w:val="000000"/>
          <w:sz w:val="18"/>
          <w:szCs w:val="18"/>
        </w:rPr>
        <w:t>uired by applicable laws</w:t>
      </w:r>
      <w:r w:rsidRPr="00000A4A">
        <w:rPr>
          <w:rFonts w:ascii="Verdana" w:eastAsia="Times New Roman" w:hAnsi="Verdana" w:cs="Arial"/>
          <w:color w:val="000000"/>
          <w:sz w:val="18"/>
          <w:szCs w:val="18"/>
        </w:rPr>
        <w:t xml:space="preserve">. </w:t>
      </w:r>
    </w:p>
    <w:sectPr w:rsidR="004D21DE" w:rsidRPr="000D672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9A1DF" w14:textId="77777777" w:rsidR="00000000" w:rsidRDefault="004903AA">
      <w:r>
        <w:separator/>
      </w:r>
    </w:p>
  </w:endnote>
  <w:endnote w:type="continuationSeparator" w:id="0">
    <w:p w14:paraId="4563BA21" w14:textId="77777777" w:rsidR="00000000" w:rsidRDefault="0049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3194F" w14:textId="77777777" w:rsidR="0027549C" w:rsidRDefault="004903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07D9D" w14:textId="77777777" w:rsidR="0027549C" w:rsidRDefault="004903A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A4E06" w14:textId="77777777" w:rsidR="0027549C" w:rsidRDefault="004903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42245" w14:textId="77777777" w:rsidR="00000000" w:rsidRDefault="004903AA">
      <w:r>
        <w:separator/>
      </w:r>
    </w:p>
  </w:footnote>
  <w:footnote w:type="continuationSeparator" w:id="0">
    <w:p w14:paraId="0E6896BC" w14:textId="77777777" w:rsidR="00000000" w:rsidRDefault="004903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BD0A0" w14:textId="77777777" w:rsidR="0027549C" w:rsidRDefault="004903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3A655" w14:textId="77777777" w:rsidR="00712F52" w:rsidRPr="00712F52" w:rsidRDefault="004903AA" w:rsidP="00712F52">
    <w:pPr>
      <w:pStyle w:val="Header"/>
      <w:jc w:val="center"/>
      <w:rPr>
        <w:i/>
      </w:rPr>
    </w:pPr>
    <w:r w:rsidRPr="00712F52">
      <w:rPr>
        <w:rFonts w:ascii="Arial" w:hAnsi="Arial" w:cs="Arial"/>
        <w:b/>
        <w:bCs/>
        <w:i/>
        <w:color w:val="000000"/>
        <w:sz w:val="23"/>
        <w:szCs w:val="23"/>
      </w:rPr>
      <w:t>NOT FOR DISTRIBUTION TO UNITED STATES NEWSWIRE SERVICES OR FOR DISSEMINATION IN THE UNITED STATES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5E338" w14:textId="77777777" w:rsidR="0027549C" w:rsidRDefault="004903A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D9ED04A"/>
    <w:lvl w:ilvl="0">
      <w:start w:val="1"/>
      <w:numFmt w:val="bullet"/>
      <w:pStyle w:val="BodyTextFirstIndent"/>
      <w:lvlText w:val=""/>
      <w:lvlJc w:val="left"/>
      <w:pPr>
        <w:tabs>
          <w:tab w:val="left" w:pos="720"/>
          <w:tab w:val="num" w:pos="1800"/>
        </w:tabs>
        <w:ind w:left="1800" w:hanging="360"/>
      </w:pPr>
      <w:rPr>
        <w:rFonts w:ascii="Symbol" w:hAnsi="Symbol"/>
        <w:sz w:val="24"/>
      </w:rPr>
    </w:lvl>
  </w:abstractNum>
  <w:abstractNum w:abstractNumId="1">
    <w:nsid w:val="39791569"/>
    <w:multiLevelType w:val="multilevel"/>
    <w:tmpl w:val="3484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9955A5"/>
    <w:multiLevelType w:val="hybridMultilevel"/>
    <w:tmpl w:val="B8F87784"/>
    <w:lvl w:ilvl="0" w:tplc="2ACE6F2A">
      <w:start w:val="1"/>
      <w:numFmt w:val="bullet"/>
      <w:lvlText w:val=""/>
      <w:lvlJc w:val="left"/>
      <w:pPr>
        <w:ind w:left="720" w:hanging="360"/>
      </w:pPr>
      <w:rPr>
        <w:rFonts w:ascii="Symbol" w:hAnsi="Symbol" w:hint="default"/>
      </w:rPr>
    </w:lvl>
    <w:lvl w:ilvl="1" w:tplc="F9BC6DCC" w:tentative="1">
      <w:start w:val="1"/>
      <w:numFmt w:val="bullet"/>
      <w:lvlText w:val="o"/>
      <w:lvlJc w:val="left"/>
      <w:pPr>
        <w:ind w:left="1440" w:hanging="360"/>
      </w:pPr>
      <w:rPr>
        <w:rFonts w:ascii="Courier New" w:hAnsi="Courier New" w:hint="default"/>
      </w:rPr>
    </w:lvl>
    <w:lvl w:ilvl="2" w:tplc="BCB894F6" w:tentative="1">
      <w:start w:val="1"/>
      <w:numFmt w:val="bullet"/>
      <w:lvlText w:val=""/>
      <w:lvlJc w:val="left"/>
      <w:pPr>
        <w:ind w:left="2160" w:hanging="360"/>
      </w:pPr>
      <w:rPr>
        <w:rFonts w:ascii="Wingdings" w:hAnsi="Wingdings" w:hint="default"/>
      </w:rPr>
    </w:lvl>
    <w:lvl w:ilvl="3" w:tplc="1C82F276" w:tentative="1">
      <w:start w:val="1"/>
      <w:numFmt w:val="bullet"/>
      <w:lvlText w:val=""/>
      <w:lvlJc w:val="left"/>
      <w:pPr>
        <w:ind w:left="2880" w:hanging="360"/>
      </w:pPr>
      <w:rPr>
        <w:rFonts w:ascii="Symbol" w:hAnsi="Symbol" w:hint="default"/>
      </w:rPr>
    </w:lvl>
    <w:lvl w:ilvl="4" w:tplc="1CFAE5A0" w:tentative="1">
      <w:start w:val="1"/>
      <w:numFmt w:val="bullet"/>
      <w:lvlText w:val="o"/>
      <w:lvlJc w:val="left"/>
      <w:pPr>
        <w:ind w:left="3600" w:hanging="360"/>
      </w:pPr>
      <w:rPr>
        <w:rFonts w:ascii="Courier New" w:hAnsi="Courier New" w:hint="default"/>
      </w:rPr>
    </w:lvl>
    <w:lvl w:ilvl="5" w:tplc="D5605C4C" w:tentative="1">
      <w:start w:val="1"/>
      <w:numFmt w:val="bullet"/>
      <w:lvlText w:val=""/>
      <w:lvlJc w:val="left"/>
      <w:pPr>
        <w:ind w:left="4320" w:hanging="360"/>
      </w:pPr>
      <w:rPr>
        <w:rFonts w:ascii="Wingdings" w:hAnsi="Wingdings" w:hint="default"/>
      </w:rPr>
    </w:lvl>
    <w:lvl w:ilvl="6" w:tplc="24AE9800" w:tentative="1">
      <w:start w:val="1"/>
      <w:numFmt w:val="bullet"/>
      <w:lvlText w:val=""/>
      <w:lvlJc w:val="left"/>
      <w:pPr>
        <w:ind w:left="5040" w:hanging="360"/>
      </w:pPr>
      <w:rPr>
        <w:rFonts w:ascii="Symbol" w:hAnsi="Symbol" w:hint="default"/>
      </w:rPr>
    </w:lvl>
    <w:lvl w:ilvl="7" w:tplc="E6B42E7E" w:tentative="1">
      <w:start w:val="1"/>
      <w:numFmt w:val="bullet"/>
      <w:lvlText w:val="o"/>
      <w:lvlJc w:val="left"/>
      <w:pPr>
        <w:ind w:left="5760" w:hanging="360"/>
      </w:pPr>
      <w:rPr>
        <w:rFonts w:ascii="Courier New" w:hAnsi="Courier New" w:hint="default"/>
      </w:rPr>
    </w:lvl>
    <w:lvl w:ilvl="8" w:tplc="07E2C67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93"/>
    <w:rsid w:val="004903AA"/>
    <w:rsid w:val="00FA5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2F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CA5"/>
    <w:pPr>
      <w:spacing w:before="100" w:beforeAutospacing="1" w:after="100" w:afterAutospacing="1"/>
    </w:pPr>
    <w:rPr>
      <w:rFonts w:ascii="Times New Roman" w:eastAsiaTheme="minorEastAsia" w:hAnsi="Times New Roman" w:cs="Times New Roman"/>
      <w:sz w:val="20"/>
      <w:szCs w:val="20"/>
      <w:lang w:val="en-CA"/>
    </w:rPr>
  </w:style>
  <w:style w:type="character" w:styleId="Hyperlink">
    <w:name w:val="Hyperlink"/>
    <w:basedOn w:val="DefaultParagraphFont"/>
    <w:uiPriority w:val="99"/>
    <w:unhideWhenUsed/>
    <w:rsid w:val="00F12CA5"/>
    <w:rPr>
      <w:color w:val="0000FF"/>
      <w:u w:val="single"/>
    </w:rPr>
  </w:style>
  <w:style w:type="paragraph" w:styleId="Header">
    <w:name w:val="header"/>
    <w:basedOn w:val="Normal"/>
    <w:link w:val="HeaderChar"/>
    <w:uiPriority w:val="99"/>
    <w:unhideWhenUsed/>
    <w:rsid w:val="00AF1FBC"/>
    <w:pPr>
      <w:tabs>
        <w:tab w:val="center" w:pos="4680"/>
        <w:tab w:val="right" w:pos="9360"/>
      </w:tabs>
    </w:pPr>
  </w:style>
  <w:style w:type="character" w:customStyle="1" w:styleId="HeaderChar">
    <w:name w:val="Header Char"/>
    <w:basedOn w:val="DefaultParagraphFont"/>
    <w:link w:val="Header"/>
    <w:uiPriority w:val="99"/>
    <w:rsid w:val="00AF1FBC"/>
    <w:rPr>
      <w:rFonts w:ascii="Calibri" w:hAnsi="Calibri" w:cs="Calibri"/>
    </w:rPr>
  </w:style>
  <w:style w:type="paragraph" w:styleId="Footer">
    <w:name w:val="footer"/>
    <w:basedOn w:val="Normal"/>
    <w:link w:val="FooterChar"/>
    <w:uiPriority w:val="99"/>
    <w:unhideWhenUsed/>
    <w:rsid w:val="00AF1FBC"/>
    <w:pPr>
      <w:tabs>
        <w:tab w:val="center" w:pos="4680"/>
        <w:tab w:val="right" w:pos="9360"/>
      </w:tabs>
    </w:pPr>
  </w:style>
  <w:style w:type="character" w:customStyle="1" w:styleId="FooterChar">
    <w:name w:val="Footer Char"/>
    <w:basedOn w:val="DefaultParagraphFont"/>
    <w:link w:val="Footer"/>
    <w:uiPriority w:val="99"/>
    <w:rsid w:val="00AF1FBC"/>
    <w:rPr>
      <w:rFonts w:ascii="Calibri" w:hAnsi="Calibri" w:cs="Calibri"/>
    </w:rPr>
  </w:style>
  <w:style w:type="paragraph" w:styleId="BalloonText">
    <w:name w:val="Balloon Text"/>
    <w:basedOn w:val="Normal"/>
    <w:link w:val="BalloonTextChar"/>
    <w:uiPriority w:val="99"/>
    <w:semiHidden/>
    <w:unhideWhenUsed/>
    <w:rsid w:val="00EB4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98E"/>
    <w:rPr>
      <w:rFonts w:ascii="Segoe UI" w:hAnsi="Segoe UI" w:cs="Segoe UI"/>
      <w:sz w:val="18"/>
      <w:szCs w:val="18"/>
    </w:rPr>
  </w:style>
  <w:style w:type="paragraph" w:styleId="BodyText">
    <w:name w:val="Body Text"/>
    <w:basedOn w:val="Normal"/>
    <w:link w:val="BodyTextChar"/>
    <w:uiPriority w:val="99"/>
    <w:semiHidden/>
    <w:unhideWhenUsed/>
    <w:rsid w:val="007958CD"/>
    <w:pPr>
      <w:spacing w:after="120"/>
    </w:pPr>
  </w:style>
  <w:style w:type="character" w:customStyle="1" w:styleId="BodyTextChar">
    <w:name w:val="Body Text Char"/>
    <w:basedOn w:val="DefaultParagraphFont"/>
    <w:link w:val="BodyText"/>
    <w:uiPriority w:val="99"/>
    <w:semiHidden/>
    <w:rsid w:val="007958CD"/>
    <w:rPr>
      <w:rFonts w:ascii="Calibri" w:hAnsi="Calibri" w:cs="Calibri"/>
    </w:rPr>
  </w:style>
  <w:style w:type="paragraph" w:styleId="BodyTextFirstIndent">
    <w:name w:val="Body Text First Indent"/>
    <w:aliases w:val="btfi"/>
    <w:basedOn w:val="BodyText"/>
    <w:link w:val="BodyTextFirstIndentChar"/>
    <w:rsid w:val="007958CD"/>
    <w:pPr>
      <w:numPr>
        <w:numId w:val="1"/>
      </w:numPr>
      <w:tabs>
        <w:tab w:val="clear" w:pos="1800"/>
        <w:tab w:val="left" w:pos="0"/>
        <w:tab w:val="num" w:pos="2880"/>
      </w:tabs>
      <w:suppressAutoHyphens/>
      <w:autoSpaceDE w:val="0"/>
      <w:autoSpaceDN w:val="0"/>
      <w:adjustRightInd w:val="0"/>
      <w:spacing w:after="240"/>
      <w:ind w:left="0" w:firstLine="2160"/>
      <w:jc w:val="both"/>
    </w:pPr>
    <w:rPr>
      <w:rFonts w:ascii="Times New Roman" w:eastAsia="Times New Roman" w:hAnsi="Times New Roman" w:cs="Times New Roman"/>
      <w:sz w:val="19"/>
      <w:szCs w:val="19"/>
    </w:rPr>
  </w:style>
  <w:style w:type="character" w:customStyle="1" w:styleId="BodyTextFirstIndentChar">
    <w:name w:val="Body Text First Indent Char"/>
    <w:aliases w:val="btfi Char"/>
    <w:basedOn w:val="BodyTextChar"/>
    <w:link w:val="BodyTextFirstIndent"/>
    <w:rsid w:val="007958CD"/>
    <w:rPr>
      <w:rFonts w:ascii="Times New Roman" w:eastAsia="Times New Roman" w:hAnsi="Times New Roman" w:cs="Times New Roman"/>
      <w:sz w:val="19"/>
      <w:szCs w:val="19"/>
    </w:rPr>
  </w:style>
  <w:style w:type="paragraph" w:styleId="ListParagraph">
    <w:name w:val="List Paragraph"/>
    <w:basedOn w:val="Normal"/>
    <w:uiPriority w:val="34"/>
    <w:qFormat/>
    <w:rsid w:val="006E61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CA5"/>
    <w:pPr>
      <w:spacing w:before="100" w:beforeAutospacing="1" w:after="100" w:afterAutospacing="1"/>
    </w:pPr>
    <w:rPr>
      <w:rFonts w:ascii="Times New Roman" w:eastAsiaTheme="minorEastAsia" w:hAnsi="Times New Roman" w:cs="Times New Roman"/>
      <w:sz w:val="20"/>
      <w:szCs w:val="20"/>
      <w:lang w:val="en-CA"/>
    </w:rPr>
  </w:style>
  <w:style w:type="character" w:styleId="Hyperlink">
    <w:name w:val="Hyperlink"/>
    <w:basedOn w:val="DefaultParagraphFont"/>
    <w:uiPriority w:val="99"/>
    <w:unhideWhenUsed/>
    <w:rsid w:val="00F12CA5"/>
    <w:rPr>
      <w:color w:val="0000FF"/>
      <w:u w:val="single"/>
    </w:rPr>
  </w:style>
  <w:style w:type="paragraph" w:styleId="Header">
    <w:name w:val="header"/>
    <w:basedOn w:val="Normal"/>
    <w:link w:val="HeaderChar"/>
    <w:uiPriority w:val="99"/>
    <w:unhideWhenUsed/>
    <w:rsid w:val="00AF1FBC"/>
    <w:pPr>
      <w:tabs>
        <w:tab w:val="center" w:pos="4680"/>
        <w:tab w:val="right" w:pos="9360"/>
      </w:tabs>
    </w:pPr>
  </w:style>
  <w:style w:type="character" w:customStyle="1" w:styleId="HeaderChar">
    <w:name w:val="Header Char"/>
    <w:basedOn w:val="DefaultParagraphFont"/>
    <w:link w:val="Header"/>
    <w:uiPriority w:val="99"/>
    <w:rsid w:val="00AF1FBC"/>
    <w:rPr>
      <w:rFonts w:ascii="Calibri" w:hAnsi="Calibri" w:cs="Calibri"/>
    </w:rPr>
  </w:style>
  <w:style w:type="paragraph" w:styleId="Footer">
    <w:name w:val="footer"/>
    <w:basedOn w:val="Normal"/>
    <w:link w:val="FooterChar"/>
    <w:uiPriority w:val="99"/>
    <w:unhideWhenUsed/>
    <w:rsid w:val="00AF1FBC"/>
    <w:pPr>
      <w:tabs>
        <w:tab w:val="center" w:pos="4680"/>
        <w:tab w:val="right" w:pos="9360"/>
      </w:tabs>
    </w:pPr>
  </w:style>
  <w:style w:type="character" w:customStyle="1" w:styleId="FooterChar">
    <w:name w:val="Footer Char"/>
    <w:basedOn w:val="DefaultParagraphFont"/>
    <w:link w:val="Footer"/>
    <w:uiPriority w:val="99"/>
    <w:rsid w:val="00AF1FBC"/>
    <w:rPr>
      <w:rFonts w:ascii="Calibri" w:hAnsi="Calibri" w:cs="Calibri"/>
    </w:rPr>
  </w:style>
  <w:style w:type="paragraph" w:styleId="BalloonText">
    <w:name w:val="Balloon Text"/>
    <w:basedOn w:val="Normal"/>
    <w:link w:val="BalloonTextChar"/>
    <w:uiPriority w:val="99"/>
    <w:semiHidden/>
    <w:unhideWhenUsed/>
    <w:rsid w:val="00EB4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98E"/>
    <w:rPr>
      <w:rFonts w:ascii="Segoe UI" w:hAnsi="Segoe UI" w:cs="Segoe UI"/>
      <w:sz w:val="18"/>
      <w:szCs w:val="18"/>
    </w:rPr>
  </w:style>
  <w:style w:type="paragraph" w:styleId="BodyText">
    <w:name w:val="Body Text"/>
    <w:basedOn w:val="Normal"/>
    <w:link w:val="BodyTextChar"/>
    <w:uiPriority w:val="99"/>
    <w:semiHidden/>
    <w:unhideWhenUsed/>
    <w:rsid w:val="007958CD"/>
    <w:pPr>
      <w:spacing w:after="120"/>
    </w:pPr>
  </w:style>
  <w:style w:type="character" w:customStyle="1" w:styleId="BodyTextChar">
    <w:name w:val="Body Text Char"/>
    <w:basedOn w:val="DefaultParagraphFont"/>
    <w:link w:val="BodyText"/>
    <w:uiPriority w:val="99"/>
    <w:semiHidden/>
    <w:rsid w:val="007958CD"/>
    <w:rPr>
      <w:rFonts w:ascii="Calibri" w:hAnsi="Calibri" w:cs="Calibri"/>
    </w:rPr>
  </w:style>
  <w:style w:type="paragraph" w:styleId="BodyTextFirstIndent">
    <w:name w:val="Body Text First Indent"/>
    <w:aliases w:val="btfi"/>
    <w:basedOn w:val="BodyText"/>
    <w:link w:val="BodyTextFirstIndentChar"/>
    <w:rsid w:val="007958CD"/>
    <w:pPr>
      <w:numPr>
        <w:numId w:val="1"/>
      </w:numPr>
      <w:tabs>
        <w:tab w:val="clear" w:pos="1800"/>
        <w:tab w:val="left" w:pos="0"/>
        <w:tab w:val="num" w:pos="2880"/>
      </w:tabs>
      <w:suppressAutoHyphens/>
      <w:autoSpaceDE w:val="0"/>
      <w:autoSpaceDN w:val="0"/>
      <w:adjustRightInd w:val="0"/>
      <w:spacing w:after="240"/>
      <w:ind w:left="0" w:firstLine="2160"/>
      <w:jc w:val="both"/>
    </w:pPr>
    <w:rPr>
      <w:rFonts w:ascii="Times New Roman" w:eastAsia="Times New Roman" w:hAnsi="Times New Roman" w:cs="Times New Roman"/>
      <w:sz w:val="19"/>
      <w:szCs w:val="19"/>
    </w:rPr>
  </w:style>
  <w:style w:type="character" w:customStyle="1" w:styleId="BodyTextFirstIndentChar">
    <w:name w:val="Body Text First Indent Char"/>
    <w:aliases w:val="btfi Char"/>
    <w:basedOn w:val="BodyTextChar"/>
    <w:link w:val="BodyTextFirstIndent"/>
    <w:rsid w:val="007958CD"/>
    <w:rPr>
      <w:rFonts w:ascii="Times New Roman" w:eastAsia="Times New Roman" w:hAnsi="Times New Roman" w:cs="Times New Roman"/>
      <w:sz w:val="19"/>
      <w:szCs w:val="19"/>
    </w:rPr>
  </w:style>
  <w:style w:type="paragraph" w:styleId="ListParagraph">
    <w:name w:val="List Paragraph"/>
    <w:basedOn w:val="Normal"/>
    <w:uiPriority w:val="34"/>
    <w:qFormat/>
    <w:rsid w:val="006E6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teve@boomcapitalmarkets.com" TargetMode="External"/><Relationship Id="rId9" Type="http://schemas.openxmlformats.org/officeDocument/2006/relationships/hyperlink" Target="mailto:s.mcauley@empowerclinics.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4793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McAuley</cp:lastModifiedBy>
  <cp:revision>3</cp:revision>
  <dcterms:created xsi:type="dcterms:W3CDTF">2019-03-04T22:05:00Z</dcterms:created>
  <dcterms:modified xsi:type="dcterms:W3CDTF">2019-03-04T22:06:00Z</dcterms:modified>
</cp:coreProperties>
</file>