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25E9" w14:textId="77777777" w:rsidR="001B7621" w:rsidRDefault="001B7621" w:rsidP="00456591">
      <w:pPr>
        <w:spacing w:before="100" w:beforeAutospacing="1" w:after="100" w:afterAutospacing="1"/>
        <w:jc w:val="center"/>
        <w:rPr>
          <w:rFonts w:ascii="Verdana" w:hAnsi="Verdana"/>
          <w:b/>
          <w:sz w:val="28"/>
          <w:szCs w:val="28"/>
        </w:rPr>
      </w:pPr>
    </w:p>
    <w:p w14:paraId="200C2291" w14:textId="261A9274" w:rsidR="00B974DE" w:rsidRPr="00B974DE" w:rsidRDefault="00B974DE" w:rsidP="00456591">
      <w:pPr>
        <w:spacing w:before="100" w:beforeAutospacing="1" w:after="100" w:afterAutospacing="1"/>
        <w:jc w:val="center"/>
        <w:rPr>
          <w:rFonts w:ascii="Verdana" w:hAnsi="Verdana"/>
          <w:b/>
          <w:bCs/>
          <w:sz w:val="28"/>
          <w:szCs w:val="28"/>
          <w:lang w:val="en-CA"/>
        </w:rPr>
      </w:pPr>
      <w:r w:rsidRPr="0005534E">
        <w:rPr>
          <w:rFonts w:ascii="Verdana" w:hAnsi="Verdana"/>
          <w:b/>
          <w:sz w:val="28"/>
          <w:szCs w:val="28"/>
        </w:rPr>
        <w:t xml:space="preserve">Empower Clinics </w:t>
      </w:r>
      <w:r w:rsidR="008411E2">
        <w:rPr>
          <w:rFonts w:ascii="Verdana" w:hAnsi="Verdana"/>
          <w:b/>
          <w:bCs/>
          <w:sz w:val="28"/>
          <w:szCs w:val="28"/>
          <w:lang w:val="en-CA"/>
        </w:rPr>
        <w:t>Receives its Hemp-Handlers Licence from Oregon Department of Agriculture</w:t>
      </w:r>
      <w:r w:rsidR="00CB65DB">
        <w:rPr>
          <w:rFonts w:ascii="Verdana" w:hAnsi="Verdana"/>
          <w:b/>
          <w:bCs/>
          <w:sz w:val="28"/>
          <w:szCs w:val="28"/>
          <w:lang w:val="en-CA"/>
        </w:rPr>
        <w:t xml:space="preserve"> and Commences </w:t>
      </w:r>
      <w:r w:rsidR="009E33AB">
        <w:rPr>
          <w:rFonts w:ascii="Verdana" w:hAnsi="Verdana"/>
          <w:b/>
          <w:bCs/>
          <w:sz w:val="28"/>
          <w:szCs w:val="28"/>
          <w:lang w:val="en-CA"/>
        </w:rPr>
        <w:t>Food Establishment</w:t>
      </w:r>
      <w:r w:rsidR="00CB65DB">
        <w:rPr>
          <w:rFonts w:ascii="Verdana" w:hAnsi="Verdana"/>
          <w:b/>
          <w:bCs/>
          <w:sz w:val="28"/>
          <w:szCs w:val="28"/>
          <w:lang w:val="en-CA"/>
        </w:rPr>
        <w:t xml:space="preserve"> Application</w:t>
      </w:r>
      <w:r w:rsidR="009E33AB">
        <w:rPr>
          <w:rFonts w:ascii="Verdana" w:hAnsi="Verdana"/>
          <w:b/>
          <w:bCs/>
          <w:sz w:val="28"/>
          <w:szCs w:val="28"/>
          <w:lang w:val="en-CA"/>
        </w:rPr>
        <w:t xml:space="preserve"> to Produce Edibles</w:t>
      </w:r>
    </w:p>
    <w:p w14:paraId="44C2A21E" w14:textId="559C8433" w:rsidR="00456591" w:rsidRDefault="00964786" w:rsidP="0045659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8411E2">
        <w:rPr>
          <w:rFonts w:ascii="Verdana" w:eastAsia="Times New Roman" w:hAnsi="Verdana" w:cs="Arial"/>
          <w:b/>
          <w:sz w:val="20"/>
          <w:szCs w:val="20"/>
        </w:rPr>
        <w:t>August 8</w:t>
      </w:r>
      <w:r w:rsidR="0077752C">
        <w:rPr>
          <w:rFonts w:ascii="Verdana" w:eastAsia="Times New Roman" w:hAnsi="Verdana" w:cs="Arial"/>
          <w:b/>
          <w:sz w:val="20"/>
          <w:szCs w:val="20"/>
        </w:rPr>
        <w:t>th</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sidR="00E17A0B">
        <w:rPr>
          <w:rFonts w:ascii="Verdana" w:hAnsi="Verdana" w:cs="Arial"/>
          <w:sz w:val="20"/>
          <w:szCs w:val="20"/>
        </w:rPr>
        <w:t xml:space="preserve"> (OTC: EPWCF) </w:t>
      </w:r>
      <w:r>
        <w:rPr>
          <w:rFonts w:ascii="Verdana" w:hAnsi="Verdana" w:cs="Arial"/>
          <w:sz w:val="20"/>
          <w:szCs w:val="20"/>
        </w:rPr>
        <w:t>(“</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004834FC">
        <w:rPr>
          <w:rFonts w:ascii="Verdana" w:hAnsi="Verdana"/>
          <w:sz w:val="20"/>
          <w:szCs w:val="20"/>
        </w:rPr>
        <w:t xml:space="preserve"> in the U.S.</w:t>
      </w:r>
      <w:r w:rsidRPr="00AD01ED">
        <w:rPr>
          <w:rFonts w:ascii="Verdana" w:hAnsi="Verdana"/>
          <w:sz w:val="20"/>
          <w:szCs w:val="20"/>
        </w:rPr>
        <w:t xml:space="preserve">, is pleased to </w:t>
      </w:r>
      <w:r w:rsidR="0077752C">
        <w:rPr>
          <w:rFonts w:ascii="Verdana" w:hAnsi="Verdana"/>
          <w:sz w:val="20"/>
          <w:szCs w:val="20"/>
        </w:rPr>
        <w:t>announce</w:t>
      </w:r>
      <w:r w:rsidRPr="00AD01ED">
        <w:rPr>
          <w:rFonts w:ascii="Verdana" w:hAnsi="Verdana"/>
          <w:sz w:val="20"/>
          <w:szCs w:val="20"/>
        </w:rPr>
        <w:t xml:space="preserve"> </w:t>
      </w:r>
      <w:r w:rsidR="0077752C">
        <w:rPr>
          <w:rFonts w:ascii="Verdana" w:hAnsi="Verdana"/>
          <w:sz w:val="20"/>
          <w:szCs w:val="20"/>
        </w:rPr>
        <w:t>it</w:t>
      </w:r>
      <w:r w:rsidR="00282452">
        <w:rPr>
          <w:rFonts w:ascii="Verdana" w:hAnsi="Verdana"/>
          <w:sz w:val="20"/>
          <w:szCs w:val="20"/>
        </w:rPr>
        <w:t>’s Oregon State subsidiary</w:t>
      </w:r>
      <w:r w:rsidR="001B7621">
        <w:rPr>
          <w:rFonts w:ascii="Verdana" w:hAnsi="Verdana"/>
          <w:sz w:val="20"/>
          <w:szCs w:val="20"/>
        </w:rPr>
        <w:t>,</w:t>
      </w:r>
      <w:r w:rsidR="00282452">
        <w:rPr>
          <w:rFonts w:ascii="Verdana" w:hAnsi="Verdana"/>
          <w:sz w:val="20"/>
          <w:szCs w:val="20"/>
        </w:rPr>
        <w:t xml:space="preserve"> Empower Healthcare Corp.</w:t>
      </w:r>
      <w:r w:rsidR="0077752C">
        <w:rPr>
          <w:rFonts w:ascii="Verdana" w:hAnsi="Verdana"/>
          <w:sz w:val="20"/>
          <w:szCs w:val="20"/>
        </w:rPr>
        <w:t xml:space="preserve"> has </w:t>
      </w:r>
      <w:r w:rsidR="008411E2">
        <w:rPr>
          <w:rFonts w:ascii="Verdana" w:hAnsi="Verdana"/>
          <w:sz w:val="20"/>
          <w:szCs w:val="20"/>
        </w:rPr>
        <w:t xml:space="preserve">been awarded it’s Hemp-Handlers </w:t>
      </w:r>
      <w:r w:rsidR="0075487A">
        <w:rPr>
          <w:rFonts w:ascii="Verdana" w:hAnsi="Verdana"/>
          <w:sz w:val="20"/>
          <w:szCs w:val="20"/>
        </w:rPr>
        <w:t>License</w:t>
      </w:r>
      <w:r w:rsidR="008411E2">
        <w:rPr>
          <w:rFonts w:ascii="Verdana" w:hAnsi="Verdana"/>
          <w:sz w:val="20"/>
          <w:szCs w:val="20"/>
        </w:rPr>
        <w:t xml:space="preserve"> from the Oregon Department of</w:t>
      </w:r>
      <w:r w:rsidR="003228D4">
        <w:rPr>
          <w:rFonts w:ascii="Verdana" w:hAnsi="Verdana"/>
          <w:sz w:val="20"/>
          <w:szCs w:val="20"/>
        </w:rPr>
        <w:t xml:space="preserve"> Agriculture (ODA) </w:t>
      </w:r>
      <w:r w:rsidR="008411E2">
        <w:rPr>
          <w:rFonts w:ascii="Verdana" w:hAnsi="Verdana"/>
          <w:sz w:val="20"/>
          <w:szCs w:val="20"/>
        </w:rPr>
        <w:t xml:space="preserve">under </w:t>
      </w:r>
      <w:r w:rsidR="0075487A">
        <w:rPr>
          <w:rFonts w:ascii="Verdana" w:hAnsi="Verdana"/>
          <w:sz w:val="20"/>
          <w:szCs w:val="20"/>
        </w:rPr>
        <w:t>license</w:t>
      </w:r>
      <w:r w:rsidR="008411E2">
        <w:rPr>
          <w:rFonts w:ascii="Verdana" w:hAnsi="Verdana"/>
          <w:sz w:val="20"/>
          <w:szCs w:val="20"/>
        </w:rPr>
        <w:t xml:space="preserve"> number AG-R1062748IHH, allowing the Company to commence build-out and operate the new 5,000 sq. ft. extraction facility in Sandy, OR.</w:t>
      </w:r>
    </w:p>
    <w:p w14:paraId="2C9E5927" w14:textId="2A0C116F" w:rsidR="009E33AB" w:rsidRPr="003228D4" w:rsidRDefault="009E33AB" w:rsidP="009E33AB">
      <w:pPr>
        <w:spacing w:before="100" w:beforeAutospacing="1" w:after="100" w:afterAutospacing="1"/>
        <w:jc w:val="both"/>
        <w:rPr>
          <w:rFonts w:ascii="Verdana" w:hAnsi="Verdana"/>
          <w:sz w:val="20"/>
          <w:szCs w:val="20"/>
        </w:rPr>
      </w:pPr>
      <w:r>
        <w:rPr>
          <w:rFonts w:ascii="Verdana" w:hAnsi="Verdana"/>
          <w:sz w:val="20"/>
          <w:szCs w:val="20"/>
        </w:rPr>
        <w:t xml:space="preserve">The Company has also commenced the application process with the Oregon Department of Agriculture for the Food Establishment Plan </w:t>
      </w:r>
      <w:r w:rsidR="001B7621">
        <w:rPr>
          <w:rFonts w:ascii="Verdana" w:hAnsi="Verdana"/>
          <w:sz w:val="20"/>
          <w:szCs w:val="20"/>
        </w:rPr>
        <w:t>permit</w:t>
      </w:r>
      <w:r>
        <w:rPr>
          <w:rFonts w:ascii="Verdana" w:hAnsi="Verdana"/>
          <w:sz w:val="20"/>
          <w:szCs w:val="20"/>
        </w:rPr>
        <w:t xml:space="preserve"> that will allow the Company to manufacturer and produce a wide array of edible products in the new facility or in an adjacent location. Popular edible CBD products can include gummies, drinks &amp; beverages, chocolate, pantry items such as peanut butter and honey and baked goods.</w:t>
      </w:r>
    </w:p>
    <w:p w14:paraId="37F77DB5" w14:textId="72559FD0" w:rsidR="009E33AB" w:rsidRDefault="009E33AB" w:rsidP="003228D4">
      <w:pPr>
        <w:spacing w:before="100" w:beforeAutospacing="1" w:after="100" w:afterAutospacing="1"/>
        <w:jc w:val="both"/>
        <w:rPr>
          <w:rFonts w:ascii="Verdana" w:hAnsi="Verdana"/>
          <w:sz w:val="20"/>
          <w:szCs w:val="20"/>
        </w:rPr>
      </w:pPr>
      <w:r>
        <w:rPr>
          <w:rFonts w:ascii="Verdana" w:hAnsi="Verdana"/>
          <w:sz w:val="20"/>
          <w:szCs w:val="20"/>
        </w:rPr>
        <w:t xml:space="preserve">“The ODA has strict requirements regarding the award of a hemp-handlers </w:t>
      </w:r>
      <w:r w:rsidR="0075487A">
        <w:rPr>
          <w:rFonts w:ascii="Verdana" w:hAnsi="Verdana"/>
          <w:sz w:val="20"/>
          <w:szCs w:val="20"/>
        </w:rPr>
        <w:t>license</w:t>
      </w:r>
      <w:r>
        <w:rPr>
          <w:rFonts w:ascii="Verdana" w:hAnsi="Verdana"/>
          <w:sz w:val="20"/>
          <w:szCs w:val="20"/>
        </w:rPr>
        <w:t xml:space="preserve"> and/or a Food Establishment permit</w:t>
      </w:r>
      <w:r w:rsidR="001539C2">
        <w:rPr>
          <w:rFonts w:ascii="Verdana" w:hAnsi="Verdana"/>
          <w:sz w:val="20"/>
          <w:szCs w:val="20"/>
        </w:rPr>
        <w:t>,</w:t>
      </w:r>
      <w:r>
        <w:rPr>
          <w:rFonts w:ascii="Verdana" w:hAnsi="Verdana"/>
          <w:sz w:val="20"/>
          <w:szCs w:val="20"/>
        </w:rPr>
        <w:t xml:space="preserve"> to </w:t>
      </w:r>
      <w:r w:rsidR="001539C2">
        <w:rPr>
          <w:rFonts w:ascii="Verdana" w:hAnsi="Verdana"/>
          <w:sz w:val="20"/>
          <w:szCs w:val="20"/>
        </w:rPr>
        <w:t>ensure that extraction operators and CBD product producers operate</w:t>
      </w:r>
      <w:r w:rsidR="00C520AB">
        <w:rPr>
          <w:rFonts w:ascii="Verdana" w:hAnsi="Verdana"/>
          <w:sz w:val="20"/>
          <w:szCs w:val="20"/>
        </w:rPr>
        <w:t xml:space="preserve"> to the highest of standards.” s</w:t>
      </w:r>
      <w:bookmarkStart w:id="0" w:name="_GoBack"/>
      <w:bookmarkEnd w:id="0"/>
      <w:r w:rsidR="001539C2">
        <w:rPr>
          <w:rFonts w:ascii="Verdana" w:hAnsi="Verdana"/>
          <w:sz w:val="20"/>
          <w:szCs w:val="20"/>
        </w:rPr>
        <w:t xml:space="preserve">aid Steven McAuley, </w:t>
      </w:r>
      <w:r w:rsidR="0075487A">
        <w:rPr>
          <w:rFonts w:ascii="Verdana" w:hAnsi="Verdana"/>
          <w:sz w:val="20"/>
          <w:szCs w:val="20"/>
        </w:rPr>
        <w:t>Empowers</w:t>
      </w:r>
      <w:r w:rsidR="001539C2">
        <w:rPr>
          <w:rFonts w:ascii="Verdana" w:hAnsi="Verdana"/>
          <w:sz w:val="20"/>
          <w:szCs w:val="20"/>
        </w:rPr>
        <w:t xml:space="preserve"> Chairman &amp; CEO. “The award of the hemp-handlers </w:t>
      </w:r>
      <w:r w:rsidR="0075487A">
        <w:rPr>
          <w:rFonts w:ascii="Verdana" w:hAnsi="Verdana"/>
          <w:sz w:val="20"/>
          <w:szCs w:val="20"/>
        </w:rPr>
        <w:t>license</w:t>
      </w:r>
      <w:r w:rsidR="001539C2">
        <w:rPr>
          <w:rFonts w:ascii="Verdana" w:hAnsi="Verdana"/>
          <w:sz w:val="20"/>
          <w:szCs w:val="20"/>
        </w:rPr>
        <w:t xml:space="preserve"> is a significant milestone for our company as </w:t>
      </w:r>
      <w:r w:rsidR="001B7621">
        <w:rPr>
          <w:rFonts w:ascii="Verdana" w:hAnsi="Verdana"/>
          <w:sz w:val="20"/>
          <w:szCs w:val="20"/>
        </w:rPr>
        <w:t>we continue on</w:t>
      </w:r>
      <w:r w:rsidR="001539C2">
        <w:rPr>
          <w:rFonts w:ascii="Verdana" w:hAnsi="Verdana"/>
          <w:sz w:val="20"/>
          <w:szCs w:val="20"/>
        </w:rPr>
        <w:t xml:space="preserve"> our path of growth and vertical integration.” </w:t>
      </w:r>
    </w:p>
    <w:p w14:paraId="0C6BA985" w14:textId="73540A04" w:rsidR="00CA67EC" w:rsidRPr="001539C2" w:rsidRDefault="003228D4" w:rsidP="001539C2">
      <w:pPr>
        <w:spacing w:before="100" w:beforeAutospacing="1" w:after="100" w:afterAutospacing="1"/>
        <w:jc w:val="both"/>
        <w:rPr>
          <w:rFonts w:ascii="Verdana" w:hAnsi="Verdana"/>
          <w:sz w:val="20"/>
          <w:szCs w:val="20"/>
        </w:rPr>
      </w:pPr>
      <w:r>
        <w:rPr>
          <w:rFonts w:ascii="Verdana" w:hAnsi="Verdana"/>
          <w:sz w:val="20"/>
          <w:szCs w:val="20"/>
        </w:rPr>
        <w:t xml:space="preserve">The Company, with the support of the team at Pathangay Architects </w:t>
      </w:r>
      <w:hyperlink r:id="rId8" w:history="1">
        <w:r w:rsidRPr="00900D55">
          <w:rPr>
            <w:rStyle w:val="Hyperlink"/>
            <w:rFonts w:ascii="Verdana" w:hAnsi="Verdana"/>
            <w:sz w:val="20"/>
            <w:szCs w:val="20"/>
          </w:rPr>
          <w:t>www.pathangayarchitects.com</w:t>
        </w:r>
      </w:hyperlink>
      <w:r w:rsidR="001539C2">
        <w:rPr>
          <w:rFonts w:ascii="Verdana" w:hAnsi="Verdana"/>
          <w:sz w:val="20"/>
          <w:szCs w:val="20"/>
        </w:rPr>
        <w:t xml:space="preserve"> </w:t>
      </w:r>
      <w:r w:rsidR="0075487A">
        <w:rPr>
          <w:rFonts w:ascii="Verdana" w:hAnsi="Verdana"/>
          <w:sz w:val="20"/>
          <w:szCs w:val="20"/>
        </w:rPr>
        <w:t>is</w:t>
      </w:r>
      <w:r>
        <w:rPr>
          <w:rFonts w:ascii="Verdana" w:hAnsi="Verdana"/>
          <w:sz w:val="20"/>
          <w:szCs w:val="20"/>
        </w:rPr>
        <w:t xml:space="preserve"> now able to move into the next phase of facility design and building permit application</w:t>
      </w:r>
      <w:r w:rsidR="001539C2">
        <w:rPr>
          <w:rFonts w:ascii="Verdana" w:hAnsi="Verdana"/>
          <w:sz w:val="20"/>
          <w:szCs w:val="20"/>
        </w:rPr>
        <w:t>s</w:t>
      </w:r>
      <w:r>
        <w:rPr>
          <w:rFonts w:ascii="Verdana" w:hAnsi="Verdana"/>
          <w:sz w:val="20"/>
          <w:szCs w:val="20"/>
        </w:rPr>
        <w:t xml:space="preserve"> based on the ODA </w:t>
      </w:r>
      <w:r w:rsidR="0075487A">
        <w:rPr>
          <w:rFonts w:ascii="Verdana" w:hAnsi="Verdana"/>
          <w:sz w:val="20"/>
          <w:szCs w:val="20"/>
        </w:rPr>
        <w:t>license</w:t>
      </w:r>
      <w:r>
        <w:rPr>
          <w:rFonts w:ascii="Verdana" w:hAnsi="Verdana"/>
          <w:sz w:val="20"/>
          <w:szCs w:val="20"/>
        </w:rPr>
        <w:t xml:space="preserve"> approval. Preliminary s</w:t>
      </w:r>
      <w:r w:rsidRPr="003228D4">
        <w:rPr>
          <w:rFonts w:ascii="Verdana" w:hAnsi="Verdana"/>
          <w:sz w:val="20"/>
          <w:szCs w:val="20"/>
        </w:rPr>
        <w:t xml:space="preserve">ecurity systems and IT networks have been installed </w:t>
      </w:r>
      <w:r w:rsidR="001539C2">
        <w:rPr>
          <w:rFonts w:ascii="Verdana" w:hAnsi="Verdana"/>
          <w:sz w:val="20"/>
          <w:szCs w:val="20"/>
        </w:rPr>
        <w:t>and the Company anticipates draft architectural drawing</w:t>
      </w:r>
      <w:r w:rsidR="0075487A">
        <w:rPr>
          <w:rFonts w:ascii="Verdana" w:hAnsi="Verdana"/>
          <w:sz w:val="20"/>
          <w:szCs w:val="20"/>
        </w:rPr>
        <w:t>s</w:t>
      </w:r>
      <w:r w:rsidR="001539C2">
        <w:rPr>
          <w:rFonts w:ascii="Verdana" w:hAnsi="Verdana"/>
          <w:sz w:val="20"/>
          <w:szCs w:val="20"/>
        </w:rPr>
        <w:t xml:space="preserve"> to be completed in Q3 2019 and initial extraction equipment orders to be placed.</w:t>
      </w:r>
      <w:bookmarkStart w:id="1" w:name="_Hlk523393064"/>
    </w:p>
    <w:p w14:paraId="15B2AADD" w14:textId="77777777" w:rsidR="00456591" w:rsidRPr="00691B36" w:rsidRDefault="00964786" w:rsidP="00456591">
      <w:pPr>
        <w:spacing w:after="200"/>
        <w:jc w:val="both"/>
        <w:rPr>
          <w:rFonts w:ascii="Verdana" w:eastAsia="Times New Roman" w:hAnsi="Verdana" w:cs="Arial"/>
          <w:color w:val="000000"/>
          <w:sz w:val="20"/>
          <w:szCs w:val="20"/>
        </w:rPr>
      </w:pPr>
      <w:r w:rsidRPr="00691B36">
        <w:rPr>
          <w:rFonts w:ascii="Verdana" w:eastAsia="Times New Roman" w:hAnsi="Verdana" w:cs="Arial"/>
          <w:b/>
          <w:color w:val="000000"/>
          <w:sz w:val="20"/>
          <w:szCs w:val="20"/>
        </w:rPr>
        <w:t xml:space="preserve">ABOUT EMPOWER </w:t>
      </w:r>
    </w:p>
    <w:p w14:paraId="44B11536" w14:textId="48E12B8F" w:rsidR="00A03F58" w:rsidRDefault="00030418" w:rsidP="00044F0F">
      <w:pPr>
        <w:spacing w:after="200"/>
        <w:jc w:val="both"/>
        <w:rPr>
          <w:rFonts w:ascii="Verdana" w:eastAsia="Times New Roman" w:hAnsi="Verdana" w:cs="Arial"/>
          <w:color w:val="000000"/>
          <w:sz w:val="20"/>
          <w:szCs w:val="20"/>
          <w:lang w:val="en-CA"/>
        </w:rPr>
      </w:pPr>
      <w:bookmarkStart w:id="2" w:name="_Hlk508109355"/>
      <w:r>
        <w:rPr>
          <w:rFonts w:ascii="Verdana" w:eastAsia="Times New Roman" w:hAnsi="Verdana" w:cs="Arial"/>
          <w:color w:val="000000"/>
          <w:sz w:val="20"/>
          <w:szCs w:val="20"/>
          <w:lang w:val="en-CA"/>
        </w:rPr>
        <w:t>Empower is a</w:t>
      </w:r>
      <w:r w:rsidRPr="00030418">
        <w:rPr>
          <w:rFonts w:ascii="Verdana" w:eastAsia="Times New Roman" w:hAnsi="Verdana" w:cs="Arial"/>
          <w:color w:val="000000"/>
          <w:sz w:val="20"/>
          <w:szCs w:val="20"/>
        </w:rPr>
        <w:t xml:space="preserve"> vertically integrated and growth-oriented CBD life sciences company, and a multi-state operator of medical health &amp; wellness clinics</w:t>
      </w:r>
      <w:r>
        <w:rPr>
          <w:rFonts w:ascii="Verdana" w:eastAsia="Times New Roman" w:hAnsi="Verdana" w:cs="Arial"/>
          <w:color w:val="000000"/>
          <w:sz w:val="20"/>
          <w:szCs w:val="20"/>
          <w:lang w:val="en-CA"/>
        </w:rPr>
        <w:t xml:space="preserve">, operating </w:t>
      </w:r>
      <w:r w:rsidR="00BD197E">
        <w:rPr>
          <w:rFonts w:ascii="Verdana" w:eastAsia="Times New Roman" w:hAnsi="Verdana" w:cs="Arial"/>
          <w:color w:val="000000"/>
          <w:sz w:val="20"/>
          <w:szCs w:val="20"/>
          <w:lang w:val="en-CA"/>
        </w:rPr>
        <w:t xml:space="preserve">the Sun Valley Health clinic brand </w:t>
      </w:r>
      <w:hyperlink r:id="rId9" w:history="1">
        <w:r w:rsidR="00572F15" w:rsidRPr="00900D55">
          <w:rPr>
            <w:rStyle w:val="Hyperlink"/>
            <w:rFonts w:ascii="Verdana" w:eastAsia="Times New Roman" w:hAnsi="Verdana" w:cs="Arial"/>
            <w:sz w:val="20"/>
            <w:szCs w:val="20"/>
            <w:lang w:val="en-CA"/>
          </w:rPr>
          <w:t>www.sunvalleyhealth.com</w:t>
        </w:r>
      </w:hyperlink>
      <w:r w:rsidR="00BE2F8F">
        <w:rPr>
          <w:rFonts w:ascii="Verdana" w:eastAsia="Times New Roman" w:hAnsi="Verdana" w:cs="Arial"/>
          <w:color w:val="000000"/>
          <w:sz w:val="20"/>
          <w:szCs w:val="20"/>
          <w:lang w:val="en-CA"/>
        </w:rPr>
        <w:t>,</w:t>
      </w:r>
      <w:r w:rsidR="00572F15">
        <w:rPr>
          <w:rFonts w:ascii="Verdana" w:eastAsia="Times New Roman" w:hAnsi="Verdana" w:cs="Arial"/>
          <w:color w:val="000000"/>
          <w:sz w:val="20"/>
          <w:szCs w:val="20"/>
          <w:lang w:val="en-CA"/>
        </w:rPr>
        <w:t xml:space="preserve"> </w:t>
      </w:r>
      <w:r w:rsidR="00BD197E">
        <w:rPr>
          <w:rFonts w:ascii="Verdana" w:eastAsia="Times New Roman" w:hAnsi="Verdana" w:cs="Arial"/>
          <w:color w:val="000000"/>
          <w:sz w:val="20"/>
          <w:szCs w:val="20"/>
          <w:lang w:val="en-CA"/>
        </w:rPr>
        <w:t xml:space="preserve">for its nine corporate locations and for franchises in the United States. As a CBD product manufacturer under the Solievo brand, the company distributes its lines through clinics, online and through retail partners. </w:t>
      </w:r>
      <w:r w:rsidR="00A03F58">
        <w:rPr>
          <w:rFonts w:ascii="Verdana" w:eastAsia="Times New Roman" w:hAnsi="Verdana" w:cs="Arial"/>
          <w:color w:val="000000"/>
          <w:sz w:val="20"/>
          <w:szCs w:val="20"/>
          <w:lang w:val="en-CA"/>
        </w:rPr>
        <w:t xml:space="preserve">Extraction operations are </w:t>
      </w:r>
      <w:r w:rsidR="00572F15">
        <w:rPr>
          <w:rFonts w:ascii="Verdana" w:eastAsia="Times New Roman" w:hAnsi="Verdana" w:cs="Arial"/>
          <w:color w:val="000000"/>
          <w:sz w:val="20"/>
          <w:szCs w:val="20"/>
          <w:lang w:val="en-CA"/>
        </w:rPr>
        <w:t xml:space="preserve">currently </w:t>
      </w:r>
      <w:r w:rsidR="00A03F58">
        <w:rPr>
          <w:rFonts w:ascii="Verdana" w:eastAsia="Times New Roman" w:hAnsi="Verdana" w:cs="Arial"/>
          <w:color w:val="000000"/>
          <w:sz w:val="20"/>
          <w:szCs w:val="20"/>
          <w:lang w:val="en-CA"/>
        </w:rPr>
        <w:t>being developed in the Company’s new extraction facility in Oregon.</w:t>
      </w:r>
    </w:p>
    <w:p w14:paraId="7F811D0B" w14:textId="77777777" w:rsidR="00A03F58" w:rsidRDefault="00A03F58" w:rsidP="00044F0F">
      <w:pPr>
        <w:spacing w:after="200"/>
        <w:jc w:val="both"/>
        <w:rPr>
          <w:rFonts w:ascii="Verdana" w:eastAsia="Times New Roman" w:hAnsi="Verdana" w:cs="Arial"/>
          <w:color w:val="000000"/>
          <w:sz w:val="20"/>
          <w:szCs w:val="20"/>
          <w:lang w:val="en-CA"/>
        </w:rPr>
      </w:pPr>
    </w:p>
    <w:bookmarkEnd w:id="1"/>
    <w:bookmarkEnd w:id="2"/>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9449C71" w14:textId="1D003A0F" w:rsidR="00456591" w:rsidRPr="00AA5F2A" w:rsidRDefault="00964786" w:rsidP="00456591">
      <w:pPr>
        <w:pStyle w:val="NormalWeb"/>
        <w:ind w:left="1440" w:hanging="1440"/>
        <w:rPr>
          <w:rFonts w:ascii="Verdana" w:hAnsi="Verdana" w:cs="Arial"/>
        </w:rPr>
      </w:pPr>
      <w:r w:rsidRPr="00691B36">
        <w:rPr>
          <w:rFonts w:ascii="Verdana" w:hAnsi="Verdana" w:cs="Arial"/>
          <w:color w:val="111C24"/>
        </w:rPr>
        <w:lastRenderedPageBreak/>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10"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1F55161F"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5F4D47"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11" w:history="1">
        <w:r w:rsidRPr="00B6733B">
          <w:rPr>
            <w:rStyle w:val="Hyperlink"/>
            <w:rFonts w:ascii="Verdana" w:hAnsi="Verdana" w:cs="Arial"/>
          </w:rPr>
          <w:t>s.mcauley@empowerclinics.com</w:t>
        </w:r>
      </w:hyperlink>
    </w:p>
    <w:p w14:paraId="6E244ACC"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3A941FB" w14:textId="77777777" w:rsidR="00AA5F2A" w:rsidRDefault="00AA5F2A" w:rsidP="00AA5F2A">
      <w:pPr>
        <w:pStyle w:val="NormalWeb"/>
        <w:ind w:left="1440" w:hanging="1440"/>
        <w:rPr>
          <w:rFonts w:ascii="Verdana" w:hAnsi="Verdana" w:cs="Arial"/>
          <w:color w:val="111C24"/>
        </w:rPr>
      </w:pP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Scalabrini, Maricom Inc., E: rs@maricom.ca, T: (888) 585-MARI </w:t>
      </w:r>
    </w:p>
    <w:p w14:paraId="0156622F" w14:textId="77777777" w:rsidR="00456591" w:rsidRPr="00EF1C18" w:rsidRDefault="00456591" w:rsidP="00456591">
      <w:pPr>
        <w:pStyle w:val="NormalWeb"/>
        <w:ind w:left="1440" w:hanging="1440"/>
        <w:rPr>
          <w:rFonts w:ascii="Verdana" w:hAnsi="Verdana" w:cs="Arial"/>
          <w:color w:val="111C24"/>
        </w:rPr>
      </w:pP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4CD256F7"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w:t>
      </w:r>
      <w:r w:rsidR="001B7621">
        <w:rPr>
          <w:rFonts w:ascii="Verdana" w:hAnsi="Verdana" w:cs="Helvetica"/>
          <w:i/>
          <w:iCs/>
          <w:color w:val="373737"/>
          <w:sz w:val="18"/>
          <w:szCs w:val="18"/>
        </w:rPr>
        <w:t>p-based CBD extraction facility</w:t>
      </w:r>
      <w:r w:rsidRPr="006134CA">
        <w:rPr>
          <w:rFonts w:ascii="Verdana" w:hAnsi="Verdana" w:cs="Helvetica"/>
          <w:i/>
          <w:iCs/>
          <w:color w:val="373737"/>
          <w:sz w:val="18"/>
          <w:szCs w:val="18"/>
        </w:rPr>
        <w:t>;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00A32F54">
        <w:rPr>
          <w:rFonts w:ascii="Verdana" w:hAnsi="Verdana" w:cs="Helvetica"/>
          <w:i/>
          <w:iCs/>
          <w:color w:val="373737"/>
          <w:sz w:val="18"/>
          <w:szCs w:val="18"/>
        </w:rPr>
        <w:t>s patient base and customers</w:t>
      </w:r>
      <w:r w:rsidRPr="006134CA">
        <w:rPr>
          <w:rFonts w:ascii="Verdana" w:hAnsi="Verdana" w:cs="Helvetica"/>
          <w:i/>
          <w:iCs/>
          <w:color w:val="373737"/>
          <w:sz w:val="18"/>
          <w:szCs w:val="18"/>
        </w:rPr>
        <w:t>; the benefits of CBD based products; the effect of the approval of the Farm Bill; 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xml:space="preserve">; that the Company may not open a hemp-based CBD extraction facility; that the hemp-based CBD extraction facility </w:t>
      </w:r>
      <w:r w:rsidR="001B7621">
        <w:rPr>
          <w:rFonts w:ascii="Verdana" w:hAnsi="Verdana" w:cs="Helvetica"/>
          <w:i/>
          <w:iCs/>
          <w:color w:val="373737"/>
          <w:sz w:val="18"/>
          <w:szCs w:val="18"/>
        </w:rPr>
        <w:t>may not be fully operation by Q3</w:t>
      </w:r>
      <w:r w:rsidRPr="006134CA">
        <w:rPr>
          <w:rFonts w:ascii="Verdana" w:hAnsi="Verdana" w:cs="Helvetica"/>
          <w:i/>
          <w:iCs/>
          <w:color w:val="373737"/>
          <w:sz w:val="18"/>
          <w:szCs w:val="18"/>
        </w:rPr>
        <w:t xml:space="preserve">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9C74" w14:textId="77777777" w:rsidR="009E33AB" w:rsidRDefault="009E33AB">
      <w:r>
        <w:separator/>
      </w:r>
    </w:p>
  </w:endnote>
  <w:endnote w:type="continuationSeparator" w:id="0">
    <w:p w14:paraId="75D14D70" w14:textId="77777777" w:rsidR="009E33AB" w:rsidRDefault="009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4500" w14:textId="77777777" w:rsidR="009E33AB" w:rsidRDefault="009E33AB">
      <w:r>
        <w:separator/>
      </w:r>
    </w:p>
  </w:footnote>
  <w:footnote w:type="continuationSeparator" w:id="0">
    <w:p w14:paraId="314A7FE1" w14:textId="77777777" w:rsidR="009E33AB" w:rsidRDefault="009E3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467" w14:textId="77777777" w:rsidR="009E33AB" w:rsidRPr="00712F52" w:rsidRDefault="009E33AB" w:rsidP="00456591">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97B1D"/>
    <w:multiLevelType w:val="hybridMultilevel"/>
    <w:tmpl w:val="272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5">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6">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6"/>
    <w:rsid w:val="00030418"/>
    <w:rsid w:val="00044F0F"/>
    <w:rsid w:val="00117BCA"/>
    <w:rsid w:val="00153017"/>
    <w:rsid w:val="001539C2"/>
    <w:rsid w:val="0016321E"/>
    <w:rsid w:val="00173AB7"/>
    <w:rsid w:val="001B7621"/>
    <w:rsid w:val="00282452"/>
    <w:rsid w:val="002946A8"/>
    <w:rsid w:val="002A5BED"/>
    <w:rsid w:val="002B0FB4"/>
    <w:rsid w:val="00301C0A"/>
    <w:rsid w:val="00310609"/>
    <w:rsid w:val="003143D7"/>
    <w:rsid w:val="003228D4"/>
    <w:rsid w:val="003501FA"/>
    <w:rsid w:val="003C6C2F"/>
    <w:rsid w:val="0040384F"/>
    <w:rsid w:val="004275B4"/>
    <w:rsid w:val="004378A1"/>
    <w:rsid w:val="00456591"/>
    <w:rsid w:val="004834FC"/>
    <w:rsid w:val="004A1659"/>
    <w:rsid w:val="004B43A0"/>
    <w:rsid w:val="004E74CB"/>
    <w:rsid w:val="00512FA6"/>
    <w:rsid w:val="00561272"/>
    <w:rsid w:val="00562B50"/>
    <w:rsid w:val="00572F15"/>
    <w:rsid w:val="005B28B5"/>
    <w:rsid w:val="00622A98"/>
    <w:rsid w:val="00657E8D"/>
    <w:rsid w:val="006E6F54"/>
    <w:rsid w:val="006F0DDD"/>
    <w:rsid w:val="00705F23"/>
    <w:rsid w:val="0075487A"/>
    <w:rsid w:val="0077752C"/>
    <w:rsid w:val="00784959"/>
    <w:rsid w:val="007C028A"/>
    <w:rsid w:val="00801168"/>
    <w:rsid w:val="00822449"/>
    <w:rsid w:val="00822515"/>
    <w:rsid w:val="008411E2"/>
    <w:rsid w:val="008E6CE7"/>
    <w:rsid w:val="008F03D0"/>
    <w:rsid w:val="008F28D6"/>
    <w:rsid w:val="00961DF4"/>
    <w:rsid w:val="00964786"/>
    <w:rsid w:val="009920D3"/>
    <w:rsid w:val="00994EB1"/>
    <w:rsid w:val="009D38FF"/>
    <w:rsid w:val="009D6702"/>
    <w:rsid w:val="009E33AB"/>
    <w:rsid w:val="009F6503"/>
    <w:rsid w:val="00A03F58"/>
    <w:rsid w:val="00A32F54"/>
    <w:rsid w:val="00A60C89"/>
    <w:rsid w:val="00A61551"/>
    <w:rsid w:val="00AA5F2A"/>
    <w:rsid w:val="00B05F52"/>
    <w:rsid w:val="00B30434"/>
    <w:rsid w:val="00B3181E"/>
    <w:rsid w:val="00B82FA4"/>
    <w:rsid w:val="00B839E4"/>
    <w:rsid w:val="00B974DE"/>
    <w:rsid w:val="00BD197E"/>
    <w:rsid w:val="00BE2288"/>
    <w:rsid w:val="00BE2F8F"/>
    <w:rsid w:val="00C30B77"/>
    <w:rsid w:val="00C520AB"/>
    <w:rsid w:val="00C53D2F"/>
    <w:rsid w:val="00CA67EC"/>
    <w:rsid w:val="00CB65DB"/>
    <w:rsid w:val="00CF16FB"/>
    <w:rsid w:val="00CF4740"/>
    <w:rsid w:val="00D02184"/>
    <w:rsid w:val="00D26B7B"/>
    <w:rsid w:val="00DE53ED"/>
    <w:rsid w:val="00DE65E4"/>
    <w:rsid w:val="00E17A0B"/>
    <w:rsid w:val="00E318FD"/>
    <w:rsid w:val="00E7537F"/>
    <w:rsid w:val="00ED7024"/>
    <w:rsid w:val="00F80D79"/>
    <w:rsid w:val="00FC0F96"/>
    <w:rsid w:val="00FD3459"/>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cauley@empowerclinic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hangayarchitects.com" TargetMode="External"/><Relationship Id="rId9" Type="http://schemas.openxmlformats.org/officeDocument/2006/relationships/hyperlink" Target="http://www.sunvalleyhealth.com" TargetMode="External"/><Relationship Id="rId10" Type="http://schemas.openxmlformats.org/officeDocument/2006/relationships/hyperlink" Target="mailto:steve@boomcapitalmar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869</Words>
  <Characters>4958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McAuley</cp:lastModifiedBy>
  <cp:revision>8</cp:revision>
  <cp:lastPrinted>2019-08-05T07:36:00Z</cp:lastPrinted>
  <dcterms:created xsi:type="dcterms:W3CDTF">2019-08-07T16:48:00Z</dcterms:created>
  <dcterms:modified xsi:type="dcterms:W3CDTF">2019-08-07T19:03:00Z</dcterms:modified>
</cp:coreProperties>
</file>